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26890" w14:textId="6424FC48" w:rsidR="005B6A2C" w:rsidRDefault="00CB4D25" w:rsidP="005F3956">
      <w:pPr>
        <w:pStyle w:val="Pagedecouverture"/>
      </w:pPr>
      <w:r>
        <w:pict w14:anchorId="4DA134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557E2E1E-C9CC-484D-93DA-0EC4C8DEF15E" style="width:453.5pt;height:367pt">
            <v:imagedata r:id="rId11" o:title=""/>
          </v:shape>
        </w:pict>
      </w:r>
    </w:p>
    <w:p w14:paraId="1FB22BE3" w14:textId="77777777" w:rsidR="005B6A2C" w:rsidRDefault="005B6A2C" w:rsidP="005B6A2C">
      <w:pPr>
        <w:sectPr w:rsidR="005B6A2C" w:rsidSect="00131442">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114A7990" w14:textId="77777777" w:rsidR="005B6A2C" w:rsidRPr="00FB18DC" w:rsidRDefault="005B6A2C" w:rsidP="00A75600">
      <w:pPr>
        <w:pStyle w:val="Exposdesmotifstitre"/>
      </w:pPr>
      <w:r w:rsidRPr="00FB18DC">
        <w:lastRenderedPageBreak/>
        <w:t>EXPLANATORY MEMORANDUM</w:t>
      </w:r>
    </w:p>
    <w:p w14:paraId="71263179" w14:textId="77777777" w:rsidR="005B6A2C" w:rsidRDefault="005B6A2C" w:rsidP="00FB18DC">
      <w:pPr>
        <w:pStyle w:val="ManualHeading1"/>
      </w:pPr>
      <w:r w:rsidRPr="00FB18DC">
        <w:t>1.</w:t>
      </w:r>
      <w:r w:rsidRPr="00FB18DC">
        <w:tab/>
      </w:r>
      <w:r>
        <w:t>CONTEXT OF THE DELEGATED ACT</w:t>
      </w:r>
    </w:p>
    <w:p w14:paraId="33C80FFC" w14:textId="5B512802" w:rsidR="008B78D5" w:rsidRDefault="00E632DD" w:rsidP="008B78D5">
      <w:r>
        <w:t>Article 69(1) of Regulation</w:t>
      </w:r>
      <w:r w:rsidR="008B78D5">
        <w:t xml:space="preserve"> (EU) 2018/1139</w:t>
      </w:r>
      <w:r>
        <w:t xml:space="preserve"> </w:t>
      </w:r>
      <w:r w:rsidR="008B3EAE">
        <w:t xml:space="preserve">provides the possibility for </w:t>
      </w:r>
      <w:r>
        <w:t xml:space="preserve">the </w:t>
      </w:r>
      <w:r w:rsidR="008B3EAE" w:rsidRPr="008B3EAE">
        <w:t xml:space="preserve">European Union Aviation Safety Agency (“The Agency”) </w:t>
      </w:r>
      <w:r w:rsidR="008B3EAE">
        <w:t xml:space="preserve">to </w:t>
      </w:r>
      <w:r>
        <w:t xml:space="preserve">allocate </w:t>
      </w:r>
      <w:r w:rsidR="008B3EAE">
        <w:t xml:space="preserve">its </w:t>
      </w:r>
      <w:r>
        <w:t>tasks related to certification and oversight to qualified entities that have been accredited in accordance with the delegated acts referred to in point (f) of Article 62(13)</w:t>
      </w:r>
      <w:r w:rsidR="00CC2084">
        <w:t>. Said Article</w:t>
      </w:r>
      <w:r w:rsidR="008B78D5">
        <w:t xml:space="preserve"> empower</w:t>
      </w:r>
      <w:r w:rsidR="008B3EAE">
        <w:t>s</w:t>
      </w:r>
      <w:r w:rsidR="008B78D5">
        <w:t xml:space="preserve"> the Commission to adopt </w:t>
      </w:r>
      <w:r w:rsidR="007D6F6D">
        <w:t>delegated acts setting out conditions</w:t>
      </w:r>
      <w:r w:rsidR="008B78D5">
        <w:t xml:space="preserve"> and procedures for the accreditation of qualified entities by</w:t>
      </w:r>
      <w:r w:rsidR="008B3EAE">
        <w:t xml:space="preserve"> the Agency.</w:t>
      </w:r>
    </w:p>
    <w:p w14:paraId="76F80129" w14:textId="0603E580" w:rsidR="00E632DD" w:rsidRDefault="008B78D5" w:rsidP="00E632DD">
      <w:r>
        <w:t>Currently, t</w:t>
      </w:r>
      <w:r w:rsidRPr="00E632DD">
        <w:t>he</w:t>
      </w:r>
      <w:r w:rsidR="005839B6">
        <w:t xml:space="preserve">re are two qualified entities active in the initial airworthiness field which were accredited by the Agency </w:t>
      </w:r>
      <w:r>
        <w:t xml:space="preserve">in accordance with </w:t>
      </w:r>
      <w:r w:rsidR="008B3EAE">
        <w:t xml:space="preserve">the previous </w:t>
      </w:r>
      <w:r>
        <w:t xml:space="preserve">Regulation (EU) </w:t>
      </w:r>
      <w:r w:rsidR="008B3EAE">
        <w:t xml:space="preserve">No </w:t>
      </w:r>
      <w:r>
        <w:t xml:space="preserve">216/2008. </w:t>
      </w:r>
      <w:r w:rsidR="005839B6">
        <w:t>T</w:t>
      </w:r>
      <w:r w:rsidR="008B3EAE">
        <w:t>he Agency</w:t>
      </w:r>
      <w:r w:rsidR="00E632DD">
        <w:t xml:space="preserve"> </w:t>
      </w:r>
      <w:r w:rsidR="005839B6">
        <w:t>now intends to make use of the direct mechanism of accreditation of qualified entities set out in Article 69 of</w:t>
      </w:r>
      <w:r w:rsidR="00E632DD">
        <w:t xml:space="preserve"> Regulation (EU) 2018/113</w:t>
      </w:r>
      <w:r w:rsidR="008B3EAE">
        <w:t>9.</w:t>
      </w:r>
      <w:r w:rsidR="005839B6">
        <w:t xml:space="preserve"> </w:t>
      </w:r>
      <w:r w:rsidR="005839B6" w:rsidRPr="005839B6">
        <w:t xml:space="preserve">However, Article 62(13)(f) of the </w:t>
      </w:r>
      <w:r w:rsidR="005839B6">
        <w:t>Regulation</w:t>
      </w:r>
      <w:r w:rsidR="005839B6" w:rsidRPr="005839B6">
        <w:t xml:space="preserve"> requires the adoption of a Commission delegated act to empower </w:t>
      </w:r>
      <w:r w:rsidR="005839B6">
        <w:t>the Agency</w:t>
      </w:r>
      <w:r w:rsidR="005839B6" w:rsidRPr="005839B6">
        <w:t xml:space="preserve"> to accredit new </w:t>
      </w:r>
      <w:r w:rsidR="005839B6">
        <w:t>qualified entities</w:t>
      </w:r>
      <w:r w:rsidR="005839B6" w:rsidRPr="005839B6">
        <w:t>.</w:t>
      </w:r>
    </w:p>
    <w:p w14:paraId="5AD5F761" w14:textId="55AEE6EC" w:rsidR="008B3EAE" w:rsidRPr="0012110C" w:rsidRDefault="008B3EAE" w:rsidP="00E632DD">
      <w:r>
        <w:t xml:space="preserve">The main objective of this initiative is to </w:t>
      </w:r>
      <w:r w:rsidR="005B5F68">
        <w:t>set out conditions and procedures</w:t>
      </w:r>
      <w:r>
        <w:t xml:space="preserve"> </w:t>
      </w:r>
      <w:r w:rsidR="005B5F68">
        <w:t xml:space="preserve">under which </w:t>
      </w:r>
      <w:r>
        <w:t xml:space="preserve">the Agency </w:t>
      </w:r>
      <w:r w:rsidR="005B5F68">
        <w:t xml:space="preserve">should accredit </w:t>
      </w:r>
      <w:r>
        <w:t xml:space="preserve">qualified entities </w:t>
      </w:r>
      <w:r w:rsidR="005B5F68">
        <w:t xml:space="preserve">for the performance of tasks under </w:t>
      </w:r>
      <w:r>
        <w:t>Regulation (EU) 2018/1</w:t>
      </w:r>
      <w:r w:rsidR="005B5F68">
        <w:t>1</w:t>
      </w:r>
      <w:r>
        <w:t>39</w:t>
      </w:r>
      <w:r w:rsidR="003C55F2">
        <w:t>.</w:t>
      </w:r>
    </w:p>
    <w:p w14:paraId="28E8F410" w14:textId="77777777" w:rsidR="005B6A2C" w:rsidRDefault="005B6A2C" w:rsidP="00FB18DC">
      <w:pPr>
        <w:pStyle w:val="ManualHeading1"/>
      </w:pPr>
      <w:r w:rsidRPr="00FB18DC">
        <w:t>2.</w:t>
      </w:r>
      <w:r w:rsidRPr="00FB18DC">
        <w:tab/>
      </w:r>
      <w:r>
        <w:t>CONSULTATIONS PRIOR TO THE ADOPTION OF THE ACT</w:t>
      </w:r>
    </w:p>
    <w:p w14:paraId="0BE7CCCD" w14:textId="7B22BEB3" w:rsidR="005B6A2C" w:rsidRPr="0012110C" w:rsidRDefault="0004101A" w:rsidP="00A75600">
      <w:r w:rsidRPr="0004101A">
        <w:t xml:space="preserve">In accordance with Article </w:t>
      </w:r>
      <w:r w:rsidR="00C47297">
        <w:t xml:space="preserve">128(4) </w:t>
      </w:r>
      <w:r w:rsidRPr="0004101A">
        <w:t>of Regulation</w:t>
      </w:r>
      <w:r w:rsidR="00C47297">
        <w:t xml:space="preserve"> (EU 2018/1139</w:t>
      </w:r>
      <w:r w:rsidRPr="0004101A">
        <w:t xml:space="preserve">, before adopting a delegated act, the Commission shall consult experts designated by each Member State in accordance with </w:t>
      </w:r>
      <w:r w:rsidR="00C47297">
        <w:t xml:space="preserve">the </w:t>
      </w:r>
      <w:r w:rsidRPr="0004101A">
        <w:t xml:space="preserve">principles laid down in the Interinstitutional Agreement of 13 April 2016 on Better Law-Making. The draft delegated act was presented to the Commission Expert group on aviation safety, which includes representatives from the Member States, at its meeting on </w:t>
      </w:r>
      <w:r w:rsidRPr="00EE140F">
        <w:rPr>
          <w:highlight w:val="yellow"/>
        </w:rPr>
        <w:t>[XX</w:t>
      </w:r>
      <w:r w:rsidR="00EE140F">
        <w:rPr>
          <w:highlight w:val="yellow"/>
        </w:rPr>
        <w:t xml:space="preserve"> October</w:t>
      </w:r>
      <w:r w:rsidRPr="00EE140F">
        <w:rPr>
          <w:highlight w:val="yellow"/>
        </w:rPr>
        <w:t xml:space="preserve"> 20</w:t>
      </w:r>
      <w:r w:rsidR="00EE140F">
        <w:rPr>
          <w:highlight w:val="yellow"/>
        </w:rPr>
        <w:t>23</w:t>
      </w:r>
      <w:r w:rsidRPr="00EE140F">
        <w:rPr>
          <w:highlight w:val="yellow"/>
        </w:rPr>
        <w:t>]</w:t>
      </w:r>
      <w:r w:rsidRPr="0004101A">
        <w:t>.</w:t>
      </w:r>
    </w:p>
    <w:p w14:paraId="56A896C8" w14:textId="77777777" w:rsidR="005B6A2C" w:rsidRDefault="005B6A2C" w:rsidP="00FB18DC">
      <w:pPr>
        <w:pStyle w:val="ManualHeading1"/>
      </w:pPr>
      <w:r w:rsidRPr="00FB18DC">
        <w:t>3.</w:t>
      </w:r>
      <w:r w:rsidRPr="00FB18DC">
        <w:tab/>
      </w:r>
      <w:r>
        <w:t>LEGAL ELEMENTS OF THE DELEGATED ACT</w:t>
      </w:r>
    </w:p>
    <w:p w14:paraId="073119CB" w14:textId="25114E31" w:rsidR="00FF0F25" w:rsidRDefault="00FF0F25" w:rsidP="00FF0F25">
      <w:r>
        <w:t>Article 62(13)(f) of Regulation (EU) 2018/1139 empowers the Commission to adopt delegated acts laying down detailed rules concerning the conditions and procedures for the accreditation by the Agency of a qualified entity</w:t>
      </w:r>
      <w:r w:rsidRPr="00FF0F25">
        <w:t xml:space="preserve"> </w:t>
      </w:r>
      <w:r>
        <w:t>for the purpose of Article 69 of that Regulation.</w:t>
      </w:r>
    </w:p>
    <w:p w14:paraId="44489805" w14:textId="08E403DE" w:rsidR="00FF0F25" w:rsidRDefault="00FF0F25" w:rsidP="00FF0F25">
      <w:pPr>
        <w:sectPr w:rsidR="00FF0F25" w:rsidSect="00131442">
          <w:footerReference w:type="default" r:id="rId18"/>
          <w:footerReference w:type="first" r:id="rId19"/>
          <w:pgSz w:w="11907" w:h="16839"/>
          <w:pgMar w:top="1134" w:right="1417" w:bottom="1134" w:left="1417" w:header="709" w:footer="709" w:gutter="0"/>
          <w:cols w:space="708"/>
          <w:docGrid w:linePitch="360"/>
        </w:sectPr>
      </w:pPr>
    </w:p>
    <w:p w14:paraId="071E5641" w14:textId="443EC327" w:rsidR="005F3956" w:rsidRPr="00B7154E" w:rsidRDefault="005F3956" w:rsidP="005F3956">
      <w:pPr>
        <w:pStyle w:val="Typedudocument"/>
      </w:pPr>
      <w:r w:rsidRPr="005F3956">
        <w:lastRenderedPageBreak/>
        <w:t>COMMISSION DELEGATED REGULATION (EU) …/...</w:t>
      </w:r>
    </w:p>
    <w:p w14:paraId="31DFAD11" w14:textId="7EA1E647" w:rsidR="005F3956" w:rsidRPr="00B7154E" w:rsidRDefault="005F3956" w:rsidP="005F3956">
      <w:pPr>
        <w:pStyle w:val="Datedadoption"/>
      </w:pPr>
      <w:r w:rsidRPr="005F3956">
        <w:t xml:space="preserve">of </w:t>
      </w:r>
      <w:r w:rsidRPr="005F3956">
        <w:rPr>
          <w:rStyle w:val="Marker2"/>
        </w:rPr>
        <w:t>XXX</w:t>
      </w:r>
    </w:p>
    <w:p w14:paraId="6CFF3A84" w14:textId="5EADF864" w:rsidR="005F3956" w:rsidRPr="00B7154E" w:rsidRDefault="00C63037" w:rsidP="004362A2">
      <w:pPr>
        <w:pStyle w:val="Titreobjet"/>
      </w:pPr>
      <w:r>
        <w:t xml:space="preserve">supplementing </w:t>
      </w:r>
      <w:r w:rsidRPr="004362A2">
        <w:t xml:space="preserve">Regulation (EU) 2018/1139 of the European Parliament and of the Council </w:t>
      </w:r>
      <w:r w:rsidR="009017E5">
        <w:t xml:space="preserve">by laying </w:t>
      </w:r>
      <w:r w:rsidR="00503E93">
        <w:t xml:space="preserve">down </w:t>
      </w:r>
      <w:r w:rsidR="00503E93" w:rsidRPr="00503E93">
        <w:t xml:space="preserve">the conditions and procedures </w:t>
      </w:r>
      <w:r w:rsidR="00503E93">
        <w:t xml:space="preserve">for </w:t>
      </w:r>
      <w:r w:rsidR="005F3956" w:rsidRPr="005F3956">
        <w:t xml:space="preserve">the accreditation </w:t>
      </w:r>
      <w:r w:rsidR="004362A2">
        <w:t xml:space="preserve">by the </w:t>
      </w:r>
      <w:r w:rsidR="004362A2" w:rsidRPr="004362A2">
        <w:t xml:space="preserve">European Union Aviation Safety Agency </w:t>
      </w:r>
      <w:r w:rsidR="005F3956" w:rsidRPr="005F3956">
        <w:t>of qualified entities</w:t>
      </w:r>
    </w:p>
    <w:p w14:paraId="1674D5E3" w14:textId="5DB6456F" w:rsidR="005F3956" w:rsidRDefault="005F3956" w:rsidP="005F3956">
      <w:pPr>
        <w:pStyle w:val="IntrtEEE"/>
      </w:pPr>
      <w:r w:rsidRPr="005F3956">
        <w:t>(Text with EEA relevance)</w:t>
      </w:r>
    </w:p>
    <w:p w14:paraId="1B3E29BA" w14:textId="77777777" w:rsidR="005F3956" w:rsidRPr="00B7154E" w:rsidRDefault="005F3956" w:rsidP="005F3956">
      <w:pPr>
        <w:pStyle w:val="Institutionquiagit"/>
        <w:rPr>
          <w:szCs w:val="24"/>
        </w:rPr>
      </w:pPr>
      <w:r w:rsidRPr="00B7154E">
        <w:rPr>
          <w:szCs w:val="24"/>
        </w:rPr>
        <w:t>THE EUROPEAN COMMISSION,</w:t>
      </w:r>
    </w:p>
    <w:p w14:paraId="3AD38A41" w14:textId="77777777" w:rsidR="005F3956" w:rsidRPr="00B7154E" w:rsidRDefault="005F3956" w:rsidP="005F3956">
      <w:pPr>
        <w:rPr>
          <w:color w:val="000000"/>
          <w:szCs w:val="24"/>
        </w:rPr>
      </w:pPr>
      <w:r w:rsidRPr="00B7154E">
        <w:rPr>
          <w:color w:val="000000"/>
          <w:szCs w:val="24"/>
        </w:rPr>
        <w:t>Having regard to the Treaty on the Functioning of the European Union,</w:t>
      </w:r>
    </w:p>
    <w:p w14:paraId="606BB69A" w14:textId="30CD5BDD" w:rsidR="005F3956" w:rsidRPr="00B7154E" w:rsidRDefault="005F3956" w:rsidP="005F3956">
      <w:pPr>
        <w:rPr>
          <w:szCs w:val="24"/>
        </w:rPr>
      </w:pPr>
      <w:r w:rsidRPr="00B7154E">
        <w:rPr>
          <w:color w:val="000000"/>
          <w:szCs w:val="24"/>
        </w:rPr>
        <w:t xml:space="preserve">Having regard to </w:t>
      </w:r>
      <w:bookmarkStart w:id="0" w:name="_Hlk145508397"/>
      <w:r w:rsidRPr="00B7154E">
        <w:rPr>
          <w:color w:val="000000"/>
          <w:szCs w:val="24"/>
        </w:rPr>
        <w:t xml:space="preserve">Regulation (EU) 2018/1139 of the European Parliament and of the Council </w:t>
      </w:r>
      <w:bookmarkEnd w:id="0"/>
      <w:r w:rsidRPr="00B7154E">
        <w:rPr>
          <w:color w:val="000000"/>
          <w:szCs w:val="24"/>
        </w:rPr>
        <w:t xml:space="preserve">of 4 July 2018 on common rules in the field of civil aviation and establishing a </w:t>
      </w:r>
      <w:bookmarkStart w:id="1" w:name="_Hlk140133768"/>
      <w:r w:rsidRPr="00B7154E">
        <w:rPr>
          <w:color w:val="000000"/>
          <w:szCs w:val="24"/>
        </w:rPr>
        <w:t xml:space="preserve">European Union Aviation Safety Agency, </w:t>
      </w:r>
      <w:bookmarkEnd w:id="1"/>
      <w:r w:rsidRPr="00B7154E">
        <w:rPr>
          <w:color w:val="000000"/>
          <w:szCs w:val="24"/>
        </w:rPr>
        <w:t>and amending Regulations (EC) No 2111/2005, (EC) No 1008/2008, (EU) No 996/2010, (EU) No 376/2014 and Directives 2014/30/EU and 2014/53/EU of the European Parliament and of the Council, and repealing Regulations (EC) No 552/2004 and (EC) No 216/2008 of the European Parliament and of the Council and Council Regulation (EEC) No 3922/91 (</w:t>
      </w:r>
      <w:r w:rsidRPr="00B7154E">
        <w:rPr>
          <w:rStyle w:val="FootnoteReference"/>
          <w:color w:val="000000"/>
          <w:szCs w:val="24"/>
        </w:rPr>
        <w:footnoteReference w:id="1"/>
      </w:r>
      <w:r w:rsidRPr="00B7154E">
        <w:rPr>
          <w:color w:val="000000"/>
          <w:szCs w:val="24"/>
        </w:rPr>
        <w:t>), and in particular Article 62(13)</w:t>
      </w:r>
      <w:r w:rsidR="001F0D27">
        <w:rPr>
          <w:color w:val="000000"/>
          <w:szCs w:val="24"/>
        </w:rPr>
        <w:t xml:space="preserve">, point </w:t>
      </w:r>
      <w:r w:rsidRPr="00B7154E">
        <w:rPr>
          <w:color w:val="000000"/>
          <w:szCs w:val="24"/>
        </w:rPr>
        <w:t>(f), thereof,</w:t>
      </w:r>
    </w:p>
    <w:p w14:paraId="1F492DBB" w14:textId="77777777" w:rsidR="005F3956" w:rsidRPr="00B7154E" w:rsidRDefault="005F3956" w:rsidP="005F3956">
      <w:pPr>
        <w:rPr>
          <w:szCs w:val="24"/>
        </w:rPr>
      </w:pPr>
      <w:r w:rsidRPr="00B7154E">
        <w:rPr>
          <w:szCs w:val="24"/>
        </w:rPr>
        <w:t>Whereas:</w:t>
      </w:r>
    </w:p>
    <w:p w14:paraId="59475E83" w14:textId="64C42184" w:rsidR="007F71A3" w:rsidRPr="00D91132" w:rsidRDefault="007F71A3" w:rsidP="009F0351">
      <w:pPr>
        <w:pStyle w:val="Considrant"/>
        <w:numPr>
          <w:ilvl w:val="0"/>
          <w:numId w:val="10"/>
        </w:numPr>
      </w:pPr>
      <w:r>
        <w:t xml:space="preserve">Article 69 </w:t>
      </w:r>
      <w:r w:rsidRPr="007F71A3">
        <w:t xml:space="preserve">of Regulation (EU) 2018/1139 </w:t>
      </w:r>
      <w:r>
        <w:t>allow</w:t>
      </w:r>
      <w:r w:rsidR="00F57568">
        <w:t>s</w:t>
      </w:r>
      <w:r>
        <w:t xml:space="preserve"> the </w:t>
      </w:r>
      <w:r w:rsidR="00DD32A2">
        <w:t xml:space="preserve">European Union Aviation Safety Agency (‘the </w:t>
      </w:r>
      <w:r>
        <w:t>Agency</w:t>
      </w:r>
      <w:r w:rsidR="00DD32A2">
        <w:t>’)</w:t>
      </w:r>
      <w:r>
        <w:t xml:space="preserve"> and the national competent authorities to allocate their tasks related to certification and oversight to qualified entities that have been accredited in accordance with the delegated acts referred to in point (f) of Article 62(13) or the implementing acts referred to in point (e) of the first subparagraph of Article 62(14) as being compliant with the criteria set out in Annex VI</w:t>
      </w:r>
      <w:r w:rsidR="00DD32A2">
        <w:t xml:space="preserve"> to that Regulation</w:t>
      </w:r>
      <w:r>
        <w:t>.</w:t>
      </w:r>
    </w:p>
    <w:p w14:paraId="7C846A60" w14:textId="05E29A5D" w:rsidR="005F3956" w:rsidRPr="007A7D2F" w:rsidRDefault="005F3956" w:rsidP="005F3956">
      <w:pPr>
        <w:pStyle w:val="Considrant"/>
      </w:pPr>
      <w:r w:rsidRPr="007A7D2F">
        <w:t xml:space="preserve">The Agency should only allocate certification and oversight tasks to qualified entities that are able to execute such tasks. </w:t>
      </w:r>
      <w:r w:rsidR="001A20BD" w:rsidRPr="007A7D2F">
        <w:t>Therefore</w:t>
      </w:r>
      <w:r w:rsidRPr="007A7D2F">
        <w:t xml:space="preserve">, the Agency should establish and maintain a comprehensive accreditation system </w:t>
      </w:r>
      <w:r w:rsidR="007A7D2F" w:rsidRPr="007A7D2F">
        <w:t xml:space="preserve">in order </w:t>
      </w:r>
      <w:r w:rsidRPr="007A7D2F">
        <w:t xml:space="preserve">to ensure the compliance of qualified entities with the requirements </w:t>
      </w:r>
      <w:r w:rsidR="001A20BD" w:rsidRPr="007A7D2F">
        <w:t>of</w:t>
      </w:r>
      <w:r w:rsidRPr="007A7D2F">
        <w:t xml:space="preserve"> Annex VI </w:t>
      </w:r>
      <w:r w:rsidR="001A20BD" w:rsidRPr="007A7D2F">
        <w:t xml:space="preserve">to </w:t>
      </w:r>
      <w:r w:rsidRPr="007A7D2F">
        <w:t>Regulation (EU) 2018/1139.</w:t>
      </w:r>
    </w:p>
    <w:p w14:paraId="77109E4B" w14:textId="48A86375" w:rsidR="00F92F1E" w:rsidRPr="00F92F1E" w:rsidRDefault="00EF0B4D" w:rsidP="00F92F1E">
      <w:pPr>
        <w:pStyle w:val="Considrant"/>
        <w:rPr>
          <w:b/>
          <w:bCs/>
        </w:rPr>
      </w:pPr>
      <w:r>
        <w:t>This Regulation should provide for a procedure by which the Agency may accredit qualified entities</w:t>
      </w:r>
      <w:r w:rsidR="00D238B0">
        <w:t xml:space="preserve"> to ensure th</w:t>
      </w:r>
      <w:r w:rsidR="0089245C">
        <w:t>at they are able to perform their tasks in a continuous manner</w:t>
      </w:r>
      <w:r>
        <w:t>.</w:t>
      </w:r>
      <w:r w:rsidR="0089245C">
        <w:t xml:space="preserve"> In order to </w:t>
      </w:r>
      <w:r w:rsidR="00D13114">
        <w:t>ensure effective cooperation between the Agency and the national competent authorities, the Agency should be entitled to require from the national competent authority the relevant accreditation reports.</w:t>
      </w:r>
    </w:p>
    <w:p w14:paraId="0398CC79" w14:textId="4A8C65AD" w:rsidR="00DD32A2" w:rsidRPr="00B7154E" w:rsidRDefault="00B028C7" w:rsidP="00DD32A2">
      <w:pPr>
        <w:pStyle w:val="Considrant"/>
      </w:pPr>
      <w:r w:rsidRPr="00B028C7">
        <w:t xml:space="preserve">When conducting certification and oversight tasks on behalf of the Agency, the accredited qualified entities are exercising public authority tasks. These tasks </w:t>
      </w:r>
      <w:r w:rsidR="00F57568">
        <w:t xml:space="preserve">are not </w:t>
      </w:r>
      <w:r w:rsidRPr="0004385D">
        <w:t xml:space="preserve">services </w:t>
      </w:r>
      <w:r w:rsidR="0004385D" w:rsidRPr="0004385D">
        <w:t xml:space="preserve">offered by an economic operator under a public contract and </w:t>
      </w:r>
      <w:r w:rsidR="00F57568">
        <w:t>therefore they</w:t>
      </w:r>
      <w:r w:rsidR="0004385D" w:rsidRPr="0004385D">
        <w:t xml:space="preserve"> </w:t>
      </w:r>
      <w:r w:rsidR="00033789">
        <w:t xml:space="preserve">do </w:t>
      </w:r>
      <w:r w:rsidR="0004385D" w:rsidRPr="0004385D">
        <w:t>not fall under Regulation (EU) No 2018/1046</w:t>
      </w:r>
      <w:r w:rsidR="00EF0B4D">
        <w:rPr>
          <w:rStyle w:val="FootnoteReference"/>
        </w:rPr>
        <w:footnoteReference w:id="2"/>
      </w:r>
      <w:r w:rsidR="0004385D" w:rsidRPr="0004385D">
        <w:t>.</w:t>
      </w:r>
      <w:r w:rsidRPr="00B028C7">
        <w:t xml:space="preserve"> </w:t>
      </w:r>
      <w:r w:rsidR="00DD32A2">
        <w:t>Therefore</w:t>
      </w:r>
      <w:r w:rsidRPr="00B028C7">
        <w:t xml:space="preserve">, </w:t>
      </w:r>
      <w:r w:rsidR="00033789">
        <w:t xml:space="preserve">to ensure transparent, fair </w:t>
      </w:r>
      <w:r w:rsidR="00033789">
        <w:lastRenderedPageBreak/>
        <w:t xml:space="preserve">and non-discriminatory allocation of tasks to qualified </w:t>
      </w:r>
      <w:r w:rsidR="00033789" w:rsidRPr="00B028C7">
        <w:t xml:space="preserve">entities </w:t>
      </w:r>
      <w:r w:rsidRPr="00B028C7">
        <w:t xml:space="preserve">the Agency </w:t>
      </w:r>
      <w:r w:rsidR="00E909A8">
        <w:t>should</w:t>
      </w:r>
      <w:r w:rsidR="00033789">
        <w:t xml:space="preserve"> </w:t>
      </w:r>
      <w:r w:rsidR="00C717E6" w:rsidRPr="00C717E6">
        <w:t>establish allocation criteria as the basis upon which written agreements with such entities shall be concluded.</w:t>
      </w:r>
    </w:p>
    <w:p w14:paraId="15AE00CB" w14:textId="5762F68C" w:rsidR="00DD32A2" w:rsidRDefault="0089245C" w:rsidP="00B028C7">
      <w:pPr>
        <w:pStyle w:val="Considrant"/>
      </w:pPr>
      <w:r>
        <w:t>In order to avoid a possible disruption to the performance of allocated tasks, t</w:t>
      </w:r>
      <w:r w:rsidR="00E909A8">
        <w:t xml:space="preserve">his Regulation should </w:t>
      </w:r>
      <w:r w:rsidR="000D2FF3">
        <w:t xml:space="preserve">also </w:t>
      </w:r>
      <w:r w:rsidR="00E909A8">
        <w:t xml:space="preserve">specify the conditions under which an accredit qualified entity may continue to perform its task when a </w:t>
      </w:r>
      <w:r w:rsidR="006077B1" w:rsidRPr="006077B1">
        <w:t>change in its organisation, procedures and personnel likely to affect its accreditation status</w:t>
      </w:r>
      <w:r w:rsidR="006077B1">
        <w:t xml:space="preserve"> occurs.</w:t>
      </w:r>
    </w:p>
    <w:p w14:paraId="5DD109EE" w14:textId="59164684" w:rsidR="005F3956" w:rsidRPr="00B7154E" w:rsidRDefault="00B028C7" w:rsidP="008C763B">
      <w:pPr>
        <w:pStyle w:val="Considrant"/>
        <w:rPr>
          <w:szCs w:val="24"/>
        </w:rPr>
      </w:pPr>
      <w:r>
        <w:t>The Agency should ensure the continued oversight of accredited qualified entities in order to ensure the</w:t>
      </w:r>
      <w:r w:rsidR="00DD32A2">
        <w:t xml:space="preserve">ir </w:t>
      </w:r>
      <w:r w:rsidR="00F92F1E">
        <w:t>continuous</w:t>
      </w:r>
      <w:r>
        <w:t xml:space="preserve"> compliance with Annex VI to Regulation (EU) 2018/1139.</w:t>
      </w:r>
      <w:r w:rsidR="005F3956" w:rsidRPr="00B7154E">
        <w:rPr>
          <w:szCs w:val="24"/>
        </w:rPr>
        <w:tab/>
      </w:r>
    </w:p>
    <w:p w14:paraId="3776D224" w14:textId="77777777" w:rsidR="005F3956" w:rsidRPr="00B7154E" w:rsidRDefault="005F3956" w:rsidP="005F3956">
      <w:pPr>
        <w:pStyle w:val="Formuledadoption"/>
        <w:rPr>
          <w:szCs w:val="24"/>
        </w:rPr>
      </w:pPr>
      <w:r w:rsidRPr="00B7154E">
        <w:rPr>
          <w:szCs w:val="24"/>
        </w:rPr>
        <w:t>HAS ADOPTED THIS REGULATION:</w:t>
      </w:r>
    </w:p>
    <w:p w14:paraId="64689162" w14:textId="77777777" w:rsidR="005F3956" w:rsidRPr="00B7154E" w:rsidRDefault="005F3956" w:rsidP="005F3956">
      <w:pPr>
        <w:pStyle w:val="Titrearticle"/>
        <w:rPr>
          <w:szCs w:val="24"/>
        </w:rPr>
      </w:pPr>
      <w:r w:rsidRPr="00B7154E">
        <w:rPr>
          <w:szCs w:val="24"/>
        </w:rPr>
        <w:t>Article 1</w:t>
      </w:r>
    </w:p>
    <w:p w14:paraId="1A9E426F" w14:textId="77777777" w:rsidR="005F3956" w:rsidRPr="00B7154E" w:rsidRDefault="005F3956" w:rsidP="005F3956">
      <w:pPr>
        <w:jc w:val="center"/>
        <w:rPr>
          <w:b/>
          <w:bCs/>
          <w:szCs w:val="24"/>
        </w:rPr>
      </w:pPr>
      <w:r w:rsidRPr="00B7154E">
        <w:rPr>
          <w:b/>
          <w:bCs/>
          <w:szCs w:val="24"/>
        </w:rPr>
        <w:t>Subject matter and scope</w:t>
      </w:r>
    </w:p>
    <w:p w14:paraId="5A465742" w14:textId="77777777" w:rsidR="00DD2025" w:rsidRPr="00DD2025" w:rsidRDefault="005F3956" w:rsidP="005F3956">
      <w:pPr>
        <w:pStyle w:val="NumPar1"/>
      </w:pPr>
      <w:r w:rsidRPr="008C6278">
        <w:rPr>
          <w:szCs w:val="24"/>
        </w:rPr>
        <w:t>This Regulation lays down</w:t>
      </w:r>
      <w:r w:rsidR="00DD2025">
        <w:rPr>
          <w:szCs w:val="24"/>
        </w:rPr>
        <w:t>:</w:t>
      </w:r>
      <w:r w:rsidRPr="008C6278">
        <w:rPr>
          <w:szCs w:val="24"/>
        </w:rPr>
        <w:t xml:space="preserve"> </w:t>
      </w:r>
    </w:p>
    <w:p w14:paraId="6BAB60FC" w14:textId="38092DCB" w:rsidR="00DD2025" w:rsidRPr="00D309A5" w:rsidRDefault="00DD2025" w:rsidP="00D309A5">
      <w:pPr>
        <w:pStyle w:val="Point1letter"/>
        <w:numPr>
          <w:ilvl w:val="3"/>
          <w:numId w:val="12"/>
        </w:numPr>
        <w:rPr>
          <w:szCs w:val="24"/>
        </w:rPr>
      </w:pPr>
      <w:r w:rsidRPr="00DD2025">
        <w:rPr>
          <w:szCs w:val="24"/>
        </w:rPr>
        <w:t xml:space="preserve">rules </w:t>
      </w:r>
      <w:r>
        <w:rPr>
          <w:szCs w:val="24"/>
        </w:rPr>
        <w:t xml:space="preserve">and procedures </w:t>
      </w:r>
      <w:r w:rsidRPr="00DD2025">
        <w:rPr>
          <w:szCs w:val="24"/>
        </w:rPr>
        <w:t>for the accreditation of qualified entities by the Agency</w:t>
      </w:r>
      <w:r w:rsidR="00EC4214">
        <w:rPr>
          <w:szCs w:val="24"/>
        </w:rPr>
        <w:t>;</w:t>
      </w:r>
      <w:r w:rsidRPr="00DD2025">
        <w:rPr>
          <w:szCs w:val="24"/>
        </w:rPr>
        <w:t xml:space="preserve"> </w:t>
      </w:r>
    </w:p>
    <w:p w14:paraId="498FE71A" w14:textId="54DDD65E" w:rsidR="005F3956" w:rsidRPr="00D309A5" w:rsidRDefault="00D309A5" w:rsidP="00D309A5">
      <w:pPr>
        <w:pStyle w:val="Point1letter"/>
        <w:numPr>
          <w:ilvl w:val="0"/>
          <w:numId w:val="0"/>
        </w:numPr>
        <w:ind w:left="850"/>
        <w:rPr>
          <w:szCs w:val="24"/>
        </w:rPr>
      </w:pPr>
      <w:r>
        <w:rPr>
          <w:szCs w:val="24"/>
        </w:rPr>
        <w:t xml:space="preserve">(b) </w:t>
      </w:r>
      <w:r w:rsidR="005F3956" w:rsidRPr="008C6278">
        <w:rPr>
          <w:szCs w:val="24"/>
        </w:rPr>
        <w:t xml:space="preserve">the conditions under which </w:t>
      </w:r>
      <w:r w:rsidR="00DD2025">
        <w:rPr>
          <w:szCs w:val="24"/>
        </w:rPr>
        <w:t xml:space="preserve">the Agency may allocate </w:t>
      </w:r>
      <w:r w:rsidR="005F3956" w:rsidRPr="00D309A5">
        <w:rPr>
          <w:szCs w:val="24"/>
        </w:rPr>
        <w:t xml:space="preserve">certification or oversight tasks </w:t>
      </w:r>
      <w:r w:rsidR="00DD2025" w:rsidRPr="00D309A5">
        <w:rPr>
          <w:szCs w:val="24"/>
        </w:rPr>
        <w:t>to qualified entities</w:t>
      </w:r>
      <w:r w:rsidR="005F3956" w:rsidRPr="00D309A5">
        <w:rPr>
          <w:szCs w:val="24"/>
        </w:rPr>
        <w:t xml:space="preserve">. </w:t>
      </w:r>
    </w:p>
    <w:p w14:paraId="30A1B440" w14:textId="4E14F662" w:rsidR="005F3956" w:rsidRPr="00406B23" w:rsidRDefault="00406B23" w:rsidP="005F3956">
      <w:pPr>
        <w:pStyle w:val="NumPar1"/>
      </w:pPr>
      <w:r>
        <w:t>This Regulation covers all domains in which t</w:t>
      </w:r>
      <w:r w:rsidR="005F3956" w:rsidRPr="00406B23">
        <w:t>he Agency may accredit qualified entities act</w:t>
      </w:r>
      <w:r>
        <w:t>ing</w:t>
      </w:r>
      <w:r w:rsidR="005F3956" w:rsidRPr="00406B23">
        <w:t xml:space="preserve"> as a competent authority</w:t>
      </w:r>
      <w:r>
        <w:t xml:space="preserve"> in accordance with</w:t>
      </w:r>
      <w:r w:rsidR="005F3956" w:rsidRPr="00406B23">
        <w:t xml:space="preserve"> Article 62(4)</w:t>
      </w:r>
      <w:r w:rsidR="00C46183">
        <w:t>, second subparagraph</w:t>
      </w:r>
      <w:r w:rsidR="00B028C7" w:rsidRPr="00406B23">
        <w:t xml:space="preserve"> </w:t>
      </w:r>
      <w:r w:rsidR="005E61BD">
        <w:t>o</w:t>
      </w:r>
      <w:r w:rsidR="005F3956" w:rsidRPr="00406B23">
        <w:t>f Regulation (EU) 2018/1139.</w:t>
      </w:r>
    </w:p>
    <w:p w14:paraId="468CD2FE" w14:textId="77777777" w:rsidR="005F3956" w:rsidRPr="00B7154E" w:rsidRDefault="005F3956" w:rsidP="005F3956">
      <w:pPr>
        <w:pStyle w:val="Titrearticle"/>
        <w:rPr>
          <w:szCs w:val="24"/>
        </w:rPr>
      </w:pPr>
      <w:r w:rsidRPr="00B7154E">
        <w:rPr>
          <w:szCs w:val="24"/>
        </w:rPr>
        <w:t xml:space="preserve">Article </w:t>
      </w:r>
      <w:r>
        <w:rPr>
          <w:szCs w:val="24"/>
        </w:rPr>
        <w:t>2</w:t>
      </w:r>
    </w:p>
    <w:p w14:paraId="238728A7" w14:textId="7113B640" w:rsidR="005F3956" w:rsidRPr="00B7154E" w:rsidRDefault="005F3956" w:rsidP="005F3956">
      <w:pPr>
        <w:jc w:val="center"/>
        <w:rPr>
          <w:b/>
          <w:bCs/>
          <w:szCs w:val="24"/>
        </w:rPr>
      </w:pPr>
      <w:r w:rsidRPr="00B7154E">
        <w:rPr>
          <w:b/>
          <w:bCs/>
          <w:szCs w:val="24"/>
        </w:rPr>
        <w:t xml:space="preserve">Accreditation </w:t>
      </w:r>
      <w:r w:rsidR="00E53342">
        <w:rPr>
          <w:b/>
          <w:bCs/>
          <w:szCs w:val="24"/>
        </w:rPr>
        <w:t>s</w:t>
      </w:r>
      <w:r w:rsidRPr="00B7154E">
        <w:rPr>
          <w:b/>
          <w:bCs/>
          <w:szCs w:val="24"/>
        </w:rPr>
        <w:t>ystem</w:t>
      </w:r>
      <w:r>
        <w:rPr>
          <w:b/>
          <w:bCs/>
          <w:szCs w:val="24"/>
        </w:rPr>
        <w:t xml:space="preserve"> for qualified entities</w:t>
      </w:r>
    </w:p>
    <w:p w14:paraId="132F41FF" w14:textId="5114069A" w:rsidR="005F3956" w:rsidRPr="00D91132" w:rsidRDefault="00E53342" w:rsidP="009F0351">
      <w:pPr>
        <w:pStyle w:val="NumPar1"/>
        <w:numPr>
          <w:ilvl w:val="0"/>
          <w:numId w:val="1"/>
        </w:numPr>
      </w:pPr>
      <w:r>
        <w:t>T</w:t>
      </w:r>
      <w:r w:rsidR="005F3956" w:rsidRPr="00D91132">
        <w:t xml:space="preserve">he Agency shall establish and maintain a system for the accreditation of qualified entities. That accreditation system shall </w:t>
      </w:r>
      <w:r w:rsidRPr="00E53342">
        <w:t>include</w:t>
      </w:r>
      <w:r w:rsidR="00AC6405">
        <w:t xml:space="preserve"> </w:t>
      </w:r>
      <w:r w:rsidR="00CC68C7">
        <w:t xml:space="preserve">the procedures regulating </w:t>
      </w:r>
      <w:r w:rsidR="0089245C">
        <w:t>all of</w:t>
      </w:r>
      <w:r w:rsidR="00CC68C7">
        <w:t xml:space="preserve"> </w:t>
      </w:r>
      <w:r w:rsidR="00AC6405">
        <w:t>the following</w:t>
      </w:r>
      <w:r w:rsidR="005F3956" w:rsidRPr="00D91132">
        <w:t>:</w:t>
      </w:r>
    </w:p>
    <w:p w14:paraId="17039760" w14:textId="77777777" w:rsidR="005F3956" w:rsidRPr="00B7154E" w:rsidRDefault="005F3956" w:rsidP="009F0351">
      <w:pPr>
        <w:pStyle w:val="Point1letter"/>
        <w:numPr>
          <w:ilvl w:val="3"/>
          <w:numId w:val="12"/>
        </w:numPr>
        <w:rPr>
          <w:szCs w:val="24"/>
        </w:rPr>
      </w:pPr>
      <w:r w:rsidRPr="00B7154E">
        <w:rPr>
          <w:szCs w:val="24"/>
        </w:rPr>
        <w:t>initial accreditation of qualified entities;</w:t>
      </w:r>
    </w:p>
    <w:p w14:paraId="7FD2F924" w14:textId="77777777" w:rsidR="005F3956" w:rsidRPr="00B7154E" w:rsidRDefault="005F3956" w:rsidP="005F3956">
      <w:pPr>
        <w:pStyle w:val="Point1letter"/>
        <w:rPr>
          <w:szCs w:val="24"/>
        </w:rPr>
      </w:pPr>
      <w:r w:rsidRPr="00B7154E">
        <w:rPr>
          <w:szCs w:val="24"/>
        </w:rPr>
        <w:t>continued oversight and assessment of compliance of initially accredited qualified entities;</w:t>
      </w:r>
    </w:p>
    <w:p w14:paraId="5BACCDEA" w14:textId="011228DE" w:rsidR="005F3956" w:rsidRPr="00B7154E" w:rsidRDefault="005F3956" w:rsidP="005F3956">
      <w:pPr>
        <w:pStyle w:val="Point1letter"/>
        <w:rPr>
          <w:szCs w:val="24"/>
        </w:rPr>
      </w:pPr>
      <w:r w:rsidRPr="00B7154E">
        <w:rPr>
          <w:szCs w:val="24"/>
        </w:rPr>
        <w:t xml:space="preserve">amendment, suspension, limitation and revocation of </w:t>
      </w:r>
      <w:r>
        <w:rPr>
          <w:szCs w:val="24"/>
        </w:rPr>
        <w:t xml:space="preserve">the </w:t>
      </w:r>
      <w:r w:rsidRPr="00B7154E">
        <w:rPr>
          <w:szCs w:val="24"/>
        </w:rPr>
        <w:t>accreditation</w:t>
      </w:r>
      <w:r>
        <w:rPr>
          <w:szCs w:val="24"/>
        </w:rPr>
        <w:t>;</w:t>
      </w:r>
    </w:p>
    <w:p w14:paraId="0F648352" w14:textId="6BB7AB6C" w:rsidR="005F3956" w:rsidRPr="00B7154E" w:rsidRDefault="005F3956" w:rsidP="005F3956">
      <w:pPr>
        <w:pStyle w:val="Point1letter"/>
        <w:rPr>
          <w:szCs w:val="24"/>
        </w:rPr>
      </w:pPr>
      <w:r>
        <w:rPr>
          <w:szCs w:val="24"/>
        </w:rPr>
        <w:t xml:space="preserve">a </w:t>
      </w:r>
      <w:r w:rsidRPr="00B7154E">
        <w:rPr>
          <w:szCs w:val="24"/>
        </w:rPr>
        <w:t>dispute resolution mechanism</w:t>
      </w:r>
      <w:r w:rsidR="00E83021">
        <w:rPr>
          <w:szCs w:val="24"/>
        </w:rPr>
        <w:t xml:space="preserve"> which shall as a minimum </w:t>
      </w:r>
      <w:r w:rsidR="00272636">
        <w:rPr>
          <w:szCs w:val="24"/>
        </w:rPr>
        <w:t>cover</w:t>
      </w:r>
      <w:r w:rsidR="00E83021">
        <w:rPr>
          <w:szCs w:val="24"/>
        </w:rPr>
        <w:t xml:space="preserve"> Agency’s decisions referred to in</w:t>
      </w:r>
      <w:r w:rsidR="009A10A2">
        <w:rPr>
          <w:szCs w:val="24"/>
        </w:rPr>
        <w:t xml:space="preserve"> Article 3(5) </w:t>
      </w:r>
      <w:r w:rsidR="00CC1B0A">
        <w:rPr>
          <w:szCs w:val="24"/>
        </w:rPr>
        <w:t xml:space="preserve">and Article 6(3) </w:t>
      </w:r>
      <w:r w:rsidR="009A10A2">
        <w:rPr>
          <w:szCs w:val="24"/>
        </w:rPr>
        <w:t>of this Regulation.</w:t>
      </w:r>
    </w:p>
    <w:p w14:paraId="1E0E9730" w14:textId="331692AD" w:rsidR="005F3956" w:rsidRPr="00B7154E" w:rsidRDefault="005F3956" w:rsidP="005F3956">
      <w:pPr>
        <w:pStyle w:val="Text1"/>
      </w:pPr>
      <w:r w:rsidRPr="00B7154E">
        <w:t xml:space="preserve">The accreditation system and the results of the initial accreditation and of the </w:t>
      </w:r>
      <w:r w:rsidR="00CC68C7">
        <w:t>continued oversight and assessment</w:t>
      </w:r>
      <w:r w:rsidRPr="00B7154E">
        <w:t xml:space="preserve"> of </w:t>
      </w:r>
      <w:r w:rsidR="00CC68C7">
        <w:t xml:space="preserve">accredited </w:t>
      </w:r>
      <w:r w:rsidRPr="00B7154E">
        <w:t xml:space="preserve">qualified entities shall be documented </w:t>
      </w:r>
      <w:r w:rsidR="00C62654">
        <w:t xml:space="preserve">and held </w:t>
      </w:r>
      <w:r w:rsidRPr="00B7154E">
        <w:t xml:space="preserve">by the Agency. </w:t>
      </w:r>
    </w:p>
    <w:p w14:paraId="30CAE155" w14:textId="38369904" w:rsidR="005F3956" w:rsidRPr="008C6278" w:rsidRDefault="00DA5516" w:rsidP="005F3956">
      <w:pPr>
        <w:pStyle w:val="NumPar1"/>
      </w:pPr>
      <w:r>
        <w:t>Where</w:t>
      </w:r>
      <w:r w:rsidRPr="008C6278">
        <w:t xml:space="preserve"> </w:t>
      </w:r>
      <w:r w:rsidR="005F3956" w:rsidRPr="008C6278">
        <w:t xml:space="preserve">a national competent authority has already accredited a qualified entity in accordance with an implementing </w:t>
      </w:r>
      <w:r w:rsidR="00DB6ABE">
        <w:t xml:space="preserve">act </w:t>
      </w:r>
      <w:r w:rsidR="005F3956" w:rsidRPr="008C6278">
        <w:t>adopted on the basis of Article 62(14)</w:t>
      </w:r>
      <w:r w:rsidR="001F0D27">
        <w:t xml:space="preserve">, point </w:t>
      </w:r>
      <w:r w:rsidR="005F3956" w:rsidRPr="008C6278">
        <w:t xml:space="preserve">(e) of Regulation (EU) 2018/1139, the Agency </w:t>
      </w:r>
      <w:r w:rsidR="005F3956" w:rsidRPr="00C82E13">
        <w:t>may require</w:t>
      </w:r>
      <w:r w:rsidR="005F3956" w:rsidRPr="008C6278">
        <w:t xml:space="preserve"> the national competent authority which issued the accreditation to provide the relevant accreditation reports to the Agency</w:t>
      </w:r>
      <w:r w:rsidR="00C82E13">
        <w:t>.</w:t>
      </w:r>
      <w:r w:rsidR="005F3956" w:rsidRPr="008C6278">
        <w:t xml:space="preserve"> </w:t>
      </w:r>
    </w:p>
    <w:p w14:paraId="72334BFF" w14:textId="77777777" w:rsidR="005F3956" w:rsidRPr="00B7154E" w:rsidRDefault="005F3956" w:rsidP="005F3956">
      <w:pPr>
        <w:pStyle w:val="Titrearticle"/>
        <w:rPr>
          <w:szCs w:val="24"/>
        </w:rPr>
      </w:pPr>
      <w:r w:rsidRPr="00B7154E">
        <w:rPr>
          <w:szCs w:val="24"/>
        </w:rPr>
        <w:lastRenderedPageBreak/>
        <w:t xml:space="preserve">Article </w:t>
      </w:r>
      <w:r>
        <w:rPr>
          <w:szCs w:val="24"/>
        </w:rPr>
        <w:t>3</w:t>
      </w:r>
    </w:p>
    <w:p w14:paraId="34F778D6" w14:textId="77777777" w:rsidR="005F3956" w:rsidRPr="00B7154E" w:rsidRDefault="005F3956" w:rsidP="005F3956">
      <w:pPr>
        <w:jc w:val="center"/>
        <w:rPr>
          <w:b/>
          <w:bCs/>
          <w:szCs w:val="24"/>
        </w:rPr>
      </w:pPr>
      <w:bookmarkStart w:id="2" w:name="_Hlk146804925"/>
      <w:r w:rsidRPr="00B7154E">
        <w:rPr>
          <w:b/>
          <w:bCs/>
          <w:szCs w:val="24"/>
        </w:rPr>
        <w:t>Procedure for accreditation of qualified entities</w:t>
      </w:r>
    </w:p>
    <w:bookmarkEnd w:id="2"/>
    <w:p w14:paraId="7DC5BC52" w14:textId="245B5727" w:rsidR="00DB7B66" w:rsidRPr="00DB7B66" w:rsidRDefault="005F3956" w:rsidP="009F0351">
      <w:pPr>
        <w:pStyle w:val="NumPar1"/>
        <w:numPr>
          <w:ilvl w:val="0"/>
          <w:numId w:val="2"/>
        </w:numPr>
        <w:rPr>
          <w:szCs w:val="24"/>
        </w:rPr>
      </w:pPr>
      <w:r w:rsidRPr="00A826DF">
        <w:t>Whe</w:t>
      </w:r>
      <w:r w:rsidR="0034096A">
        <w:t xml:space="preserve">re </w:t>
      </w:r>
      <w:r w:rsidRPr="00A826DF">
        <w:t xml:space="preserve">the Agency intends to </w:t>
      </w:r>
      <w:r w:rsidR="005042E6">
        <w:t xml:space="preserve">have recourse to </w:t>
      </w:r>
      <w:r w:rsidRPr="00A826DF">
        <w:t xml:space="preserve">qualified entities, it shall publish </w:t>
      </w:r>
      <w:r w:rsidR="00DD32F8">
        <w:t>o</w:t>
      </w:r>
      <w:r w:rsidRPr="00A826DF">
        <w:t>n its</w:t>
      </w:r>
      <w:r w:rsidR="00DD32F8">
        <w:t xml:space="preserve"> website</w:t>
      </w:r>
      <w:r w:rsidRPr="00A826DF">
        <w:t xml:space="preserve"> a notice inviting the interested entities to submit applications for accreditation. </w:t>
      </w:r>
    </w:p>
    <w:p w14:paraId="14E385AF" w14:textId="6745D9E9" w:rsidR="005F3956" w:rsidRPr="00131534" w:rsidRDefault="005F3956" w:rsidP="00C765C4">
      <w:pPr>
        <w:pStyle w:val="NumPar1"/>
        <w:numPr>
          <w:ilvl w:val="0"/>
          <w:numId w:val="0"/>
        </w:numPr>
        <w:ind w:left="850"/>
        <w:rPr>
          <w:szCs w:val="24"/>
        </w:rPr>
      </w:pPr>
      <w:r w:rsidRPr="00131534">
        <w:rPr>
          <w:szCs w:val="24"/>
        </w:rPr>
        <w:t>That notice shall specify in particular:</w:t>
      </w:r>
    </w:p>
    <w:p w14:paraId="778C392D" w14:textId="77777777" w:rsidR="005F3956" w:rsidRPr="0022753A" w:rsidRDefault="005F3956" w:rsidP="009F0351">
      <w:pPr>
        <w:pStyle w:val="Point1letter"/>
        <w:numPr>
          <w:ilvl w:val="3"/>
          <w:numId w:val="3"/>
        </w:numPr>
      </w:pPr>
      <w:r w:rsidRPr="00B7154E">
        <w:t>the categories of certification and oversight tasks which the Agency intends to carry out through qualified entities;</w:t>
      </w:r>
    </w:p>
    <w:p w14:paraId="597A72CD" w14:textId="0D1A18EB" w:rsidR="005F3956" w:rsidRPr="0022753A" w:rsidRDefault="005F3956" w:rsidP="005F3956">
      <w:pPr>
        <w:pStyle w:val="Point1letter"/>
      </w:pPr>
      <w:r w:rsidRPr="00B7154E">
        <w:t>whether the Agency intends to include in the scope of accreditation the privilege to</w:t>
      </w:r>
      <w:r w:rsidR="00C765C4" w:rsidRPr="00C765C4">
        <w:t xml:space="preserve"> issue, renew, amend, limit, suspend and revoke certificates</w:t>
      </w:r>
      <w:r w:rsidRPr="00B7154E">
        <w:t xml:space="preserve"> </w:t>
      </w:r>
      <w:r w:rsidR="00C765C4">
        <w:t xml:space="preserve">or to receive declarations </w:t>
      </w:r>
      <w:r w:rsidRPr="00B7154E">
        <w:t>on behalf of the Agency</w:t>
      </w:r>
      <w:r>
        <w:t>;</w:t>
      </w:r>
    </w:p>
    <w:p w14:paraId="4992FB43" w14:textId="77777777" w:rsidR="005F3956" w:rsidRPr="00B7154E" w:rsidRDefault="005F3956" w:rsidP="005F3956">
      <w:pPr>
        <w:pStyle w:val="Point1letter"/>
      </w:pPr>
      <w:r w:rsidRPr="00B7154E">
        <w:t>the documents and information that the applicants should submit and the deadline for the applications</w:t>
      </w:r>
      <w:r>
        <w:t>.</w:t>
      </w:r>
    </w:p>
    <w:p w14:paraId="4414692A" w14:textId="0F9ABC97" w:rsidR="009F7CC2" w:rsidRDefault="005F3956" w:rsidP="009F7CC2">
      <w:pPr>
        <w:pStyle w:val="NumPar1"/>
      </w:pPr>
      <w:r w:rsidRPr="00A826DF">
        <w:t xml:space="preserve">The Agency shall assess the application for accreditation submitted by the </w:t>
      </w:r>
      <w:r w:rsidR="0040128F">
        <w:t xml:space="preserve">applicant </w:t>
      </w:r>
      <w:r w:rsidR="00B61955">
        <w:t>having regard to</w:t>
      </w:r>
      <w:r w:rsidR="00F6526F">
        <w:t xml:space="preserve"> </w:t>
      </w:r>
      <w:r w:rsidR="00CB0135">
        <w:t>the criteria set out in paragraph 3</w:t>
      </w:r>
      <w:r w:rsidRPr="00A826DF">
        <w:t xml:space="preserve">. </w:t>
      </w:r>
    </w:p>
    <w:p w14:paraId="6659ED37" w14:textId="11C00193" w:rsidR="005F3956" w:rsidRPr="00A826DF" w:rsidRDefault="005F3956" w:rsidP="005F3956">
      <w:pPr>
        <w:pStyle w:val="NumPar1"/>
      </w:pPr>
      <w:r w:rsidRPr="00A826DF">
        <w:t xml:space="preserve">The Agency shall accredit and issue an accreditation certificate to </w:t>
      </w:r>
      <w:r w:rsidR="0040128F">
        <w:t>a</w:t>
      </w:r>
      <w:r w:rsidRPr="00A826DF">
        <w:t xml:space="preserve"> qualified entity </w:t>
      </w:r>
      <w:r w:rsidR="00CB0135">
        <w:t>if</w:t>
      </w:r>
      <w:r w:rsidR="00A03270">
        <w:t xml:space="preserve">, following </w:t>
      </w:r>
      <w:r w:rsidRPr="00A826DF">
        <w:t xml:space="preserve">the assessment </w:t>
      </w:r>
      <w:r w:rsidR="00A03270">
        <w:t xml:space="preserve">referred to in paragraph 2, it </w:t>
      </w:r>
      <w:r w:rsidRPr="00A826DF">
        <w:t>concludes that:</w:t>
      </w:r>
    </w:p>
    <w:p w14:paraId="22EE4653" w14:textId="1EB10C7E" w:rsidR="005F3956" w:rsidRPr="00B7154E" w:rsidRDefault="005F3956" w:rsidP="009F0351">
      <w:pPr>
        <w:pStyle w:val="Point1letter"/>
        <w:numPr>
          <w:ilvl w:val="3"/>
          <w:numId w:val="4"/>
        </w:numPr>
      </w:pPr>
      <w:r>
        <w:t xml:space="preserve">the </w:t>
      </w:r>
      <w:r w:rsidRPr="00B7154E">
        <w:t xml:space="preserve">qualified entity complies with the </w:t>
      </w:r>
      <w:r w:rsidR="00586554">
        <w:t xml:space="preserve">essential </w:t>
      </w:r>
      <w:r w:rsidRPr="00B7154E">
        <w:t>requirements laid down in</w:t>
      </w:r>
      <w:r w:rsidR="009F7CC2">
        <w:t xml:space="preserve"> </w:t>
      </w:r>
      <w:r w:rsidR="00C014AC">
        <w:t xml:space="preserve">Annex VI </w:t>
      </w:r>
      <w:r w:rsidRPr="00B7154E">
        <w:t>of Regulation (EU) 2018/1139</w:t>
      </w:r>
      <w:r>
        <w:t>;</w:t>
      </w:r>
      <w:r w:rsidR="00A03270">
        <w:t xml:space="preserve"> </w:t>
      </w:r>
    </w:p>
    <w:p w14:paraId="2A0CB4D9" w14:textId="2F60360F" w:rsidR="005F3956" w:rsidRPr="00B7154E" w:rsidRDefault="005F3956" w:rsidP="005F3956">
      <w:pPr>
        <w:pStyle w:val="Point1letter"/>
      </w:pPr>
      <w:r w:rsidRPr="00B7154E">
        <w:t xml:space="preserve">the competence, expertise and procedures of a qualified entity are at the level required for the scope of accreditation both on the organisation level </w:t>
      </w:r>
      <w:r>
        <w:t>and</w:t>
      </w:r>
      <w:r w:rsidRPr="00B7154E">
        <w:t xml:space="preserve"> regarding the experts for the required technical domain.</w:t>
      </w:r>
    </w:p>
    <w:p w14:paraId="4482A261" w14:textId="618676F2" w:rsidR="005F3956" w:rsidRPr="00B7154E" w:rsidRDefault="005F3956" w:rsidP="005F3956">
      <w:pPr>
        <w:pStyle w:val="NumPar1"/>
      </w:pPr>
      <w:r w:rsidRPr="00B7154E">
        <w:t xml:space="preserve">The accreditation granted by the Agency shall </w:t>
      </w:r>
      <w:r w:rsidR="00F063F5">
        <w:t xml:space="preserve">set out in </w:t>
      </w:r>
      <w:r w:rsidRPr="00B7154E">
        <w:t xml:space="preserve">detail the scope of the </w:t>
      </w:r>
      <w:r w:rsidR="00715C60">
        <w:t>tasks</w:t>
      </w:r>
      <w:r w:rsidR="00F063F5">
        <w:t>, the</w:t>
      </w:r>
      <w:r w:rsidRPr="00B7154E">
        <w:t xml:space="preserve"> privileges granted and </w:t>
      </w:r>
      <w:r w:rsidR="00F063F5">
        <w:t xml:space="preserve">any </w:t>
      </w:r>
      <w:r w:rsidRPr="00B7154E">
        <w:t xml:space="preserve">related conditions. </w:t>
      </w:r>
    </w:p>
    <w:p w14:paraId="629C29E5" w14:textId="6A38335D" w:rsidR="005F3956" w:rsidRPr="00B7154E" w:rsidRDefault="005F3956" w:rsidP="005F3956">
      <w:pPr>
        <w:pStyle w:val="NumPar1"/>
      </w:pPr>
      <w:r w:rsidRPr="00B7154E">
        <w:t>Whe</w:t>
      </w:r>
      <w:r w:rsidR="00450E4E">
        <w:t xml:space="preserve">re </w:t>
      </w:r>
      <w:r w:rsidRPr="00B7154E">
        <w:t xml:space="preserve">the </w:t>
      </w:r>
      <w:r w:rsidR="0025764C">
        <w:t>applicant</w:t>
      </w:r>
      <w:r w:rsidR="00AE3305">
        <w:t xml:space="preserve"> </w:t>
      </w:r>
      <w:r>
        <w:t xml:space="preserve">does </w:t>
      </w:r>
      <w:r w:rsidRPr="00B7154E">
        <w:t>not meet the conditions for accreditation</w:t>
      </w:r>
      <w:r w:rsidR="00C45DFF">
        <w:t xml:space="preserve"> set out in paragraph</w:t>
      </w:r>
      <w:r w:rsidR="009C3051">
        <w:t xml:space="preserve"> 3 of this Article,</w:t>
      </w:r>
      <w:r w:rsidRPr="00B7154E">
        <w:t xml:space="preserve"> the Agency shall inform th</w:t>
      </w:r>
      <w:r w:rsidR="00AE3305">
        <w:t xml:space="preserve">at </w:t>
      </w:r>
      <w:r w:rsidRPr="00B7154E">
        <w:t xml:space="preserve">entity accordingly </w:t>
      </w:r>
      <w:r w:rsidR="00DA5516">
        <w:t xml:space="preserve">and </w:t>
      </w:r>
      <w:r>
        <w:t>justify</w:t>
      </w:r>
      <w:r w:rsidRPr="00B7154E">
        <w:t xml:space="preserve"> its refusal to grant the accreditation.</w:t>
      </w:r>
    </w:p>
    <w:p w14:paraId="1C001B0C" w14:textId="77777777" w:rsidR="005F3956" w:rsidRPr="00B7154E" w:rsidRDefault="005F3956" w:rsidP="005F3956">
      <w:pPr>
        <w:pStyle w:val="Titrearticle"/>
        <w:rPr>
          <w:szCs w:val="24"/>
        </w:rPr>
      </w:pPr>
      <w:bookmarkStart w:id="3" w:name="_Hlk140581214"/>
      <w:r w:rsidRPr="00B7154E">
        <w:rPr>
          <w:szCs w:val="24"/>
        </w:rPr>
        <w:t xml:space="preserve">Article </w:t>
      </w:r>
      <w:r>
        <w:rPr>
          <w:szCs w:val="24"/>
        </w:rPr>
        <w:t>4</w:t>
      </w:r>
    </w:p>
    <w:p w14:paraId="4B1A6191" w14:textId="3FFE85B0" w:rsidR="005F3956" w:rsidRPr="00B7154E" w:rsidRDefault="005F3956" w:rsidP="005F3956">
      <w:pPr>
        <w:jc w:val="center"/>
        <w:rPr>
          <w:b/>
          <w:bCs/>
          <w:szCs w:val="24"/>
        </w:rPr>
      </w:pPr>
      <w:r w:rsidRPr="00B7154E">
        <w:rPr>
          <w:b/>
          <w:bCs/>
          <w:szCs w:val="24"/>
        </w:rPr>
        <w:t>Allocation of tasks to accredited qualified entities</w:t>
      </w:r>
    </w:p>
    <w:p w14:paraId="6A08B2EC" w14:textId="77777777" w:rsidR="004E29DE" w:rsidRPr="00B7154E" w:rsidRDefault="004E29DE" w:rsidP="004E29DE">
      <w:pPr>
        <w:pStyle w:val="NumPar1"/>
        <w:numPr>
          <w:ilvl w:val="0"/>
          <w:numId w:val="6"/>
        </w:numPr>
      </w:pPr>
      <w:bookmarkStart w:id="4" w:name="_Hlk140585197"/>
      <w:r w:rsidRPr="00B7154E">
        <w:t xml:space="preserve">The Agency shall develop fair and transparent criteria for allocating tasks to qualified entities accredited in accordance with Article </w:t>
      </w:r>
      <w:r>
        <w:t>3</w:t>
      </w:r>
      <w:r w:rsidRPr="00B7154E">
        <w:t xml:space="preserve">. The Agency shall communicate the criteria for the allocation of tasks to all qualified entities </w:t>
      </w:r>
      <w:r>
        <w:t xml:space="preserve">that </w:t>
      </w:r>
      <w:r w:rsidRPr="00B7154E">
        <w:t xml:space="preserve">the Agency has accredited in accordance with Article </w:t>
      </w:r>
      <w:r>
        <w:t>3</w:t>
      </w:r>
      <w:r w:rsidRPr="00B7154E">
        <w:t xml:space="preserve">. </w:t>
      </w:r>
    </w:p>
    <w:p w14:paraId="356CA746" w14:textId="0B65513F" w:rsidR="00A24C63" w:rsidRPr="00B7154E" w:rsidRDefault="00A24C63" w:rsidP="00A24C63">
      <w:pPr>
        <w:pStyle w:val="NumPar1"/>
      </w:pPr>
      <w:r w:rsidRPr="00B7154E">
        <w:t>The following shall be tak</w:t>
      </w:r>
      <w:r>
        <w:t>en</w:t>
      </w:r>
      <w:r w:rsidRPr="00B7154E">
        <w:t xml:space="preserve"> into account when developing the allocation criteria</w:t>
      </w:r>
      <w:r>
        <w:t xml:space="preserve"> referred to in </w:t>
      </w:r>
      <w:r w:rsidRPr="00715C60">
        <w:t xml:space="preserve">paragraph </w:t>
      </w:r>
      <w:r w:rsidR="00490D89" w:rsidRPr="00715C60">
        <w:t>1</w:t>
      </w:r>
      <w:r w:rsidRPr="00715C60">
        <w:t>:</w:t>
      </w:r>
    </w:p>
    <w:p w14:paraId="2459F143" w14:textId="77777777" w:rsidR="00A24C63" w:rsidRPr="00B7154E" w:rsidRDefault="00A24C63" w:rsidP="00A24C63">
      <w:pPr>
        <w:pStyle w:val="Point1letter"/>
        <w:numPr>
          <w:ilvl w:val="3"/>
          <w:numId w:val="7"/>
        </w:numPr>
      </w:pPr>
      <w:r>
        <w:t xml:space="preserve">the </w:t>
      </w:r>
      <w:r w:rsidRPr="00B7154E">
        <w:t xml:space="preserve">scope of </w:t>
      </w:r>
      <w:r>
        <w:t>the tasks</w:t>
      </w:r>
      <w:r w:rsidRPr="00B7154E">
        <w:t>;</w:t>
      </w:r>
    </w:p>
    <w:p w14:paraId="29896019" w14:textId="77777777" w:rsidR="00A24C63" w:rsidRPr="00113987" w:rsidRDefault="00A24C63" w:rsidP="00A24C63">
      <w:pPr>
        <w:pStyle w:val="Point1letter"/>
      </w:pPr>
      <w:r w:rsidRPr="00113987">
        <w:t xml:space="preserve">qualification and experience in the subject field of activity, including the technical, personal, organisational and procedural prerequisites to </w:t>
      </w:r>
      <w:r>
        <w:t xml:space="preserve">carry out </w:t>
      </w:r>
      <w:r w:rsidRPr="00113987">
        <w:t>the tasks</w:t>
      </w:r>
      <w:r>
        <w:t xml:space="preserve"> to be allocated</w:t>
      </w:r>
      <w:r w:rsidRPr="00113987">
        <w:t>;</w:t>
      </w:r>
    </w:p>
    <w:p w14:paraId="163860DF" w14:textId="77777777" w:rsidR="00A24C63" w:rsidRPr="00113987" w:rsidRDefault="00A24C63" w:rsidP="00A24C63">
      <w:pPr>
        <w:pStyle w:val="Point1letter"/>
      </w:pPr>
      <w:r w:rsidRPr="00113987">
        <w:lastRenderedPageBreak/>
        <w:t>availability and ability of the accredited qualified entity to perform the tasks in the required time frame and at the required technical, quality and professional level;</w:t>
      </w:r>
    </w:p>
    <w:p w14:paraId="0BE910EC" w14:textId="77777777" w:rsidR="00A24C63" w:rsidRPr="00113987" w:rsidRDefault="00A24C63" w:rsidP="00A24C63">
      <w:pPr>
        <w:pStyle w:val="Point1letter"/>
      </w:pPr>
      <w:r w:rsidRPr="00113987">
        <w:t xml:space="preserve">interface to the </w:t>
      </w:r>
      <w:r>
        <w:t>natural or legal person subject to Regulation (EU) 2018/1139</w:t>
      </w:r>
      <w:r w:rsidRPr="00113987">
        <w:t xml:space="preserve">, in particular, proximity and ability and competence to efficiently communicate with the </w:t>
      </w:r>
      <w:r>
        <w:t>latter</w:t>
      </w:r>
      <w:r w:rsidRPr="00113987">
        <w:t>;</w:t>
      </w:r>
    </w:p>
    <w:p w14:paraId="073AF346" w14:textId="77777777" w:rsidR="00A24C63" w:rsidRDefault="00A24C63" w:rsidP="00A24C63">
      <w:pPr>
        <w:pStyle w:val="Point1letter"/>
      </w:pPr>
      <w:r w:rsidRPr="00113987">
        <w:t>cost-efficiency</w:t>
      </w:r>
      <w:r>
        <w:t>;</w:t>
      </w:r>
    </w:p>
    <w:p w14:paraId="4E1DD915" w14:textId="02DC3CA0" w:rsidR="005F3956" w:rsidRPr="00FD2318" w:rsidRDefault="004E29DE" w:rsidP="00715C60">
      <w:pPr>
        <w:pStyle w:val="NumPar1"/>
        <w:numPr>
          <w:ilvl w:val="0"/>
          <w:numId w:val="6"/>
        </w:numPr>
      </w:pPr>
      <w:r w:rsidRPr="004E29DE">
        <w:t>When allocat</w:t>
      </w:r>
      <w:r w:rsidR="00D13114">
        <w:t>ing</w:t>
      </w:r>
      <w:r w:rsidRPr="004E29DE">
        <w:t xml:space="preserve"> tasks to the qualifie</w:t>
      </w:r>
      <w:r w:rsidR="00490D89" w:rsidRPr="00715C60">
        <w:t>d</w:t>
      </w:r>
      <w:r w:rsidRPr="004E29DE">
        <w:t xml:space="preserve"> entities accredited in accordance with Article 3, </w:t>
      </w:r>
      <w:r w:rsidR="00D13114">
        <w:t>the Agency</w:t>
      </w:r>
      <w:r w:rsidRPr="004E29DE">
        <w:t xml:space="preserve"> shall </w:t>
      </w:r>
      <w:r w:rsidR="00D13114">
        <w:t xml:space="preserve">enter into a </w:t>
      </w:r>
      <w:r w:rsidRPr="004E29DE">
        <w:t>contract</w:t>
      </w:r>
      <w:r w:rsidR="00D13114">
        <w:t xml:space="preserve"> in writing,</w:t>
      </w:r>
      <w:r w:rsidRPr="004E29DE">
        <w:t xml:space="preserve"> which shall stipulate as a minimum:</w:t>
      </w:r>
    </w:p>
    <w:p w14:paraId="6A1DD990" w14:textId="77777777" w:rsidR="005F3956" w:rsidRPr="00B7154E" w:rsidRDefault="005F3956" w:rsidP="009F0351">
      <w:pPr>
        <w:pStyle w:val="Point1letter"/>
        <w:numPr>
          <w:ilvl w:val="3"/>
          <w:numId w:val="5"/>
        </w:numPr>
      </w:pPr>
      <w:r w:rsidRPr="00B7154E">
        <w:t>the tasks to be performed;</w:t>
      </w:r>
    </w:p>
    <w:p w14:paraId="16304879" w14:textId="7D3B77C2" w:rsidR="005F3956" w:rsidRPr="00F955F2" w:rsidRDefault="005F3956" w:rsidP="005F3956">
      <w:pPr>
        <w:pStyle w:val="Point1letter"/>
      </w:pPr>
      <w:r w:rsidRPr="00EF359C">
        <w:t>the declaration, reports, and records to be provided</w:t>
      </w:r>
      <w:r w:rsidR="00CB0135">
        <w:t xml:space="preserve"> </w:t>
      </w:r>
      <w:r w:rsidR="00CB0135" w:rsidRPr="00F955F2">
        <w:t>by the qualified entity</w:t>
      </w:r>
      <w:r w:rsidRPr="00F955F2">
        <w:t>;</w:t>
      </w:r>
    </w:p>
    <w:p w14:paraId="555917A8" w14:textId="0B304862" w:rsidR="005F3956" w:rsidRPr="00F955F2" w:rsidRDefault="005F3956" w:rsidP="005F3956">
      <w:pPr>
        <w:pStyle w:val="Point1letter"/>
      </w:pPr>
      <w:r w:rsidRPr="00F955F2">
        <w:t xml:space="preserve">the technical conditions to be met </w:t>
      </w:r>
      <w:r w:rsidR="00CB0135" w:rsidRPr="00F955F2">
        <w:t xml:space="preserve">by the qualified entity </w:t>
      </w:r>
      <w:r w:rsidRPr="00F955F2">
        <w:t xml:space="preserve">when performing </w:t>
      </w:r>
      <w:r w:rsidR="00AE540A" w:rsidRPr="00F955F2">
        <w:t xml:space="preserve">the allocated </w:t>
      </w:r>
      <w:r w:rsidRPr="00F955F2">
        <w:t>tasks;</w:t>
      </w:r>
    </w:p>
    <w:p w14:paraId="55ED6FBB" w14:textId="77777777" w:rsidR="005F3956" w:rsidRPr="00F955F2" w:rsidRDefault="005F3956" w:rsidP="005F3956">
      <w:pPr>
        <w:pStyle w:val="Point1letter"/>
      </w:pPr>
      <w:r w:rsidRPr="00F955F2">
        <w:t>the related liability coverage;</w:t>
      </w:r>
    </w:p>
    <w:p w14:paraId="10E441C3" w14:textId="302B2F1F" w:rsidR="005F3956" w:rsidRDefault="005F3956" w:rsidP="005F3956">
      <w:pPr>
        <w:pStyle w:val="Point1letter"/>
      </w:pPr>
      <w:r w:rsidRPr="00F955F2">
        <w:t xml:space="preserve">the protection given to the information acquired </w:t>
      </w:r>
      <w:r w:rsidR="00CB0135" w:rsidRPr="00F955F2">
        <w:t>by the qualified entity</w:t>
      </w:r>
      <w:r w:rsidR="00CB0135">
        <w:t xml:space="preserve"> </w:t>
      </w:r>
      <w:r w:rsidRPr="00EF359C">
        <w:t xml:space="preserve">when carrying out </w:t>
      </w:r>
      <w:r w:rsidR="00AE540A">
        <w:t xml:space="preserve">the allocated </w:t>
      </w:r>
      <w:r w:rsidRPr="00EF359C">
        <w:t>tasks</w:t>
      </w:r>
      <w:r w:rsidR="00295F10">
        <w:t xml:space="preserve">; </w:t>
      </w:r>
    </w:p>
    <w:p w14:paraId="72C712E5" w14:textId="596301C7" w:rsidR="00295F10" w:rsidRPr="00EF359C" w:rsidRDefault="00295F10" w:rsidP="005F3956">
      <w:pPr>
        <w:pStyle w:val="Point1letter"/>
      </w:pPr>
      <w:r>
        <w:t>the remuneration of the qualified entity.</w:t>
      </w:r>
    </w:p>
    <w:p w14:paraId="1FBB8DBD" w14:textId="70E76B69" w:rsidR="005F3956" w:rsidRDefault="005F3956" w:rsidP="005F3956">
      <w:pPr>
        <w:pStyle w:val="Text1"/>
      </w:pPr>
      <w:r>
        <w:t>The Agency shall assign the performance of the tasks, including the technical management functions, to the accredited qualified entity in the form of a task order</w:t>
      </w:r>
      <w:r w:rsidR="00A24C63" w:rsidRPr="00A24C63">
        <w:t xml:space="preserve"> </w:t>
      </w:r>
      <w:r w:rsidR="00A24C63">
        <w:t>that defines the detailed scope of the task to be performed</w:t>
      </w:r>
      <w:r>
        <w:t>.</w:t>
      </w:r>
    </w:p>
    <w:p w14:paraId="41D22A62" w14:textId="6F20752D" w:rsidR="005F3956" w:rsidRPr="00B7154E" w:rsidRDefault="005F3956" w:rsidP="005F3956">
      <w:pPr>
        <w:pStyle w:val="NumPar1"/>
      </w:pPr>
      <w:r w:rsidRPr="00B7154E">
        <w:t xml:space="preserve">When allocating a task to a qualified entity, the Agency shall ensure </w:t>
      </w:r>
      <w:r w:rsidR="007D0F59">
        <w:t xml:space="preserve">that </w:t>
      </w:r>
      <w:r w:rsidR="00490D89" w:rsidRPr="009D2BB7">
        <w:t>the qualified entity</w:t>
      </w:r>
      <w:r w:rsidR="006A1E97" w:rsidRPr="009D2BB7">
        <w:t xml:space="preserve"> </w:t>
      </w:r>
      <w:r w:rsidRPr="009D2BB7">
        <w:t xml:space="preserve">complies with </w:t>
      </w:r>
      <w:r w:rsidR="007D0F59" w:rsidRPr="009D2BB7">
        <w:t xml:space="preserve">all </w:t>
      </w:r>
      <w:r w:rsidR="000A4435" w:rsidRPr="009D2BB7">
        <w:t xml:space="preserve">of </w:t>
      </w:r>
      <w:r w:rsidR="007D0F59" w:rsidRPr="009D2BB7">
        <w:t xml:space="preserve">the essential requirements set out in </w:t>
      </w:r>
      <w:r w:rsidRPr="009D2BB7">
        <w:t>Annex</w:t>
      </w:r>
      <w:r w:rsidRPr="00B7154E">
        <w:t xml:space="preserve"> VI of Regulation (EU) 2018/1139.</w:t>
      </w:r>
    </w:p>
    <w:bookmarkEnd w:id="3"/>
    <w:bookmarkEnd w:id="4"/>
    <w:p w14:paraId="3967E97B" w14:textId="77777777" w:rsidR="005F3956" w:rsidRPr="00B7154E" w:rsidRDefault="005F3956" w:rsidP="005F3956">
      <w:pPr>
        <w:pStyle w:val="Titrearticle"/>
        <w:rPr>
          <w:szCs w:val="24"/>
        </w:rPr>
      </w:pPr>
      <w:r w:rsidRPr="00B7154E">
        <w:rPr>
          <w:szCs w:val="24"/>
        </w:rPr>
        <w:t xml:space="preserve">Article </w:t>
      </w:r>
      <w:r>
        <w:rPr>
          <w:szCs w:val="24"/>
        </w:rPr>
        <w:t>5</w:t>
      </w:r>
    </w:p>
    <w:p w14:paraId="6274DACA" w14:textId="77777777" w:rsidR="005F3956" w:rsidRPr="00B7154E" w:rsidRDefault="005F3956" w:rsidP="005F3956">
      <w:pPr>
        <w:jc w:val="center"/>
        <w:rPr>
          <w:b/>
          <w:bCs/>
          <w:szCs w:val="24"/>
        </w:rPr>
      </w:pPr>
      <w:r w:rsidRPr="00B7154E">
        <w:rPr>
          <w:b/>
          <w:bCs/>
          <w:szCs w:val="24"/>
        </w:rPr>
        <w:t>Changes to the scope of accreditation</w:t>
      </w:r>
    </w:p>
    <w:p w14:paraId="37FA5FAF" w14:textId="619293A4" w:rsidR="005F3956" w:rsidRPr="00B7154E" w:rsidRDefault="005F3956" w:rsidP="009F0351">
      <w:pPr>
        <w:pStyle w:val="NumPar1"/>
        <w:numPr>
          <w:ilvl w:val="0"/>
          <w:numId w:val="8"/>
        </w:numPr>
      </w:pPr>
      <w:r w:rsidRPr="00B7154E">
        <w:t xml:space="preserve">An accredited qualified entity shall, without undue delay, notify the Agency of any </w:t>
      </w:r>
      <w:bookmarkStart w:id="5" w:name="_Hlk146700016"/>
      <w:r w:rsidRPr="00B7154E">
        <w:t>change in its organisation, procedures and personnel likely to affect its accreditation status.</w:t>
      </w:r>
      <w:bookmarkEnd w:id="5"/>
    </w:p>
    <w:p w14:paraId="1B35906C" w14:textId="1CF8C091" w:rsidR="005F3956" w:rsidRPr="00B7154E" w:rsidRDefault="005F3956" w:rsidP="005F3956">
      <w:pPr>
        <w:pStyle w:val="NumPar1"/>
      </w:pPr>
      <w:r w:rsidRPr="00B7154E">
        <w:t xml:space="preserve">The Agency shall assess the impact of the notified change on the scope of accreditation and privileges and decide whether an additional assessment of </w:t>
      </w:r>
      <w:r w:rsidR="00CD2A8E">
        <w:t xml:space="preserve">the </w:t>
      </w:r>
      <w:r w:rsidRPr="00B7154E">
        <w:t>qualified entity is necessary.</w:t>
      </w:r>
    </w:p>
    <w:p w14:paraId="70F23C86" w14:textId="2B38A3CB" w:rsidR="005F3956" w:rsidRPr="00B7154E" w:rsidRDefault="005F3956" w:rsidP="005F3956">
      <w:pPr>
        <w:pStyle w:val="NumPar1"/>
      </w:pPr>
      <w:r w:rsidRPr="00B7154E">
        <w:t xml:space="preserve">The Agency may amend the scope of accreditation according to the significance of the change and, if applicable, the result of the assessment. </w:t>
      </w:r>
    </w:p>
    <w:p w14:paraId="2540EB87" w14:textId="77777777" w:rsidR="005F3956" w:rsidRPr="00B7154E" w:rsidRDefault="005F3956" w:rsidP="005F3956">
      <w:pPr>
        <w:pStyle w:val="Titrearticle"/>
        <w:spacing w:before="120"/>
        <w:rPr>
          <w:szCs w:val="24"/>
        </w:rPr>
      </w:pPr>
      <w:r w:rsidRPr="00B7154E">
        <w:rPr>
          <w:szCs w:val="24"/>
        </w:rPr>
        <w:t xml:space="preserve">Article </w:t>
      </w:r>
      <w:r>
        <w:rPr>
          <w:szCs w:val="24"/>
        </w:rPr>
        <w:t>6</w:t>
      </w:r>
    </w:p>
    <w:p w14:paraId="46985396" w14:textId="77777777" w:rsidR="005F3956" w:rsidRPr="00B7154E" w:rsidRDefault="005F3956" w:rsidP="005F3956">
      <w:pPr>
        <w:jc w:val="center"/>
        <w:rPr>
          <w:b/>
          <w:bCs/>
          <w:szCs w:val="24"/>
        </w:rPr>
      </w:pPr>
      <w:r w:rsidRPr="00B7154E">
        <w:rPr>
          <w:b/>
          <w:bCs/>
          <w:szCs w:val="24"/>
        </w:rPr>
        <w:t xml:space="preserve">Oversight of accredited qualified entities </w:t>
      </w:r>
    </w:p>
    <w:p w14:paraId="5CCB8E83" w14:textId="4F71880E" w:rsidR="005F3956" w:rsidRPr="00131534" w:rsidRDefault="005F3956" w:rsidP="009F0351">
      <w:pPr>
        <w:pStyle w:val="NumPar1"/>
        <w:numPr>
          <w:ilvl w:val="0"/>
          <w:numId w:val="9"/>
        </w:numPr>
        <w:rPr>
          <w:b/>
          <w:bCs/>
        </w:rPr>
      </w:pPr>
      <w:r w:rsidRPr="00B7154E">
        <w:t xml:space="preserve">The Agency shall verify continued compliance to ensure that the competence, expertise and procedures of </w:t>
      </w:r>
      <w:r>
        <w:t>an</w:t>
      </w:r>
      <w:r w:rsidRPr="00B7154E">
        <w:t xml:space="preserve"> accredited qualified entity </w:t>
      </w:r>
      <w:r w:rsidR="00D53A68">
        <w:t>comply with Article 4</w:t>
      </w:r>
      <w:r w:rsidRPr="00B7154E">
        <w:t xml:space="preserve">. </w:t>
      </w:r>
    </w:p>
    <w:p w14:paraId="08271C72" w14:textId="488C2B46" w:rsidR="005F3956" w:rsidRDefault="005F3956" w:rsidP="005F3956">
      <w:pPr>
        <w:pStyle w:val="NumPar1"/>
      </w:pPr>
      <w:r w:rsidRPr="00B7154E">
        <w:t>Th</w:t>
      </w:r>
      <w:r w:rsidR="00F57F54">
        <w:t>e</w:t>
      </w:r>
      <w:r w:rsidRPr="00B7154E">
        <w:t xml:space="preserve"> verification </w:t>
      </w:r>
      <w:r w:rsidR="00F57F54">
        <w:t xml:space="preserve">referred to in paragraph 1 </w:t>
      </w:r>
      <w:r w:rsidRPr="00B7154E">
        <w:t>shall be based on a risk-based oversight system taking into account the specific nature of the qualified entity, the complexity of its activities, and the results of past oversight activities.</w:t>
      </w:r>
      <w:r w:rsidR="00CC1B0A">
        <w:t xml:space="preserve"> </w:t>
      </w:r>
    </w:p>
    <w:p w14:paraId="445BF9B2" w14:textId="4215F0A6" w:rsidR="00CC1B0A" w:rsidRDefault="00CC1B0A" w:rsidP="00CC1B0A">
      <w:pPr>
        <w:pStyle w:val="NumPar1"/>
      </w:pPr>
      <w:r w:rsidRPr="00B7154E">
        <w:lastRenderedPageBreak/>
        <w:t>If the Agency</w:t>
      </w:r>
      <w:r>
        <w:t>,</w:t>
      </w:r>
      <w:r w:rsidRPr="00B7154E">
        <w:t xml:space="preserve"> at any time</w:t>
      </w:r>
      <w:r>
        <w:t>,</w:t>
      </w:r>
      <w:r w:rsidRPr="00B7154E">
        <w:t xml:space="preserve"> finds that the conditions for accreditation </w:t>
      </w:r>
      <w:r>
        <w:t xml:space="preserve">referred to in Article 3(3) </w:t>
      </w:r>
      <w:r w:rsidRPr="00B7154E">
        <w:t xml:space="preserve">are no longer fulfilled or if the accredited qualified entity has </w:t>
      </w:r>
      <w:r>
        <w:t>breached</w:t>
      </w:r>
      <w:r w:rsidRPr="00B7154E">
        <w:t xml:space="preserve"> the scope of </w:t>
      </w:r>
      <w:r>
        <w:t xml:space="preserve">the </w:t>
      </w:r>
      <w:r w:rsidRPr="00B7154E">
        <w:t xml:space="preserve">accreditation, the Agency </w:t>
      </w:r>
      <w:r w:rsidRPr="006A3865">
        <w:t>shall</w:t>
      </w:r>
      <w:r>
        <w:t xml:space="preserve"> immediately take appropriate enforcement measures, and if appropriate,</w:t>
      </w:r>
      <w:r w:rsidRPr="006A3865">
        <w:t xml:space="preserve"> </w:t>
      </w:r>
      <w:r w:rsidRPr="00B7154E">
        <w:t xml:space="preserve">limit, suspend or revoke the accreditation of </w:t>
      </w:r>
      <w:r>
        <w:t xml:space="preserve">the </w:t>
      </w:r>
      <w:r w:rsidRPr="00B7154E">
        <w:t>qualified entity</w:t>
      </w:r>
      <w:r>
        <w:t xml:space="preserve"> depending upon the extent of the non-compliance until successful corrective action has been taken by the organisation</w:t>
      </w:r>
      <w:r w:rsidRPr="00B7154E">
        <w:t>.</w:t>
      </w:r>
    </w:p>
    <w:p w14:paraId="5F7B079F" w14:textId="77777777" w:rsidR="005F3956" w:rsidRPr="00B7154E" w:rsidRDefault="005F3956" w:rsidP="005F3956">
      <w:pPr>
        <w:pStyle w:val="Titrearticle"/>
      </w:pPr>
      <w:r w:rsidRPr="00B7154E">
        <w:t xml:space="preserve">Article </w:t>
      </w:r>
      <w:r>
        <w:t>7</w:t>
      </w:r>
    </w:p>
    <w:p w14:paraId="0DE0402C" w14:textId="77777777" w:rsidR="005F3956" w:rsidRPr="00B7154E" w:rsidRDefault="005F3956" w:rsidP="005F3956">
      <w:pPr>
        <w:jc w:val="center"/>
        <w:rPr>
          <w:b/>
          <w:bCs/>
          <w:szCs w:val="24"/>
        </w:rPr>
      </w:pPr>
      <w:r w:rsidRPr="00B7154E">
        <w:rPr>
          <w:b/>
          <w:bCs/>
          <w:szCs w:val="24"/>
        </w:rPr>
        <w:t xml:space="preserve">Entry into force </w:t>
      </w:r>
    </w:p>
    <w:p w14:paraId="6F0A908D" w14:textId="77777777" w:rsidR="005F3956" w:rsidRPr="00B7154E" w:rsidRDefault="005F3956" w:rsidP="005F3956">
      <w:pPr>
        <w:rPr>
          <w:i/>
          <w:iCs/>
          <w:szCs w:val="24"/>
        </w:rPr>
      </w:pPr>
      <w:r w:rsidRPr="00B7154E">
        <w:rPr>
          <w:szCs w:val="24"/>
        </w:rPr>
        <w:t xml:space="preserve">This Regulation shall enter into force on the twentieth day following that of its publication in the </w:t>
      </w:r>
      <w:r w:rsidRPr="00B7154E">
        <w:rPr>
          <w:i/>
          <w:iCs/>
          <w:szCs w:val="24"/>
        </w:rPr>
        <w:t xml:space="preserve">Official Journal of the European Union. </w:t>
      </w:r>
    </w:p>
    <w:p w14:paraId="035876C0" w14:textId="143AAAF6" w:rsidR="005F3956" w:rsidRDefault="005F3956" w:rsidP="005F3956">
      <w:pPr>
        <w:pStyle w:val="Fait"/>
      </w:pPr>
      <w:r w:rsidRPr="005F3956">
        <w:t>Done at Brussels,</w:t>
      </w:r>
    </w:p>
    <w:p w14:paraId="73D04B3C" w14:textId="77777777" w:rsidR="005F3956" w:rsidRPr="00B7154E" w:rsidRDefault="005F3956" w:rsidP="005F3956">
      <w:pPr>
        <w:pStyle w:val="Institutionquisigne"/>
      </w:pPr>
      <w:r>
        <w:tab/>
      </w:r>
      <w:r w:rsidRPr="00B7154E">
        <w:t>For the Commission</w:t>
      </w:r>
    </w:p>
    <w:p w14:paraId="23EE907C" w14:textId="1A6D6DB9" w:rsidR="005B6A2C" w:rsidRPr="005F3956" w:rsidRDefault="005F3956" w:rsidP="005F3956">
      <w:pPr>
        <w:pStyle w:val="Personnequisigne"/>
        <w:rPr>
          <w:szCs w:val="24"/>
        </w:rPr>
      </w:pPr>
      <w:r>
        <w:rPr>
          <w:szCs w:val="24"/>
        </w:rPr>
        <w:tab/>
      </w:r>
      <w:r w:rsidRPr="00B7154E">
        <w:rPr>
          <w:szCs w:val="24"/>
        </w:rPr>
        <w:t>The President</w:t>
      </w:r>
    </w:p>
    <w:sectPr w:rsidR="005B6A2C" w:rsidRPr="005F3956" w:rsidSect="00131442">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D6ABB" w14:textId="77777777" w:rsidR="005B6A2C" w:rsidRDefault="005B6A2C" w:rsidP="005B6A2C">
      <w:pPr>
        <w:spacing w:before="0" w:after="0"/>
      </w:pPr>
      <w:r>
        <w:separator/>
      </w:r>
    </w:p>
  </w:endnote>
  <w:endnote w:type="continuationSeparator" w:id="0">
    <w:p w14:paraId="02A82681" w14:textId="77777777" w:rsidR="005B6A2C" w:rsidRDefault="005B6A2C" w:rsidP="005B6A2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AA953" w14:textId="0AB717ED" w:rsidR="005B6A2C" w:rsidRPr="00131442" w:rsidRDefault="00131442" w:rsidP="00131442">
    <w:pPr>
      <w:pStyle w:val="Footer"/>
      <w:rPr>
        <w:rFonts w:ascii="Arial" w:hAnsi="Arial" w:cs="Arial"/>
        <w:b/>
        <w:sz w:val="48"/>
      </w:rPr>
    </w:pPr>
    <w:r w:rsidRPr="00131442">
      <w:rPr>
        <w:rFonts w:ascii="Arial" w:hAnsi="Arial" w:cs="Arial"/>
        <w:b/>
        <w:sz w:val="48"/>
      </w:rPr>
      <w:t>EN</w:t>
    </w:r>
    <w:r w:rsidRPr="00131442">
      <w:rPr>
        <w:rFonts w:ascii="Arial" w:hAnsi="Arial" w:cs="Arial"/>
        <w:b/>
        <w:sz w:val="48"/>
      </w:rPr>
      <w:tab/>
    </w:r>
    <w:r w:rsidRPr="00131442">
      <w:rPr>
        <w:rFonts w:ascii="Arial" w:hAnsi="Arial" w:cs="Arial"/>
        <w:b/>
        <w:sz w:val="48"/>
      </w:rPr>
      <w:tab/>
    </w:r>
    <w:r w:rsidRPr="00131442">
      <w:tab/>
    </w:r>
    <w:r w:rsidRPr="00131442">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4578" w14:textId="31BA845B" w:rsidR="005B6A2C" w:rsidRPr="00131442" w:rsidRDefault="00131442" w:rsidP="00131442">
    <w:pPr>
      <w:pStyle w:val="Footer"/>
      <w:rPr>
        <w:rFonts w:ascii="Arial" w:hAnsi="Arial" w:cs="Arial"/>
        <w:b/>
        <w:sz w:val="48"/>
      </w:rPr>
    </w:pPr>
    <w:r w:rsidRPr="00131442">
      <w:rPr>
        <w:rFonts w:ascii="Arial" w:hAnsi="Arial" w:cs="Arial"/>
        <w:b/>
        <w:sz w:val="48"/>
      </w:rPr>
      <w:t>EN</w:t>
    </w:r>
    <w:r w:rsidRPr="00131442">
      <w:rPr>
        <w:rFonts w:ascii="Arial" w:hAnsi="Arial" w:cs="Arial"/>
        <w:b/>
        <w:sz w:val="48"/>
      </w:rPr>
      <w:tab/>
    </w:r>
    <w:r w:rsidRPr="00131442">
      <w:rPr>
        <w:rFonts w:ascii="Arial" w:hAnsi="Arial" w:cs="Arial"/>
        <w:b/>
        <w:sz w:val="48"/>
      </w:rPr>
      <w:tab/>
    </w:r>
    <w:r w:rsidRPr="00131442">
      <w:tab/>
    </w:r>
    <w:r w:rsidRPr="00131442">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9206" w14:textId="77777777" w:rsidR="009D2BB7" w:rsidRDefault="009D2B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538F5" w14:textId="16F0E0A8" w:rsidR="005F3956" w:rsidRPr="00131442" w:rsidRDefault="00131442" w:rsidP="00131442">
    <w:pPr>
      <w:pStyle w:val="Footer"/>
      <w:rPr>
        <w:rFonts w:ascii="Arial" w:hAnsi="Arial" w:cs="Arial"/>
        <w:b/>
        <w:sz w:val="48"/>
      </w:rPr>
    </w:pPr>
    <w:r w:rsidRPr="00131442">
      <w:rPr>
        <w:rFonts w:ascii="Arial" w:hAnsi="Arial" w:cs="Arial"/>
        <w:b/>
        <w:sz w:val="48"/>
      </w:rPr>
      <w:t>EN</w:t>
    </w:r>
    <w:r w:rsidRPr="00131442">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131442">
      <w:tab/>
    </w:r>
    <w:r w:rsidRPr="00131442">
      <w:rPr>
        <w:rFonts w:ascii="Arial" w:hAnsi="Arial" w:cs="Arial"/>
        <w:b/>
        <w:sz w:val="48"/>
      </w:rPr>
      <w:t>EN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7FEA" w14:textId="77777777" w:rsidR="00131442" w:rsidRPr="00131442" w:rsidRDefault="00131442" w:rsidP="001314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097CA" w14:textId="77777777" w:rsidR="005B6A2C" w:rsidRDefault="005B6A2C" w:rsidP="005B6A2C">
      <w:pPr>
        <w:spacing w:before="0" w:after="0"/>
      </w:pPr>
      <w:r>
        <w:separator/>
      </w:r>
    </w:p>
  </w:footnote>
  <w:footnote w:type="continuationSeparator" w:id="0">
    <w:p w14:paraId="55CE803A" w14:textId="77777777" w:rsidR="005B6A2C" w:rsidRDefault="005B6A2C" w:rsidP="005B6A2C">
      <w:pPr>
        <w:spacing w:before="0" w:after="0"/>
      </w:pPr>
      <w:r>
        <w:continuationSeparator/>
      </w:r>
    </w:p>
  </w:footnote>
  <w:footnote w:id="1">
    <w:p w14:paraId="6A85DF08" w14:textId="77777777" w:rsidR="005F3956" w:rsidRPr="003F7B5B" w:rsidRDefault="005F3956" w:rsidP="005F3956">
      <w:pPr>
        <w:pStyle w:val="FootnoteText"/>
        <w:rPr>
          <w:lang w:val="en-US"/>
        </w:rPr>
      </w:pPr>
      <w:r>
        <w:t>(</w:t>
      </w:r>
      <w:r>
        <w:rPr>
          <w:rStyle w:val="FootnoteReference"/>
        </w:rPr>
        <w:footnoteRef/>
      </w:r>
      <w:r>
        <w:t>)</w:t>
      </w:r>
      <w:r>
        <w:tab/>
      </w:r>
      <w:r w:rsidRPr="003F7B5B">
        <w:t>OJ L 212, 22.8.2018, p. 1.</w:t>
      </w:r>
      <w:r>
        <w:t xml:space="preserve"> </w:t>
      </w:r>
    </w:p>
  </w:footnote>
  <w:footnote w:id="2">
    <w:p w14:paraId="5A8EA5A3" w14:textId="4CD40919" w:rsidR="00EF0B4D" w:rsidRPr="00EF0B4D" w:rsidRDefault="00EF0B4D">
      <w:pPr>
        <w:pStyle w:val="FootnoteText"/>
        <w:rPr>
          <w:lang w:val="en-IE"/>
        </w:rPr>
      </w:pPr>
      <w:r>
        <w:t>(</w:t>
      </w:r>
      <w:r>
        <w:rPr>
          <w:rStyle w:val="FootnoteReference"/>
        </w:rPr>
        <w:footnoteRef/>
      </w:r>
      <w:r>
        <w:t xml:space="preserve">) </w:t>
      </w:r>
      <w:r>
        <w:tab/>
        <w:t xml:space="preserve">Regulation (EU, Euratom) 2018/1046 of the European Parliament and of the Council of 18 July 2018 on the financial rules applicable to the general budget of the Union amending </w:t>
      </w:r>
      <w:r w:rsidRPr="00EF0B4D">
        <w:t>Regulations (EU) No 1296/2013, (EU) No 1301/2013, (EU) No 1303/2013, (EU) No 1304/2013, (EU) No 1309/2013, (EU) No 1316/2013, (EU) No 223/2014, (EU) No 283/2014, and Decision No 541/2014/EU and repealing Regulation (EU, Euratom) No 966/2012</w:t>
      </w:r>
      <w:r w:rsidR="005839B6">
        <w:t xml:space="preserve">. </w:t>
      </w:r>
      <w:r w:rsidR="005839B6" w:rsidRPr="005839B6">
        <w:t>OJ L 193, 30.7.2018, p. 1–222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178AD" w14:textId="77777777" w:rsidR="009D2BB7" w:rsidRDefault="009D2B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09E8" w14:textId="77777777" w:rsidR="009D2BB7" w:rsidRDefault="009D2B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CCA89" w14:textId="77777777" w:rsidR="009D2BB7" w:rsidRDefault="009D2B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CA465A1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1543A2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06A2D60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C0CBAFA"/>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36CCB048"/>
    <w:lvl w:ilvl="0">
      <w:start w:val="1"/>
      <w:numFmt w:val="decimal"/>
      <w:lvlRestart w:val="0"/>
      <w:pStyle w:val="NumPar1"/>
      <w:lvlText w:val="%1."/>
      <w:lvlJc w:val="left"/>
      <w:pPr>
        <w:tabs>
          <w:tab w:val="num" w:pos="850"/>
        </w:tabs>
        <w:ind w:left="850" w:hanging="850"/>
      </w:pPr>
      <w:rPr>
        <w:b w:val="0"/>
        <w:bCs w:val="0"/>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64C79EC"/>
    <w:multiLevelType w:val="multilevel"/>
    <w:tmpl w:val="03D21230"/>
    <w:lvl w:ilvl="0">
      <w:start w:val="1"/>
      <w:numFmt w:val="lowerLetter"/>
      <w:lvlText w:val="%1)"/>
      <w:lvlJc w:val="left"/>
      <w:pPr>
        <w:tabs>
          <w:tab w:val="num" w:pos="850"/>
        </w:tabs>
        <w:ind w:left="850" w:hanging="850"/>
      </w:pPr>
      <w:rPr>
        <w:b w:val="0"/>
        <w:bCs w:val="0"/>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decimal"/>
      <w:lvlText w:val="%1.%2.%3.%4.%5."/>
      <w:lvlJc w:val="left"/>
      <w:pPr>
        <w:tabs>
          <w:tab w:val="num" w:pos="1417"/>
        </w:tabs>
        <w:ind w:left="1417" w:hanging="1417"/>
      </w:pPr>
    </w:lvl>
    <w:lvl w:ilvl="5">
      <w:start w:val="1"/>
      <w:numFmt w:val="decimal"/>
      <w:lvlText w:val="%1.%2.%3.%4.%5.%6."/>
      <w:lvlJc w:val="left"/>
      <w:pPr>
        <w:tabs>
          <w:tab w:val="num" w:pos="1417"/>
        </w:tabs>
        <w:ind w:left="1417" w:hanging="1417"/>
      </w:pPr>
    </w:lvl>
    <w:lvl w:ilvl="6">
      <w:start w:val="1"/>
      <w:numFmt w:val="decimal"/>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9" w15:restartNumberingAfterBreak="0">
    <w:nsid w:val="6DD14640"/>
    <w:multiLevelType w:val="singleLevel"/>
    <w:tmpl w:val="6886582C"/>
    <w:name w:val="List Bullet"/>
    <w:lvl w:ilvl="0">
      <w:start w:val="1"/>
      <w:numFmt w:val="decimal"/>
      <w:lvlRestart w:val="0"/>
      <w:lvlText w:val="(%1)"/>
      <w:lvlJc w:val="left"/>
      <w:pPr>
        <w:tabs>
          <w:tab w:val="num" w:pos="709"/>
        </w:tabs>
        <w:ind w:left="709" w:hanging="709"/>
      </w:pPr>
    </w:lvl>
  </w:abstractNum>
  <w:abstractNum w:abstractNumId="20" w15:restartNumberingAfterBreak="0">
    <w:nsid w:val="7CBE4812"/>
    <w:multiLevelType w:val="singleLevel"/>
    <w:tmpl w:val="A0D48E92"/>
    <w:name w:val="Considérant"/>
    <w:lvl w:ilvl="0">
      <w:start w:val="1"/>
      <w:numFmt w:val="decimal"/>
      <w:lvlRestart w:val="0"/>
      <w:pStyle w:val="Considrant"/>
      <w:lvlText w:val="(%1)"/>
      <w:lvlJc w:val="left"/>
      <w:pPr>
        <w:tabs>
          <w:tab w:val="num" w:pos="709"/>
        </w:tabs>
        <w:ind w:left="709" w:hanging="709"/>
      </w:pPr>
      <w:rPr>
        <w:b w:val="0"/>
        <w:bCs w:val="0"/>
      </w:rPr>
    </w:lvl>
  </w:abstractNum>
  <w:num w:numId="1" w16cid:durableId="10021237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12103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17823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9353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92056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6538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6715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37698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068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142298">
    <w:abstractNumId w:val="20"/>
    <w:lvlOverride w:ilvl="0">
      <w:startOverride w:val="1"/>
    </w:lvlOverride>
  </w:num>
  <w:num w:numId="11" w16cid:durableId="7766333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46643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8314027">
    <w:abstractNumId w:val="16"/>
  </w:num>
  <w:num w:numId="14" w16cid:durableId="1411730841">
    <w:abstractNumId w:val="8"/>
  </w:num>
  <w:num w:numId="15" w16cid:durableId="997804748">
    <w:abstractNumId w:val="18"/>
  </w:num>
  <w:num w:numId="16" w16cid:durableId="1235893184">
    <w:abstractNumId w:val="7"/>
  </w:num>
  <w:num w:numId="17" w16cid:durableId="895554363">
    <w:abstractNumId w:val="9"/>
  </w:num>
  <w:num w:numId="18" w16cid:durableId="276378764">
    <w:abstractNumId w:val="10"/>
  </w:num>
  <w:num w:numId="19" w16cid:durableId="1968774090">
    <w:abstractNumId w:val="5"/>
  </w:num>
  <w:num w:numId="20" w16cid:durableId="759521564">
    <w:abstractNumId w:val="17"/>
  </w:num>
  <w:num w:numId="21" w16cid:durableId="779766778">
    <w:abstractNumId w:val="4"/>
  </w:num>
  <w:num w:numId="22" w16cid:durableId="946035876">
    <w:abstractNumId w:val="11"/>
  </w:num>
  <w:num w:numId="23" w16cid:durableId="1747876213">
    <w:abstractNumId w:val="14"/>
  </w:num>
  <w:num w:numId="24" w16cid:durableId="1864787248">
    <w:abstractNumId w:val="15"/>
  </w:num>
  <w:num w:numId="25" w16cid:durableId="1838308176">
    <w:abstractNumId w:val="6"/>
  </w:num>
  <w:num w:numId="26" w16cid:durableId="91097906">
    <w:abstractNumId w:val="12"/>
  </w:num>
  <w:num w:numId="27" w16cid:durableId="1721050998">
    <w:abstractNumId w:val="20"/>
  </w:num>
  <w:num w:numId="28" w16cid:durableId="1973828640">
    <w:abstractNumId w:val="3"/>
  </w:num>
  <w:num w:numId="29" w16cid:durableId="339084337">
    <w:abstractNumId w:val="2"/>
  </w:num>
  <w:num w:numId="30" w16cid:durableId="442504980">
    <w:abstractNumId w:val="1"/>
  </w:num>
  <w:num w:numId="31" w16cid:durableId="1446996861">
    <w:abstractNumId w:val="0"/>
  </w:num>
  <w:num w:numId="32" w16cid:durableId="913054347">
    <w:abstractNumId w:val="13"/>
  </w:num>
  <w:num w:numId="33" w16cid:durableId="491991568">
    <w:abstractNumId w:val="4"/>
  </w:num>
  <w:num w:numId="34" w16cid:durableId="200673996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CR_RefLast" w:val="0"/>
    <w:docVar w:name="DQCDateTime" w:val="2023-07-27 11:08:17"/>
    <w:docVar w:name="DQCResult_Distribution" w:val="0;1"/>
    <w:docVar w:name="DQCResult_DocumentContent" w:val="0;0"/>
    <w:docVar w:name="DQCResult_DocumentSize"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Yellow"/>
    <w:docVar w:name="DQCVersion" w:val="3"/>
    <w:docVar w:name="DQCWithWarnings" w:val="1"/>
    <w:docVar w:name="LW_CORRIGENDUM" w:val="&lt;UNUSED&gt;"/>
    <w:docVar w:name="LW_COVERPAGE_EXISTS" w:val="True"/>
    <w:docVar w:name="LW_COVERPAGE_GUID" w:val="557E2E1E-C9CC-484D-93DA-0EC4C8DEF15E"/>
    <w:docVar w:name="LW_COVERPAGE_TYPE" w:val="1"/>
    <w:docVar w:name="LW_CROSSREFERENCE" w:val="&lt;UNUSED&gt;"/>
    <w:docVar w:name="LW_DATE.ADOPT.CP" w:val="of XXX"/>
    <w:docVar w:name="LW_DATE.ADOPT.CP_DATEFORMAT" w:val="of %DATE%"/>
    <w:docVar w:name="LW_DATE.ADOPT.CP_ISODATE" w:val="&lt;EMPTY&gt;"/>
    <w:docVar w:name="LW_DocType" w:val="COM"/>
    <w:docVar w:name="LW_EMISSION" w:val="&lt;EMPTY&gt;"/>
    <w:docVar w:name="LW_EMISSION_ISODATE" w:val="&lt;EMPTY&gt;"/>
    <w:docVar w:name="LW_EMISSION_LOCATION" w:val="BRX"/>
    <w:docVar w:name="LW_EMISSION_PREFIX" w:val="Brussels, "/>
    <w:docVar w:name="LW_EMISSION_SUFFIX" w:val=" "/>
    <w:docVar w:name="LW_ID_DOCMODEL" w:val="SJ-003"/>
    <w:docVar w:name="LW_ID_DOCSIGNATURE" w:val="SJ-003"/>
    <w:docVar w:name="LW_ID_DOCSTRUCTURE" w:val="COM/AA"/>
    <w:docVar w:name="LW_ID_DOCTYPE" w:val="SJ-003"/>
    <w:docVar w:name="LW_INSERT_EXP.MOTIFS.NEW" w:val="1"/>
    <w:docVar w:name="LW_INTERETEEE.CP" w:val="(Text with EEA relevance)"/>
    <w:docVar w:name="LW_LANGUE" w:val="EN"/>
    <w:docVar w:name="LW_LANGUESFAISANTFOI.CP" w:val="&lt;UNUSED&gt;"/>
    <w:docVar w:name="LW_LEVEL_OF_SENSITIVITY" w:val="Standard treatment"/>
    <w:docVar w:name="LW_NOM.INST" w:val="EUROPEAN COMMISSION"/>
    <w:docVar w:name="LW_NOM.INST_JOINTDOC" w:val="&lt;EMPTY&gt;"/>
    <w:docVar w:name="LW_PART_NBR" w:val="1"/>
    <w:docVar w:name="LW_PART_NBR_TOTAL" w:val="1"/>
    <w:docVar w:name="LW_REF.INST.NEW" w:val="&lt;EMPTY&gt;"/>
    <w:docVar w:name="LW_REF.INST.NEW_ADOPTED" w:val="draft"/>
    <w:docVar w:name="LW_REF.INST.NEW_TEXT" w:val="(2023) XXX"/>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on the accreditation of qualified entities"/>
    <w:docVar w:name="LW_TYPE.DOC.CP" w:val="COMMISSION DELEGATED REGULATION (EU) \u8230?/..."/>
  </w:docVars>
  <w:rsids>
    <w:rsidRoot w:val="005B6A2C"/>
    <w:rsid w:val="00020CF1"/>
    <w:rsid w:val="00032B0D"/>
    <w:rsid w:val="00032B8F"/>
    <w:rsid w:val="00033789"/>
    <w:rsid w:val="00035A2B"/>
    <w:rsid w:val="0004101A"/>
    <w:rsid w:val="0004162D"/>
    <w:rsid w:val="0004385D"/>
    <w:rsid w:val="00045412"/>
    <w:rsid w:val="00062569"/>
    <w:rsid w:val="000A1431"/>
    <w:rsid w:val="000A4435"/>
    <w:rsid w:val="000D1784"/>
    <w:rsid w:val="000D2FF3"/>
    <w:rsid w:val="001065F5"/>
    <w:rsid w:val="00110736"/>
    <w:rsid w:val="0011696F"/>
    <w:rsid w:val="001238EF"/>
    <w:rsid w:val="001266A2"/>
    <w:rsid w:val="00131442"/>
    <w:rsid w:val="00170D69"/>
    <w:rsid w:val="00187E19"/>
    <w:rsid w:val="00191936"/>
    <w:rsid w:val="00197613"/>
    <w:rsid w:val="001A0599"/>
    <w:rsid w:val="001A20BD"/>
    <w:rsid w:val="001E3A80"/>
    <w:rsid w:val="001F0D27"/>
    <w:rsid w:val="001F5520"/>
    <w:rsid w:val="00206187"/>
    <w:rsid w:val="002257B9"/>
    <w:rsid w:val="00233DC7"/>
    <w:rsid w:val="00244B2E"/>
    <w:rsid w:val="00247779"/>
    <w:rsid w:val="0025764C"/>
    <w:rsid w:val="00272636"/>
    <w:rsid w:val="00285BEE"/>
    <w:rsid w:val="00287A05"/>
    <w:rsid w:val="0029533F"/>
    <w:rsid w:val="00295F10"/>
    <w:rsid w:val="002A543A"/>
    <w:rsid w:val="002B30AF"/>
    <w:rsid w:val="002D7EFA"/>
    <w:rsid w:val="002F3725"/>
    <w:rsid w:val="002F4102"/>
    <w:rsid w:val="0033344A"/>
    <w:rsid w:val="0034096A"/>
    <w:rsid w:val="00352054"/>
    <w:rsid w:val="003714E2"/>
    <w:rsid w:val="003B0BCB"/>
    <w:rsid w:val="003B2FC2"/>
    <w:rsid w:val="003C0329"/>
    <w:rsid w:val="003C54C8"/>
    <w:rsid w:val="003C55F2"/>
    <w:rsid w:val="003C6273"/>
    <w:rsid w:val="003D2F7A"/>
    <w:rsid w:val="003D7E78"/>
    <w:rsid w:val="003F1DF2"/>
    <w:rsid w:val="0040128F"/>
    <w:rsid w:val="00406B23"/>
    <w:rsid w:val="004238B0"/>
    <w:rsid w:val="0042648E"/>
    <w:rsid w:val="004362A2"/>
    <w:rsid w:val="0044478B"/>
    <w:rsid w:val="00450E4E"/>
    <w:rsid w:val="00466234"/>
    <w:rsid w:val="004714BF"/>
    <w:rsid w:val="0048333E"/>
    <w:rsid w:val="004906CC"/>
    <w:rsid w:val="00490D89"/>
    <w:rsid w:val="004914CA"/>
    <w:rsid w:val="004936D2"/>
    <w:rsid w:val="004A7695"/>
    <w:rsid w:val="004B0537"/>
    <w:rsid w:val="004C3BC8"/>
    <w:rsid w:val="004D70AA"/>
    <w:rsid w:val="004E29DE"/>
    <w:rsid w:val="004E49A3"/>
    <w:rsid w:val="00503E93"/>
    <w:rsid w:val="005042E6"/>
    <w:rsid w:val="00515FB1"/>
    <w:rsid w:val="0051627B"/>
    <w:rsid w:val="0056545D"/>
    <w:rsid w:val="00570763"/>
    <w:rsid w:val="00570C4B"/>
    <w:rsid w:val="005839B6"/>
    <w:rsid w:val="00586554"/>
    <w:rsid w:val="005A151A"/>
    <w:rsid w:val="005B1E38"/>
    <w:rsid w:val="005B1EB6"/>
    <w:rsid w:val="005B26B3"/>
    <w:rsid w:val="005B5F68"/>
    <w:rsid w:val="005B6A2C"/>
    <w:rsid w:val="005B7863"/>
    <w:rsid w:val="005E61BD"/>
    <w:rsid w:val="005F3956"/>
    <w:rsid w:val="006077B1"/>
    <w:rsid w:val="00691CC6"/>
    <w:rsid w:val="00693864"/>
    <w:rsid w:val="006A1E97"/>
    <w:rsid w:val="006A3865"/>
    <w:rsid w:val="006B6F9B"/>
    <w:rsid w:val="006C2D5A"/>
    <w:rsid w:val="006D745A"/>
    <w:rsid w:val="006E3A43"/>
    <w:rsid w:val="006F59A9"/>
    <w:rsid w:val="00702B43"/>
    <w:rsid w:val="00706745"/>
    <w:rsid w:val="00710650"/>
    <w:rsid w:val="00715C60"/>
    <w:rsid w:val="007262D2"/>
    <w:rsid w:val="00746040"/>
    <w:rsid w:val="00754210"/>
    <w:rsid w:val="00757190"/>
    <w:rsid w:val="00763A63"/>
    <w:rsid w:val="00764792"/>
    <w:rsid w:val="00773331"/>
    <w:rsid w:val="007768BC"/>
    <w:rsid w:val="00790EAB"/>
    <w:rsid w:val="007932EF"/>
    <w:rsid w:val="007A7D2F"/>
    <w:rsid w:val="007C3153"/>
    <w:rsid w:val="007C58E1"/>
    <w:rsid w:val="007D0F59"/>
    <w:rsid w:val="007D1D65"/>
    <w:rsid w:val="007D6F6D"/>
    <w:rsid w:val="007E05B0"/>
    <w:rsid w:val="007F20D3"/>
    <w:rsid w:val="007F2CA3"/>
    <w:rsid w:val="007F631D"/>
    <w:rsid w:val="007F71A3"/>
    <w:rsid w:val="00800331"/>
    <w:rsid w:val="008208C6"/>
    <w:rsid w:val="00831B08"/>
    <w:rsid w:val="0084256E"/>
    <w:rsid w:val="00874D22"/>
    <w:rsid w:val="00881FB8"/>
    <w:rsid w:val="00890220"/>
    <w:rsid w:val="0089245C"/>
    <w:rsid w:val="00896B35"/>
    <w:rsid w:val="008A2914"/>
    <w:rsid w:val="008B3EAE"/>
    <w:rsid w:val="008B78D5"/>
    <w:rsid w:val="008C172E"/>
    <w:rsid w:val="008C2420"/>
    <w:rsid w:val="008C763B"/>
    <w:rsid w:val="008D02B5"/>
    <w:rsid w:val="008D5A97"/>
    <w:rsid w:val="008E4D8E"/>
    <w:rsid w:val="009017E5"/>
    <w:rsid w:val="0090189D"/>
    <w:rsid w:val="0091189A"/>
    <w:rsid w:val="00946EB0"/>
    <w:rsid w:val="00947617"/>
    <w:rsid w:val="0096075F"/>
    <w:rsid w:val="0098174D"/>
    <w:rsid w:val="009A10A2"/>
    <w:rsid w:val="009B48BE"/>
    <w:rsid w:val="009B5224"/>
    <w:rsid w:val="009B6106"/>
    <w:rsid w:val="009C3051"/>
    <w:rsid w:val="009D2BB7"/>
    <w:rsid w:val="009E0A9B"/>
    <w:rsid w:val="009F0351"/>
    <w:rsid w:val="009F7CC2"/>
    <w:rsid w:val="00A03270"/>
    <w:rsid w:val="00A24C63"/>
    <w:rsid w:val="00A310A3"/>
    <w:rsid w:val="00A405B8"/>
    <w:rsid w:val="00A81688"/>
    <w:rsid w:val="00A96BA8"/>
    <w:rsid w:val="00AA37F2"/>
    <w:rsid w:val="00AA3A41"/>
    <w:rsid w:val="00AA3E10"/>
    <w:rsid w:val="00AC6405"/>
    <w:rsid w:val="00AC7791"/>
    <w:rsid w:val="00AD22DF"/>
    <w:rsid w:val="00AE3305"/>
    <w:rsid w:val="00AE540A"/>
    <w:rsid w:val="00AF21E9"/>
    <w:rsid w:val="00B028C7"/>
    <w:rsid w:val="00B031D2"/>
    <w:rsid w:val="00B400C8"/>
    <w:rsid w:val="00B455E4"/>
    <w:rsid w:val="00B5087D"/>
    <w:rsid w:val="00B54019"/>
    <w:rsid w:val="00B61955"/>
    <w:rsid w:val="00B722F6"/>
    <w:rsid w:val="00B9112E"/>
    <w:rsid w:val="00BA2BE5"/>
    <w:rsid w:val="00BA5763"/>
    <w:rsid w:val="00BD707E"/>
    <w:rsid w:val="00BF0429"/>
    <w:rsid w:val="00BF3230"/>
    <w:rsid w:val="00C014AC"/>
    <w:rsid w:val="00C1061D"/>
    <w:rsid w:val="00C12301"/>
    <w:rsid w:val="00C169D5"/>
    <w:rsid w:val="00C16E1C"/>
    <w:rsid w:val="00C2111B"/>
    <w:rsid w:val="00C21B96"/>
    <w:rsid w:val="00C30BC8"/>
    <w:rsid w:val="00C37F6D"/>
    <w:rsid w:val="00C42FA1"/>
    <w:rsid w:val="00C45DFF"/>
    <w:rsid w:val="00C46183"/>
    <w:rsid w:val="00C47297"/>
    <w:rsid w:val="00C563D1"/>
    <w:rsid w:val="00C615A0"/>
    <w:rsid w:val="00C62537"/>
    <w:rsid w:val="00C62654"/>
    <w:rsid w:val="00C63037"/>
    <w:rsid w:val="00C67122"/>
    <w:rsid w:val="00C717E6"/>
    <w:rsid w:val="00C765C4"/>
    <w:rsid w:val="00C82A64"/>
    <w:rsid w:val="00C82E13"/>
    <w:rsid w:val="00C9015E"/>
    <w:rsid w:val="00C95D6A"/>
    <w:rsid w:val="00CB0135"/>
    <w:rsid w:val="00CB4D25"/>
    <w:rsid w:val="00CB6049"/>
    <w:rsid w:val="00CC1B0A"/>
    <w:rsid w:val="00CC2084"/>
    <w:rsid w:val="00CC4DE7"/>
    <w:rsid w:val="00CC68C7"/>
    <w:rsid w:val="00CD2A8E"/>
    <w:rsid w:val="00CE3FC6"/>
    <w:rsid w:val="00CF75D5"/>
    <w:rsid w:val="00D06256"/>
    <w:rsid w:val="00D13114"/>
    <w:rsid w:val="00D20381"/>
    <w:rsid w:val="00D238B0"/>
    <w:rsid w:val="00D309A5"/>
    <w:rsid w:val="00D53A68"/>
    <w:rsid w:val="00D55277"/>
    <w:rsid w:val="00D60B35"/>
    <w:rsid w:val="00D859D4"/>
    <w:rsid w:val="00DA5516"/>
    <w:rsid w:val="00DB476F"/>
    <w:rsid w:val="00DB4A4C"/>
    <w:rsid w:val="00DB6ABE"/>
    <w:rsid w:val="00DB7B66"/>
    <w:rsid w:val="00DD2025"/>
    <w:rsid w:val="00DD32A2"/>
    <w:rsid w:val="00DD32F8"/>
    <w:rsid w:val="00DD7E28"/>
    <w:rsid w:val="00DF0B93"/>
    <w:rsid w:val="00DF18AB"/>
    <w:rsid w:val="00DF3CFD"/>
    <w:rsid w:val="00DF5178"/>
    <w:rsid w:val="00E12A2C"/>
    <w:rsid w:val="00E146BC"/>
    <w:rsid w:val="00E43335"/>
    <w:rsid w:val="00E53342"/>
    <w:rsid w:val="00E55AA6"/>
    <w:rsid w:val="00E632DD"/>
    <w:rsid w:val="00E74139"/>
    <w:rsid w:val="00E83021"/>
    <w:rsid w:val="00E909A8"/>
    <w:rsid w:val="00EC4214"/>
    <w:rsid w:val="00EE140F"/>
    <w:rsid w:val="00EE2CAE"/>
    <w:rsid w:val="00EF0B4D"/>
    <w:rsid w:val="00F063F5"/>
    <w:rsid w:val="00F54D7C"/>
    <w:rsid w:val="00F57568"/>
    <w:rsid w:val="00F57F46"/>
    <w:rsid w:val="00F57F54"/>
    <w:rsid w:val="00F61249"/>
    <w:rsid w:val="00F6526F"/>
    <w:rsid w:val="00F67ABD"/>
    <w:rsid w:val="00F92F1E"/>
    <w:rsid w:val="00F955F2"/>
    <w:rsid w:val="00FA1E3E"/>
    <w:rsid w:val="00FB2105"/>
    <w:rsid w:val="00FC38F8"/>
    <w:rsid w:val="00FC3E88"/>
    <w:rsid w:val="00FC41C6"/>
    <w:rsid w:val="00FD1153"/>
    <w:rsid w:val="00FE53B7"/>
    <w:rsid w:val="00FF0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57D9071"/>
  <w15:docId w15:val="{2A2A4CF0-8F67-40C6-8965-9215ED683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0"/>
      </w:numPr>
      <w:outlineLvl w:val="6"/>
    </w:pPr>
    <w:rPr>
      <w:rFonts w:eastAsiaTheme="majorEastAsia"/>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F3956"/>
    <w:rPr>
      <w:sz w:val="16"/>
      <w:szCs w:val="16"/>
    </w:rPr>
  </w:style>
  <w:style w:type="paragraph" w:styleId="CommentText">
    <w:name w:val="annotation text"/>
    <w:basedOn w:val="Normal"/>
    <w:link w:val="CommentTextChar"/>
    <w:uiPriority w:val="99"/>
    <w:unhideWhenUsed/>
    <w:rsid w:val="005F3956"/>
    <w:rPr>
      <w:sz w:val="20"/>
      <w:szCs w:val="20"/>
    </w:rPr>
  </w:style>
  <w:style w:type="character" w:customStyle="1" w:styleId="CommentTextChar">
    <w:name w:val="Comment Text Char"/>
    <w:basedOn w:val="DefaultParagraphFont"/>
    <w:link w:val="CommentText"/>
    <w:uiPriority w:val="99"/>
    <w:rsid w:val="005F3956"/>
    <w:rPr>
      <w:rFonts w:ascii="Times New Roman" w:hAnsi="Times New Roman" w:cs="Times New Roman"/>
      <w:sz w:val="20"/>
      <w:szCs w:val="20"/>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shd w:val="clear" w:color="auto" w:fill="auto"/>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Tiret5">
    <w:name w:val="Tiret 5"/>
    <w:basedOn w:val="Point5"/>
    <w:pPr>
      <w:numPr>
        <w:numId w:val="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9"/>
      </w:numPr>
    </w:pPr>
  </w:style>
  <w:style w:type="paragraph" w:customStyle="1" w:styleId="NumPar2">
    <w:name w:val="NumPar 2"/>
    <w:basedOn w:val="Normal"/>
    <w:next w:val="Text1"/>
    <w:pPr>
      <w:numPr>
        <w:ilvl w:val="1"/>
        <w:numId w:val="19"/>
      </w:numPr>
    </w:pPr>
  </w:style>
  <w:style w:type="paragraph" w:customStyle="1" w:styleId="NumPar3">
    <w:name w:val="NumPar 3"/>
    <w:basedOn w:val="Normal"/>
    <w:next w:val="Text1"/>
    <w:pPr>
      <w:numPr>
        <w:ilvl w:val="2"/>
        <w:numId w:val="19"/>
      </w:numPr>
    </w:pPr>
  </w:style>
  <w:style w:type="paragraph" w:customStyle="1" w:styleId="NumPar4">
    <w:name w:val="NumPar 4"/>
    <w:basedOn w:val="Normal"/>
    <w:next w:val="Text1"/>
    <w:pPr>
      <w:numPr>
        <w:ilvl w:val="3"/>
        <w:numId w:val="19"/>
      </w:numPr>
    </w:pPr>
  </w:style>
  <w:style w:type="paragraph" w:customStyle="1" w:styleId="NumPar5">
    <w:name w:val="NumPar 5"/>
    <w:basedOn w:val="Normal"/>
    <w:next w:val="Text2"/>
    <w:pPr>
      <w:numPr>
        <w:ilvl w:val="4"/>
        <w:numId w:val="19"/>
      </w:numPr>
    </w:pPr>
  </w:style>
  <w:style w:type="paragraph" w:customStyle="1" w:styleId="NumPar6">
    <w:name w:val="NumPar 6"/>
    <w:basedOn w:val="Normal"/>
    <w:next w:val="Text2"/>
    <w:pPr>
      <w:numPr>
        <w:ilvl w:val="5"/>
        <w:numId w:val="19"/>
      </w:numPr>
    </w:pPr>
  </w:style>
  <w:style w:type="paragraph" w:customStyle="1" w:styleId="NumPar7">
    <w:name w:val="NumPar 7"/>
    <w:basedOn w:val="Normal"/>
    <w:next w:val="Text2"/>
    <w:pPr>
      <w:numPr>
        <w:ilvl w:val="6"/>
        <w:numId w:val="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1"/>
      </w:numPr>
    </w:pPr>
  </w:style>
  <w:style w:type="paragraph" w:customStyle="1" w:styleId="Point1number">
    <w:name w:val="Point 1 (number)"/>
    <w:basedOn w:val="Normal"/>
    <w:pPr>
      <w:numPr>
        <w:ilvl w:val="2"/>
        <w:numId w:val="21"/>
      </w:numPr>
    </w:pPr>
  </w:style>
  <w:style w:type="paragraph" w:customStyle="1" w:styleId="Point2number">
    <w:name w:val="Point 2 (number)"/>
    <w:basedOn w:val="Normal"/>
    <w:pPr>
      <w:numPr>
        <w:ilvl w:val="4"/>
        <w:numId w:val="21"/>
      </w:numPr>
    </w:pPr>
  </w:style>
  <w:style w:type="paragraph" w:customStyle="1" w:styleId="Point3number">
    <w:name w:val="Point 3 (number)"/>
    <w:basedOn w:val="Normal"/>
    <w:pPr>
      <w:numPr>
        <w:ilvl w:val="6"/>
        <w:numId w:val="21"/>
      </w:numPr>
    </w:pPr>
  </w:style>
  <w:style w:type="paragraph" w:customStyle="1" w:styleId="Point0letter">
    <w:name w:val="Point 0 (letter)"/>
    <w:basedOn w:val="Normal"/>
    <w:pPr>
      <w:numPr>
        <w:ilvl w:val="1"/>
        <w:numId w:val="21"/>
      </w:numPr>
    </w:pPr>
  </w:style>
  <w:style w:type="paragraph" w:customStyle="1" w:styleId="Point1letter">
    <w:name w:val="Point 1 (letter)"/>
    <w:basedOn w:val="Normal"/>
    <w:pPr>
      <w:numPr>
        <w:ilvl w:val="3"/>
        <w:numId w:val="21"/>
      </w:numPr>
    </w:pPr>
  </w:style>
  <w:style w:type="paragraph" w:customStyle="1" w:styleId="Point2letter">
    <w:name w:val="Point 2 (letter)"/>
    <w:basedOn w:val="Normal"/>
    <w:pPr>
      <w:numPr>
        <w:ilvl w:val="5"/>
        <w:numId w:val="21"/>
      </w:numPr>
    </w:pPr>
  </w:style>
  <w:style w:type="paragraph" w:customStyle="1" w:styleId="Point3letter">
    <w:name w:val="Point 3 (letter)"/>
    <w:basedOn w:val="Normal"/>
    <w:pPr>
      <w:numPr>
        <w:ilvl w:val="7"/>
        <w:numId w:val="21"/>
      </w:numPr>
    </w:pPr>
  </w:style>
  <w:style w:type="paragraph" w:customStyle="1" w:styleId="Point4letter">
    <w:name w:val="Point 4 (letter)"/>
    <w:basedOn w:val="Normal"/>
    <w:pPr>
      <w:numPr>
        <w:ilvl w:val="8"/>
        <w:numId w:val="21"/>
      </w:numPr>
    </w:pPr>
  </w:style>
  <w:style w:type="paragraph" w:customStyle="1" w:styleId="Bullet0">
    <w:name w:val="Bullet 0"/>
    <w:basedOn w:val="Normal"/>
    <w:pPr>
      <w:numPr>
        <w:numId w:val="22"/>
      </w:numPr>
    </w:pPr>
  </w:style>
  <w:style w:type="paragraph" w:customStyle="1" w:styleId="Bullet1">
    <w:name w:val="Bullet 1"/>
    <w:basedOn w:val="Normal"/>
    <w:pPr>
      <w:numPr>
        <w:numId w:val="23"/>
      </w:numPr>
    </w:pPr>
  </w:style>
  <w:style w:type="paragraph" w:customStyle="1" w:styleId="Bullet2">
    <w:name w:val="Bullet 2"/>
    <w:basedOn w:val="Normal"/>
    <w:pPr>
      <w:numPr>
        <w:numId w:val="24"/>
      </w:numPr>
    </w:pPr>
  </w:style>
  <w:style w:type="paragraph" w:customStyle="1" w:styleId="Bullet3">
    <w:name w:val="Bullet 3"/>
    <w:basedOn w:val="Normal"/>
    <w:pPr>
      <w:numPr>
        <w:numId w:val="25"/>
      </w:numPr>
    </w:pPr>
  </w:style>
  <w:style w:type="paragraph" w:customStyle="1" w:styleId="Bullet4">
    <w:name w:val="Bullet 4"/>
    <w:basedOn w:val="Normal"/>
    <w:pPr>
      <w:numPr>
        <w:numId w:val="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CommentSubject">
    <w:name w:val="annotation subject"/>
    <w:basedOn w:val="CommentText"/>
    <w:next w:val="CommentText"/>
    <w:link w:val="CommentSubjectChar"/>
    <w:uiPriority w:val="99"/>
    <w:semiHidden/>
    <w:unhideWhenUsed/>
    <w:rsid w:val="008C172E"/>
    <w:rPr>
      <w:b/>
      <w:bCs/>
    </w:rPr>
  </w:style>
  <w:style w:type="character" w:customStyle="1" w:styleId="CommentSubjectChar">
    <w:name w:val="Comment Subject Char"/>
    <w:basedOn w:val="CommentTextChar"/>
    <w:link w:val="CommentSubject"/>
    <w:uiPriority w:val="99"/>
    <w:semiHidden/>
    <w:rsid w:val="008C172E"/>
    <w:rPr>
      <w:rFonts w:ascii="Times New Roman" w:hAnsi="Times New Roman" w:cs="Times New Roman"/>
      <w:b/>
      <w:bCs/>
      <w:sz w:val="20"/>
      <w:szCs w:val="20"/>
      <w:lang w:val="en-GB"/>
    </w:rPr>
  </w:style>
  <w:style w:type="character" w:styleId="Hyperlink">
    <w:name w:val="Hyperlink"/>
    <w:basedOn w:val="DefaultParagraphFont"/>
    <w:uiPriority w:val="99"/>
    <w:unhideWhenUsed/>
    <w:rsid w:val="008C172E"/>
    <w:rPr>
      <w:color w:val="0000FF" w:themeColor="hyperlink"/>
      <w:u w:val="single"/>
    </w:rPr>
  </w:style>
  <w:style w:type="character" w:styleId="UnresolvedMention">
    <w:name w:val="Unresolved Mention"/>
    <w:basedOn w:val="DefaultParagraphFont"/>
    <w:uiPriority w:val="99"/>
    <w:semiHidden/>
    <w:unhideWhenUsed/>
    <w:rsid w:val="008C172E"/>
    <w:rPr>
      <w:color w:val="605E5C"/>
      <w:shd w:val="clear" w:color="auto" w:fill="E1DFDD"/>
    </w:rPr>
  </w:style>
  <w:style w:type="paragraph" w:styleId="ListBullet">
    <w:name w:val="List Bullet"/>
    <w:basedOn w:val="Normal"/>
    <w:uiPriority w:val="99"/>
    <w:semiHidden/>
    <w:unhideWhenUsed/>
    <w:rsid w:val="0004101A"/>
    <w:pPr>
      <w:numPr>
        <w:numId w:val="28"/>
      </w:numPr>
      <w:contextualSpacing/>
    </w:pPr>
  </w:style>
  <w:style w:type="paragraph" w:styleId="ListBullet2">
    <w:name w:val="List Bullet 2"/>
    <w:basedOn w:val="Normal"/>
    <w:uiPriority w:val="99"/>
    <w:semiHidden/>
    <w:unhideWhenUsed/>
    <w:rsid w:val="0004101A"/>
    <w:pPr>
      <w:numPr>
        <w:numId w:val="29"/>
      </w:numPr>
      <w:contextualSpacing/>
    </w:pPr>
  </w:style>
  <w:style w:type="paragraph" w:styleId="ListBullet3">
    <w:name w:val="List Bullet 3"/>
    <w:basedOn w:val="Normal"/>
    <w:uiPriority w:val="99"/>
    <w:semiHidden/>
    <w:unhideWhenUsed/>
    <w:rsid w:val="0004101A"/>
    <w:pPr>
      <w:numPr>
        <w:numId w:val="30"/>
      </w:numPr>
      <w:contextualSpacing/>
    </w:pPr>
  </w:style>
  <w:style w:type="paragraph" w:styleId="ListBullet4">
    <w:name w:val="List Bullet 4"/>
    <w:basedOn w:val="Normal"/>
    <w:uiPriority w:val="99"/>
    <w:semiHidden/>
    <w:unhideWhenUsed/>
    <w:rsid w:val="0004101A"/>
    <w:pPr>
      <w:numPr>
        <w:numId w:val="31"/>
      </w:numPr>
      <w:contextualSpacing/>
    </w:pPr>
  </w:style>
  <w:style w:type="paragraph" w:styleId="Revision">
    <w:name w:val="Revision"/>
    <w:hidden/>
    <w:uiPriority w:val="99"/>
    <w:semiHidden/>
    <w:rsid w:val="00DF0B93"/>
    <w:pPr>
      <w:spacing w:after="0" w:line="240" w:lineRule="auto"/>
    </w:pPr>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Collab_DocumentLanguage xmlns="39d607b5-3019-4139-86e9-2e131faaffa8">EN</EC_Collab_DocumentLanguage>
    <_Status xmlns="http://schemas.microsoft.com/sharepoint/v3/fields">Not Started</_Status>
    <EC_Collab_Reference xmlns="39d607b5-3019-4139-86e9-2e131faaffa8">-</EC_Collab_Referenc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33285A78CCB54F4DA2ECE5FA2B2AF218" ma:contentTypeVersion="2" ma:contentTypeDescription="Create a new document in this library." ma:contentTypeScope="" ma:versionID="75423994a2259ac637dc03e8133cded3">
  <xsd:schema xmlns:xsd="http://www.w3.org/2001/XMLSchema" xmlns:xs="http://www.w3.org/2001/XMLSchema" xmlns:p="http://schemas.microsoft.com/office/2006/metadata/properties" xmlns:ns2="http://schemas.microsoft.com/sharepoint/v3/fields" xmlns:ns3="39d607b5-3019-4139-86e9-2e131faaffa8" xmlns:ns4="379e0a09-5deb-44c7-a703-b352a170740d" targetNamespace="http://schemas.microsoft.com/office/2006/metadata/properties" ma:root="true" ma:fieldsID="7f417d262b26c14067de857753d6d876" ns2:_="" ns3:_="" ns4:_="">
    <xsd:import namespace="http://schemas.microsoft.com/sharepoint/v3/fields"/>
    <xsd:import namespace="39d607b5-3019-4139-86e9-2e131faaffa8"/>
    <xsd:import namespace="379e0a09-5deb-44c7-a703-b352a170740d"/>
    <xsd:element name="properties">
      <xsd:complexType>
        <xsd:sequence>
          <xsd:element name="documentManagement">
            <xsd:complexType>
              <xsd:all>
                <xsd:element ref="ns3:EC_Collab_Reference" minOccurs="0"/>
                <xsd:element ref="ns2:_Status" minOccurs="0"/>
                <xsd:element ref="ns3:EC_Collab_DocumentLanguage"/>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39d607b5-3019-4139-86e9-2e131faaffa8"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schema>
  <xsd:schema xmlns:xsd="http://www.w3.org/2001/XMLSchema" xmlns:xs="http://www.w3.org/2001/XMLSchema" xmlns:dms="http://schemas.microsoft.com/office/2006/documentManagement/types" xmlns:pc="http://schemas.microsoft.com/office/infopath/2007/PartnerControls" targetNamespace="379e0a09-5deb-44c7-a703-b352a17074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8A7ED6-414E-4F0F-B13C-37F72F1215A5}">
  <ds:schemaRefs>
    <ds:schemaRef ds:uri="http://schemas.microsoft.com/sharepoint/v3/contenttype/forms"/>
  </ds:schemaRefs>
</ds:datastoreItem>
</file>

<file path=customXml/itemProps2.xml><?xml version="1.0" encoding="utf-8"?>
<ds:datastoreItem xmlns:ds="http://schemas.openxmlformats.org/officeDocument/2006/customXml" ds:itemID="{D5A8C496-79C8-4AF5-980D-492F4EA41682}">
  <ds:schemaRef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 ds:uri="379e0a09-5deb-44c7-a703-b352a170740d"/>
    <ds:schemaRef ds:uri="39d607b5-3019-4139-86e9-2e131faaffa8"/>
    <ds:schemaRef ds:uri="http://schemas.microsoft.com/sharepoint/v3/fields"/>
    <ds:schemaRef ds:uri="http://purl.org/dc/elements/1.1/"/>
  </ds:schemaRefs>
</ds:datastoreItem>
</file>

<file path=customXml/itemProps3.xml><?xml version="1.0" encoding="utf-8"?>
<ds:datastoreItem xmlns:ds="http://schemas.openxmlformats.org/officeDocument/2006/customXml" ds:itemID="{0D8AAF7F-6A48-49A7-BFC3-4E7E2F2CEA15}">
  <ds:schemaRefs>
    <ds:schemaRef ds:uri="http://schemas.openxmlformats.org/officeDocument/2006/bibliography"/>
  </ds:schemaRefs>
</ds:datastoreItem>
</file>

<file path=customXml/itemProps4.xml><?xml version="1.0" encoding="utf-8"?>
<ds:datastoreItem xmlns:ds="http://schemas.openxmlformats.org/officeDocument/2006/customXml" ds:itemID="{E8BC9F43-AB99-450B-97B1-49DB0C7515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39d607b5-3019-4139-86e9-2e131faaffa8"/>
    <ds:schemaRef ds:uri="379e0a09-5deb-44c7-a703-b352a1707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COM</Template>
  <TotalTime>110</TotalTime>
  <Pages>7</Pages>
  <Words>1888</Words>
  <Characters>10447</Characters>
  <Application>Microsoft Office Word</Application>
  <DocSecurity>0</DocSecurity>
  <Lines>200</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ZGANEC Matej (MOVE)</dc:creator>
  <cp:keywords/>
  <dc:description/>
  <cp:lastModifiedBy>ENGELSTAD Ken (MOVE)</cp:lastModifiedBy>
  <cp:revision>9</cp:revision>
  <dcterms:created xsi:type="dcterms:W3CDTF">2023-09-29T15:28:00Z</dcterms:created>
  <dcterms:modified xsi:type="dcterms:W3CDTF">2023-10-02T08:22:00Z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COM/AA</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2023-07-27T08:40:42Z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174b368a-ac96-4fe9-9bb6-823bb5f63190</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Part">
    <vt:lpwstr>1</vt:lpwstr>
  </property>
  <property fmtid="{D5CDD505-2E9C-101B-9397-08002B2CF9AE}" pid="14" name="Total parts">
    <vt:lpwstr>1</vt:lpwstr>
  </property>
  <property fmtid="{D5CDD505-2E9C-101B-9397-08002B2CF9AE}" pid="15" name="Level of sensitivity">
    <vt:lpwstr>Standard treatment</vt:lpwstr>
  </property>
  <property fmtid="{D5CDD505-2E9C-101B-9397-08002B2CF9AE}" pid="16" name="LWTemplateID">
    <vt:lpwstr>SJ-003</vt:lpwstr>
  </property>
  <property fmtid="{D5CDD505-2E9C-101B-9397-08002B2CF9AE}" pid="17" name="DQCStatus">
    <vt:lpwstr>Yellow (DQC version 03)</vt:lpwstr>
  </property>
  <property fmtid="{D5CDD505-2E9C-101B-9397-08002B2CF9AE}" pid="18" name="ContentTypeId">
    <vt:lpwstr>0x010100258AA79CEB83498886A3A086811232500033285A78CCB54F4DA2ECE5FA2B2AF218</vt:lpwstr>
  </property>
</Properties>
</file>