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4C" w:rsidRPr="009A69D9" w:rsidRDefault="008C324C" w:rsidP="008C324C">
      <w:pPr>
        <w:pStyle w:val="Annexetitre"/>
        <w:spacing w:before="240" w:after="240"/>
        <w:rPr>
          <w:rFonts w:eastAsia="Times New Roman"/>
          <w:szCs w:val="24"/>
        </w:rPr>
      </w:pPr>
      <w:r>
        <w:t>MELLÉKLET</w:t>
      </w:r>
    </w:p>
    <w:p w:rsidR="008C324C" w:rsidRPr="007730D3" w:rsidRDefault="008C324C" w:rsidP="008C324C">
      <w:pPr>
        <w:keepNext/>
        <w:spacing w:before="240" w:after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 gyertyákra, gyertyatartókra, tégelyekre és kiegészítőkre vonatkozó különleges biztonsági előírások 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1. Prioritások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tervezés által garantált biztonságosságnak prioritást kell élveznie a használati utasításhoz kapcsolódó biztonsággal szemben. 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 A tervezésre és a szerkezetre vonatkozó követelmények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2.1. Tervezés</w:t>
      </w:r>
    </w:p>
    <w:p w:rsidR="008C324C" w:rsidRPr="007730D3" w:rsidRDefault="008C324C" w:rsidP="007C296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terméket az ésszerűen előrelátható használati feltételeivel kapcsolatos kockázatok teljes mértékű figyelembevételével és a kockázatok minimálisra csökkentésével kell megtervezni. A termék biztonságossága nem támaszkodhat bonyolult használati eljárásokra.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2.2. Szerkezet</w:t>
      </w:r>
    </w:p>
    <w:p w:rsidR="008C324C" w:rsidRPr="007730D3" w:rsidRDefault="008C324C" w:rsidP="00A039C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termék szerkezetében felhasznált anyagok alkalmasságát és forrását a gyártónak ésszerűen előrelátható használati feltételek figyelembe vételével kell értékelnie.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2.3. Stabilitás</w:t>
      </w:r>
    </w:p>
    <w:p w:rsidR="008C324C" w:rsidRPr="007730D3" w:rsidRDefault="008C324C" w:rsidP="008C324C">
      <w:pPr>
        <w:numPr>
          <w:ilvl w:val="0"/>
          <w:numId w:val="2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Az önmagukban megálló, illetve a tartóval vagy tégellyel ellátott gyertyáknak az égés során stabilnak kell maradniuk (pl. nem borulhatnak fel).</w:t>
      </w:r>
    </w:p>
    <w:p w:rsidR="008C324C" w:rsidRPr="007730D3" w:rsidRDefault="008C324C" w:rsidP="008C324C">
      <w:pPr>
        <w:numPr>
          <w:ilvl w:val="0"/>
          <w:numId w:val="2"/>
        </w:num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Amennyiben a gyertya nem áll meg magában, és sem gyertyatartó, sem pedig tégely nem tartozik hozzá, a gyártónak tájékoztatnia kell a fogyasztót a megfelelő gyertyatartó használatának szükségességéről, amennyiben erre az információra a gyertya biztonságos használatához szükség van.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2.4. Tűzveszély</w:t>
      </w:r>
    </w:p>
    <w:p w:rsidR="008C324C" w:rsidRPr="007730D3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maximális lángmagasságot biztonságos szinten kell meghatározni, figyelembe véve a lángnak az égési ciklus során mutatkozó természetes változását.</w:t>
      </w:r>
    </w:p>
    <w:p w:rsidR="008C324C" w:rsidRPr="007730D3" w:rsidRDefault="0033433A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gyertya az égési ciklus egyetlen szakaszában sem gyújthatja meg a gyertyatartót, tégelyt vagy kiegészítőt.</w:t>
      </w:r>
    </w:p>
    <w:p w:rsidR="008C324C" w:rsidRPr="007730D3" w:rsidRDefault="008C324C" w:rsidP="008C324C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gyertyákban, gyertyatartókban, tégelyekben és kiegészítőkben vagy az ezeken használt anyagok nem okozhatnak vagy terjeszthetnek szekunder lángot sem a gyertya rendes égési folyamata során, sem pedig akkor, amikor a gyertya végleg elalszik.</w:t>
      </w:r>
    </w:p>
    <w:p w:rsidR="008C324C" w:rsidRPr="00061EC5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tűzvédelmet a gyártónak különösen az alábbi feltételek figyelembe vételével kell értékelnie:</w:t>
      </w:r>
    </w:p>
    <w:p w:rsidR="008C324C" w:rsidRPr="007730D3" w:rsidRDefault="008C324C" w:rsidP="008C324C">
      <w:pPr>
        <w:numPr>
          <w:ilvl w:val="0"/>
          <w:numId w:val="4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gyertya meggyújtása;</w:t>
      </w:r>
    </w:p>
    <w:p w:rsidR="008C324C" w:rsidRPr="007730D3" w:rsidRDefault="008C324C" w:rsidP="008C324C">
      <w:pPr>
        <w:numPr>
          <w:ilvl w:val="0"/>
          <w:numId w:val="4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a gyertya égése ésszerűen előrelátható használati feltételek mellett. </w:t>
      </w:r>
    </w:p>
    <w:p w:rsidR="008C324C" w:rsidRPr="007730D3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Az önkioltóként forgalmazott gyertyák az égési idő végén önmaguktól elalszanak és a szerkezeti elemek révén hatékonyan megakadályozzák annak a felületnek a meggyulladását, amelyre elhelyezték őket. A tégelybe öntött gyertyák nem okozhatnak repedést a tégelyen.</w:t>
      </w:r>
    </w:p>
    <w:p w:rsidR="008C324C" w:rsidRPr="007730D3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gyertya kialakítása nem teheti lehetővé a gyertya másodlagos meggyulladását vagy automatikus újragyulladását a láng kialvását követően.</w:t>
      </w:r>
    </w:p>
    <w:p w:rsidR="008C324C" w:rsidRPr="00061EC5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Az égés során vagy az égés végén a gyertya vagy a tégely megérintésekor bekövetkező égési sérülések kockázatát a lehető legkisebbre kell csökkenteni, figyelembe véve a gyertya konkrét felhasználási célját.</w:t>
      </w:r>
    </w:p>
    <w:p w:rsidR="008C324C" w:rsidRPr="00061EC5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gyertyatartók, tégelyek és kiegészítők az ésszerűen előrelátható használati feltételek mellett nem okozhatnak tüzet (robbanás, túlmelegedés stb. által). 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2.5. Kémiai előírások</w:t>
      </w:r>
    </w:p>
    <w:p w:rsidR="008C324C" w:rsidRPr="009E6BDC" w:rsidRDefault="008C324C" w:rsidP="008C324C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gyertyákban, gyertyatartókban, tégelyekben és kiegészítőkben használt anyagok vagy keverékek (köztük az illatanyagok) toxikológiai tulajdonságaira vonatkozóan a gyártónak el kell végeznie a megfelelő kockázatértékelést annak érdekében, hogy azok ne gyakoroljanak kedvezőtlen hatást az emberi egészségre.</w:t>
      </w:r>
    </w:p>
    <w:p w:rsidR="008C324C" w:rsidRPr="009E6BDC" w:rsidRDefault="008C324C" w:rsidP="008C324C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gyertya-alapanyagok, illetve maguk a gyertyák előállításakor nem használható fel vagy adható hozzá ólom/ólomvegyület és nikkel/nikkelvegyület (kivéve a nikkelvegyületet tartalmazó katalizátorokat, amelyek az alapanyag hidrogénezéséhez szükséges). Figyelembe véve a gyertyák előállításakor felhasznált alapanyagok esetlegesen ólommal vagy nikkellel történő nem szándékos szennyeződésére, a gyertya valamennyi elemében megtalálható ólom és nikkel maximális mennyiségét az ésszerűen elérhető legalacsonyabb szinten kell tartani, és ez egyetlen esetben sem haladhatja meg az ólom esetében a 0,4 mg/kg-t, a nikkel esetében pedig a 0,5 mg/kg-ot.</w:t>
      </w:r>
    </w:p>
    <w:p w:rsidR="008C324C" w:rsidRPr="009E6BDC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2.6. Kibocsátás</w:t>
      </w:r>
    </w:p>
    <w:p w:rsidR="008C324C" w:rsidRPr="009E6BDC" w:rsidRDefault="00983BD7" w:rsidP="008C324C">
      <w:pPr>
        <w:numPr>
          <w:ilvl w:val="1"/>
          <w:numId w:val="6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beltéri gyertyák esetében a korom kibocsátását a lehető legkisebbre kell korlátozni úgy, hogy az ne legyen látható. A beltéri gyertyáknak meg kell felelnie a technika szintjének megfelelően megállapított maximális koromképződési indexnek, amely nem lépheti túl az 1,0-t óránként. </w:t>
      </w:r>
    </w:p>
    <w:p w:rsidR="008C324C" w:rsidRPr="007730D3" w:rsidRDefault="00983BD7" w:rsidP="008C324C">
      <w:pPr>
        <w:numPr>
          <w:ilvl w:val="1"/>
          <w:numId w:val="6"/>
        </w:num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beltéri gyertyák esetében a veszélyes anyagoknak – köztük az illékony szerves vegyületeknek (VOC) – az égési folyamat során történő kibocsátását a lehető legalacsonyabbra kell csökkenteni. A gyertyák tekintetében az uniós jogszabályok által meghatározott határértékek hiányában az Egészségügyi Világszervezet „A beltéri levegő minőségéről – Egyes konkrét szennyező anyagok” című 2010. évi iránymutatásaiban</w:t>
      </w:r>
      <w:r>
        <w:rPr>
          <w:rStyle w:val="FootnoteReference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 meghatározott javasolt koncentrációs szintet kell figyelembe venni.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2.7. Az élelmiszer-utánzatokra vonatkozó követelmények</w:t>
      </w:r>
    </w:p>
    <w:p w:rsidR="008C324C" w:rsidRPr="007730D3" w:rsidRDefault="008C324C" w:rsidP="008C324C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Style w:val="link-external"/>
          <w:rFonts w:ascii="Times New Roman" w:hAnsi="Times New Roman"/>
          <w:sz w:val="24"/>
        </w:rPr>
        <w:lastRenderedPageBreak/>
        <w:t>Meg kell felelni a 87/357/EGK tanácsi irányelvben</w:t>
      </w:r>
      <w:r>
        <w:rPr>
          <w:rStyle w:val="FootnoteReference"/>
          <w:rFonts w:ascii="Times New Roman" w:hAnsi="Times New Roman"/>
          <w:sz w:val="24"/>
        </w:rPr>
        <w:footnoteReference w:id="2"/>
      </w:r>
      <w:r>
        <w:rPr>
          <w:rStyle w:val="link-external"/>
          <w:rFonts w:ascii="Times New Roman" w:hAnsi="Times New Roman"/>
          <w:sz w:val="24"/>
        </w:rPr>
        <w:t xml:space="preserve"> szereplő követelményeknek.</w:t>
      </w:r>
    </w:p>
    <w:p w:rsidR="008C324C" w:rsidRPr="007730D3" w:rsidRDefault="008C324C" w:rsidP="008C324C">
      <w:pPr>
        <w:keepNext/>
        <w:keepLines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3. A biztonsági tájékoztatóval kapcsolatos követelmények</w:t>
      </w:r>
    </w:p>
    <w:p w:rsidR="008C324C" w:rsidRPr="007730D3" w:rsidRDefault="008C324C" w:rsidP="008C324C">
      <w:pPr>
        <w:keepNext/>
        <w:keepLines/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termék bemutatása és szemléltetése, valamint a mellékelt tájékoztató egyetlen lehetséges felhasználó tekintetében sem játszhat szerepet a kockázatok alábecslésében.</w:t>
      </w:r>
    </w:p>
    <w:p w:rsidR="008C324C" w:rsidRPr="009E6BDC" w:rsidRDefault="008C324C" w:rsidP="008C324C">
      <w:pPr>
        <w:keepNext/>
        <w:keepLines/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Az információk, figyelmeztetések és használati utasítások egységesek, könnyen olvashatóak és érthetőek legyenek a felhasználó számára, a termék címkéjén, csomagolásán vagy a terméket kísérő tájékoztatón szembetűnően kell ezeket feltüntetni. </w:t>
      </w:r>
    </w:p>
    <w:p w:rsidR="00915A9D" w:rsidRPr="009E6BDC" w:rsidRDefault="00915A9D" w:rsidP="008C324C">
      <w:pPr>
        <w:keepNext/>
        <w:keepLines/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Az </w:t>
      </w:r>
      <w:r>
        <w:rPr>
          <w:rFonts w:ascii="Times New Roman" w:hAnsi="Times New Roman"/>
          <w:color w:val="000000"/>
          <w:sz w:val="24"/>
        </w:rPr>
        <w:t>1272/2008/EK rendelet alapján</w:t>
      </w:r>
      <w:r>
        <w:rPr>
          <w:rFonts w:ascii="Times New Roman" w:hAnsi="Times New Roman"/>
          <w:sz w:val="24"/>
        </w:rPr>
        <w:t xml:space="preserve"> veszélyes keveréknek minősülő gyertyákat ennek megfelelően kell csomagolni és címkézni.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8C324C" w:rsidRPr="009E6BDC" w:rsidRDefault="008C324C" w:rsidP="008C324C">
      <w:pPr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termék használati feltételeire vonatkozó lényeges információkat a potenciális felhasználó számára a vásárlás előtt láthatóvá kell tenni. Ezen felül bármilyen ésszerűen előrelátható nem rendeltetésszerű használatot is figyelembe kell venni. </w:t>
      </w:r>
    </w:p>
    <w:p w:rsidR="008C324C" w:rsidRPr="009E6BDC" w:rsidRDefault="008C324C" w:rsidP="008C324C">
      <w:pPr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Legalább az alábbiakat kell feltüntetni: </w:t>
      </w:r>
    </w:p>
    <w:p w:rsidR="008C324C" w:rsidRPr="009E6BDC" w:rsidRDefault="008C324C" w:rsidP="008C324C">
      <w:pPr>
        <w:pStyle w:val="Point0letter"/>
        <w:numPr>
          <w:ilvl w:val="1"/>
          <w:numId w:val="8"/>
        </w:numPr>
        <w:ind w:hanging="424"/>
        <w:rPr>
          <w:szCs w:val="24"/>
        </w:rPr>
      </w:pPr>
      <w:r>
        <w:t>a biztonságos használatra vonatkozó utasítások, ideértve a használati feltételeket és a gyertyák használatával kapcsolatos óvintézkedéseket  – többek között az égő gyertyák között tartandó távolságot –, amennyiben ezek az információk szükségesek a gyertya biztonságos használatához, tekintettel annak kialakítására vagy jellemzőire;</w:t>
      </w:r>
    </w:p>
    <w:p w:rsidR="008C324C" w:rsidRPr="009E6BDC" w:rsidRDefault="008C324C" w:rsidP="008C324C">
      <w:pPr>
        <w:pStyle w:val="Point0letter"/>
        <w:numPr>
          <w:ilvl w:val="1"/>
          <w:numId w:val="8"/>
        </w:numPr>
        <w:ind w:hanging="424"/>
        <w:rPr>
          <w:szCs w:val="24"/>
        </w:rPr>
      </w:pPr>
      <w:r>
        <w:t>a gyermekek és háziállatok jelenlétében égetett gyertyák biztonságos használatára vonatkozó utasítások;</w:t>
      </w:r>
    </w:p>
    <w:p w:rsidR="008C324C" w:rsidRPr="009E6BDC" w:rsidRDefault="008C324C" w:rsidP="008C324C">
      <w:pPr>
        <w:pStyle w:val="Point0letter"/>
        <w:numPr>
          <w:ilvl w:val="1"/>
          <w:numId w:val="8"/>
        </w:numPr>
        <w:ind w:hanging="424"/>
        <w:rPr>
          <w:szCs w:val="24"/>
        </w:rPr>
      </w:pPr>
      <w:r>
        <w:t>az érzékenységet okozó illatanyagokra vonatkozó információk az 1272/2008/EK rendeletnek a légzőszervi vagy bőrszenzibilizációra vonatkozó osztályozási és címkézési előírásaival összhangban.</w:t>
      </w:r>
    </w:p>
    <w:p w:rsidR="008C324C" w:rsidRPr="007730D3" w:rsidRDefault="008C324C" w:rsidP="008C324C">
      <w:pPr>
        <w:numPr>
          <w:ilvl w:val="1"/>
          <w:numId w:val="7"/>
        </w:num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Amennyiben kialakításuk vagy jellemzőik tekintetében szükséges, a gyertyatartókhoz, lámpásokhoz és kiegészítőkhöz a gyertyával együtt történő biztonságos használatukra vonatkozó információkat kell mellékelni (pl. hőálló alátét használatára vonatkozóan).</w:t>
      </w:r>
    </w:p>
    <w:p w:rsidR="008C324C" w:rsidRPr="007730D3" w:rsidRDefault="008C324C" w:rsidP="008C324C">
      <w:pPr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Különösen a beltéri gyertyák esetében az alábbi vagy azokkal egyenértékű figyelmeztetéseket kell jól látható szöveg, illetve a fogyasztók által könnyen érthető piktogramok formájában feltüntetni: </w:t>
      </w:r>
    </w:p>
    <w:p w:rsidR="008C324C" w:rsidRPr="007730D3" w:rsidRDefault="008C324C" w:rsidP="008C324C">
      <w:pPr>
        <w:pStyle w:val="Tiret0"/>
        <w:ind w:hanging="566"/>
        <w:rPr>
          <w:szCs w:val="24"/>
        </w:rPr>
      </w:pPr>
      <w:r>
        <w:t>„Sose hagyja az égő gyertyát felügyelet nélkül.”</w:t>
      </w:r>
    </w:p>
    <w:p w:rsidR="008C324C" w:rsidRPr="007730D3" w:rsidRDefault="008C324C" w:rsidP="008C324C">
      <w:pPr>
        <w:pStyle w:val="Tiret0"/>
        <w:ind w:hanging="566"/>
        <w:rPr>
          <w:szCs w:val="24"/>
        </w:rPr>
      </w:pPr>
      <w:r>
        <w:t>„Az égő gyertyát gyermekektől és háziállatoktól tartsa távol.”</w:t>
      </w:r>
      <w:bookmarkStart w:id="0" w:name="_CopyToNewDocument_"/>
      <w:bookmarkEnd w:id="0"/>
    </w:p>
    <w:p w:rsidR="008C324C" w:rsidRPr="007730D3" w:rsidRDefault="008C324C" w:rsidP="008C324C">
      <w:pPr>
        <w:pStyle w:val="Tiret0"/>
        <w:ind w:hanging="566"/>
        <w:rPr>
          <w:szCs w:val="24"/>
        </w:rPr>
      </w:pPr>
      <w:r>
        <w:t>„Ne tegye az égő gyertyát gyúlékony anyagra vagy annak közelébe.”</w:t>
      </w:r>
    </w:p>
    <w:p w:rsidR="008C324C" w:rsidRPr="007730D3" w:rsidRDefault="008C324C" w:rsidP="007730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Azon gyertyák esetében, amelyek a szerkezeti elemek révén nem tudják hatékonyan megelőzni az alattuk található felület meggyulladását, a fogyasztókat figyelmeztetni kell a hőálló gyertyatartó vagy hőálló alátét használatára.</w:t>
      </w:r>
    </w:p>
    <w:sectPr w:rsidR="008C324C" w:rsidRPr="00773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14" w:rsidRDefault="00697D14" w:rsidP="008C324C">
      <w:pPr>
        <w:spacing w:after="0" w:line="240" w:lineRule="auto"/>
      </w:pPr>
      <w:r>
        <w:separator/>
      </w:r>
    </w:p>
  </w:endnote>
  <w:endnote w:type="continuationSeparator" w:id="0">
    <w:p w:rsidR="00697D14" w:rsidRDefault="00697D14" w:rsidP="008C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87" w:rsidRDefault="000C0C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87" w:rsidRDefault="000C0C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87" w:rsidRDefault="000C0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14" w:rsidRDefault="00697D14" w:rsidP="008C324C">
      <w:pPr>
        <w:spacing w:after="0" w:line="240" w:lineRule="auto"/>
      </w:pPr>
      <w:r>
        <w:separator/>
      </w:r>
    </w:p>
  </w:footnote>
  <w:footnote w:type="continuationSeparator" w:id="0">
    <w:p w:rsidR="00697D14" w:rsidRDefault="00697D14" w:rsidP="008C324C">
      <w:pPr>
        <w:spacing w:after="0" w:line="240" w:lineRule="auto"/>
      </w:pPr>
      <w:r>
        <w:continuationSeparator/>
      </w:r>
    </w:p>
  </w:footnote>
  <w:footnote w:id="1">
    <w:p w:rsidR="008C324C" w:rsidRDefault="008C324C" w:rsidP="008C324C"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Az Egészségügyi Világszervezet „A beltéri levegő minőségéről – Egyes konkrét szennyező anyagok” című 2010. évi iránymutatásai: http://www.euro.who.int/en/health-topics/environment-and-health/air-quality/publications/2010/who-guidelines-for-indoor-air-quality-selected-pollutants.</w:t>
      </w:r>
    </w:p>
  </w:footnote>
  <w:footnote w:id="2">
    <w:p w:rsidR="008C324C" w:rsidRPr="00485374" w:rsidRDefault="008C324C" w:rsidP="008C324C"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A Tanács 1987. június 25-i 87/357/EGK irányelve a másnak látszó, és ezáltal a fogyasztók egészségét vagy biztonságát veszélyeztető termékekre vonatkozó tagállami jogszabályok közelítéséről (HL L 192., 1987.7.11., 49. o.)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87" w:rsidRDefault="000C0C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87" w:rsidRDefault="000C0C87" w:rsidP="000C0C87">
    <w:pPr>
      <w:pStyle w:val="Header"/>
      <w:jc w:val="right"/>
    </w:pPr>
    <w:r>
      <w:rPr>
        <w:rFonts w:ascii="Verdana" w:hAnsi="Verdana"/>
        <w:color w:val="000000"/>
        <w:sz w:val="19"/>
        <w:szCs w:val="19"/>
      </w:rPr>
      <w:t>D025025/08</w:t>
    </w:r>
    <w:bookmarkStart w:id="1" w:name="_GoBack"/>
    <w:bookmarkEnd w:id="1"/>
  </w:p>
  <w:p w:rsidR="000C0C87" w:rsidRDefault="000C0C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87" w:rsidRDefault="000C0C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9B0"/>
    <w:multiLevelType w:val="hybridMultilevel"/>
    <w:tmpl w:val="B338EC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0927"/>
    <w:multiLevelType w:val="hybridMultilevel"/>
    <w:tmpl w:val="9F5E5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90"/>
    <w:multiLevelType w:val="hybridMultilevel"/>
    <w:tmpl w:val="082CF4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F3FBB"/>
    <w:multiLevelType w:val="multilevel"/>
    <w:tmpl w:val="6B1EFDC6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Roman"/>
      <w:lvlText w:val="%2."/>
      <w:lvlJc w:val="righ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3AEC386A"/>
    <w:multiLevelType w:val="hybridMultilevel"/>
    <w:tmpl w:val="AF7A66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6868F4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>
    <w:nsid w:val="64374C61"/>
    <w:multiLevelType w:val="hybridMultilevel"/>
    <w:tmpl w:val="D6364D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10F07"/>
    <w:multiLevelType w:val="hybridMultilevel"/>
    <w:tmpl w:val="74FA31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ACCOMPAGNANT.CP" w:val="&lt;UNUSED&gt;"/>
    <w:docVar w:name="LW_CONFIDENCE" w:val=" "/>
    <w:docVar w:name="LW_CORRIGENDUM" w:val="&lt;UNUSED&gt;"/>
    <w:docVar w:name="LW_CROSSREFERENCE" w:val="&lt;UNUSED&gt;"/>
    <w:docVar w:name="LW_DATE.ADOPT.CP_ISODATE" w:val="&lt;EMPTY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NTERETEEE.CP" w:val="&lt;UNUSED&gt;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OBJETACTEPRINCIPAL.CP" w:val="&lt;UNUSED&gt;"/>
    <w:docVar w:name="LW_REF.II.NEW.CP" w:val="&lt;UNUSED&gt;"/>
    <w:docVar w:name="LW_REF.II.NEW.CP_NUMBER" w:val="&lt;UNUSED&gt;"/>
    <w:docVar w:name="LW_REF.II.NEW.CP_YEAR" w:val="2015"/>
    <w:docVar w:name="LW_REF.INST.NEW" w:val="&lt;EMPTY&gt;"/>
    <w:docVar w:name="LW_REF.INST.NEW_ADOPTED" w:val="&lt;EMPTY&gt;"/>
    <w:docVar w:name="LW_REF.INST.NEW_TEXT" w:val="(2015) XXX"/>
    <w:docVar w:name="LW_REF.INTERNE" w:val="&lt;UNUSED&gt;"/>
    <w:docVar w:name="LW_SOUS.TITRE.OBJ.CP" w:val="&lt;UNUSED&gt;"/>
    <w:docVar w:name="LW_SUPERTITRE" w:val="&lt;UNUSED&gt;"/>
    <w:docVar w:name="LW_TITRE.OBJ.CP" w:val="[mandatory element]"/>
    <w:docVar w:name="LW_TYPE.DOC.CP" w:val="COMMISSION STAFF WORKING DOCUMENT"/>
    <w:docVar w:name="LW_TYPEACTEPRINCIPAL.CP" w:val="&lt;UNUSED&gt;"/>
  </w:docVars>
  <w:rsids>
    <w:rsidRoot w:val="008C324C"/>
    <w:rsid w:val="0002416C"/>
    <w:rsid w:val="00043CD2"/>
    <w:rsid w:val="000458B1"/>
    <w:rsid w:val="00061EC5"/>
    <w:rsid w:val="0007066A"/>
    <w:rsid w:val="000C0C87"/>
    <w:rsid w:val="00101A1A"/>
    <w:rsid w:val="001F64E8"/>
    <w:rsid w:val="002B654E"/>
    <w:rsid w:val="002F374E"/>
    <w:rsid w:val="0033433A"/>
    <w:rsid w:val="00366943"/>
    <w:rsid w:val="00393922"/>
    <w:rsid w:val="00474DE4"/>
    <w:rsid w:val="00532556"/>
    <w:rsid w:val="00563F33"/>
    <w:rsid w:val="005C5AB9"/>
    <w:rsid w:val="006173A9"/>
    <w:rsid w:val="00683291"/>
    <w:rsid w:val="006902F8"/>
    <w:rsid w:val="00697D14"/>
    <w:rsid w:val="006A6D6E"/>
    <w:rsid w:val="006C06AB"/>
    <w:rsid w:val="006D2B06"/>
    <w:rsid w:val="007022F9"/>
    <w:rsid w:val="00705CDA"/>
    <w:rsid w:val="007700D2"/>
    <w:rsid w:val="007730D3"/>
    <w:rsid w:val="007B51F6"/>
    <w:rsid w:val="007C296D"/>
    <w:rsid w:val="007E14BA"/>
    <w:rsid w:val="008034DC"/>
    <w:rsid w:val="008218CC"/>
    <w:rsid w:val="00877B7D"/>
    <w:rsid w:val="008821F9"/>
    <w:rsid w:val="00886B66"/>
    <w:rsid w:val="008A1425"/>
    <w:rsid w:val="008B7F93"/>
    <w:rsid w:val="008C324C"/>
    <w:rsid w:val="008C6C39"/>
    <w:rsid w:val="00915A9D"/>
    <w:rsid w:val="00940E30"/>
    <w:rsid w:val="009449B4"/>
    <w:rsid w:val="00983BD7"/>
    <w:rsid w:val="009E5639"/>
    <w:rsid w:val="009E643C"/>
    <w:rsid w:val="009E6BDC"/>
    <w:rsid w:val="00A039CF"/>
    <w:rsid w:val="00A65358"/>
    <w:rsid w:val="00A91346"/>
    <w:rsid w:val="00B17884"/>
    <w:rsid w:val="00B472E6"/>
    <w:rsid w:val="00B70AE5"/>
    <w:rsid w:val="00BB223E"/>
    <w:rsid w:val="00C20A01"/>
    <w:rsid w:val="00D23C42"/>
    <w:rsid w:val="00DB0663"/>
    <w:rsid w:val="00DB5AC6"/>
    <w:rsid w:val="00DE03C1"/>
    <w:rsid w:val="00E22E18"/>
    <w:rsid w:val="00E47687"/>
    <w:rsid w:val="00E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-external">
    <w:name w:val="link-external"/>
    <w:rsid w:val="008C324C"/>
  </w:style>
  <w:style w:type="paragraph" w:styleId="FootnoteText">
    <w:name w:val="footnote text"/>
    <w:basedOn w:val="Normal"/>
    <w:link w:val="FootnoteTextChar"/>
    <w:uiPriority w:val="99"/>
    <w:semiHidden/>
    <w:unhideWhenUsed/>
    <w:rsid w:val="008C324C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24C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FootnoteReference">
    <w:name w:val="footnote reference"/>
    <w:uiPriority w:val="99"/>
    <w:unhideWhenUsed/>
    <w:rsid w:val="008C324C"/>
    <w:rPr>
      <w:shd w:val="clear" w:color="auto" w:fill="auto"/>
      <w:vertAlign w:val="superscript"/>
    </w:rPr>
  </w:style>
  <w:style w:type="paragraph" w:customStyle="1" w:styleId="Tiret0">
    <w:name w:val="Tiret 0"/>
    <w:basedOn w:val="Normal"/>
    <w:rsid w:val="008C324C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oint0letter">
    <w:name w:val="Point 0 (letter)"/>
    <w:basedOn w:val="Normal"/>
    <w:rsid w:val="008C324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nnexetitre">
    <w:name w:val="Annexe titre"/>
    <w:basedOn w:val="Normal"/>
    <w:next w:val="Normal"/>
    <w:rsid w:val="008C324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C87"/>
  </w:style>
  <w:style w:type="paragraph" w:styleId="Footer">
    <w:name w:val="footer"/>
    <w:basedOn w:val="Normal"/>
    <w:link w:val="FooterChar"/>
    <w:uiPriority w:val="99"/>
    <w:unhideWhenUsed/>
    <w:rsid w:val="000C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-external">
    <w:name w:val="link-external"/>
    <w:rsid w:val="008C324C"/>
  </w:style>
  <w:style w:type="paragraph" w:styleId="FootnoteText">
    <w:name w:val="footnote text"/>
    <w:basedOn w:val="Normal"/>
    <w:link w:val="FootnoteTextChar"/>
    <w:uiPriority w:val="99"/>
    <w:semiHidden/>
    <w:unhideWhenUsed/>
    <w:rsid w:val="008C324C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24C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FootnoteReference">
    <w:name w:val="footnote reference"/>
    <w:uiPriority w:val="99"/>
    <w:unhideWhenUsed/>
    <w:rsid w:val="008C324C"/>
    <w:rPr>
      <w:shd w:val="clear" w:color="auto" w:fill="auto"/>
      <w:vertAlign w:val="superscript"/>
    </w:rPr>
  </w:style>
  <w:style w:type="paragraph" w:customStyle="1" w:styleId="Tiret0">
    <w:name w:val="Tiret 0"/>
    <w:basedOn w:val="Normal"/>
    <w:rsid w:val="008C324C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oint0letter">
    <w:name w:val="Point 0 (letter)"/>
    <w:basedOn w:val="Normal"/>
    <w:rsid w:val="008C324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nnexetitre">
    <w:name w:val="Annexe titre"/>
    <w:basedOn w:val="Normal"/>
    <w:next w:val="Normal"/>
    <w:rsid w:val="008C324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C87"/>
  </w:style>
  <w:style w:type="paragraph" w:styleId="Footer">
    <w:name w:val="footer"/>
    <w:basedOn w:val="Normal"/>
    <w:link w:val="FooterChar"/>
    <w:uiPriority w:val="99"/>
    <w:unhideWhenUsed/>
    <w:rsid w:val="000C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WIECLAWSKA Ewelina (JUST)</dc:creator>
  <cp:lastModifiedBy>TIGER Katarina (JUST)</cp:lastModifiedBy>
  <cp:revision>3</cp:revision>
  <cp:lastPrinted>2015-09-07T15:08:00Z</cp:lastPrinted>
  <dcterms:created xsi:type="dcterms:W3CDTF">2015-09-16T06:54:00Z</dcterms:created>
  <dcterms:modified xsi:type="dcterms:W3CDTF">2015-10-13T14:42:00Z</dcterms:modified>
</cp:coreProperties>
</file>