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4C" w:rsidRPr="009A69D9" w:rsidRDefault="008C324C" w:rsidP="008C324C">
      <w:pPr>
        <w:pStyle w:val="Annexetitre"/>
        <w:spacing w:before="240" w:after="240"/>
        <w:rPr>
          <w:rFonts w:eastAsia="Times New Roman"/>
          <w:szCs w:val="24"/>
        </w:rPr>
      </w:pPr>
      <w:r>
        <w:t>PRILOG</w:t>
      </w:r>
    </w:p>
    <w:p w:rsidR="008C324C" w:rsidRPr="007730D3" w:rsidRDefault="008C324C" w:rsidP="008C324C">
      <w:pPr>
        <w:keepNext/>
        <w:spacing w:before="240" w:after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Posebni sigurnosni zahtjevi za svijeće, svijećnjake, držače i pribor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1. Prioriteti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Sigurnost kao odlika samog dizajna mora imati prednost nad sigurnošću koja se postiže praćenjem uputa.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 Zahtjevi za dizajn i izradu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2.1. Dizajn</w:t>
      </w:r>
    </w:p>
    <w:p w:rsidR="008C324C" w:rsidRPr="007730D3" w:rsidRDefault="008C324C" w:rsidP="007C296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Proizvod mora biti osmišljen tako da su u potpunosti uzete u obzir opasnosti povezane s razumno predvidivim uvjetima upotrebe, a svi rizici svedeni na minimum. Sigurnost proizvoda ne smije ovisiti o složenom načinu postupanja korisnika.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2.2. Izrada</w:t>
      </w:r>
    </w:p>
    <w:p w:rsidR="008C324C" w:rsidRPr="007730D3" w:rsidRDefault="008C324C" w:rsidP="00A039C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Prikladnost i izvor materijala upotrijebljenih u izradi proizvoda procjenjuje proizvođač u razumno predvidivim uvjetima upotrebe.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2.3. Stabilnost</w:t>
      </w:r>
    </w:p>
    <w:p w:rsidR="008C324C" w:rsidRPr="007730D3" w:rsidRDefault="008C324C" w:rsidP="008C324C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Samostojeće svijeće ili svijeće s nosačem ili držačem moraju ostati stabilne (npr. ne smiju se prevrnuti) tijekom gorenja.</w:t>
      </w:r>
    </w:p>
    <w:p w:rsidR="008C324C" w:rsidRPr="007730D3" w:rsidRDefault="008C324C" w:rsidP="008C324C">
      <w:pPr>
        <w:numPr>
          <w:ilvl w:val="0"/>
          <w:numId w:val="2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Ako svijeća nije samostojeća svijeća i ne isporučuje se s nosačem ili držačem, proizvođač mora obavijestiti potrošača o nužnosti upotrebe ispravnog nosača ako je ta informacija potrebna za sigurnu upotrebu svijeće.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2.4. Mogućnost izazivanja požara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Plamen ima najveću dopuštenu visinu koja se utvrđuje na sigurnoj razini, uzimajući u obzir prirodnu varijaciju plamena tijekom ciklusa gorenja.</w:t>
      </w:r>
    </w:p>
    <w:p w:rsidR="008C324C" w:rsidRPr="007730D3" w:rsidRDefault="0033433A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Svijeća ne smije zapaliti svijećnjak, držač ili pribor ni u jednoj fazi ciklusa gorenja.</w:t>
      </w:r>
    </w:p>
    <w:p w:rsidR="008C324C" w:rsidRPr="007730D3" w:rsidRDefault="008C324C" w:rsidP="008C324C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Materijali koji se upotrebljavaju u svijećama, svijećnjacima, držačima i priboru ili na njima ne smiju širiti ili stvarati sekundarni plamen ni u jednoj fazi normalnog gorenja svijeće ili tijekom njezina konačnog gašenja.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Protupožarnu sigurnost ocjenjuje proizvođač, uzimajući u obzir sljedeće uvjete:</w:t>
      </w:r>
    </w:p>
    <w:p w:rsidR="008C324C" w:rsidRPr="007730D3" w:rsidRDefault="008C324C" w:rsidP="008C324C">
      <w:pPr>
        <w:numPr>
          <w:ilvl w:val="0"/>
          <w:numId w:val="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paljenje svijeće;</w:t>
      </w:r>
    </w:p>
    <w:p w:rsidR="008C324C" w:rsidRPr="007730D3" w:rsidRDefault="008C324C" w:rsidP="008C324C">
      <w:pPr>
        <w:numPr>
          <w:ilvl w:val="0"/>
          <w:numId w:val="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gorenje svijeće u razumno predvidivim uvjetima upotrebe. 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Svijeće koje su stavljene na tržište kao samougasive moraju se na kraju gorenja same ugasiti i zahvaljujući svojstvima izrade uspješno spriječiti zapaljenje površine na kojoj se nalaze. Svijeće u čaši ne smiju uzrokovati pucanje čaše.</w:t>
      </w:r>
    </w:p>
    <w:p w:rsidR="008C324C" w:rsidRPr="007730D3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Dizajnom svijeće sprečava se sekundarno zapaljenje svijeće ili automatsko ponovno zapaljenje svijeće nakon gašenja plamena.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Rizici od opeklina uzrokovani diranjem svijeće ili njezina držača tijekom ili nakon gorenja svijeće moraju se svesti na najmanju moguću mjeru, uzimajući u obzir specifičnu namjenu svijeće.</w:t>
      </w:r>
    </w:p>
    <w:p w:rsidR="008C324C" w:rsidRPr="00061EC5" w:rsidRDefault="008C324C" w:rsidP="008C324C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Svijećnjaci, držači i pribor ne smiju uzrokovati požar (eksplozijom, pregrijavanjem itd.) u razumno predvidivim uvjetima uporabe. 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2.5. Kemijski zahtjevi</w:t>
      </w:r>
    </w:p>
    <w:p w:rsidR="008C324C" w:rsidRPr="009E6BDC" w:rsidRDefault="008C324C" w:rsidP="008C324C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Proizvođač provodi odgovarajuću procjenu rizika u pogledu toksikoloških svojstava materijala, tvari ili smjesa (uključujući mirise) koji se upotrebljavaju u svijećama i svijećnjacima, držačima i priboru kako bi se osiguralo da nemaju štetan utjecaj na ljudsko zdravlje.</w:t>
      </w:r>
    </w:p>
    <w:p w:rsidR="008C324C" w:rsidRPr="009E6BDC" w:rsidRDefault="008C324C" w:rsidP="008C324C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Olovo / spojevi olova i nikal / spojevi nikla ne smiju se upotrebljavati za proizvodnju ni dodavati pri proizvodnji osnovnih materijala za svijeće (osim katalizatora koji sadržavaju spojeve nikla potrebne za hidrogenaciju/hidroobradu osnovnih materijala) ili samih svijeća. Uzimajući u obzir moguće nenamjerno onečišćenje olovom ili niklom iz osnovnog materijala koji se upotrebljava za proizvodnju svijeća, najveće vrijednosti olova i nikla u svim dijelovima svijeće zajedno moraju biti na najnižoj razini koja je razumno ostvariva te ni u kojem slučaju ne smiju prelaziti 0,4 mg/kg u pogledu olova i 0,5 mg/kg u pogledu nikla.</w:t>
      </w:r>
    </w:p>
    <w:p w:rsidR="008C324C" w:rsidRPr="009E6BDC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2.6. Emisije</w:t>
      </w:r>
    </w:p>
    <w:p w:rsidR="008C324C" w:rsidRPr="009E6BDC" w:rsidRDefault="00983BD7" w:rsidP="008C324C">
      <w:pPr>
        <w:numPr>
          <w:ilvl w:val="1"/>
          <w:numId w:val="6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Emisija čađe kod svijeća za upotrebu u zatvorenom mora biti što je niža moguća bez vidljivog otpuštanja čađe. Svijeće za upotrebu u zatvorenom moraju biti usklađene s najvećim indeksom čađe utvrđenim u skladu s najnovijom tehnologijom koji ni u kojem slučaju ne smije biti veći od 1,0 po satu. </w:t>
      </w:r>
    </w:p>
    <w:p w:rsidR="008C324C" w:rsidRPr="007730D3" w:rsidRDefault="00983BD7" w:rsidP="008C324C">
      <w:pPr>
        <w:numPr>
          <w:ilvl w:val="1"/>
          <w:numId w:val="6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 pogledu svijeća za upotrebu u zatvorenom emisije opasnih tvari koje nastaju tijekom procesa gorenja, uključujući hlapive organske spojeve, moraju se svesti na najmanju moguću mjeru. U nedostatku graničnih vrijednosti utvrđenih zakonodavstvom Unije i prema potrebi za svijeće, primjenjuju se preporučene razine koncentracije utvrđene u „Smjernicama Svjetske zdravstvene organizacije za kakvoću zraka u zatvorenim prostorima”</w:t>
      </w:r>
      <w:r>
        <w:rPr>
          <w:rStyle w:val="FootnoteReference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:rsidR="008C324C" w:rsidRPr="007730D3" w:rsidRDefault="008C324C" w:rsidP="008C324C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2.7. Zahtjevi u pogledu imitacije hrane</w:t>
      </w:r>
    </w:p>
    <w:p w:rsidR="008C324C" w:rsidRPr="007730D3" w:rsidRDefault="008C324C" w:rsidP="008C324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Style w:val="link-external"/>
          <w:rFonts w:ascii="Times New Roman" w:hAnsi="Times New Roman"/>
          <w:sz w:val="24"/>
        </w:rPr>
        <w:lastRenderedPageBreak/>
        <w:t>Moraju biti ispunjeni zahtjevi iz Direktive Vijeća 87/357/EEZ</w:t>
      </w:r>
      <w:r>
        <w:rPr>
          <w:rStyle w:val="FootnoteReference"/>
          <w:rFonts w:ascii="Times New Roman" w:hAnsi="Times New Roman"/>
          <w:sz w:val="24"/>
        </w:rPr>
        <w:footnoteReference w:id="2"/>
      </w:r>
      <w:r>
        <w:rPr>
          <w:rStyle w:val="link-external"/>
          <w:rFonts w:ascii="Times New Roman" w:hAnsi="Times New Roman"/>
          <w:sz w:val="24"/>
        </w:rPr>
        <w:t>.</w:t>
      </w:r>
    </w:p>
    <w:p w:rsidR="008C324C" w:rsidRPr="007730D3" w:rsidRDefault="008C324C" w:rsidP="008C324C">
      <w:pPr>
        <w:keepNext/>
        <w:keepLines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3. Zahtjevi za informacije o proizvodu</w:t>
      </w:r>
    </w:p>
    <w:p w:rsidR="008C324C" w:rsidRPr="007730D3" w:rsidRDefault="008C324C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Predstavljanjem i prikazima proizvoda kao ni bilo kakvim pruženim informacijama ne smiju se umanjivati rizici za potencijalne korisnike.</w:t>
      </w:r>
    </w:p>
    <w:p w:rsidR="008C324C" w:rsidRPr="009E6BDC" w:rsidRDefault="008C324C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Informacije, upozorenja i upute za upotrebu moraju biti usklađeni, lako čitljivi i razumljivi potrošaču te vidljivo označeni na proizvodu, pakiranju ili uputama za upotrebu koje se prilažu uz proizvod. </w:t>
      </w:r>
    </w:p>
    <w:p w:rsidR="00915A9D" w:rsidRPr="009E6BDC" w:rsidRDefault="00915A9D" w:rsidP="008C324C">
      <w:pPr>
        <w:keepNext/>
        <w:keepLines/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Svijeće koje se u skladu s Uredbom (EZ) br. 1272/2008 smatraju opasnim smjesama moraju biti pakirane i označene na odgovarajući način.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8C324C" w:rsidRPr="009E6BDC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Osnovne informacije o uvjetima upotrebe proizvoda potencijalnom korisniku moraju biti vidljive prije kupnje. Uz to, mora se uzeti u obzir i svaka razumno predvidiva nepravilna upotreba proizvoda. </w:t>
      </w:r>
    </w:p>
    <w:p w:rsidR="008C324C" w:rsidRPr="009E6BDC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Mora biti navedeno najmanje sljedeće: 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upute za sigurnu upotrebu, uključujući uvjete upotrebe i mjere opreza koje je potrebno poduzeti pri gorenju svijeće, uključujući sigurnu udaljenost od zapaljene svijeće ako su takve informacije potrebne za sigurno korištenje svijećom s obzirom na njezin dizajn ili značajke;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upute za sigurnu upotrebu zapaljenih svijeća u prisutnosti djece i kućnih ljubimaca;</w:t>
      </w:r>
    </w:p>
    <w:p w:rsidR="008C324C" w:rsidRPr="009E6BDC" w:rsidRDefault="008C324C" w:rsidP="008C324C">
      <w:pPr>
        <w:pStyle w:val="Point0letter"/>
        <w:numPr>
          <w:ilvl w:val="1"/>
          <w:numId w:val="8"/>
        </w:numPr>
        <w:ind w:hanging="424"/>
        <w:rPr>
          <w:szCs w:val="24"/>
        </w:rPr>
      </w:pPr>
      <w:r>
        <w:t>informacije o mirisnim sastojcima koji izazivaju preosjetljivost u skladu sa zahtjevima razvrstavanja i označivanja iz Uredbe (EZ) br. 1272/2008 u pogledu preosjetljivosti dišnih putova ili kože.</w:t>
      </w:r>
    </w:p>
    <w:p w:rsidR="008C324C" w:rsidRPr="007730D3" w:rsidRDefault="008C324C" w:rsidP="008C324C">
      <w:pPr>
        <w:numPr>
          <w:ilvl w:val="1"/>
          <w:numId w:val="7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Ako je to potrebno s obzirom na njihov dizajn ili značajke, uz svijećnjake, držače i pribor moraju biti priloženi podaci o njihovoj sigurnoj upotrebi u kombinaciji sa svijećom (npr. upotreba toplinski otporne podloge).</w:t>
      </w:r>
    </w:p>
    <w:p w:rsidR="008C324C" w:rsidRPr="007730D3" w:rsidRDefault="008C324C" w:rsidP="008C324C">
      <w:pPr>
        <w:numPr>
          <w:ilvl w:val="1"/>
          <w:numId w:val="7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Osobito kad je riječ o svijećama za upotrebu u zatvorenom, sljedeća ili jednakovrijedna upozorenja moraju biti jasno vidljiva ili prenesena piktogramima koji su lako razumljivi potrošačima: </w:t>
      </w:r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„Zapaljenu svijeću nikada ne ostaviti bez nadzora.”</w:t>
      </w:r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„Svijeću zapaliti izvan dohvata djece i kućnih ljubimaca.”</w:t>
      </w:r>
      <w:bookmarkStart w:id="0" w:name="_CopyToNewDocument_"/>
      <w:bookmarkEnd w:id="0"/>
    </w:p>
    <w:p w:rsidR="008C324C" w:rsidRPr="007730D3" w:rsidRDefault="008C324C" w:rsidP="008C324C">
      <w:pPr>
        <w:pStyle w:val="Tiret0"/>
        <w:ind w:hanging="566"/>
        <w:rPr>
          <w:szCs w:val="24"/>
        </w:rPr>
      </w:pPr>
      <w:r>
        <w:t>„Ne paliti svijeće na površinama ili u blizini površina koje se mogu zapaliti.”</w:t>
      </w:r>
    </w:p>
    <w:p w:rsidR="008C324C" w:rsidRPr="007730D3" w:rsidRDefault="008C324C" w:rsidP="00773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Ako svijeća nije izrađena tako da se uspješno spriječi zapaljenje površine na kojoj stoji, korisnici moraju biti obaviješteni i o upotrebi nosača za svijeću otpornog na toplinu ili toplinski otporne podloge.</w:t>
      </w:r>
    </w:p>
    <w:sectPr w:rsidR="008C324C" w:rsidRPr="00773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14" w:rsidRDefault="00697D14" w:rsidP="008C324C">
      <w:pPr>
        <w:spacing w:after="0" w:line="240" w:lineRule="auto"/>
      </w:pPr>
      <w:r>
        <w:separator/>
      </w:r>
    </w:p>
  </w:endnote>
  <w:endnote w:type="continuationSeparator" w:id="0">
    <w:p w:rsidR="00697D14" w:rsidRDefault="00697D14" w:rsidP="008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CF" w:rsidRDefault="00B70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CF" w:rsidRDefault="00B70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CF" w:rsidRDefault="00B70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14" w:rsidRDefault="00697D14" w:rsidP="008C324C">
      <w:pPr>
        <w:spacing w:after="0" w:line="240" w:lineRule="auto"/>
      </w:pPr>
      <w:r>
        <w:separator/>
      </w:r>
    </w:p>
  </w:footnote>
  <w:footnote w:type="continuationSeparator" w:id="0">
    <w:p w:rsidR="00697D14" w:rsidRDefault="00697D14" w:rsidP="008C324C">
      <w:pPr>
        <w:spacing w:after="0" w:line="240" w:lineRule="auto"/>
      </w:pPr>
      <w:r>
        <w:continuationSeparator/>
      </w:r>
    </w:p>
  </w:footnote>
  <w:footnote w:id="1">
    <w:p w:rsidR="008C324C" w:rsidRDefault="008C324C" w:rsidP="008C324C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„Smjernice Svjetske zdravstvene organizacije za kakvoću zraka u zatvorenim prostorima: odabrane onečišćujuće tvari”, Svjetska zdravstvena organizacija, 2010.: http://www.euro.who.int/en/health-topics/environment-and-health/air-quality/publications/2010/who-guidelines-for-indoor-air-quality-selected-pollutants.</w:t>
      </w:r>
    </w:p>
  </w:footnote>
  <w:footnote w:id="2">
    <w:p w:rsidR="008C324C" w:rsidRPr="00485374" w:rsidRDefault="008C324C" w:rsidP="008C324C"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Direktiva Vijeća 87/357/EEZ od 25. lipnja 1987. o usklađivanju zakonodavstava država članica u odnosu na proizvode koji, zbog toga što nisu onakvi kakvim se prikazuju, ugrožavaju zdravlje ili sigurnost potrošača (SL L 192, 11.7.1987., str. 49.).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CF" w:rsidRDefault="00B70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87A" w:rsidRDefault="000A087A" w:rsidP="000A087A">
    <w:pPr>
      <w:pStyle w:val="Header"/>
      <w:jc w:val="right"/>
    </w:pPr>
    <w:r>
      <w:rPr>
        <w:rFonts w:ascii="Verdana" w:hAnsi="Verdana"/>
        <w:color w:val="000000"/>
        <w:sz w:val="19"/>
        <w:szCs w:val="19"/>
      </w:rPr>
      <w:t>D025025/08</w:t>
    </w:r>
    <w:bookmarkStart w:id="1" w:name="_GoBack"/>
    <w:bookmarkEnd w:id="1"/>
  </w:p>
  <w:p w:rsidR="00B708CF" w:rsidRDefault="00B70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CF" w:rsidRDefault="00B70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9B0"/>
    <w:multiLevelType w:val="hybridMultilevel"/>
    <w:tmpl w:val="B338EC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927"/>
    <w:multiLevelType w:val="hybridMultilevel"/>
    <w:tmpl w:val="9F5E5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90"/>
    <w:multiLevelType w:val="hybridMultilevel"/>
    <w:tmpl w:val="082CF4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FBB"/>
    <w:multiLevelType w:val="multilevel"/>
    <w:tmpl w:val="6B1EFDC6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Roman"/>
      <w:lvlText w:val="%2."/>
      <w:lvlJc w:val="righ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3AEC386A"/>
    <w:multiLevelType w:val="hybridMultilevel"/>
    <w:tmpl w:val="AF7A66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6868F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>
    <w:nsid w:val="64374C61"/>
    <w:multiLevelType w:val="hybridMultilevel"/>
    <w:tmpl w:val="D6364D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10F07"/>
    <w:multiLevelType w:val="hybridMultilevel"/>
    <w:tmpl w:val="74FA3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ACCOMPAGNANT.CP" w:val="&lt;UNUSED&gt;"/>
    <w:docVar w:name="LW_CONFIDENCE" w:val=" "/>
    <w:docVar w:name="LW_CORRIGENDUM" w:val="&lt;UNUSED&gt;"/>
    <w:docVar w:name="LW_CROSSREFERENCE" w:val="&lt;UNUSED&gt;"/>
    <w:docVar w:name="LW_DATE.ADOPT.CP_ISODATE" w:val="&lt;EMPTY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REF.II.NEW.CP" w:val="&lt;UNUSED&gt;"/>
    <w:docVar w:name="LW_REF.II.NEW.CP_NUMBER" w:val="&lt;UNUSED&gt;"/>
    <w:docVar w:name="LW_REF.II.NEW.CP_YEAR" w:val="2015"/>
    <w:docVar w:name="LW_REF.INST.NEW" w:val="&lt;EMPTY&gt;"/>
    <w:docVar w:name="LW_REF.INST.NEW_ADOPTED" w:val="&lt;EMPTY&gt;"/>
    <w:docVar w:name="LW_REF.INST.NEW_TEXT" w:val="(2015) XXX"/>
    <w:docVar w:name="LW_REF.INTERNE" w:val="&lt;UNUSED&gt;"/>
    <w:docVar w:name="LW_SOUS.TITRE.OBJ.CP" w:val="&lt;UNUSED&gt;"/>
    <w:docVar w:name="LW_SUPERTITRE" w:val="&lt;UNUSED&gt;"/>
    <w:docVar w:name="LW_TITRE.OBJ.CP" w:val="[mandatory element]"/>
    <w:docVar w:name="LW_TYPE.DOC.CP" w:val="COMMISSION STAFF WORKING DOCUMENT"/>
    <w:docVar w:name="LW_TYPEACTEPRINCIPAL.CP" w:val="&lt;UNUSED&gt;"/>
  </w:docVars>
  <w:rsids>
    <w:rsidRoot w:val="008C324C"/>
    <w:rsid w:val="0002416C"/>
    <w:rsid w:val="00043CD2"/>
    <w:rsid w:val="000458B1"/>
    <w:rsid w:val="00061EC5"/>
    <w:rsid w:val="0007066A"/>
    <w:rsid w:val="000A087A"/>
    <w:rsid w:val="00101A1A"/>
    <w:rsid w:val="001F64E8"/>
    <w:rsid w:val="002B654E"/>
    <w:rsid w:val="002F374E"/>
    <w:rsid w:val="0033433A"/>
    <w:rsid w:val="00366943"/>
    <w:rsid w:val="00393922"/>
    <w:rsid w:val="00474DE4"/>
    <w:rsid w:val="00532556"/>
    <w:rsid w:val="00563F33"/>
    <w:rsid w:val="005C5AB9"/>
    <w:rsid w:val="006173A9"/>
    <w:rsid w:val="00683291"/>
    <w:rsid w:val="006902F8"/>
    <w:rsid w:val="00697D14"/>
    <w:rsid w:val="006A6D6E"/>
    <w:rsid w:val="006C06AB"/>
    <w:rsid w:val="006D2B06"/>
    <w:rsid w:val="007022F9"/>
    <w:rsid w:val="00705CDA"/>
    <w:rsid w:val="007700D2"/>
    <w:rsid w:val="007730D3"/>
    <w:rsid w:val="007B51F6"/>
    <w:rsid w:val="007C296D"/>
    <w:rsid w:val="007E14BA"/>
    <w:rsid w:val="008034DC"/>
    <w:rsid w:val="008218CC"/>
    <w:rsid w:val="00877B7D"/>
    <w:rsid w:val="008821F9"/>
    <w:rsid w:val="00886B66"/>
    <w:rsid w:val="008A1425"/>
    <w:rsid w:val="008B7F93"/>
    <w:rsid w:val="008C324C"/>
    <w:rsid w:val="008C6C39"/>
    <w:rsid w:val="00915A9D"/>
    <w:rsid w:val="00940E30"/>
    <w:rsid w:val="009449B4"/>
    <w:rsid w:val="00983BD7"/>
    <w:rsid w:val="009E5639"/>
    <w:rsid w:val="009E643C"/>
    <w:rsid w:val="009E6BDC"/>
    <w:rsid w:val="00A039CF"/>
    <w:rsid w:val="00A65358"/>
    <w:rsid w:val="00A91346"/>
    <w:rsid w:val="00B17884"/>
    <w:rsid w:val="00B472E6"/>
    <w:rsid w:val="00B708CF"/>
    <w:rsid w:val="00B70AE5"/>
    <w:rsid w:val="00BB223E"/>
    <w:rsid w:val="00C20A01"/>
    <w:rsid w:val="00D23C42"/>
    <w:rsid w:val="00DB0663"/>
    <w:rsid w:val="00DB5AC6"/>
    <w:rsid w:val="00DE03C1"/>
    <w:rsid w:val="00E22E18"/>
    <w:rsid w:val="00E47687"/>
    <w:rsid w:val="00E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external">
    <w:name w:val="link-external"/>
    <w:rsid w:val="008C324C"/>
  </w:style>
  <w:style w:type="paragraph" w:styleId="FootnoteText">
    <w:name w:val="footnote text"/>
    <w:basedOn w:val="Normal"/>
    <w:link w:val="FootnoteTextChar"/>
    <w:uiPriority w:val="99"/>
    <w:semiHidden/>
    <w:unhideWhenUsed/>
    <w:rsid w:val="008C324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24C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unhideWhenUsed/>
    <w:rsid w:val="008C324C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8C324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rsid w:val="008C324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nnexetitre">
    <w:name w:val="Annexe titre"/>
    <w:basedOn w:val="Normal"/>
    <w:next w:val="Normal"/>
    <w:rsid w:val="008C324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CF"/>
  </w:style>
  <w:style w:type="paragraph" w:styleId="Footer">
    <w:name w:val="footer"/>
    <w:basedOn w:val="Normal"/>
    <w:link w:val="FooterChar"/>
    <w:uiPriority w:val="99"/>
    <w:unhideWhenUsed/>
    <w:rsid w:val="00B7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external">
    <w:name w:val="link-external"/>
    <w:rsid w:val="008C324C"/>
  </w:style>
  <w:style w:type="paragraph" w:styleId="FootnoteText">
    <w:name w:val="footnote text"/>
    <w:basedOn w:val="Normal"/>
    <w:link w:val="FootnoteTextChar"/>
    <w:uiPriority w:val="99"/>
    <w:semiHidden/>
    <w:unhideWhenUsed/>
    <w:rsid w:val="008C324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24C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unhideWhenUsed/>
    <w:rsid w:val="008C324C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8C324C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oint0letter">
    <w:name w:val="Point 0 (letter)"/>
    <w:basedOn w:val="Normal"/>
    <w:rsid w:val="008C324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nnexetitre">
    <w:name w:val="Annexe titre"/>
    <w:basedOn w:val="Normal"/>
    <w:next w:val="Normal"/>
    <w:rsid w:val="008C324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CF"/>
  </w:style>
  <w:style w:type="paragraph" w:styleId="Footer">
    <w:name w:val="footer"/>
    <w:basedOn w:val="Normal"/>
    <w:link w:val="FooterChar"/>
    <w:uiPriority w:val="99"/>
    <w:unhideWhenUsed/>
    <w:rsid w:val="00B7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WIECLAWSKA Ewelina (JUST)</dc:creator>
  <cp:lastModifiedBy>TIGER Katarina (JUST)</cp:lastModifiedBy>
  <cp:revision>3</cp:revision>
  <cp:lastPrinted>2015-09-07T15:08:00Z</cp:lastPrinted>
  <dcterms:created xsi:type="dcterms:W3CDTF">2015-10-01T09:08:00Z</dcterms:created>
  <dcterms:modified xsi:type="dcterms:W3CDTF">2015-10-13T14:41:00Z</dcterms:modified>
</cp:coreProperties>
</file>