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B82D" w14:textId="6BA3B195" w:rsidR="001C2816" w:rsidRDefault="00AC640B" w:rsidP="00414E21">
      <w:pPr>
        <w:pStyle w:val="Pagedecouverture"/>
      </w:pPr>
      <w:r>
        <w:pict w14:anchorId="7BDEA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6AF6DCC-7528-4742-A160-FC5A17BDD870" style="width:455.25pt;height:414pt">
            <v:imagedata r:id="rId11" o:title=""/>
          </v:shape>
        </w:pict>
      </w:r>
    </w:p>
    <w:p w14:paraId="698C71AF" w14:textId="77777777" w:rsidR="00FA43A4" w:rsidRDefault="00FA43A4">
      <w:pPr>
        <w:spacing w:before="0" w:after="200" w:line="276" w:lineRule="auto"/>
        <w:jc w:val="left"/>
      </w:pPr>
      <w:r>
        <w:br w:type="page"/>
      </w:r>
    </w:p>
    <w:p w14:paraId="4BF23086" w14:textId="1B032D36" w:rsidR="00E90B41" w:rsidRPr="00922C91" w:rsidRDefault="00414E21" w:rsidP="00414E21">
      <w:pPr>
        <w:pStyle w:val="Typedudocument"/>
      </w:pPr>
      <w:bookmarkStart w:id="0" w:name="_Hlk145411408"/>
      <w:r w:rsidRPr="00414E21">
        <w:lastRenderedPageBreak/>
        <w:t>COMMISSION IMPLEMENTING REGULATION (EU) …/...</w:t>
      </w:r>
    </w:p>
    <w:p w14:paraId="253C5860" w14:textId="09329A8D" w:rsidR="00E90B41" w:rsidRPr="00922C91" w:rsidRDefault="00414E21" w:rsidP="00414E21">
      <w:pPr>
        <w:pStyle w:val="Datedadoption"/>
      </w:pPr>
      <w:r w:rsidRPr="00414E21">
        <w:t xml:space="preserve">of </w:t>
      </w:r>
      <w:r w:rsidRPr="00414E21">
        <w:rPr>
          <w:rStyle w:val="Marker2"/>
        </w:rPr>
        <w:t>XXX</w:t>
      </w:r>
    </w:p>
    <w:p w14:paraId="17173099" w14:textId="7639D3FD" w:rsidR="00E90B41" w:rsidRPr="00236052" w:rsidRDefault="00414E21" w:rsidP="00414E21">
      <w:pPr>
        <w:pStyle w:val="Titreobjet"/>
      </w:pPr>
      <w:r w:rsidRPr="00414E21">
        <w:t>laying down the methods of sampling and analysis for the control of the levels of mycotoxins in food and repealing Regulation (EC) No 401/2006</w:t>
      </w:r>
    </w:p>
    <w:bookmarkEnd w:id="0"/>
    <w:p w14:paraId="6FB00943" w14:textId="7CD5D324" w:rsidR="00E90B41" w:rsidRPr="00E90B41" w:rsidRDefault="00414E21" w:rsidP="00414E21">
      <w:pPr>
        <w:pStyle w:val="IntrtEEE"/>
      </w:pPr>
      <w:r w:rsidRPr="00414E21">
        <w:t>(Text with EEA relevance)</w:t>
      </w:r>
    </w:p>
    <w:p w14:paraId="4F604B92" w14:textId="77777777" w:rsidR="007C6C3F" w:rsidRPr="00922C91" w:rsidRDefault="007C6C3F" w:rsidP="007C6C3F">
      <w:pPr>
        <w:pStyle w:val="Institutionquiagit"/>
      </w:pPr>
      <w:r w:rsidRPr="00922C91">
        <w:t>THE EUROPEAN COMMISSION,</w:t>
      </w:r>
    </w:p>
    <w:p w14:paraId="3C40002C" w14:textId="77777777" w:rsidR="007C6C3F" w:rsidRPr="00922C91" w:rsidRDefault="007C6C3F" w:rsidP="007C6C3F">
      <w:r w:rsidRPr="00922C91">
        <w:rPr>
          <w:color w:val="000000"/>
        </w:rPr>
        <w:t>Having regard to the Treaty on the Functioning of the European Union</w:t>
      </w:r>
      <w:r w:rsidRPr="00922C91">
        <w:t>,</w:t>
      </w:r>
    </w:p>
    <w:p w14:paraId="7E53738B" w14:textId="77777777" w:rsidR="007C6C3F" w:rsidRPr="00D93FC0" w:rsidRDefault="007C6C3F" w:rsidP="007C6C3F">
      <w:pPr>
        <w:rPr>
          <w:rFonts w:eastAsia="Calibri"/>
          <w:lang w:eastAsia="en-GB"/>
        </w:rPr>
      </w:pPr>
      <w:r w:rsidRPr="00D93FC0">
        <w:rPr>
          <w:rFonts w:eastAsia="Calibri"/>
          <w:lang w:eastAsia="en-GB"/>
        </w:rPr>
        <w:t>Having regard to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sidRPr="00ED5AD5">
        <w:rPr>
          <w:rStyle w:val="FootnoteReference"/>
        </w:rPr>
        <w:footnoteReference w:id="1"/>
      </w:r>
      <w:r w:rsidRPr="00D93FC0">
        <w:rPr>
          <w:rFonts w:eastAsia="Calibri"/>
          <w:lang w:eastAsia="en-GB"/>
        </w:rPr>
        <w:t xml:space="preserve">, and in particular Article 34(6) thereof, </w:t>
      </w:r>
    </w:p>
    <w:p w14:paraId="62849A59" w14:textId="77777777" w:rsidR="007C6C3F" w:rsidRPr="00922C91" w:rsidRDefault="007C6C3F" w:rsidP="007C6C3F">
      <w:r w:rsidRPr="00922C91">
        <w:t>Whereas:</w:t>
      </w:r>
    </w:p>
    <w:p w14:paraId="1422361B" w14:textId="4A8A83B7" w:rsidR="00872F0F" w:rsidRDefault="00872F0F" w:rsidP="00872F0F">
      <w:pPr>
        <w:pStyle w:val="Considrant"/>
        <w:numPr>
          <w:ilvl w:val="0"/>
          <w:numId w:val="1"/>
        </w:numPr>
      </w:pPr>
      <w:r w:rsidRPr="00872F0F">
        <w:t>Commission Regulation (E</w:t>
      </w:r>
      <w:r w:rsidR="0016674C">
        <w:t>U</w:t>
      </w:r>
      <w:r w:rsidRPr="00872F0F">
        <w:t xml:space="preserve">) </w:t>
      </w:r>
      <w:r w:rsidR="0016674C" w:rsidRPr="00B8073E">
        <w:t>2023/</w:t>
      </w:r>
      <w:r w:rsidR="00B8073E" w:rsidRPr="00B8073E">
        <w:t>9</w:t>
      </w:r>
      <w:r w:rsidR="00B8073E">
        <w:t>15</w:t>
      </w:r>
      <w:r>
        <w:rPr>
          <w:rStyle w:val="FootnoteReference"/>
        </w:rPr>
        <w:footnoteReference w:id="2"/>
      </w:r>
      <w:r w:rsidRPr="00872F0F">
        <w:t xml:space="preserve"> sets maximum levels for </w:t>
      </w:r>
      <w:r w:rsidR="00A42736">
        <w:t xml:space="preserve">certain </w:t>
      </w:r>
      <w:r>
        <w:t>mycotoxins and ergot sclerotia in foods</w:t>
      </w:r>
      <w:r w:rsidR="00B8073E">
        <w:t>.</w:t>
      </w:r>
      <w:r>
        <w:t xml:space="preserve"> </w:t>
      </w:r>
    </w:p>
    <w:p w14:paraId="3CE629C1" w14:textId="3EEBE676" w:rsidR="00565D41" w:rsidRDefault="00872F0F" w:rsidP="00887B70">
      <w:pPr>
        <w:pStyle w:val="Considrant"/>
        <w:numPr>
          <w:ilvl w:val="0"/>
          <w:numId w:val="10"/>
        </w:numPr>
      </w:pPr>
      <w:r>
        <w:t xml:space="preserve">Commission </w:t>
      </w:r>
      <w:r w:rsidR="007C6C3F" w:rsidRPr="00ED5AD5">
        <w:t xml:space="preserve">Regulation (EC) No </w:t>
      </w:r>
      <w:r w:rsidR="00D969FC">
        <w:t>401</w:t>
      </w:r>
      <w:r w:rsidR="007C6C3F" w:rsidRPr="00ED5AD5">
        <w:t>/200</w:t>
      </w:r>
      <w:r w:rsidR="00D969FC">
        <w:t>6</w:t>
      </w:r>
      <w:r w:rsidR="007C6C3F">
        <w:rPr>
          <w:rStyle w:val="FootnoteReference"/>
        </w:rPr>
        <w:footnoteReference w:id="3"/>
      </w:r>
      <w:r w:rsidR="007C6C3F" w:rsidRPr="00ED5AD5">
        <w:t xml:space="preserve"> lays down the methods of sampling and analysis </w:t>
      </w:r>
      <w:r w:rsidR="00055C2D">
        <w:t xml:space="preserve">to be used </w:t>
      </w:r>
      <w:r w:rsidR="007C6C3F" w:rsidRPr="00ED5AD5">
        <w:t xml:space="preserve">for the official control of </w:t>
      </w:r>
      <w:r w:rsidR="00055C2D">
        <w:t xml:space="preserve">the </w:t>
      </w:r>
      <w:r w:rsidR="007C6C3F" w:rsidRPr="00ED5AD5">
        <w:t xml:space="preserve">levels of </w:t>
      </w:r>
      <w:r w:rsidR="00D969FC">
        <w:t>mycotoxins i</w:t>
      </w:r>
      <w:r w:rsidR="007C6C3F" w:rsidRPr="00ED5AD5">
        <w:t xml:space="preserve">n </w:t>
      </w:r>
      <w:r w:rsidR="007C6C3F" w:rsidRPr="00774BB8">
        <w:t>foodstuffs.</w:t>
      </w:r>
    </w:p>
    <w:p w14:paraId="0D199C79" w14:textId="6B6869C3" w:rsidR="00AA0A33" w:rsidRDefault="00AB68C2" w:rsidP="00887B70">
      <w:pPr>
        <w:pStyle w:val="Considrant"/>
        <w:numPr>
          <w:ilvl w:val="0"/>
          <w:numId w:val="10"/>
        </w:numPr>
      </w:pPr>
      <w:r>
        <w:t xml:space="preserve">The sampling methods </w:t>
      </w:r>
      <w:r w:rsidRPr="00DC1C2E">
        <w:t>provided for</w:t>
      </w:r>
      <w:r w:rsidRPr="00D20DCF">
        <w:t xml:space="preserve"> in Regulation</w:t>
      </w:r>
      <w:r w:rsidRPr="00ED5AD5">
        <w:t xml:space="preserve"> (EC) No </w:t>
      </w:r>
      <w:r w:rsidR="00AA0A33">
        <w:t>401</w:t>
      </w:r>
      <w:r w:rsidRPr="00ED5AD5">
        <w:t>/200</w:t>
      </w:r>
      <w:r w:rsidR="00D969FC">
        <w:t>6</w:t>
      </w:r>
      <w:r w:rsidRPr="00ED5AD5">
        <w:t xml:space="preserve"> </w:t>
      </w:r>
      <w:r w:rsidR="00D969FC">
        <w:t xml:space="preserve">for the different foods should apply to the control of all mycotoxins </w:t>
      </w:r>
      <w:r w:rsidR="00ED6FAC">
        <w:t>instead of specifically</w:t>
      </w:r>
      <w:r w:rsidR="00565D41">
        <w:t xml:space="preserve"> </w:t>
      </w:r>
      <w:r w:rsidR="00ED6FAC">
        <w:t xml:space="preserve">mentioned mycotoxins, </w:t>
      </w:r>
      <w:r w:rsidR="00D969FC">
        <w:t xml:space="preserve">in </w:t>
      </w:r>
      <w:r w:rsidR="0070533C">
        <w:t xml:space="preserve">those </w:t>
      </w:r>
      <w:r w:rsidR="00D969FC">
        <w:t>food</w:t>
      </w:r>
      <w:r w:rsidR="00565D41">
        <w:t>s. I</w:t>
      </w:r>
      <w:r w:rsidR="00AA0A33">
        <w:t xml:space="preserve">t is furthermore appropriate to update </w:t>
      </w:r>
      <w:r w:rsidR="004D675C">
        <w:t xml:space="preserve">the </w:t>
      </w:r>
      <w:r w:rsidR="00AA0A33">
        <w:t>sampling method for food supplements and to provide for a sampling method for dried herbs, herbal infusions</w:t>
      </w:r>
      <w:r w:rsidR="0016674C">
        <w:t xml:space="preserve"> </w:t>
      </w:r>
      <w:r w:rsidR="00AA0A33">
        <w:t>and teas.</w:t>
      </w:r>
    </w:p>
    <w:p w14:paraId="2A9490A5" w14:textId="0EC0E2AD" w:rsidR="00F13ABA" w:rsidRDefault="00F13ABA" w:rsidP="002D3F43">
      <w:pPr>
        <w:pStyle w:val="Considrant"/>
        <w:numPr>
          <w:ilvl w:val="0"/>
          <w:numId w:val="10"/>
        </w:numPr>
      </w:pPr>
      <w:r>
        <w:t>Official controls can be performed on foods for which no specific maximum level has been established for mycotoxins and for which no specific sampling procedure has been established. It is therefore appropriate to provide criteria to determine which sampling procedure should be applied</w:t>
      </w:r>
      <w:r w:rsidR="009F3E43" w:rsidRPr="009F3E43">
        <w:t xml:space="preserve"> </w:t>
      </w:r>
      <w:r w:rsidR="009F3E43">
        <w:t>in such cases</w:t>
      </w:r>
      <w:r>
        <w:t xml:space="preserve">.  </w:t>
      </w:r>
    </w:p>
    <w:p w14:paraId="207DD6BF" w14:textId="5C5B6A2D" w:rsidR="00AA0A33" w:rsidRDefault="00DC1C2E" w:rsidP="00DE2ABB">
      <w:pPr>
        <w:pStyle w:val="Considrant"/>
        <w:numPr>
          <w:ilvl w:val="0"/>
          <w:numId w:val="10"/>
        </w:numPr>
      </w:pPr>
      <w:r>
        <w:t>On the basis of the best available scientific information</w:t>
      </w:r>
      <w:r w:rsidR="00085BF5" w:rsidRPr="005D58AF">
        <w:t>,</w:t>
      </w:r>
      <w:r w:rsidRPr="00ED5AD5">
        <w:t xml:space="preserve"> </w:t>
      </w:r>
      <w:r>
        <w:t>t</w:t>
      </w:r>
      <w:r w:rsidR="007C6C3F" w:rsidRPr="00ED5AD5">
        <w:t>he European Union Reference Laborator</w:t>
      </w:r>
      <w:r w:rsidR="00ED6FAC">
        <w:t>y</w:t>
      </w:r>
      <w:r w:rsidR="00BC3B2A">
        <w:t xml:space="preserve"> </w:t>
      </w:r>
      <w:r w:rsidR="00AA0A33">
        <w:t xml:space="preserve">on </w:t>
      </w:r>
      <w:r w:rsidR="00A54DEA">
        <w:t>m</w:t>
      </w:r>
      <w:r w:rsidR="00AA0A33">
        <w:t xml:space="preserve">ycotoxins and </w:t>
      </w:r>
      <w:r w:rsidR="00A54DEA">
        <w:t>p</w:t>
      </w:r>
      <w:r w:rsidR="00AA0A33">
        <w:t xml:space="preserve">lant toxins </w:t>
      </w:r>
      <w:r w:rsidR="007C6C3F">
        <w:t xml:space="preserve">have </w:t>
      </w:r>
      <w:r w:rsidR="00AA0A33">
        <w:t xml:space="preserve">updated the analytical </w:t>
      </w:r>
      <w:r w:rsidR="00AA0A33">
        <w:lastRenderedPageBreak/>
        <w:t xml:space="preserve">performance criteria for mycotoxins. </w:t>
      </w:r>
      <w:bookmarkStart w:id="2" w:name="_Hlk145887790"/>
      <w:r w:rsidR="001A469A">
        <w:t xml:space="preserve">It is </w:t>
      </w:r>
      <w:r w:rsidR="00253626">
        <w:t xml:space="preserve">therefore </w:t>
      </w:r>
      <w:r w:rsidR="001A469A">
        <w:t xml:space="preserve">appropriate to modify the criteria </w:t>
      </w:r>
      <w:r w:rsidR="00253626">
        <w:t>as laid down in Regulation (EC) No 401/2006.</w:t>
      </w:r>
      <w:bookmarkEnd w:id="2"/>
    </w:p>
    <w:p w14:paraId="16A417D5" w14:textId="22E2A718" w:rsidR="00A953C2" w:rsidRDefault="00A953C2" w:rsidP="00FF78FF">
      <w:pPr>
        <w:pStyle w:val="Considrant"/>
        <w:numPr>
          <w:ilvl w:val="0"/>
          <w:numId w:val="10"/>
        </w:numPr>
      </w:pPr>
      <w:r>
        <w:t xml:space="preserve">It is necessary to provide sufficient time </w:t>
      </w:r>
      <w:r w:rsidR="002D3F43">
        <w:t xml:space="preserve">for </w:t>
      </w:r>
      <w:r>
        <w:t xml:space="preserve">control laboratories to </w:t>
      </w:r>
      <w:r w:rsidR="002D3F43">
        <w:t xml:space="preserve">implement </w:t>
      </w:r>
      <w:r>
        <w:t xml:space="preserve">the new requirements </w:t>
      </w:r>
      <w:r w:rsidRPr="00A953C2">
        <w:t>introduced by this Regulation</w:t>
      </w:r>
      <w:r w:rsidR="002D3F43">
        <w:t>. Therefore</w:t>
      </w:r>
      <w:r w:rsidRPr="00A953C2">
        <w:t xml:space="preserve">, it is appropriate to provide for a reasonable time until </w:t>
      </w:r>
      <w:r w:rsidR="00D427F6">
        <w:t>this</w:t>
      </w:r>
      <w:r w:rsidRPr="00A953C2">
        <w:t xml:space="preserve"> </w:t>
      </w:r>
      <w:r w:rsidR="00252A6B">
        <w:t>Regulation a</w:t>
      </w:r>
      <w:r w:rsidRPr="00A953C2">
        <w:t>ppl</w:t>
      </w:r>
      <w:r w:rsidR="00252A6B">
        <w:t>ies</w:t>
      </w:r>
      <w:r w:rsidRPr="00A953C2">
        <w:t xml:space="preserve">. </w:t>
      </w:r>
    </w:p>
    <w:p w14:paraId="303313EE" w14:textId="112AC848" w:rsidR="00252A6B" w:rsidRDefault="00252A6B" w:rsidP="00252A6B">
      <w:pPr>
        <w:pStyle w:val="Considrant"/>
        <w:numPr>
          <w:ilvl w:val="0"/>
          <w:numId w:val="10"/>
        </w:numPr>
      </w:pPr>
      <w:r>
        <w:t xml:space="preserve">In order to ensure continuity in the performance of official controls and other regulatory activities on maximum levels of mycotoxins and </w:t>
      </w:r>
      <w:bookmarkStart w:id="3" w:name="_Hlk145887732"/>
      <w:r w:rsidR="00253626">
        <w:t>to allow enough time for methods of analysis to be re-validated</w:t>
      </w:r>
      <w:bookmarkEnd w:id="3"/>
      <w:r>
        <w:t xml:space="preserve">, it is appropriate to provide that methods of analysis which have been validated before the </w:t>
      </w:r>
      <w:r w:rsidR="00AC4296">
        <w:t xml:space="preserve">date of application </w:t>
      </w:r>
      <w:r>
        <w:t>of this Regulation may remain in use for a defined period, subject to the specific requirements provided for in point 4.</w:t>
      </w:r>
      <w:r w:rsidR="00E5325D">
        <w:t>2</w:t>
      </w:r>
      <w:r>
        <w:t xml:space="preserve"> in Annex II to Regulation (EC) </w:t>
      </w:r>
      <w:r w:rsidR="0072145A">
        <w:t xml:space="preserve">No </w:t>
      </w:r>
      <w:r>
        <w:t>401/2006</w:t>
      </w:r>
    </w:p>
    <w:p w14:paraId="32906B3A" w14:textId="7C55A019" w:rsidR="00EF11DD" w:rsidRPr="00ED5AD5" w:rsidRDefault="005573F8" w:rsidP="00FF78FF">
      <w:pPr>
        <w:pStyle w:val="Considrant"/>
        <w:numPr>
          <w:ilvl w:val="0"/>
          <w:numId w:val="10"/>
        </w:numPr>
      </w:pPr>
      <w:r w:rsidRPr="005573F8">
        <w:t xml:space="preserve">Since the </w:t>
      </w:r>
      <w:r w:rsidR="002738A2">
        <w:t>modifications</w:t>
      </w:r>
      <w:r w:rsidR="002738A2" w:rsidRPr="005573F8">
        <w:t xml:space="preserve"> </w:t>
      </w:r>
      <w:r w:rsidRPr="005573F8">
        <w:t>to Regulation (E</w:t>
      </w:r>
      <w:r>
        <w:t>C</w:t>
      </w:r>
      <w:r w:rsidRPr="005573F8">
        <w:t xml:space="preserve">) </w:t>
      </w:r>
      <w:r w:rsidR="0072145A">
        <w:t xml:space="preserve">No </w:t>
      </w:r>
      <w:r>
        <w:t>401/2006 a</w:t>
      </w:r>
      <w:r w:rsidRPr="005573F8">
        <w:t>re substantial, it is appropriate, for reasons of clarity, to</w:t>
      </w:r>
      <w:r w:rsidR="00EF7204">
        <w:t xml:space="preserve"> repeal and</w:t>
      </w:r>
      <w:r w:rsidRPr="005573F8">
        <w:t xml:space="preserve"> replace </w:t>
      </w:r>
      <w:r w:rsidR="00873C17">
        <w:t>that Regulation</w:t>
      </w:r>
      <w:r w:rsidRPr="005573F8">
        <w:t>.</w:t>
      </w:r>
    </w:p>
    <w:p w14:paraId="696E5AC6" w14:textId="77777777" w:rsidR="007C6C3F" w:rsidRPr="00ED5AD5" w:rsidRDefault="007C6C3F" w:rsidP="006A1395">
      <w:pPr>
        <w:pStyle w:val="Considrant"/>
        <w:numPr>
          <w:ilvl w:val="0"/>
          <w:numId w:val="10"/>
        </w:numPr>
      </w:pPr>
      <w:r w:rsidRPr="00ED5AD5">
        <w:t>The measures provided for in this Regulation are in accordance with the opinion of the Standing Committee on Plants, Animals, Food and Feed,</w:t>
      </w:r>
    </w:p>
    <w:p w14:paraId="499D3B71" w14:textId="77777777" w:rsidR="007C6C3F" w:rsidRPr="00922C91" w:rsidRDefault="007C6C3F" w:rsidP="007C6C3F">
      <w:pPr>
        <w:pStyle w:val="Formuledadoption"/>
      </w:pPr>
      <w:r w:rsidRPr="00922C91">
        <w:t>HAS ADOPTED THIS REGULATION:</w:t>
      </w:r>
    </w:p>
    <w:p w14:paraId="5CC15E9D" w14:textId="33970ADC" w:rsidR="00946DA5" w:rsidRPr="00565D41" w:rsidRDefault="00946DA5" w:rsidP="005573F8">
      <w:pPr>
        <w:pStyle w:val="Titrearticle"/>
      </w:pPr>
      <w:r w:rsidRPr="00565D41">
        <w:t>Article 1</w:t>
      </w:r>
    </w:p>
    <w:p w14:paraId="2EB97467" w14:textId="6FBB17DA" w:rsidR="00946DA5" w:rsidRPr="00565D41" w:rsidRDefault="00946DA5" w:rsidP="00946DA5">
      <w:pPr>
        <w:rPr>
          <w:lang w:val="en-IE"/>
        </w:rPr>
      </w:pPr>
      <w:r w:rsidRPr="00565D41">
        <w:rPr>
          <w:lang w:val="en-IE"/>
        </w:rPr>
        <w:t xml:space="preserve">For the purposes of this Regulation, the </w:t>
      </w:r>
      <w:r w:rsidR="00170ED0" w:rsidRPr="00565D41">
        <w:rPr>
          <w:lang w:val="en-IE"/>
        </w:rPr>
        <w:t xml:space="preserve">following </w:t>
      </w:r>
      <w:r w:rsidRPr="00565D41">
        <w:rPr>
          <w:lang w:val="en-IE"/>
        </w:rPr>
        <w:t>definitions shall apply:</w:t>
      </w:r>
    </w:p>
    <w:p w14:paraId="1774E860" w14:textId="7D4CA869" w:rsidR="00946DA5" w:rsidRPr="00565D41" w:rsidRDefault="00946DA5" w:rsidP="00946DA5">
      <w:pPr>
        <w:rPr>
          <w:lang w:val="en-IE"/>
        </w:rPr>
      </w:pPr>
      <w:r w:rsidRPr="00565D41">
        <w:rPr>
          <w:lang w:val="en-IE"/>
        </w:rPr>
        <w:t>(1) ‘lot’ means an identifiable quantity of a food commodity delivered at one time and determined by the competent authority to have common characteristics, such as origin, variety, type of package, packer, consignor or markings;</w:t>
      </w:r>
    </w:p>
    <w:p w14:paraId="7B036338" w14:textId="3409955A" w:rsidR="00946DA5" w:rsidRPr="00565D41" w:rsidRDefault="00946DA5" w:rsidP="00946DA5">
      <w:pPr>
        <w:rPr>
          <w:lang w:val="en-IE"/>
        </w:rPr>
      </w:pPr>
      <w:r w:rsidRPr="00565D41">
        <w:rPr>
          <w:lang w:val="en-IE"/>
        </w:rPr>
        <w:t>(2) ‘sublot’ means a physically separate and identifiable part of a large lot designated to apply the sampling method;</w:t>
      </w:r>
    </w:p>
    <w:p w14:paraId="4C024BF6" w14:textId="1829D040" w:rsidR="00946DA5" w:rsidRPr="00565D41" w:rsidRDefault="00946DA5" w:rsidP="00946DA5">
      <w:pPr>
        <w:rPr>
          <w:lang w:val="en-IE"/>
        </w:rPr>
      </w:pPr>
      <w:r w:rsidRPr="00565D41">
        <w:rPr>
          <w:lang w:val="en-IE"/>
        </w:rPr>
        <w:t>(3) ‘incremental sample’ means a quantity of material taken from a single place in the lot or sublot;</w:t>
      </w:r>
    </w:p>
    <w:p w14:paraId="0F28F682" w14:textId="7E649459" w:rsidR="00946DA5" w:rsidRPr="00565D41" w:rsidRDefault="00946DA5" w:rsidP="00946DA5">
      <w:pPr>
        <w:rPr>
          <w:lang w:val="en-IE"/>
        </w:rPr>
      </w:pPr>
      <w:r w:rsidRPr="00565D41">
        <w:rPr>
          <w:lang w:val="en-IE"/>
        </w:rPr>
        <w:t>(4) ‘aggregate sample’ means the combined total of all the incremental samples taken from the lot or sublot;</w:t>
      </w:r>
    </w:p>
    <w:p w14:paraId="3185A069" w14:textId="040B0402" w:rsidR="00946DA5" w:rsidRPr="00565D41" w:rsidRDefault="00946DA5" w:rsidP="00946DA5">
      <w:pPr>
        <w:rPr>
          <w:lang w:val="en-IE"/>
        </w:rPr>
      </w:pPr>
      <w:r w:rsidRPr="00565D41">
        <w:rPr>
          <w:lang w:val="en-IE"/>
        </w:rPr>
        <w:t xml:space="preserve">(5) ‘subsample’ means a quantity of material taken from the aggregate sample for control of ergot sclerotia by visual examination; </w:t>
      </w:r>
    </w:p>
    <w:p w14:paraId="6E67A50C" w14:textId="76C9CE10" w:rsidR="00946DA5" w:rsidRPr="00565D41" w:rsidRDefault="00946DA5" w:rsidP="00946DA5">
      <w:pPr>
        <w:rPr>
          <w:lang w:val="en-IE"/>
        </w:rPr>
      </w:pPr>
      <w:r w:rsidRPr="00565D41">
        <w:rPr>
          <w:lang w:val="en-IE"/>
        </w:rPr>
        <w:t xml:space="preserve">(6) ‘laboratory sample’ means a representative part or quantity of the aggregate sample intended for the laboratory; </w:t>
      </w:r>
    </w:p>
    <w:p w14:paraId="10A81F69" w14:textId="36F3357F" w:rsidR="00B80483" w:rsidRPr="00565D41" w:rsidRDefault="00B80483" w:rsidP="00B80483">
      <w:pPr>
        <w:rPr>
          <w:lang w:val="en-US"/>
        </w:rPr>
      </w:pPr>
      <w:r w:rsidRPr="00565D41">
        <w:rPr>
          <w:iCs/>
          <w:lang w:val="en-US"/>
        </w:rPr>
        <w:t xml:space="preserve">(7) </w:t>
      </w:r>
      <w:r w:rsidR="002D38D2" w:rsidRPr="00565D41">
        <w:rPr>
          <w:iCs/>
          <w:lang w:val="en-US"/>
        </w:rPr>
        <w:t>‘</w:t>
      </w:r>
      <w:r w:rsidR="00EC1011" w:rsidRPr="00565D41">
        <w:rPr>
          <w:iCs/>
          <w:lang w:val="en-US"/>
        </w:rPr>
        <w:t>r</w:t>
      </w:r>
      <w:r w:rsidRPr="00565D41">
        <w:rPr>
          <w:iCs/>
          <w:lang w:val="en-US"/>
        </w:rPr>
        <w:t>ecovery (Rec, %)</w:t>
      </w:r>
      <w:r w:rsidR="002D38D2" w:rsidRPr="00565D41">
        <w:rPr>
          <w:iCs/>
          <w:lang w:val="en-US"/>
        </w:rPr>
        <w:t>’</w:t>
      </w:r>
      <w:r w:rsidRPr="00565D41">
        <w:rPr>
          <w:iCs/>
          <w:lang w:val="en-US"/>
        </w:rPr>
        <w:t xml:space="preserve"> means </w:t>
      </w:r>
      <w:r w:rsidR="002D38D2" w:rsidRPr="00565D41">
        <w:rPr>
          <w:iCs/>
          <w:lang w:val="en-US"/>
        </w:rPr>
        <w:t xml:space="preserve">the percentage obtained by applying the following formula </w:t>
      </w:r>
      <w:r w:rsidRPr="00565D41">
        <w:rPr>
          <w:lang w:val="en-US"/>
        </w:rPr>
        <w:t xml:space="preserve">x/xref × 100% </w:t>
      </w:r>
      <w:r w:rsidR="002D38D2" w:rsidRPr="00565D41">
        <w:rPr>
          <w:lang w:val="en-US"/>
        </w:rPr>
        <w:t xml:space="preserve">where </w:t>
      </w:r>
    </w:p>
    <w:p w14:paraId="1CC9AAAE" w14:textId="0E06BE79" w:rsidR="00B80483" w:rsidRPr="00565D41" w:rsidRDefault="002D38D2" w:rsidP="00565D41">
      <w:pPr>
        <w:ind w:left="709"/>
        <w:rPr>
          <w:lang w:val="en-US"/>
        </w:rPr>
      </w:pPr>
      <w:r w:rsidRPr="00565D41">
        <w:rPr>
          <w:lang w:val="en-US"/>
        </w:rPr>
        <w:t xml:space="preserve">x </w:t>
      </w:r>
      <w:r w:rsidR="00B80483" w:rsidRPr="00565D41">
        <w:rPr>
          <w:lang w:val="en-US"/>
        </w:rPr>
        <w:t>= measured concentration (</w:t>
      </w:r>
      <w:bookmarkStart w:id="4" w:name="_Hlk32410716"/>
      <w:r w:rsidR="00B80483" w:rsidRPr="00565D41">
        <w:rPr>
          <w:lang w:val="en-US"/>
        </w:rPr>
        <w:t>for spiked samples corrected for background concentration if not blank)</w:t>
      </w:r>
      <w:bookmarkEnd w:id="4"/>
      <w:r w:rsidRPr="00565D41">
        <w:rPr>
          <w:lang w:val="en-US"/>
        </w:rPr>
        <w:t xml:space="preserve">, and </w:t>
      </w:r>
    </w:p>
    <w:p w14:paraId="7FA59D23" w14:textId="3EC47228" w:rsidR="00B80483" w:rsidRPr="00565D41" w:rsidRDefault="00B80483" w:rsidP="00565D41">
      <w:pPr>
        <w:ind w:left="709"/>
        <w:rPr>
          <w:lang w:val="en-US"/>
        </w:rPr>
      </w:pPr>
      <w:r w:rsidRPr="00565D41">
        <w:rPr>
          <w:lang w:val="en-US"/>
        </w:rPr>
        <w:t>xref = reference concentration (concentration of a Certified Reference Material (CRM), Proficiency Test material, or spiked sample)</w:t>
      </w:r>
      <w:r w:rsidR="00EC1011" w:rsidRPr="00565D41">
        <w:rPr>
          <w:lang w:val="en-US"/>
        </w:rPr>
        <w:t>;</w:t>
      </w:r>
      <w:r w:rsidRPr="00565D41">
        <w:rPr>
          <w:lang w:val="en-US"/>
        </w:rPr>
        <w:tab/>
      </w:r>
    </w:p>
    <w:p w14:paraId="0F8A564F" w14:textId="3209F443" w:rsidR="00B80483" w:rsidRPr="00565D41" w:rsidRDefault="002D38D2" w:rsidP="00B80483">
      <w:pPr>
        <w:rPr>
          <w:iCs/>
          <w:lang w:val="en-US"/>
        </w:rPr>
      </w:pPr>
      <w:r w:rsidRPr="00565D41">
        <w:rPr>
          <w:iCs/>
          <w:lang w:val="en-US"/>
        </w:rPr>
        <w:t>(8) ‘</w:t>
      </w:r>
      <w:r w:rsidR="00EC1011" w:rsidRPr="00565D41">
        <w:rPr>
          <w:iCs/>
          <w:lang w:val="en-US"/>
        </w:rPr>
        <w:t>b</w:t>
      </w:r>
      <w:r w:rsidR="00B80483" w:rsidRPr="00565D41">
        <w:rPr>
          <w:iCs/>
          <w:lang w:val="en-US"/>
        </w:rPr>
        <w:t>ias</w:t>
      </w:r>
      <w:r w:rsidRPr="00565D41">
        <w:rPr>
          <w:iCs/>
          <w:lang w:val="en-US"/>
        </w:rPr>
        <w:t xml:space="preserve">’ means the </w:t>
      </w:r>
      <w:r w:rsidR="00B80483" w:rsidRPr="00565D41">
        <w:rPr>
          <w:iCs/>
          <w:lang w:val="en-US"/>
        </w:rPr>
        <w:t>difference between the measured value and the reference concentration</w:t>
      </w:r>
    </w:p>
    <w:p w14:paraId="5E43CC03" w14:textId="047F3D6D" w:rsidR="00B80483" w:rsidRPr="00565D41" w:rsidRDefault="002D38D2" w:rsidP="00B80483">
      <w:pPr>
        <w:rPr>
          <w:lang w:val="en-US"/>
        </w:rPr>
      </w:pPr>
      <w:r w:rsidRPr="00565D41">
        <w:rPr>
          <w:lang w:val="en-US"/>
        </w:rPr>
        <w:t xml:space="preserve">(9) </w:t>
      </w:r>
      <w:r w:rsidR="00EC1011" w:rsidRPr="00565D41">
        <w:rPr>
          <w:lang w:val="en-US"/>
        </w:rPr>
        <w:t>‘r</w:t>
      </w:r>
      <w:r w:rsidR="00B80483" w:rsidRPr="00565D41">
        <w:rPr>
          <w:lang w:val="en-US"/>
        </w:rPr>
        <w:t>epeatability relative standard deviation</w:t>
      </w:r>
      <w:r w:rsidRPr="00565D41">
        <w:rPr>
          <w:i/>
          <w:lang w:val="en-US"/>
        </w:rPr>
        <w:t xml:space="preserve"> </w:t>
      </w:r>
      <w:r w:rsidRPr="00565D41">
        <w:rPr>
          <w:iCs/>
          <w:lang w:val="en-US"/>
        </w:rPr>
        <w:t>(</w:t>
      </w:r>
      <w:r w:rsidRPr="00565D41">
        <w:rPr>
          <w:lang w:val="en-US"/>
        </w:rPr>
        <w:t xml:space="preserve">RSDr)’ means </w:t>
      </w:r>
      <w:bookmarkStart w:id="5" w:name="_Hlk30411147"/>
      <w:r w:rsidRPr="00565D41">
        <w:rPr>
          <w:lang w:val="en-US"/>
        </w:rPr>
        <w:t>the r</w:t>
      </w:r>
      <w:r w:rsidR="00B80483" w:rsidRPr="00565D41">
        <w:rPr>
          <w:lang w:val="en-US"/>
        </w:rPr>
        <w:t>elative standard deviation (%) calculated from results generated under repeatability conditions (repeatability precision): using the same method on the same sample material in one laboratory by the same operator, with the same instrument, within a short interval of time (1 day or 1 sequence)</w:t>
      </w:r>
      <w:r w:rsidR="00EC1011" w:rsidRPr="00565D41">
        <w:rPr>
          <w:lang w:val="en-US"/>
        </w:rPr>
        <w:t>;</w:t>
      </w:r>
      <w:bookmarkEnd w:id="5"/>
    </w:p>
    <w:p w14:paraId="2D3E22F8" w14:textId="56BFC835" w:rsidR="00B80483" w:rsidRPr="00565D41" w:rsidRDefault="002D38D2" w:rsidP="00B80483">
      <w:pPr>
        <w:rPr>
          <w:lang w:val="en-US"/>
        </w:rPr>
      </w:pPr>
      <w:r w:rsidRPr="00565D41">
        <w:rPr>
          <w:lang w:val="en-US"/>
        </w:rPr>
        <w:lastRenderedPageBreak/>
        <w:t>(10) ‘</w:t>
      </w:r>
      <w:r w:rsidR="00EC1011" w:rsidRPr="00565D41">
        <w:rPr>
          <w:lang w:val="en-US"/>
        </w:rPr>
        <w:t>w</w:t>
      </w:r>
      <w:r w:rsidR="00B80483" w:rsidRPr="00565D41">
        <w:rPr>
          <w:lang w:val="en-US"/>
        </w:rPr>
        <w:t>ithin-laboratory reproducibility relative standard deviation</w:t>
      </w:r>
      <w:r w:rsidRPr="00565D41">
        <w:rPr>
          <w:lang w:val="en-US"/>
        </w:rPr>
        <w:t xml:space="preserve"> (RSDw</w:t>
      </w:r>
      <w:r w:rsidRPr="00565D41">
        <w:rPr>
          <w:vertAlign w:val="subscript"/>
          <w:lang w:val="en-US"/>
        </w:rPr>
        <w:t>R</w:t>
      </w:r>
      <w:r w:rsidRPr="00565D41">
        <w:rPr>
          <w:lang w:val="en-US"/>
        </w:rPr>
        <w:t xml:space="preserve">)’ means the </w:t>
      </w:r>
      <w:bookmarkStart w:id="6" w:name="_Hlk30411024"/>
      <w:r w:rsidRPr="00565D41">
        <w:rPr>
          <w:lang w:val="en-US"/>
        </w:rPr>
        <w:t>r</w:t>
      </w:r>
      <w:r w:rsidR="00B80483" w:rsidRPr="00565D41">
        <w:rPr>
          <w:lang w:val="en-US"/>
        </w:rPr>
        <w:t xml:space="preserve">elative standard deviation (%) calculated from results generated under within-laboratory reproducibility conditions (intermediate precision): using the same method on the same sample material in one laboratory but different days (preferably a longer time interval), and may include other conditions, </w:t>
      </w:r>
      <w:r w:rsidR="009E7B24" w:rsidRPr="00565D41">
        <w:rPr>
          <w:lang w:val="en-US"/>
        </w:rPr>
        <w:t xml:space="preserve">such as </w:t>
      </w:r>
      <w:r w:rsidR="00B80483" w:rsidRPr="00565D41">
        <w:rPr>
          <w:lang w:val="en-US"/>
        </w:rPr>
        <w:t>involving different operators and/or different (equivalent) instruments</w:t>
      </w:r>
      <w:r w:rsidR="00EC1011" w:rsidRPr="00565D41">
        <w:rPr>
          <w:lang w:val="en-US"/>
        </w:rPr>
        <w:t>;</w:t>
      </w:r>
      <w:bookmarkEnd w:id="6"/>
    </w:p>
    <w:p w14:paraId="2BD00A13" w14:textId="3A05274D" w:rsidR="00B80483" w:rsidRPr="00565D41" w:rsidRDefault="002D38D2" w:rsidP="00B80483">
      <w:pPr>
        <w:rPr>
          <w:lang w:val="en-US"/>
        </w:rPr>
      </w:pPr>
      <w:r w:rsidRPr="00565D41">
        <w:rPr>
          <w:lang w:val="en-US"/>
        </w:rPr>
        <w:t>(11) ‘</w:t>
      </w:r>
      <w:r w:rsidR="00EC1011" w:rsidRPr="00565D41">
        <w:rPr>
          <w:lang w:val="en-US"/>
        </w:rPr>
        <w:t>r</w:t>
      </w:r>
      <w:r w:rsidRPr="00565D41">
        <w:rPr>
          <w:lang w:val="en-US"/>
        </w:rPr>
        <w:t>eproducibility relative standard deviation (</w:t>
      </w:r>
      <w:r w:rsidR="00B80483" w:rsidRPr="00565D41">
        <w:rPr>
          <w:lang w:val="en-US"/>
        </w:rPr>
        <w:t>RSD</w:t>
      </w:r>
      <w:r w:rsidR="00B80483" w:rsidRPr="00565D41">
        <w:rPr>
          <w:vertAlign w:val="subscript"/>
          <w:lang w:val="en-US"/>
        </w:rPr>
        <w:t>R</w:t>
      </w:r>
      <w:r w:rsidRPr="00565D41">
        <w:rPr>
          <w:lang w:val="en-US"/>
        </w:rPr>
        <w:t>)’ means the re</w:t>
      </w:r>
      <w:r w:rsidR="00B80483" w:rsidRPr="00565D41">
        <w:rPr>
          <w:lang w:val="en-US"/>
        </w:rPr>
        <w:t>lative standard deviation (%) calculated from results generated under reproducibility conditions</w:t>
      </w:r>
      <w:bookmarkStart w:id="7" w:name="_Hlk26353536"/>
      <w:r w:rsidR="00B80483" w:rsidRPr="00565D41">
        <w:rPr>
          <w:lang w:val="en-US"/>
        </w:rPr>
        <w:t xml:space="preserve"> (interlaboratory precision), meaning the same material is analysed by different laboratories. The RSD</w:t>
      </w:r>
      <w:r w:rsidR="00B80483" w:rsidRPr="00565D41">
        <w:rPr>
          <w:vertAlign w:val="subscript"/>
          <w:lang w:val="en-US"/>
        </w:rPr>
        <w:t>R</w:t>
      </w:r>
      <w:r w:rsidR="00B80483" w:rsidRPr="00565D41">
        <w:rPr>
          <w:lang w:val="en-US"/>
        </w:rPr>
        <w:t xml:space="preserve"> </w:t>
      </w:r>
      <w:r w:rsidR="009E7B24" w:rsidRPr="00565D41">
        <w:rPr>
          <w:lang w:val="en-US"/>
        </w:rPr>
        <w:t xml:space="preserve">may </w:t>
      </w:r>
      <w:r w:rsidR="00B80483" w:rsidRPr="00565D41">
        <w:rPr>
          <w:lang w:val="en-US"/>
        </w:rPr>
        <w:t>be derived from</w:t>
      </w:r>
      <w:r w:rsidR="009E7B24" w:rsidRPr="00565D41">
        <w:rPr>
          <w:lang w:val="en-US"/>
        </w:rPr>
        <w:t>,</w:t>
      </w:r>
      <w:r w:rsidR="00B80483" w:rsidRPr="00565D41">
        <w:rPr>
          <w:lang w:val="en-US"/>
        </w:rPr>
        <w:t xml:space="preserve"> </w:t>
      </w:r>
      <w:r w:rsidR="009E7B24" w:rsidRPr="00565D41">
        <w:rPr>
          <w:lang w:val="en-US"/>
        </w:rPr>
        <w:t xml:space="preserve">in particular, </w:t>
      </w:r>
      <w:r w:rsidR="00B80483" w:rsidRPr="00565D41">
        <w:rPr>
          <w:lang w:val="en-US"/>
        </w:rPr>
        <w:t>collaborative studies and proficiency tests</w:t>
      </w:r>
      <w:r w:rsidR="00EC1011" w:rsidRPr="00565D41">
        <w:rPr>
          <w:lang w:val="en-US"/>
        </w:rPr>
        <w:t>;</w:t>
      </w:r>
      <w:bookmarkEnd w:id="7"/>
    </w:p>
    <w:p w14:paraId="36E63B80" w14:textId="64C548FE" w:rsidR="00B80483" w:rsidRPr="00565D41" w:rsidRDefault="002D38D2" w:rsidP="00B80483">
      <w:pPr>
        <w:rPr>
          <w:lang w:val="en-US"/>
        </w:rPr>
      </w:pPr>
      <w:r w:rsidRPr="00565D41">
        <w:rPr>
          <w:iCs/>
          <w:lang w:val="en-US"/>
        </w:rPr>
        <w:t>(12) ‘</w:t>
      </w:r>
      <w:r w:rsidR="00EC1011" w:rsidRPr="00565D41">
        <w:rPr>
          <w:iCs/>
          <w:lang w:val="en-US"/>
        </w:rPr>
        <w:t>l</w:t>
      </w:r>
      <w:r w:rsidRPr="00565D41">
        <w:rPr>
          <w:iCs/>
          <w:lang w:val="en-US"/>
        </w:rPr>
        <w:t>imit of Quantification (</w:t>
      </w:r>
      <w:r w:rsidR="00B80483" w:rsidRPr="00565D41">
        <w:rPr>
          <w:lang w:val="en-US"/>
        </w:rPr>
        <w:t>LOQ</w:t>
      </w:r>
      <w:r w:rsidRPr="00565D41">
        <w:rPr>
          <w:lang w:val="en-US"/>
        </w:rPr>
        <w:t xml:space="preserve">)’ means </w:t>
      </w:r>
      <w:bookmarkStart w:id="8" w:name="_Hlk30411190"/>
      <w:r w:rsidR="00B80483" w:rsidRPr="00565D41">
        <w:rPr>
          <w:lang w:val="en-US"/>
        </w:rPr>
        <w:t>the lowest content of the analyte which can be measured with reasonable statistical certainty. In the context of this regulation this means the lowest successfully validated level: the lowest tested concentration of analyte in a sample material, for which it has been demonstrated that the criteria for recovery, precision, and identification are met</w:t>
      </w:r>
      <w:r w:rsidR="00B80483" w:rsidRPr="00F96564">
        <w:rPr>
          <w:rStyle w:val="FootnoteReference"/>
        </w:rPr>
        <w:footnoteReference w:id="4"/>
      </w:r>
      <w:r w:rsidR="00EC1011" w:rsidRPr="00565D41">
        <w:rPr>
          <w:lang w:val="en-US"/>
        </w:rPr>
        <w:t>;</w:t>
      </w:r>
      <w:r w:rsidR="00B80483" w:rsidRPr="00565D41">
        <w:rPr>
          <w:lang w:val="en-US"/>
        </w:rPr>
        <w:t xml:space="preserve">  </w:t>
      </w:r>
      <w:bookmarkEnd w:id="8"/>
    </w:p>
    <w:p w14:paraId="0B69378C" w14:textId="09371DD7" w:rsidR="00B80483" w:rsidRPr="00565D41" w:rsidRDefault="002D38D2" w:rsidP="00B80483">
      <w:pPr>
        <w:rPr>
          <w:iCs/>
        </w:rPr>
      </w:pPr>
      <w:r w:rsidRPr="00565D41">
        <w:rPr>
          <w:iCs/>
        </w:rPr>
        <w:t>(13) ‘</w:t>
      </w:r>
      <w:r w:rsidR="00EC1011" w:rsidRPr="00565D41">
        <w:rPr>
          <w:iCs/>
        </w:rPr>
        <w:t>s</w:t>
      </w:r>
      <w:r w:rsidR="00B80483" w:rsidRPr="00565D41">
        <w:rPr>
          <w:iCs/>
        </w:rPr>
        <w:t>creening target concentration (STC)</w:t>
      </w:r>
      <w:r w:rsidRPr="00565D41">
        <w:rPr>
          <w:iCs/>
        </w:rPr>
        <w:t>’ means</w:t>
      </w:r>
      <w:r w:rsidR="00B80483" w:rsidRPr="00565D41">
        <w:rPr>
          <w:iCs/>
        </w:rPr>
        <w:t xml:space="preserve"> the concentration of interest for detection of the mycotoxin in a sample. When the aim is to test compliance with regulatory limits, the STC is equal to the applicable maximum level. For other purposes or in case no maximum level has been established, the STC is predefined by the laboratory</w:t>
      </w:r>
      <w:r w:rsidR="00EC1011" w:rsidRPr="00565D41">
        <w:rPr>
          <w:lang w:val="en-US"/>
        </w:rPr>
        <w:t>;</w:t>
      </w:r>
    </w:p>
    <w:p w14:paraId="5E84A523" w14:textId="46F7D4D5" w:rsidR="00B80483" w:rsidRPr="00565D41" w:rsidRDefault="002D38D2" w:rsidP="00B80483">
      <w:pPr>
        <w:rPr>
          <w:iCs/>
          <w:lang w:val="en-US"/>
        </w:rPr>
      </w:pPr>
      <w:r w:rsidRPr="00565D41">
        <w:rPr>
          <w:iCs/>
        </w:rPr>
        <w:t xml:space="preserve">(14) </w:t>
      </w:r>
      <w:r w:rsidR="00305208" w:rsidRPr="00565D41">
        <w:rPr>
          <w:iCs/>
        </w:rPr>
        <w:t>‘</w:t>
      </w:r>
      <w:r w:rsidR="00EC1011" w:rsidRPr="00565D41">
        <w:rPr>
          <w:iCs/>
        </w:rPr>
        <w:t>s</w:t>
      </w:r>
      <w:r w:rsidR="00B80483" w:rsidRPr="00565D41">
        <w:rPr>
          <w:iCs/>
        </w:rPr>
        <w:t>creening method</w:t>
      </w:r>
      <w:r w:rsidR="00305208" w:rsidRPr="00565D41">
        <w:rPr>
          <w:iCs/>
        </w:rPr>
        <w:t>’</w:t>
      </w:r>
      <w:r w:rsidR="00B80483" w:rsidRPr="00565D41">
        <w:rPr>
          <w:iCs/>
        </w:rPr>
        <w:t xml:space="preserve"> </w:t>
      </w:r>
      <w:r w:rsidR="00B80483" w:rsidRPr="00565D41">
        <w:rPr>
          <w:iCs/>
          <w:lang w:val="en-US"/>
        </w:rPr>
        <w:t xml:space="preserve">means </w:t>
      </w:r>
      <w:r w:rsidRPr="00565D41">
        <w:rPr>
          <w:iCs/>
          <w:lang w:val="en-US"/>
        </w:rPr>
        <w:t xml:space="preserve">the </w:t>
      </w:r>
      <w:r w:rsidR="00B80483" w:rsidRPr="00565D41">
        <w:rPr>
          <w:iCs/>
          <w:lang w:val="en-US"/>
        </w:rPr>
        <w:t xml:space="preserve">method used for selection of those samples with levels of mycotoxins that exceed the screening target concentration (STC), with a given certainty. For the purpose of mycotoxin screening, a certainty of 95% is considered fit-for-purpose. The result of the screening analysis is either </w:t>
      </w:r>
      <w:r w:rsidR="001C7600" w:rsidRPr="00565D41">
        <w:rPr>
          <w:iCs/>
          <w:lang w:val="en-US"/>
        </w:rPr>
        <w:t>‘</w:t>
      </w:r>
      <w:r w:rsidR="00B80483" w:rsidRPr="00565D41">
        <w:rPr>
          <w:iCs/>
          <w:lang w:val="en-US"/>
        </w:rPr>
        <w:t>negative</w:t>
      </w:r>
      <w:r w:rsidR="001C7600" w:rsidRPr="00565D41">
        <w:rPr>
          <w:iCs/>
          <w:lang w:val="en-US"/>
        </w:rPr>
        <w:t>’</w:t>
      </w:r>
      <w:r w:rsidR="00B80483" w:rsidRPr="00565D41">
        <w:rPr>
          <w:iCs/>
          <w:lang w:val="en-US"/>
        </w:rPr>
        <w:t xml:space="preserve"> or </w:t>
      </w:r>
      <w:r w:rsidR="001C7600" w:rsidRPr="00565D41">
        <w:rPr>
          <w:iCs/>
          <w:lang w:val="en-US"/>
        </w:rPr>
        <w:t>‘</w:t>
      </w:r>
      <w:r w:rsidR="00B80483" w:rsidRPr="00565D41">
        <w:rPr>
          <w:iCs/>
          <w:lang w:val="en-US"/>
        </w:rPr>
        <w:t>suspect</w:t>
      </w:r>
      <w:r w:rsidR="001C7600" w:rsidRPr="00565D41">
        <w:rPr>
          <w:iCs/>
          <w:lang w:val="en-US"/>
        </w:rPr>
        <w:t>’</w:t>
      </w:r>
      <w:r w:rsidR="00B80483" w:rsidRPr="00565D41">
        <w:rPr>
          <w:iCs/>
          <w:lang w:val="en-US"/>
        </w:rPr>
        <w:t>. Screening methods shall allow a cost-effective high sample-throughput, thus increasing the chance to discover new incidents with high exposure and health risks to consumers. These methods shall be based on bio-analytical, LC-MS or HPLC methods. Results from samples exceeding the cut-off value shall be verified by a full re-analysis from the original sample by a confirmatory method</w:t>
      </w:r>
      <w:r w:rsidR="00EC1011" w:rsidRPr="00565D41">
        <w:rPr>
          <w:lang w:val="en-US"/>
        </w:rPr>
        <w:t>;</w:t>
      </w:r>
    </w:p>
    <w:p w14:paraId="21C02129" w14:textId="7E597C5D" w:rsidR="00B80483" w:rsidRPr="00565D41" w:rsidRDefault="00305208" w:rsidP="00B80483">
      <w:pPr>
        <w:rPr>
          <w:iCs/>
        </w:rPr>
      </w:pPr>
      <w:r w:rsidRPr="00565D41">
        <w:rPr>
          <w:iCs/>
        </w:rPr>
        <w:t xml:space="preserve">(15) </w:t>
      </w:r>
      <w:r w:rsidR="00B80483" w:rsidRPr="00565D41">
        <w:rPr>
          <w:iCs/>
        </w:rPr>
        <w:t>'</w:t>
      </w:r>
      <w:r w:rsidR="00EC1011" w:rsidRPr="00565D41">
        <w:rPr>
          <w:iCs/>
        </w:rPr>
        <w:t>n</w:t>
      </w:r>
      <w:r w:rsidR="00B80483" w:rsidRPr="00565D41">
        <w:rPr>
          <w:iCs/>
        </w:rPr>
        <w:t>egative sample' means the mycotoxin content in the sample is &lt; STC with a certainty of 95% (i.e. there is a 5% chance that samples will be incorrectly reported as negative)</w:t>
      </w:r>
      <w:r w:rsidR="00EC1011" w:rsidRPr="00565D41">
        <w:rPr>
          <w:lang w:val="en-US"/>
        </w:rPr>
        <w:t>;</w:t>
      </w:r>
    </w:p>
    <w:p w14:paraId="62C4D585" w14:textId="398F29E6" w:rsidR="00B80483" w:rsidRPr="00565D41" w:rsidRDefault="00305208" w:rsidP="00B80483">
      <w:pPr>
        <w:rPr>
          <w:iCs/>
        </w:rPr>
      </w:pPr>
      <w:r w:rsidRPr="00565D41">
        <w:rPr>
          <w:iCs/>
        </w:rPr>
        <w:t xml:space="preserve">(16) </w:t>
      </w:r>
      <w:r w:rsidR="00B80483" w:rsidRPr="00565D41">
        <w:rPr>
          <w:iCs/>
        </w:rPr>
        <w:t>'</w:t>
      </w:r>
      <w:r w:rsidR="00EC1011" w:rsidRPr="00565D41">
        <w:rPr>
          <w:iCs/>
        </w:rPr>
        <w:t>f</w:t>
      </w:r>
      <w:r w:rsidR="00B80483" w:rsidRPr="00565D41">
        <w:rPr>
          <w:iCs/>
        </w:rPr>
        <w:t>alse negative sample' means the mycotoxin content in the sample is &gt;STC but it has been identified as negative</w:t>
      </w:r>
      <w:r w:rsidR="00EC1011" w:rsidRPr="00565D41">
        <w:rPr>
          <w:lang w:val="en-US"/>
        </w:rPr>
        <w:t>;</w:t>
      </w:r>
      <w:r w:rsidR="00B80483" w:rsidRPr="00565D41">
        <w:rPr>
          <w:iCs/>
        </w:rPr>
        <w:t xml:space="preserve"> </w:t>
      </w:r>
    </w:p>
    <w:p w14:paraId="34402EED" w14:textId="72C17E79" w:rsidR="00B80483" w:rsidRPr="00565D41" w:rsidRDefault="00305208" w:rsidP="00B80483">
      <w:pPr>
        <w:rPr>
          <w:iCs/>
        </w:rPr>
      </w:pPr>
      <w:r w:rsidRPr="00565D41">
        <w:rPr>
          <w:iCs/>
        </w:rPr>
        <w:t xml:space="preserve">(17) </w:t>
      </w:r>
      <w:r w:rsidR="00B80483" w:rsidRPr="00565D41">
        <w:rPr>
          <w:iCs/>
        </w:rPr>
        <w:t>'</w:t>
      </w:r>
      <w:r w:rsidR="00EC1011" w:rsidRPr="00565D41">
        <w:rPr>
          <w:iCs/>
        </w:rPr>
        <w:t>s</w:t>
      </w:r>
      <w:r w:rsidR="00B80483" w:rsidRPr="00565D41">
        <w:rPr>
          <w:iCs/>
        </w:rPr>
        <w:t>uspect sample' (screen positive) means the sample exceeds the cut-off level and may contain the mycotoxin at a level higher than the STC.</w:t>
      </w:r>
      <w:r w:rsidR="00EC1011" w:rsidRPr="00565D41">
        <w:rPr>
          <w:lang w:val="en-US"/>
        </w:rPr>
        <w:t>;</w:t>
      </w:r>
      <w:r w:rsidR="00B80483" w:rsidRPr="00565D41">
        <w:rPr>
          <w:iCs/>
        </w:rPr>
        <w:t xml:space="preserve"> </w:t>
      </w:r>
    </w:p>
    <w:p w14:paraId="1D550B3F" w14:textId="4603A227" w:rsidR="00B80483" w:rsidRPr="00565D41" w:rsidRDefault="00305208" w:rsidP="00B80483">
      <w:pPr>
        <w:rPr>
          <w:iCs/>
        </w:rPr>
      </w:pPr>
      <w:r w:rsidRPr="00565D41">
        <w:rPr>
          <w:iCs/>
        </w:rPr>
        <w:t xml:space="preserve">(18) </w:t>
      </w:r>
      <w:r w:rsidR="00B80483" w:rsidRPr="00565D41">
        <w:rPr>
          <w:iCs/>
        </w:rPr>
        <w:t>'</w:t>
      </w:r>
      <w:r w:rsidR="00EC1011" w:rsidRPr="00565D41">
        <w:rPr>
          <w:iCs/>
        </w:rPr>
        <w:t>f</w:t>
      </w:r>
      <w:r w:rsidR="00B80483" w:rsidRPr="00565D41">
        <w:rPr>
          <w:iCs/>
        </w:rPr>
        <w:t xml:space="preserve">alse suspect sample' </w:t>
      </w:r>
      <w:bookmarkStart w:id="9" w:name="_Hlk145973016"/>
      <w:r w:rsidR="00B80483" w:rsidRPr="00565D41">
        <w:rPr>
          <w:iCs/>
        </w:rPr>
        <w:t>means</w:t>
      </w:r>
      <w:bookmarkEnd w:id="9"/>
      <w:r w:rsidR="00B80483" w:rsidRPr="00565D41">
        <w:rPr>
          <w:iCs/>
        </w:rPr>
        <w:t xml:space="preserve"> a negative sample that has been identified as suspect</w:t>
      </w:r>
      <w:r w:rsidR="00EC1011" w:rsidRPr="00565D41">
        <w:rPr>
          <w:lang w:val="en-US"/>
        </w:rPr>
        <w:t>;</w:t>
      </w:r>
    </w:p>
    <w:p w14:paraId="629D3EDC" w14:textId="27FDF117" w:rsidR="00B80483" w:rsidRPr="00565D41" w:rsidRDefault="00305208" w:rsidP="00B80483">
      <w:pPr>
        <w:rPr>
          <w:iCs/>
        </w:rPr>
      </w:pPr>
      <w:r w:rsidRPr="00565D41">
        <w:rPr>
          <w:iCs/>
        </w:rPr>
        <w:t xml:space="preserve">(19) </w:t>
      </w:r>
      <w:r w:rsidR="00B80483" w:rsidRPr="00565D41">
        <w:rPr>
          <w:iCs/>
        </w:rPr>
        <w:t>'</w:t>
      </w:r>
      <w:r w:rsidR="00AC7350">
        <w:rPr>
          <w:iCs/>
        </w:rPr>
        <w:t>c</w:t>
      </w:r>
      <w:r w:rsidR="00B80483" w:rsidRPr="00565D41">
        <w:rPr>
          <w:iCs/>
        </w:rPr>
        <w:t>onfirmatory methods' means methods that provide full or complementary information enabling the mycotoxin to be identified and quantified unequivocally at the level of interest</w:t>
      </w:r>
      <w:r w:rsidR="00EC1011" w:rsidRPr="00565D41">
        <w:rPr>
          <w:lang w:val="en-US"/>
        </w:rPr>
        <w:t>;</w:t>
      </w:r>
      <w:r w:rsidR="00B80483" w:rsidRPr="00565D41">
        <w:rPr>
          <w:iCs/>
        </w:rPr>
        <w:t xml:space="preserve"> </w:t>
      </w:r>
    </w:p>
    <w:p w14:paraId="458168FF" w14:textId="3423C935" w:rsidR="00B80483" w:rsidRPr="00565D41" w:rsidRDefault="00305208" w:rsidP="00B80483">
      <w:pPr>
        <w:rPr>
          <w:iCs/>
        </w:rPr>
      </w:pPr>
      <w:r w:rsidRPr="00565D41">
        <w:rPr>
          <w:iCs/>
        </w:rPr>
        <w:t xml:space="preserve">(20) </w:t>
      </w:r>
      <w:r w:rsidR="00B80483" w:rsidRPr="00565D41">
        <w:rPr>
          <w:iCs/>
        </w:rPr>
        <w:t>‘</w:t>
      </w:r>
      <w:r w:rsidR="00EC1011" w:rsidRPr="00565D41">
        <w:rPr>
          <w:iCs/>
        </w:rPr>
        <w:t>c</w:t>
      </w:r>
      <w:r w:rsidR="00B80483" w:rsidRPr="00565D41">
        <w:rPr>
          <w:iCs/>
        </w:rPr>
        <w:t>ut-off level’ means the response, signal, or concentration, obtained with the screening method, above which the sample is classified as ‘suspect’. The cut-off is determined during the validation and takes the variability of the measurement into account</w:t>
      </w:r>
      <w:r w:rsidR="00EC1011" w:rsidRPr="00565D41">
        <w:rPr>
          <w:lang w:val="en-US"/>
        </w:rPr>
        <w:t>;</w:t>
      </w:r>
    </w:p>
    <w:p w14:paraId="10A5C7C5" w14:textId="28B25FEA" w:rsidR="00B80483" w:rsidRPr="00565D41" w:rsidRDefault="00305208" w:rsidP="00B80483">
      <w:pPr>
        <w:rPr>
          <w:iCs/>
        </w:rPr>
      </w:pPr>
      <w:r w:rsidRPr="00565D41">
        <w:rPr>
          <w:iCs/>
        </w:rPr>
        <w:t xml:space="preserve">(21) </w:t>
      </w:r>
      <w:r w:rsidR="00B80483" w:rsidRPr="00565D41">
        <w:rPr>
          <w:iCs/>
        </w:rPr>
        <w:t>‘</w:t>
      </w:r>
      <w:r w:rsidR="00EC1011" w:rsidRPr="00565D41">
        <w:rPr>
          <w:iCs/>
        </w:rPr>
        <w:t>n</w:t>
      </w:r>
      <w:r w:rsidR="00B80483" w:rsidRPr="00565D41">
        <w:rPr>
          <w:iCs/>
        </w:rPr>
        <w:t>egative control (blank matrix) sample’ means a sample known to be free of the mycotoxin to be screened for, by previous determination using a confirmatory method of sufficient sensitivity</w:t>
      </w:r>
      <w:r w:rsidR="00AA01EB" w:rsidRPr="00565D41">
        <w:rPr>
          <w:iCs/>
        </w:rPr>
        <w:t xml:space="preserve"> or by other method</w:t>
      </w:r>
      <w:r w:rsidR="00854D43" w:rsidRPr="00565D41">
        <w:rPr>
          <w:iCs/>
        </w:rPr>
        <w:t xml:space="preserve"> or, where</w:t>
      </w:r>
      <w:r w:rsidR="00E5325D">
        <w:rPr>
          <w:iCs/>
        </w:rPr>
        <w:t xml:space="preserve"> </w:t>
      </w:r>
      <w:r w:rsidR="00854D43" w:rsidRPr="00565D41">
        <w:rPr>
          <w:iCs/>
        </w:rPr>
        <w:t>such</w:t>
      </w:r>
      <w:r w:rsidR="00B80483" w:rsidRPr="00565D41">
        <w:rPr>
          <w:iCs/>
        </w:rPr>
        <w:t xml:space="preserve"> sample can</w:t>
      </w:r>
      <w:r w:rsidR="003771F0">
        <w:rPr>
          <w:iCs/>
        </w:rPr>
        <w:t>not</w:t>
      </w:r>
      <w:r w:rsidR="00B80483" w:rsidRPr="00565D41">
        <w:rPr>
          <w:iCs/>
        </w:rPr>
        <w:t xml:space="preserve"> be obtained, material with the lowest obtainable level as long as the level allows the conclusion that the screening method is fit for that purpose</w:t>
      </w:r>
      <w:r w:rsidR="00EC1011" w:rsidRPr="00565D41">
        <w:rPr>
          <w:lang w:val="en-US"/>
        </w:rPr>
        <w:t>;</w:t>
      </w:r>
    </w:p>
    <w:p w14:paraId="6FCE5ECE" w14:textId="095CFF37" w:rsidR="00565D41" w:rsidRPr="00565D41" w:rsidRDefault="00EF6B8F" w:rsidP="00B80483">
      <w:pPr>
        <w:rPr>
          <w:lang w:val="en-US"/>
        </w:rPr>
      </w:pPr>
      <w:r w:rsidRPr="00565D41">
        <w:rPr>
          <w:iCs/>
        </w:rPr>
        <w:t>(22) ‘</w:t>
      </w:r>
      <w:r w:rsidR="00EC1011" w:rsidRPr="00565D41">
        <w:rPr>
          <w:iCs/>
        </w:rPr>
        <w:t>s</w:t>
      </w:r>
      <w:r w:rsidRPr="00565D41">
        <w:rPr>
          <w:iCs/>
        </w:rPr>
        <w:t>ample known to be free’ means</w:t>
      </w:r>
      <w:r w:rsidRPr="00565D41">
        <w:t xml:space="preserve"> a sample where the amount present </w:t>
      </w:r>
      <w:r w:rsidR="00EC1011" w:rsidRPr="00565D41">
        <w:t xml:space="preserve">of the analyte </w:t>
      </w:r>
      <w:r w:rsidRPr="00565D41">
        <w:t>does not exceed more than 1/5</w:t>
      </w:r>
      <w:r w:rsidRPr="00565D41">
        <w:rPr>
          <w:vertAlign w:val="superscript"/>
        </w:rPr>
        <w:t>th</w:t>
      </w:r>
      <w:r w:rsidRPr="00565D41">
        <w:t xml:space="preserve"> of the STC</w:t>
      </w:r>
      <w:r w:rsidR="00565D41" w:rsidRPr="00565D41">
        <w:t xml:space="preserve">. </w:t>
      </w:r>
      <w:r w:rsidRPr="00565D41">
        <w:t>If the level can be quantified with a confirmatory method, the level shall be taken into consideration for the validation assessment.</w:t>
      </w:r>
      <w:r w:rsidR="00EC1011" w:rsidRPr="00565D41">
        <w:rPr>
          <w:lang w:val="en-US"/>
        </w:rPr>
        <w:t xml:space="preserve"> </w:t>
      </w:r>
    </w:p>
    <w:p w14:paraId="42ED8ED5" w14:textId="5B180749" w:rsidR="00B80483" w:rsidRPr="00565D41" w:rsidRDefault="00305208" w:rsidP="00B80483">
      <w:pPr>
        <w:rPr>
          <w:iCs/>
        </w:rPr>
      </w:pPr>
      <w:r w:rsidRPr="00565D41">
        <w:rPr>
          <w:iCs/>
        </w:rPr>
        <w:t>(2</w:t>
      </w:r>
      <w:r w:rsidR="00EF6B8F" w:rsidRPr="00565D41">
        <w:rPr>
          <w:iCs/>
        </w:rPr>
        <w:t>3</w:t>
      </w:r>
      <w:r w:rsidRPr="00565D41">
        <w:rPr>
          <w:iCs/>
        </w:rPr>
        <w:t xml:space="preserve">) </w:t>
      </w:r>
      <w:r w:rsidR="00B80483" w:rsidRPr="00565D41">
        <w:rPr>
          <w:iCs/>
        </w:rPr>
        <w:t>‘</w:t>
      </w:r>
      <w:r w:rsidR="00EC1011" w:rsidRPr="00565D41">
        <w:rPr>
          <w:iCs/>
        </w:rPr>
        <w:t>p</w:t>
      </w:r>
      <w:r w:rsidR="00B80483" w:rsidRPr="00565D41">
        <w:rPr>
          <w:iCs/>
        </w:rPr>
        <w:t xml:space="preserve">ositive control sample’ means a sample containing the mycotoxin at the screening target concentration, </w:t>
      </w:r>
      <w:r w:rsidR="00AA01EB" w:rsidRPr="00565D41">
        <w:rPr>
          <w:iCs/>
        </w:rPr>
        <w:t xml:space="preserve">such as </w:t>
      </w:r>
      <w:r w:rsidR="00B80483" w:rsidRPr="00565D41">
        <w:rPr>
          <w:iCs/>
        </w:rPr>
        <w:t>a certified reference material, a material of known content (e.g. test material of proficiency tests) or otherwise sufficiently characterised by a confirmatory method. In the absence of any of the above, a blend of samples with different levels of contamination or a spiked sample prepared within laboratory and sufficiently characterised can be used, provided it can be proven that the contamination level has been verified.</w:t>
      </w:r>
    </w:p>
    <w:p w14:paraId="44886D3F" w14:textId="77777777" w:rsidR="00946DA5" w:rsidRPr="00565D41" w:rsidRDefault="00946DA5" w:rsidP="00565D41"/>
    <w:p w14:paraId="2FFE2BE7" w14:textId="40CA27DE" w:rsidR="007C6C3F" w:rsidRPr="00565D41" w:rsidRDefault="007C6C3F" w:rsidP="005573F8">
      <w:pPr>
        <w:pStyle w:val="Titrearticle"/>
      </w:pPr>
      <w:r w:rsidRPr="00565D41">
        <w:t xml:space="preserve">Article </w:t>
      </w:r>
      <w:r w:rsidR="00305208" w:rsidRPr="00565D41">
        <w:t>2</w:t>
      </w:r>
    </w:p>
    <w:p w14:paraId="44E70C31" w14:textId="4408E19C" w:rsidR="005573F8" w:rsidRPr="00D948B5" w:rsidRDefault="005573F8" w:rsidP="007F4747">
      <w:pPr>
        <w:pStyle w:val="Point0number"/>
        <w:numPr>
          <w:ilvl w:val="0"/>
          <w:numId w:val="11"/>
        </w:numPr>
        <w:rPr>
          <w:lang w:val="en-IE"/>
        </w:rPr>
      </w:pPr>
      <w:r w:rsidRPr="00D948B5">
        <w:rPr>
          <w:lang w:val="en-IE"/>
        </w:rPr>
        <w:t>Sampling for the control of the levels of mycotoxins in foods shall be carried out in accordance with the methods set out in Annex I.</w:t>
      </w:r>
    </w:p>
    <w:p w14:paraId="472D307F" w14:textId="26140AC4" w:rsidR="00565D41" w:rsidRDefault="00035278" w:rsidP="00D948B5">
      <w:pPr>
        <w:pStyle w:val="Point0number"/>
        <w:rPr>
          <w:lang w:val="en"/>
        </w:rPr>
      </w:pPr>
      <w:bookmarkStart w:id="10" w:name="_Hlk137053917"/>
      <w:r w:rsidRPr="00565D41">
        <w:rPr>
          <w:lang w:val="en-IE"/>
        </w:rPr>
        <w:t xml:space="preserve">In case </w:t>
      </w:r>
      <w:r w:rsidR="00C25D8D" w:rsidRPr="00565D41">
        <w:rPr>
          <w:lang w:val="en-IE"/>
        </w:rPr>
        <w:t>of a food</w:t>
      </w:r>
      <w:r w:rsidR="00565D41">
        <w:rPr>
          <w:lang w:val="en-IE"/>
        </w:rPr>
        <w:t xml:space="preserve"> </w:t>
      </w:r>
      <w:r w:rsidR="00C25D8D" w:rsidRPr="00565D41">
        <w:rPr>
          <w:lang w:val="en-IE"/>
        </w:rPr>
        <w:t xml:space="preserve">that cannot be classified in a food category for </w:t>
      </w:r>
      <w:r w:rsidR="00C25D8D" w:rsidRPr="00565D41">
        <w:rPr>
          <w:lang w:val="en"/>
        </w:rPr>
        <w:t xml:space="preserve">which a sampling procedure has been established in </w:t>
      </w:r>
      <w:r w:rsidR="00C25D8D" w:rsidRPr="00565D41">
        <w:rPr>
          <w:lang w:val="en-IE"/>
        </w:rPr>
        <w:t>Annex</w:t>
      </w:r>
      <w:r w:rsidR="00C25D8D" w:rsidRPr="00565D41">
        <w:rPr>
          <w:lang w:val="en"/>
        </w:rPr>
        <w:t xml:space="preserve"> I, the sampling </w:t>
      </w:r>
      <w:r w:rsidR="00F13ABA" w:rsidRPr="00565D41">
        <w:rPr>
          <w:lang w:val="en"/>
        </w:rPr>
        <w:t xml:space="preserve">procedure shall be determined having regard to the </w:t>
      </w:r>
      <w:r w:rsidR="00C25D8D" w:rsidRPr="00565D41">
        <w:rPr>
          <w:lang w:val="en"/>
        </w:rPr>
        <w:t xml:space="preserve">particle size </w:t>
      </w:r>
      <w:r w:rsidR="00F13ABA" w:rsidRPr="00565D41">
        <w:rPr>
          <w:lang w:val="en"/>
        </w:rPr>
        <w:t xml:space="preserve">of that food </w:t>
      </w:r>
      <w:r w:rsidR="00C25D8D" w:rsidRPr="00565D41">
        <w:rPr>
          <w:lang w:val="en"/>
        </w:rPr>
        <w:t>or</w:t>
      </w:r>
      <w:r w:rsidR="00873C17" w:rsidRPr="00565D41">
        <w:rPr>
          <w:lang w:val="en"/>
        </w:rPr>
        <w:t xml:space="preserve"> the</w:t>
      </w:r>
      <w:r w:rsidR="00C25D8D" w:rsidRPr="00565D41">
        <w:rPr>
          <w:lang w:val="en"/>
        </w:rPr>
        <w:t xml:space="preserve"> similarity </w:t>
      </w:r>
      <w:r w:rsidR="00F13ABA" w:rsidRPr="00565D41">
        <w:rPr>
          <w:lang w:val="en"/>
        </w:rPr>
        <w:t xml:space="preserve">of that food </w:t>
      </w:r>
      <w:r w:rsidR="00C25D8D" w:rsidRPr="00565D41">
        <w:rPr>
          <w:lang w:val="en"/>
        </w:rPr>
        <w:t xml:space="preserve">with a product that can be classified in </w:t>
      </w:r>
      <w:r w:rsidR="00873C17" w:rsidRPr="00565D41">
        <w:rPr>
          <w:lang w:val="en"/>
        </w:rPr>
        <w:t>one of the</w:t>
      </w:r>
      <w:r w:rsidR="00C25D8D" w:rsidRPr="00565D41">
        <w:rPr>
          <w:lang w:val="en"/>
        </w:rPr>
        <w:t xml:space="preserve"> food categor</w:t>
      </w:r>
      <w:r w:rsidR="00873C17" w:rsidRPr="00565D41">
        <w:rPr>
          <w:lang w:val="en"/>
        </w:rPr>
        <w:t>ies</w:t>
      </w:r>
      <w:r w:rsidR="00C25D8D" w:rsidRPr="00565D41">
        <w:rPr>
          <w:lang w:val="en"/>
        </w:rPr>
        <w:t xml:space="preserve"> in Annex I</w:t>
      </w:r>
      <w:r w:rsidR="00565D41">
        <w:rPr>
          <w:lang w:val="en"/>
        </w:rPr>
        <w:t>.</w:t>
      </w:r>
    </w:p>
    <w:p w14:paraId="1308529D" w14:textId="69EDD9B1" w:rsidR="00321398" w:rsidRPr="00565D41" w:rsidRDefault="00EF6B8F" w:rsidP="00D948B5">
      <w:pPr>
        <w:pStyle w:val="Point0number"/>
        <w:rPr>
          <w:lang w:val="en"/>
        </w:rPr>
      </w:pPr>
      <w:r w:rsidRPr="00565D41">
        <w:rPr>
          <w:lang w:val="en"/>
        </w:rPr>
        <w:t>I</w:t>
      </w:r>
      <w:r w:rsidR="001850FF" w:rsidRPr="00565D41">
        <w:rPr>
          <w:lang w:val="en"/>
        </w:rPr>
        <w:t>n case of a</w:t>
      </w:r>
      <w:r w:rsidR="00891BD8" w:rsidRPr="00565D41">
        <w:rPr>
          <w:lang w:val="en"/>
        </w:rPr>
        <w:t xml:space="preserve"> </w:t>
      </w:r>
      <w:r w:rsidR="00321398" w:rsidRPr="00565D41">
        <w:rPr>
          <w:lang w:val="en"/>
        </w:rPr>
        <w:t xml:space="preserve">foods </w:t>
      </w:r>
      <w:r w:rsidR="001850FF" w:rsidRPr="00565D41">
        <w:rPr>
          <w:lang w:val="en"/>
        </w:rPr>
        <w:t xml:space="preserve">that </w:t>
      </w:r>
      <w:r w:rsidR="00321398" w:rsidRPr="00565D41">
        <w:rPr>
          <w:lang w:val="en"/>
        </w:rPr>
        <w:t>cannot be classified in a</w:t>
      </w:r>
      <w:r w:rsidR="00873C17" w:rsidRPr="00565D41">
        <w:rPr>
          <w:lang w:val="en"/>
        </w:rPr>
        <w:t>ny</w:t>
      </w:r>
      <w:r w:rsidR="00321398" w:rsidRPr="00565D41">
        <w:rPr>
          <w:lang w:val="en"/>
        </w:rPr>
        <w:t xml:space="preserve"> food category listed in Annex I and </w:t>
      </w:r>
      <w:r w:rsidR="001850FF" w:rsidRPr="00565D41">
        <w:rPr>
          <w:lang w:val="en"/>
        </w:rPr>
        <w:t>provided</w:t>
      </w:r>
      <w:r w:rsidR="00321398" w:rsidRPr="00565D41">
        <w:rPr>
          <w:lang w:val="en"/>
        </w:rPr>
        <w:t xml:space="preserve"> that there is evidence that the mycotoxin is homogeneously distributed in such</w:t>
      </w:r>
      <w:r w:rsidR="001850FF" w:rsidRPr="00565D41">
        <w:rPr>
          <w:lang w:val="en"/>
        </w:rPr>
        <w:t xml:space="preserve"> a</w:t>
      </w:r>
      <w:r w:rsidR="00321398" w:rsidRPr="00565D41">
        <w:rPr>
          <w:lang w:val="en"/>
        </w:rPr>
        <w:t xml:space="preserve"> food, </w:t>
      </w:r>
      <w:r w:rsidR="00321398" w:rsidRPr="00565D41">
        <w:t xml:space="preserve">the </w:t>
      </w:r>
      <w:r w:rsidR="001850FF" w:rsidRPr="00565D41">
        <w:t xml:space="preserve">food </w:t>
      </w:r>
      <w:r w:rsidR="00ED6FAC" w:rsidRPr="00565D41">
        <w:t xml:space="preserve">shall </w:t>
      </w:r>
      <w:r w:rsidR="001850FF" w:rsidRPr="00565D41">
        <w:t>be sampled using the sample procedure</w:t>
      </w:r>
      <w:r w:rsidR="00321398" w:rsidRPr="00565D41">
        <w:t xml:space="preserve"> </w:t>
      </w:r>
      <w:bookmarkStart w:id="11" w:name="_Hlk145890067"/>
      <w:r w:rsidR="00D84F07" w:rsidRPr="00565D41">
        <w:t xml:space="preserve">laid down </w:t>
      </w:r>
      <w:bookmarkEnd w:id="11"/>
      <w:r w:rsidR="00321398" w:rsidRPr="00565D41">
        <w:t xml:space="preserve">in </w:t>
      </w:r>
      <w:r w:rsidR="001850FF" w:rsidRPr="00565D41">
        <w:t>P</w:t>
      </w:r>
      <w:r w:rsidR="00321398" w:rsidRPr="00565D41">
        <w:t xml:space="preserve">art B of the Annex to Regulation (EC) </w:t>
      </w:r>
      <w:r w:rsidR="0072145A" w:rsidRPr="00565D41">
        <w:t xml:space="preserve">No </w:t>
      </w:r>
      <w:r w:rsidR="00321398" w:rsidRPr="00565D41">
        <w:t>333/2007</w:t>
      </w:r>
      <w:r w:rsidR="00321398" w:rsidRPr="00565D41">
        <w:rPr>
          <w:rStyle w:val="FootnoteReference"/>
        </w:rPr>
        <w:footnoteReference w:id="5"/>
      </w:r>
      <w:r w:rsidR="00321398" w:rsidRPr="00565D41">
        <w:t xml:space="preserve"> .    </w:t>
      </w:r>
      <w:r w:rsidR="00321398" w:rsidRPr="00565D41">
        <w:rPr>
          <w:lang w:val="en"/>
        </w:rPr>
        <w:t xml:space="preserve"> </w:t>
      </w:r>
    </w:p>
    <w:bookmarkEnd w:id="10"/>
    <w:p w14:paraId="415610CD" w14:textId="4D156AC2" w:rsidR="007C6C3F" w:rsidRPr="00565D41" w:rsidRDefault="00321398" w:rsidP="005573F8">
      <w:pPr>
        <w:pStyle w:val="Titrearticle"/>
      </w:pPr>
      <w:r w:rsidRPr="00565D41">
        <w:t>A</w:t>
      </w:r>
      <w:r w:rsidR="007C6C3F" w:rsidRPr="00565D41">
        <w:t xml:space="preserve">rticle </w:t>
      </w:r>
      <w:r w:rsidR="00305208" w:rsidRPr="00565D41">
        <w:t>3</w:t>
      </w:r>
    </w:p>
    <w:p w14:paraId="1DCF520E" w14:textId="77777777" w:rsidR="00321398" w:rsidRPr="00565D41" w:rsidRDefault="005573F8" w:rsidP="005573F8">
      <w:pPr>
        <w:rPr>
          <w:lang w:val="en-IE"/>
        </w:rPr>
      </w:pPr>
      <w:r w:rsidRPr="00565D41">
        <w:rPr>
          <w:lang w:val="en-IE"/>
        </w:rPr>
        <w:t>Sample preparation and methods of analysis used for the control of the levels of mycotoxins in foodstuffs shall comply with the criteria set out in Annex II.</w:t>
      </w:r>
      <w:r w:rsidR="00321398" w:rsidRPr="00565D41">
        <w:rPr>
          <w:lang w:val="en-IE"/>
        </w:rPr>
        <w:tab/>
      </w:r>
    </w:p>
    <w:p w14:paraId="358BA4CD" w14:textId="49AD7A4E" w:rsidR="005573F8" w:rsidRPr="00565D41" w:rsidRDefault="005573F8" w:rsidP="00321398">
      <w:pPr>
        <w:pStyle w:val="Titrearticle"/>
        <w:rPr>
          <w:lang w:val="en-IE"/>
        </w:rPr>
      </w:pPr>
      <w:r w:rsidRPr="00565D41">
        <w:rPr>
          <w:lang w:val="en-IE"/>
        </w:rPr>
        <w:t xml:space="preserve">Article </w:t>
      </w:r>
      <w:r w:rsidR="00305208" w:rsidRPr="00565D41">
        <w:rPr>
          <w:lang w:val="en-IE"/>
        </w:rPr>
        <w:t>4</w:t>
      </w:r>
    </w:p>
    <w:p w14:paraId="493E0B6A" w14:textId="77777777" w:rsidR="005573F8" w:rsidRPr="00565D41" w:rsidRDefault="005573F8" w:rsidP="005573F8">
      <w:pPr>
        <w:rPr>
          <w:lang w:val="en-IE"/>
        </w:rPr>
      </w:pPr>
      <w:r w:rsidRPr="00565D41">
        <w:t xml:space="preserve">Regulation (EC) </w:t>
      </w:r>
      <w:r w:rsidR="0072145A" w:rsidRPr="00565D41">
        <w:t xml:space="preserve">No </w:t>
      </w:r>
      <w:r w:rsidRPr="00565D41">
        <w:t>401/2006 is hereby repealed</w:t>
      </w:r>
      <w:r w:rsidR="006B6F6B" w:rsidRPr="00565D41">
        <w:t>.</w:t>
      </w:r>
      <w:r w:rsidRPr="00565D41">
        <w:t xml:space="preserve"> References to the repealed Regulation shall be construed as references to this Implementing Regulation.</w:t>
      </w:r>
      <w:r w:rsidRPr="00565D41">
        <w:rPr>
          <w:lang w:val="en-IE"/>
        </w:rPr>
        <w:t xml:space="preserve"> </w:t>
      </w:r>
    </w:p>
    <w:p w14:paraId="6C48AB29" w14:textId="08E325FB" w:rsidR="00A953C2" w:rsidRPr="00565D41" w:rsidRDefault="00A953C2" w:rsidP="005573F8">
      <w:pPr>
        <w:rPr>
          <w:lang w:val="en-IE"/>
        </w:rPr>
      </w:pPr>
      <w:r w:rsidRPr="00565D41">
        <w:rPr>
          <w:lang w:val="en-IE"/>
        </w:rPr>
        <w:t xml:space="preserve">However, until </w:t>
      </w:r>
      <w:r w:rsidR="00872268" w:rsidRPr="00565D41">
        <w:rPr>
          <w:lang w:val="en-IE"/>
        </w:rPr>
        <w:t xml:space="preserve">1 </w:t>
      </w:r>
      <w:r w:rsidR="00F5277E" w:rsidRPr="00565D41">
        <w:rPr>
          <w:lang w:val="en-IE"/>
        </w:rPr>
        <w:t xml:space="preserve">January </w:t>
      </w:r>
      <w:r w:rsidR="00872268" w:rsidRPr="00565D41">
        <w:rPr>
          <w:lang w:val="en-IE"/>
        </w:rPr>
        <w:t>202</w:t>
      </w:r>
      <w:r w:rsidR="00F5277E" w:rsidRPr="00565D41">
        <w:rPr>
          <w:lang w:val="en-IE"/>
        </w:rPr>
        <w:t>9</w:t>
      </w:r>
      <w:r w:rsidRPr="00565D41">
        <w:rPr>
          <w:lang w:val="en-IE"/>
        </w:rPr>
        <w:t xml:space="preserve">, the specific requirements </w:t>
      </w:r>
      <w:r w:rsidRPr="00565D41">
        <w:t xml:space="preserve">provided for in point 4.3 in Annex II to Regulation (EC) </w:t>
      </w:r>
      <w:r w:rsidR="0072145A" w:rsidRPr="00565D41">
        <w:t xml:space="preserve">No </w:t>
      </w:r>
      <w:r w:rsidRPr="00565D41">
        <w:t xml:space="preserve">401/2006 shall continue to apply to methods which have been validated before the entry into application of this Regulation. </w:t>
      </w:r>
    </w:p>
    <w:p w14:paraId="3ADB32F0" w14:textId="0D34CBA1" w:rsidR="005573F8" w:rsidRPr="00565D41" w:rsidRDefault="005573F8" w:rsidP="00321398">
      <w:pPr>
        <w:pStyle w:val="Titrearticle"/>
      </w:pPr>
      <w:r w:rsidRPr="00565D41">
        <w:rPr>
          <w:lang w:val="en-IE"/>
        </w:rPr>
        <w:t xml:space="preserve">Article </w:t>
      </w:r>
      <w:r w:rsidR="00305208" w:rsidRPr="00565D41">
        <w:rPr>
          <w:lang w:val="en-IE"/>
        </w:rPr>
        <w:t>5</w:t>
      </w:r>
    </w:p>
    <w:p w14:paraId="063E0286" w14:textId="77777777" w:rsidR="00A953C2" w:rsidRPr="00565D41" w:rsidRDefault="007C6C3F" w:rsidP="007C6C3F">
      <w:r w:rsidRPr="00565D41">
        <w:t xml:space="preserve">This Regulation shall enter into force on the twentieth day following that of its publication in the </w:t>
      </w:r>
      <w:r w:rsidRPr="00565D41">
        <w:rPr>
          <w:i/>
        </w:rPr>
        <w:t>Official Journal of the European Union</w:t>
      </w:r>
      <w:r w:rsidRPr="00565D41">
        <w:t>.</w:t>
      </w:r>
    </w:p>
    <w:p w14:paraId="13F38049" w14:textId="0AB73632" w:rsidR="00F415B7" w:rsidRPr="00565D41" w:rsidRDefault="00252A6B" w:rsidP="007C6C3F">
      <w:r w:rsidRPr="00565D41">
        <w:t>It shall apply from</w:t>
      </w:r>
      <w:r w:rsidR="0016674C" w:rsidRPr="00565D41">
        <w:t xml:space="preserve"> </w:t>
      </w:r>
      <w:r w:rsidR="00B8073E" w:rsidRPr="00565D41">
        <w:t xml:space="preserve">1 </w:t>
      </w:r>
      <w:r w:rsidR="00F5277E" w:rsidRPr="00565D41">
        <w:t xml:space="preserve">April </w:t>
      </w:r>
      <w:r w:rsidR="00B8073E" w:rsidRPr="00565D41">
        <w:t>202</w:t>
      </w:r>
      <w:r w:rsidR="00273A93" w:rsidRPr="00565D41">
        <w:t>4</w:t>
      </w:r>
      <w:r w:rsidRPr="00565D41">
        <w:t xml:space="preserve">. </w:t>
      </w:r>
    </w:p>
    <w:p w14:paraId="7F8D2D6F" w14:textId="77777777" w:rsidR="007C6C3F" w:rsidRPr="00565D41" w:rsidRDefault="007C6C3F" w:rsidP="00A17FF0">
      <w:pPr>
        <w:pStyle w:val="Applicationdirecte"/>
        <w:keepNext/>
        <w:keepLines/>
      </w:pPr>
      <w:r w:rsidRPr="00565D41">
        <w:t>This Regulation shall be binding in its entirety and directly applicable in all Member States.</w:t>
      </w:r>
    </w:p>
    <w:p w14:paraId="6614EF03" w14:textId="07EF275C" w:rsidR="007C6C3F" w:rsidRPr="00565D41" w:rsidRDefault="00414E21" w:rsidP="00414E21">
      <w:pPr>
        <w:pStyle w:val="Fait"/>
      </w:pPr>
      <w:r w:rsidRPr="00414E21">
        <w:t>Done at Brussels,</w:t>
      </w:r>
    </w:p>
    <w:p w14:paraId="4C223150" w14:textId="77777777" w:rsidR="00184846" w:rsidRPr="00565D41" w:rsidRDefault="008065A1" w:rsidP="008065A1">
      <w:pPr>
        <w:pStyle w:val="Institutionquisigne"/>
      </w:pPr>
      <w:r w:rsidRPr="00565D41">
        <w:rPr>
          <w:rStyle w:val="oj-italic"/>
          <w:iCs/>
          <w:color w:val="444444"/>
          <w:lang w:val="en-IE"/>
        </w:rPr>
        <w:tab/>
      </w:r>
      <w:r w:rsidR="00184846" w:rsidRPr="00565D41">
        <w:rPr>
          <w:rStyle w:val="oj-italic"/>
          <w:iCs/>
          <w:lang w:val="en-IE"/>
        </w:rPr>
        <w:t>For the Commission</w:t>
      </w:r>
      <w:r w:rsidR="00184846" w:rsidRPr="00565D41">
        <w:rPr>
          <w:lang w:val="en-IE"/>
        </w:rPr>
        <w:t xml:space="preserve"> </w:t>
      </w:r>
    </w:p>
    <w:p w14:paraId="56CAA121" w14:textId="77777777" w:rsidR="00184846" w:rsidRPr="00565D41" w:rsidRDefault="008065A1" w:rsidP="008065A1">
      <w:pPr>
        <w:pStyle w:val="Personnequisigne"/>
        <w:rPr>
          <w:lang w:val="de-DE"/>
        </w:rPr>
      </w:pPr>
      <w:r w:rsidRPr="00565D41">
        <w:rPr>
          <w:rStyle w:val="oj-italic"/>
          <w:iCs/>
          <w:lang w:val="en-IE"/>
        </w:rPr>
        <w:tab/>
      </w:r>
      <w:r w:rsidR="00184846" w:rsidRPr="00565D41">
        <w:rPr>
          <w:rStyle w:val="oj-italic"/>
          <w:iCs/>
          <w:lang w:val="de-DE"/>
        </w:rPr>
        <w:t>The President</w:t>
      </w:r>
    </w:p>
    <w:p w14:paraId="36944B60" w14:textId="77777777" w:rsidR="00184846" w:rsidRPr="00891BD8" w:rsidRDefault="008065A1" w:rsidP="008065A1">
      <w:pPr>
        <w:pStyle w:val="Personnequisigne"/>
        <w:rPr>
          <w:lang w:val="de-DE"/>
        </w:rPr>
      </w:pPr>
      <w:r w:rsidRPr="00565D41">
        <w:rPr>
          <w:lang w:val="de-DE"/>
        </w:rPr>
        <w:tab/>
      </w:r>
      <w:r w:rsidR="00184846" w:rsidRPr="00565D41">
        <w:rPr>
          <w:lang w:val="de-DE"/>
        </w:rPr>
        <w:t>Ursula VON DER LEYEN</w:t>
      </w:r>
    </w:p>
    <w:sectPr w:rsidR="00184846" w:rsidRPr="00891BD8" w:rsidSect="00414E2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4B2C" w14:textId="77777777" w:rsidR="007D7522" w:rsidRDefault="007D7522" w:rsidP="00E90B41">
      <w:pPr>
        <w:spacing w:before="0" w:after="0"/>
      </w:pPr>
      <w:r>
        <w:separator/>
      </w:r>
    </w:p>
  </w:endnote>
  <w:endnote w:type="continuationSeparator" w:id="0">
    <w:p w14:paraId="70B9456C" w14:textId="77777777" w:rsidR="007D7522" w:rsidRDefault="007D7522" w:rsidP="00E90B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B1EB" w14:textId="71379492" w:rsidR="00AE02AB" w:rsidRPr="00414E21" w:rsidRDefault="00414E21" w:rsidP="00414E21">
    <w:pPr>
      <w:pStyle w:val="Footer"/>
      <w:rPr>
        <w:rFonts w:ascii="Arial" w:hAnsi="Arial" w:cs="Arial"/>
        <w:b/>
        <w:sz w:val="48"/>
      </w:rPr>
    </w:pPr>
    <w:r w:rsidRPr="00414E21">
      <w:rPr>
        <w:rFonts w:ascii="Arial" w:hAnsi="Arial" w:cs="Arial"/>
        <w:b/>
        <w:sz w:val="48"/>
      </w:rPr>
      <w:t>EN</w:t>
    </w:r>
    <w:r w:rsidRPr="00414E21">
      <w:rPr>
        <w:rFonts w:ascii="Arial" w:hAnsi="Arial" w:cs="Arial"/>
        <w:b/>
        <w:sz w:val="48"/>
      </w:rPr>
      <w:tab/>
    </w:r>
    <w:r w:rsidRPr="00414E21">
      <w:rPr>
        <w:rFonts w:ascii="Arial" w:hAnsi="Arial" w:cs="Arial"/>
        <w:b/>
        <w:sz w:val="48"/>
      </w:rPr>
      <w:tab/>
    </w:r>
    <w:r w:rsidRPr="00414E21">
      <w:tab/>
    </w:r>
    <w:r w:rsidRPr="00414E21">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6E89" w14:textId="28E76C8F" w:rsidR="00472360" w:rsidRPr="00414E21" w:rsidRDefault="00414E21" w:rsidP="00414E21">
    <w:pPr>
      <w:pStyle w:val="Footer"/>
      <w:rPr>
        <w:rFonts w:ascii="Arial" w:hAnsi="Arial" w:cs="Arial"/>
        <w:b/>
        <w:sz w:val="48"/>
      </w:rPr>
    </w:pPr>
    <w:r w:rsidRPr="00414E21">
      <w:rPr>
        <w:rFonts w:ascii="Arial" w:hAnsi="Arial" w:cs="Arial"/>
        <w:b/>
        <w:sz w:val="48"/>
      </w:rPr>
      <w:t>EN</w:t>
    </w:r>
    <w:r w:rsidRPr="00414E21">
      <w:rPr>
        <w:rFonts w:ascii="Arial" w:hAnsi="Arial" w:cs="Arial"/>
        <w:b/>
        <w:sz w:val="48"/>
      </w:rPr>
      <w:tab/>
    </w:r>
    <w:r w:rsidRPr="00414E21">
      <w:rPr>
        <w:rFonts w:ascii="Arial" w:hAnsi="Arial" w:cs="Arial"/>
        <w:b/>
        <w:sz w:val="48"/>
      </w:rPr>
      <w:tab/>
    </w:r>
    <w:r w:rsidRPr="00414E21">
      <w:tab/>
    </w:r>
    <w:r w:rsidRPr="00414E2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D490" w14:textId="77777777" w:rsidR="00414E21" w:rsidRPr="00414E21" w:rsidRDefault="00414E21" w:rsidP="0041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A4AA" w14:textId="77777777" w:rsidR="007D7522" w:rsidRDefault="007D7522" w:rsidP="00E90B41">
      <w:pPr>
        <w:spacing w:before="0" w:after="0"/>
      </w:pPr>
      <w:r>
        <w:separator/>
      </w:r>
    </w:p>
  </w:footnote>
  <w:footnote w:type="continuationSeparator" w:id="0">
    <w:p w14:paraId="084C7DA8" w14:textId="77777777" w:rsidR="007D7522" w:rsidRDefault="007D7522" w:rsidP="00E90B41">
      <w:pPr>
        <w:spacing w:before="0" w:after="0"/>
      </w:pPr>
      <w:r>
        <w:continuationSeparator/>
      </w:r>
    </w:p>
  </w:footnote>
  <w:footnote w:id="1">
    <w:p w14:paraId="386810D1" w14:textId="77777777" w:rsidR="007C6C3F" w:rsidRDefault="007C6C3F" w:rsidP="007C6C3F">
      <w:pPr>
        <w:pStyle w:val="FootnoteText"/>
      </w:pPr>
      <w:r>
        <w:rPr>
          <w:rStyle w:val="FootnoteReference"/>
        </w:rPr>
        <w:footnoteRef/>
      </w:r>
      <w:r>
        <w:tab/>
        <w:t>OJ L 95, 7.4.2017, p. 1.</w:t>
      </w:r>
    </w:p>
  </w:footnote>
  <w:footnote w:id="2">
    <w:p w14:paraId="0B59EFB4" w14:textId="7F279D0B" w:rsidR="00872F0F" w:rsidRPr="0016674C" w:rsidRDefault="00872F0F" w:rsidP="0016674C">
      <w:pPr>
        <w:pStyle w:val="FootnoteText"/>
        <w:rPr>
          <w:b/>
        </w:rPr>
      </w:pPr>
      <w:r w:rsidRPr="0011786D">
        <w:rPr>
          <w:rStyle w:val="FootnoteReference"/>
        </w:rPr>
        <w:footnoteRef/>
      </w:r>
      <w:r w:rsidR="0011786D">
        <w:tab/>
      </w:r>
      <w:r w:rsidRPr="00B8073E">
        <w:t>Commission Regulation (E</w:t>
      </w:r>
      <w:r w:rsidR="0016674C" w:rsidRPr="00B8073E">
        <w:t>U</w:t>
      </w:r>
      <w:r w:rsidRPr="00B8073E">
        <w:t xml:space="preserve">) No </w:t>
      </w:r>
      <w:r w:rsidR="0016674C" w:rsidRPr="00B8073E">
        <w:t>2023</w:t>
      </w:r>
      <w:r w:rsidRPr="00B8073E">
        <w:t>/</w:t>
      </w:r>
      <w:r w:rsidR="00B8073E" w:rsidRPr="00B8073E">
        <w:t>915</w:t>
      </w:r>
      <w:r w:rsidRPr="00B8073E">
        <w:t xml:space="preserve"> of </w:t>
      </w:r>
      <w:r w:rsidR="00B8073E" w:rsidRPr="00B8073E">
        <w:t>25 April 2</w:t>
      </w:r>
      <w:r w:rsidRPr="00B8073E">
        <w:t>0</w:t>
      </w:r>
      <w:r w:rsidR="0016674C" w:rsidRPr="00B8073E">
        <w:t>23</w:t>
      </w:r>
      <w:r w:rsidRPr="00B8073E">
        <w:t xml:space="preserve"> </w:t>
      </w:r>
      <w:bookmarkStart w:id="1" w:name="_Hlk128131781"/>
      <w:r w:rsidR="0016674C" w:rsidRPr="00B8073E">
        <w:rPr>
          <w:bCs/>
        </w:rPr>
        <w:t>on maximum levels for certain contaminants in food and repealing Regulation (EC) No 1881/2006</w:t>
      </w:r>
      <w:r w:rsidRPr="00B8073E">
        <w:rPr>
          <w:bCs/>
        </w:rPr>
        <w:t xml:space="preserve"> (OJ L </w:t>
      </w:r>
      <w:r w:rsidR="00B8073E" w:rsidRPr="00B8073E">
        <w:rPr>
          <w:bCs/>
        </w:rPr>
        <w:t>119, 5.53.2023</w:t>
      </w:r>
      <w:r w:rsidRPr="00B8073E">
        <w:rPr>
          <w:bCs/>
        </w:rPr>
        <w:t>, p.</w:t>
      </w:r>
      <w:r w:rsidR="00B8073E" w:rsidRPr="00B8073E">
        <w:rPr>
          <w:bCs/>
        </w:rPr>
        <w:t xml:space="preserve"> 103</w:t>
      </w:r>
      <w:r w:rsidRPr="00B8073E">
        <w:rPr>
          <w:bCs/>
        </w:rPr>
        <w:t>).</w:t>
      </w:r>
      <w:bookmarkEnd w:id="1"/>
    </w:p>
  </w:footnote>
  <w:footnote w:id="3">
    <w:p w14:paraId="144D94B3" w14:textId="77777777" w:rsidR="007C6C3F" w:rsidRPr="0076093E" w:rsidRDefault="007C6C3F" w:rsidP="007C6C3F">
      <w:pPr>
        <w:pStyle w:val="FootnoteText"/>
      </w:pPr>
      <w:r>
        <w:rPr>
          <w:rStyle w:val="FootnoteReference"/>
        </w:rPr>
        <w:footnoteRef/>
      </w:r>
      <w:r>
        <w:tab/>
      </w:r>
      <w:r w:rsidR="00D969FC" w:rsidRPr="00D969FC">
        <w:rPr>
          <w:lang w:val="en-IE"/>
        </w:rPr>
        <w:t>C</w:t>
      </w:r>
      <w:r w:rsidR="00D969FC">
        <w:rPr>
          <w:lang w:val="en-IE"/>
        </w:rPr>
        <w:t xml:space="preserve">ommission Regulation </w:t>
      </w:r>
      <w:r w:rsidR="00D969FC" w:rsidRPr="00D969FC">
        <w:rPr>
          <w:lang w:val="en-IE"/>
        </w:rPr>
        <w:t>(EC) No 401/2006</w:t>
      </w:r>
      <w:r w:rsidR="00D969FC">
        <w:rPr>
          <w:lang w:val="en-IE"/>
        </w:rPr>
        <w:t xml:space="preserve"> </w:t>
      </w:r>
      <w:r w:rsidR="00D969FC" w:rsidRPr="00D969FC">
        <w:rPr>
          <w:lang w:val="en-IE"/>
        </w:rPr>
        <w:t>of 23 February 2006</w:t>
      </w:r>
      <w:r w:rsidR="00D969FC">
        <w:rPr>
          <w:lang w:val="en-IE"/>
        </w:rPr>
        <w:t xml:space="preserve"> </w:t>
      </w:r>
      <w:r w:rsidR="00D969FC" w:rsidRPr="00D969FC">
        <w:rPr>
          <w:lang w:val="en-IE"/>
        </w:rPr>
        <w:t>laying down the methods of sampling and analysis for the official control of the levels of mycotoxins in foodstuffs</w:t>
      </w:r>
      <w:r w:rsidR="00D969FC">
        <w:rPr>
          <w:lang w:val="en-IE"/>
        </w:rPr>
        <w:t xml:space="preserve"> </w:t>
      </w:r>
      <w:r w:rsidR="00D969FC" w:rsidRPr="00D969FC">
        <w:rPr>
          <w:lang w:val="en-IE"/>
        </w:rPr>
        <w:t>(OJ L 070 9.3.2006, p. 12)</w:t>
      </w:r>
      <w:r w:rsidR="00D969FC">
        <w:rPr>
          <w:lang w:val="en-IE"/>
        </w:rPr>
        <w:t xml:space="preserve">. </w:t>
      </w:r>
    </w:p>
  </w:footnote>
  <w:footnote w:id="4">
    <w:p w14:paraId="398568E1" w14:textId="2D9F5621" w:rsidR="00B80483" w:rsidRDefault="00B80483" w:rsidP="00B80483">
      <w:pPr>
        <w:pStyle w:val="FootnoteText"/>
        <w:ind w:left="142" w:hanging="142"/>
      </w:pPr>
      <w:r w:rsidRPr="00565D41">
        <w:rPr>
          <w:rStyle w:val="FootnoteReference"/>
        </w:rPr>
        <w:footnoteRef/>
      </w:r>
      <w:r w:rsidRPr="00565D41">
        <w:tab/>
      </w:r>
      <w:r w:rsidRPr="00565D41">
        <w:rPr>
          <w:rFonts w:eastAsia="Calibri"/>
          <w:szCs w:val="24"/>
          <w:lang w:val="en-IE"/>
        </w:rPr>
        <w:t xml:space="preserve">For risk assessment, fit-for-purpose LOQs are generally lower compared to what is required for official control for checking compliance with a ML, as the aim is to generate numerical data for the major part of the samples analysed (i.e. avoid left-censored data) in order to be able to perform accurate exposure assessments. For monitoring purposes, it can be acceptable to report levels below the LOQ as defined in the context of this Regulation. </w:t>
      </w:r>
    </w:p>
    <w:p w14:paraId="4E154F3D" w14:textId="77777777" w:rsidR="00B80483" w:rsidRPr="00677B6E" w:rsidRDefault="00B80483" w:rsidP="00B80483">
      <w:pPr>
        <w:pStyle w:val="FootnoteText"/>
        <w:ind w:left="142" w:hanging="142"/>
      </w:pPr>
    </w:p>
  </w:footnote>
  <w:footnote w:id="5">
    <w:p w14:paraId="7B2DD5C8" w14:textId="2EBF44C7" w:rsidR="00321398" w:rsidRPr="00572337" w:rsidRDefault="00321398" w:rsidP="00321398">
      <w:pPr>
        <w:pStyle w:val="FootnoteText"/>
        <w:rPr>
          <w:lang w:val="en-IE"/>
        </w:rPr>
      </w:pPr>
      <w:r w:rsidRPr="0011786D">
        <w:rPr>
          <w:rStyle w:val="FootnoteReference"/>
        </w:rPr>
        <w:footnoteRef/>
      </w:r>
      <w:r w:rsidR="0011786D">
        <w:tab/>
      </w:r>
      <w:r w:rsidRPr="00572337">
        <w:t>Commission Regulation (EC) No 333/2007 of 28 March 2007 laying down the methods of sampling and analysis for the control of the levels of trace elements and processing contaminants in foodstuffs</w:t>
      </w:r>
      <w:r>
        <w:t xml:space="preserve"> </w:t>
      </w:r>
      <w:r w:rsidRPr="00572337">
        <w:t>(</w:t>
      </w:r>
      <w:r w:rsidRPr="00572337">
        <w:rPr>
          <w:lang w:val="en-IE"/>
        </w:rPr>
        <w:t>OJ L 88, 29.3.2007, p. 29)</w:t>
      </w:r>
      <w:r w:rsidR="00873C17">
        <w:rPr>
          <w:lang w:val="en-IE"/>
        </w:rPr>
        <w:t>.</w:t>
      </w:r>
    </w:p>
    <w:p w14:paraId="286F4362" w14:textId="77777777" w:rsidR="00321398" w:rsidRPr="00572337" w:rsidRDefault="00321398" w:rsidP="003213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FB3" w14:textId="77777777" w:rsidR="00414E21" w:rsidRPr="00414E21" w:rsidRDefault="00414E21" w:rsidP="00414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0A0F" w14:textId="77777777" w:rsidR="00414E21" w:rsidRPr="00414E21" w:rsidRDefault="00414E21" w:rsidP="00414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C2DC" w14:textId="77777777" w:rsidR="00414E21" w:rsidRPr="00414E21" w:rsidRDefault="00414E21" w:rsidP="00414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80034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0EACE6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02ECC2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3C0C7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3BCFA1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976ABA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946B6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72A647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57012323">
    <w:abstractNumId w:val="22"/>
    <w:lvlOverride w:ilvl="0">
      <w:startOverride w:val="1"/>
    </w:lvlOverride>
  </w:num>
  <w:num w:numId="2" w16cid:durableId="384761954">
    <w:abstractNumId w:val="7"/>
  </w:num>
  <w:num w:numId="3" w16cid:durableId="1575970874">
    <w:abstractNumId w:val="5"/>
  </w:num>
  <w:num w:numId="4" w16cid:durableId="1723865620">
    <w:abstractNumId w:val="4"/>
  </w:num>
  <w:num w:numId="5" w16cid:durableId="554778522">
    <w:abstractNumId w:val="3"/>
  </w:num>
  <w:num w:numId="6" w16cid:durableId="533201981">
    <w:abstractNumId w:val="6"/>
  </w:num>
  <w:num w:numId="7" w16cid:durableId="1749158935">
    <w:abstractNumId w:val="2"/>
  </w:num>
  <w:num w:numId="8" w16cid:durableId="1225723825">
    <w:abstractNumId w:val="1"/>
  </w:num>
  <w:num w:numId="9" w16cid:durableId="545261646">
    <w:abstractNumId w:val="0"/>
  </w:num>
  <w:num w:numId="10" w16cid:durableId="1273173714">
    <w:abstractNumId w:val="22"/>
  </w:num>
  <w:num w:numId="11" w16cid:durableId="2131849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4921384">
    <w:abstractNumId w:val="19"/>
  </w:num>
  <w:num w:numId="13" w16cid:durableId="103158415">
    <w:abstractNumId w:val="12"/>
  </w:num>
  <w:num w:numId="14" w16cid:durableId="1818956218">
    <w:abstractNumId w:val="21"/>
  </w:num>
  <w:num w:numId="15" w16cid:durableId="205221740">
    <w:abstractNumId w:val="11"/>
  </w:num>
  <w:num w:numId="16" w16cid:durableId="52584385">
    <w:abstractNumId w:val="13"/>
  </w:num>
  <w:num w:numId="17" w16cid:durableId="333535952">
    <w:abstractNumId w:val="14"/>
  </w:num>
  <w:num w:numId="18" w16cid:durableId="1357846641">
    <w:abstractNumId w:val="9"/>
  </w:num>
  <w:num w:numId="19" w16cid:durableId="2147307113">
    <w:abstractNumId w:val="20"/>
  </w:num>
  <w:num w:numId="20" w16cid:durableId="812796679">
    <w:abstractNumId w:val="8"/>
  </w:num>
  <w:num w:numId="21" w16cid:durableId="875628537">
    <w:abstractNumId w:val="15"/>
  </w:num>
  <w:num w:numId="22" w16cid:durableId="151802641">
    <w:abstractNumId w:val="17"/>
  </w:num>
  <w:num w:numId="23" w16cid:durableId="1782262382">
    <w:abstractNumId w:val="18"/>
  </w:num>
  <w:num w:numId="24" w16cid:durableId="1437140167">
    <w:abstractNumId w:val="10"/>
  </w:num>
  <w:num w:numId="25" w16cid:durableId="415171396">
    <w:abstractNumId w:val="16"/>
  </w:num>
  <w:num w:numId="26" w16cid:durableId="1022703382">
    <w:abstractNumId w:val="22"/>
  </w:num>
  <w:num w:numId="27" w16cid:durableId="160701469">
    <w:abstractNumId w:val="19"/>
  </w:num>
  <w:num w:numId="28" w16cid:durableId="507597847">
    <w:abstractNumId w:val="12"/>
  </w:num>
  <w:num w:numId="29" w16cid:durableId="1612972959">
    <w:abstractNumId w:val="21"/>
  </w:num>
  <w:num w:numId="30" w16cid:durableId="690230752">
    <w:abstractNumId w:val="11"/>
  </w:num>
  <w:num w:numId="31" w16cid:durableId="505705808">
    <w:abstractNumId w:val="13"/>
  </w:num>
  <w:num w:numId="32" w16cid:durableId="47386269">
    <w:abstractNumId w:val="14"/>
  </w:num>
  <w:num w:numId="33" w16cid:durableId="1821119745">
    <w:abstractNumId w:val="9"/>
  </w:num>
  <w:num w:numId="34" w16cid:durableId="44761116">
    <w:abstractNumId w:val="20"/>
  </w:num>
  <w:num w:numId="35" w16cid:durableId="1059742457">
    <w:abstractNumId w:val="8"/>
  </w:num>
  <w:num w:numId="36" w16cid:durableId="1792675420">
    <w:abstractNumId w:val="15"/>
  </w:num>
  <w:num w:numId="37" w16cid:durableId="1993169354">
    <w:abstractNumId w:val="17"/>
  </w:num>
  <w:num w:numId="38" w16cid:durableId="1081834784">
    <w:abstractNumId w:val="18"/>
  </w:num>
  <w:num w:numId="39" w16cid:durableId="864710601">
    <w:abstractNumId w:val="10"/>
  </w:num>
  <w:num w:numId="40" w16cid:durableId="407769492">
    <w:abstractNumId w:val="16"/>
  </w:num>
  <w:num w:numId="41" w16cid:durableId="85160215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3-10-09 09:51:1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6AF6DCC-7528-4742-A160-FC5A17BDD870"/>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3) XXX"/>
    <w:docVar w:name="LW_REF.INTERNE" w:val="PLAN/2021/12763 (POOL/E2/2021/12763/12763-EN.docx"/>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ying down the methods of sampling and analysis for the control of the levels of mycotoxins in food and repealing Regulation (EC) No 401/2006"/>
    <w:docVar w:name="LW_TYPE.DOC.CP" w:val="COMMISSION IMPLEMENTING REGULATION (EU) \u8230?/..."/>
  </w:docVars>
  <w:rsids>
    <w:rsidRoot w:val="00E90B41"/>
    <w:rsid w:val="000258F5"/>
    <w:rsid w:val="00035278"/>
    <w:rsid w:val="00055C2D"/>
    <w:rsid w:val="00060901"/>
    <w:rsid w:val="00074561"/>
    <w:rsid w:val="000827CF"/>
    <w:rsid w:val="00085BF5"/>
    <w:rsid w:val="000A7517"/>
    <w:rsid w:val="000C64AA"/>
    <w:rsid w:val="000D720B"/>
    <w:rsid w:val="000E198E"/>
    <w:rsid w:val="00111C13"/>
    <w:rsid w:val="0011786D"/>
    <w:rsid w:val="0012003D"/>
    <w:rsid w:val="00131307"/>
    <w:rsid w:val="0016674C"/>
    <w:rsid w:val="00170ED0"/>
    <w:rsid w:val="0017772D"/>
    <w:rsid w:val="00184846"/>
    <w:rsid w:val="001850FF"/>
    <w:rsid w:val="001A0907"/>
    <w:rsid w:val="001A0F84"/>
    <w:rsid w:val="001A1A2C"/>
    <w:rsid w:val="001A469A"/>
    <w:rsid w:val="001B4EA4"/>
    <w:rsid w:val="001C2816"/>
    <w:rsid w:val="001C7600"/>
    <w:rsid w:val="001C7C4D"/>
    <w:rsid w:val="001F0762"/>
    <w:rsid w:val="00204CEB"/>
    <w:rsid w:val="0022787D"/>
    <w:rsid w:val="00232E98"/>
    <w:rsid w:val="00236052"/>
    <w:rsid w:val="00244DFE"/>
    <w:rsid w:val="00252A6B"/>
    <w:rsid w:val="00253626"/>
    <w:rsid w:val="00265EA6"/>
    <w:rsid w:val="002730D3"/>
    <w:rsid w:val="002738A2"/>
    <w:rsid w:val="00273A93"/>
    <w:rsid w:val="00287227"/>
    <w:rsid w:val="002C60EA"/>
    <w:rsid w:val="002D38D2"/>
    <w:rsid w:val="002D3F43"/>
    <w:rsid w:val="002D476A"/>
    <w:rsid w:val="00301A68"/>
    <w:rsid w:val="00305208"/>
    <w:rsid w:val="00321398"/>
    <w:rsid w:val="0032410D"/>
    <w:rsid w:val="00354B08"/>
    <w:rsid w:val="00372BD7"/>
    <w:rsid w:val="003771F0"/>
    <w:rsid w:val="00394476"/>
    <w:rsid w:val="003A7A65"/>
    <w:rsid w:val="003C026C"/>
    <w:rsid w:val="003D321E"/>
    <w:rsid w:val="003E5C18"/>
    <w:rsid w:val="003E74D6"/>
    <w:rsid w:val="003F2C43"/>
    <w:rsid w:val="004101B4"/>
    <w:rsid w:val="00414E21"/>
    <w:rsid w:val="004376C2"/>
    <w:rsid w:val="00472360"/>
    <w:rsid w:val="004771B9"/>
    <w:rsid w:val="004B3596"/>
    <w:rsid w:val="004D675C"/>
    <w:rsid w:val="004F18D3"/>
    <w:rsid w:val="00505696"/>
    <w:rsid w:val="00505C3E"/>
    <w:rsid w:val="00514651"/>
    <w:rsid w:val="00514A76"/>
    <w:rsid w:val="005573F8"/>
    <w:rsid w:val="00561B66"/>
    <w:rsid w:val="00565D41"/>
    <w:rsid w:val="00572A47"/>
    <w:rsid w:val="005876F3"/>
    <w:rsid w:val="005D4FF7"/>
    <w:rsid w:val="005D58AF"/>
    <w:rsid w:val="005D7C03"/>
    <w:rsid w:val="005E6790"/>
    <w:rsid w:val="005E7184"/>
    <w:rsid w:val="005E7C82"/>
    <w:rsid w:val="00607280"/>
    <w:rsid w:val="00617A48"/>
    <w:rsid w:val="00646C07"/>
    <w:rsid w:val="00647969"/>
    <w:rsid w:val="00661A00"/>
    <w:rsid w:val="00666804"/>
    <w:rsid w:val="00684AAE"/>
    <w:rsid w:val="00691DE7"/>
    <w:rsid w:val="006A1395"/>
    <w:rsid w:val="006B0D98"/>
    <w:rsid w:val="006B6F6B"/>
    <w:rsid w:val="006C53C6"/>
    <w:rsid w:val="006D0CAF"/>
    <w:rsid w:val="006D25A8"/>
    <w:rsid w:val="006D3BCC"/>
    <w:rsid w:val="006D62FE"/>
    <w:rsid w:val="006E5832"/>
    <w:rsid w:val="0070128F"/>
    <w:rsid w:val="0070533C"/>
    <w:rsid w:val="0072145A"/>
    <w:rsid w:val="007238B2"/>
    <w:rsid w:val="0074580B"/>
    <w:rsid w:val="00752371"/>
    <w:rsid w:val="0075680C"/>
    <w:rsid w:val="00756B6E"/>
    <w:rsid w:val="007743C2"/>
    <w:rsid w:val="00774BB8"/>
    <w:rsid w:val="00787387"/>
    <w:rsid w:val="0079221B"/>
    <w:rsid w:val="00792C67"/>
    <w:rsid w:val="00793C7D"/>
    <w:rsid w:val="0079457A"/>
    <w:rsid w:val="007A3388"/>
    <w:rsid w:val="007B1B43"/>
    <w:rsid w:val="007C06F6"/>
    <w:rsid w:val="007C6C3F"/>
    <w:rsid w:val="007D7522"/>
    <w:rsid w:val="007E07DB"/>
    <w:rsid w:val="007E22A2"/>
    <w:rsid w:val="007E5E9B"/>
    <w:rsid w:val="007F4747"/>
    <w:rsid w:val="00800A81"/>
    <w:rsid w:val="008065A1"/>
    <w:rsid w:val="00814F95"/>
    <w:rsid w:val="00840A20"/>
    <w:rsid w:val="008510A7"/>
    <w:rsid w:val="00854D43"/>
    <w:rsid w:val="00862DEB"/>
    <w:rsid w:val="00872268"/>
    <w:rsid w:val="00872F0F"/>
    <w:rsid w:val="00873C17"/>
    <w:rsid w:val="0088763C"/>
    <w:rsid w:val="00891BD8"/>
    <w:rsid w:val="0089599F"/>
    <w:rsid w:val="008B0C16"/>
    <w:rsid w:val="008B2322"/>
    <w:rsid w:val="008C501C"/>
    <w:rsid w:val="008C7972"/>
    <w:rsid w:val="008F0F83"/>
    <w:rsid w:val="00905F3C"/>
    <w:rsid w:val="00921B37"/>
    <w:rsid w:val="00921C48"/>
    <w:rsid w:val="009442B2"/>
    <w:rsid w:val="00945123"/>
    <w:rsid w:val="00946DA5"/>
    <w:rsid w:val="009652F1"/>
    <w:rsid w:val="00986B33"/>
    <w:rsid w:val="00987AD5"/>
    <w:rsid w:val="009B4F8A"/>
    <w:rsid w:val="009B7138"/>
    <w:rsid w:val="009C14C8"/>
    <w:rsid w:val="009D19A4"/>
    <w:rsid w:val="009D41D9"/>
    <w:rsid w:val="009E398A"/>
    <w:rsid w:val="009E7B24"/>
    <w:rsid w:val="009F15C6"/>
    <w:rsid w:val="009F3E43"/>
    <w:rsid w:val="00A16FF0"/>
    <w:rsid w:val="00A17FF0"/>
    <w:rsid w:val="00A24626"/>
    <w:rsid w:val="00A250F4"/>
    <w:rsid w:val="00A356FC"/>
    <w:rsid w:val="00A42736"/>
    <w:rsid w:val="00A50F3A"/>
    <w:rsid w:val="00A54DEA"/>
    <w:rsid w:val="00A83B44"/>
    <w:rsid w:val="00A8575F"/>
    <w:rsid w:val="00A953C2"/>
    <w:rsid w:val="00AA01EB"/>
    <w:rsid w:val="00AA0A33"/>
    <w:rsid w:val="00AA5FE8"/>
    <w:rsid w:val="00AB68C2"/>
    <w:rsid w:val="00AC4296"/>
    <w:rsid w:val="00AC640B"/>
    <w:rsid w:val="00AC7350"/>
    <w:rsid w:val="00AD3971"/>
    <w:rsid w:val="00AE02AB"/>
    <w:rsid w:val="00AE3D2A"/>
    <w:rsid w:val="00B56985"/>
    <w:rsid w:val="00B66B13"/>
    <w:rsid w:val="00B75626"/>
    <w:rsid w:val="00B80483"/>
    <w:rsid w:val="00B8073E"/>
    <w:rsid w:val="00B928DE"/>
    <w:rsid w:val="00B92BF6"/>
    <w:rsid w:val="00B95EAE"/>
    <w:rsid w:val="00BA206C"/>
    <w:rsid w:val="00BB53C2"/>
    <w:rsid w:val="00BC3B2A"/>
    <w:rsid w:val="00BC5353"/>
    <w:rsid w:val="00BD1662"/>
    <w:rsid w:val="00BD67B9"/>
    <w:rsid w:val="00BE246D"/>
    <w:rsid w:val="00BF17AA"/>
    <w:rsid w:val="00C00085"/>
    <w:rsid w:val="00C0032A"/>
    <w:rsid w:val="00C0531E"/>
    <w:rsid w:val="00C13465"/>
    <w:rsid w:val="00C2124C"/>
    <w:rsid w:val="00C24556"/>
    <w:rsid w:val="00C25AB0"/>
    <w:rsid w:val="00C25D8D"/>
    <w:rsid w:val="00C309DE"/>
    <w:rsid w:val="00C357D3"/>
    <w:rsid w:val="00C5187C"/>
    <w:rsid w:val="00C56AF3"/>
    <w:rsid w:val="00CA3400"/>
    <w:rsid w:val="00CA483A"/>
    <w:rsid w:val="00CB03CD"/>
    <w:rsid w:val="00CB2A49"/>
    <w:rsid w:val="00CC6EA7"/>
    <w:rsid w:val="00CF3D07"/>
    <w:rsid w:val="00CF63E9"/>
    <w:rsid w:val="00D13F93"/>
    <w:rsid w:val="00D20DCF"/>
    <w:rsid w:val="00D427F6"/>
    <w:rsid w:val="00D43069"/>
    <w:rsid w:val="00D50C17"/>
    <w:rsid w:val="00D779B7"/>
    <w:rsid w:val="00D84F07"/>
    <w:rsid w:val="00D948B5"/>
    <w:rsid w:val="00D969FC"/>
    <w:rsid w:val="00DA0172"/>
    <w:rsid w:val="00DB5A8E"/>
    <w:rsid w:val="00DC19EF"/>
    <w:rsid w:val="00DC1C2E"/>
    <w:rsid w:val="00DC34F2"/>
    <w:rsid w:val="00DD044B"/>
    <w:rsid w:val="00DD3FBD"/>
    <w:rsid w:val="00DE5045"/>
    <w:rsid w:val="00DE5150"/>
    <w:rsid w:val="00DE5510"/>
    <w:rsid w:val="00DF22AC"/>
    <w:rsid w:val="00DF4E76"/>
    <w:rsid w:val="00E003DA"/>
    <w:rsid w:val="00E00573"/>
    <w:rsid w:val="00E150C2"/>
    <w:rsid w:val="00E419E3"/>
    <w:rsid w:val="00E43299"/>
    <w:rsid w:val="00E5325D"/>
    <w:rsid w:val="00E63022"/>
    <w:rsid w:val="00E63033"/>
    <w:rsid w:val="00E82B37"/>
    <w:rsid w:val="00E90B41"/>
    <w:rsid w:val="00EA48D8"/>
    <w:rsid w:val="00EB37D5"/>
    <w:rsid w:val="00EC1011"/>
    <w:rsid w:val="00EC42CC"/>
    <w:rsid w:val="00EC5C06"/>
    <w:rsid w:val="00ED6FAC"/>
    <w:rsid w:val="00EE6B1C"/>
    <w:rsid w:val="00EF11DD"/>
    <w:rsid w:val="00EF6B8F"/>
    <w:rsid w:val="00EF7204"/>
    <w:rsid w:val="00F03F18"/>
    <w:rsid w:val="00F1317F"/>
    <w:rsid w:val="00F13ABA"/>
    <w:rsid w:val="00F20062"/>
    <w:rsid w:val="00F25E4D"/>
    <w:rsid w:val="00F27125"/>
    <w:rsid w:val="00F415B7"/>
    <w:rsid w:val="00F45F30"/>
    <w:rsid w:val="00F47AFA"/>
    <w:rsid w:val="00F5277E"/>
    <w:rsid w:val="00F53E36"/>
    <w:rsid w:val="00F767F0"/>
    <w:rsid w:val="00F86F0C"/>
    <w:rsid w:val="00F96564"/>
    <w:rsid w:val="00FA43A4"/>
    <w:rsid w:val="00FB423E"/>
    <w:rsid w:val="00FC45CD"/>
    <w:rsid w:val="00FC69A6"/>
    <w:rsid w:val="00FD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16A360"/>
  <w15:docId w15:val="{31196039-C696-4A48-877B-A5D54998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F30"/>
    <w:rPr>
      <w:szCs w:val="24"/>
    </w:rPr>
  </w:style>
  <w:style w:type="character" w:styleId="Emphasis">
    <w:name w:val="Emphasis"/>
    <w:basedOn w:val="DefaultParagraphFont"/>
    <w:uiPriority w:val="20"/>
    <w:qFormat/>
    <w:rsid w:val="00F45F30"/>
    <w:rPr>
      <w:i/>
      <w:iCs/>
    </w:rPr>
  </w:style>
  <w:style w:type="paragraph" w:styleId="ListParagraph">
    <w:name w:val="List Paragraph"/>
    <w:basedOn w:val="Normal"/>
    <w:uiPriority w:val="34"/>
    <w:qFormat/>
    <w:rsid w:val="008C7972"/>
    <w:pPr>
      <w:ind w:left="720"/>
      <w:contextualSpacing/>
    </w:pPr>
  </w:style>
  <w:style w:type="paragraph" w:styleId="Caption">
    <w:name w:val="caption"/>
    <w:basedOn w:val="Normal"/>
    <w:next w:val="Normal"/>
    <w:uiPriority w:val="35"/>
    <w:semiHidden/>
    <w:unhideWhenUsed/>
    <w:qFormat/>
    <w:rsid w:val="0007456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74561"/>
    <w:pPr>
      <w:spacing w:after="0"/>
    </w:pPr>
  </w:style>
  <w:style w:type="paragraph" w:styleId="ListBullet">
    <w:name w:val="List Bullet"/>
    <w:basedOn w:val="Normal"/>
    <w:uiPriority w:val="99"/>
    <w:semiHidden/>
    <w:unhideWhenUsed/>
    <w:rsid w:val="00074561"/>
    <w:pPr>
      <w:numPr>
        <w:numId w:val="2"/>
      </w:numPr>
      <w:contextualSpacing/>
    </w:pPr>
  </w:style>
  <w:style w:type="paragraph" w:styleId="ListBullet2">
    <w:name w:val="List Bullet 2"/>
    <w:basedOn w:val="Normal"/>
    <w:uiPriority w:val="99"/>
    <w:semiHidden/>
    <w:unhideWhenUsed/>
    <w:rsid w:val="00074561"/>
    <w:pPr>
      <w:numPr>
        <w:numId w:val="3"/>
      </w:numPr>
      <w:contextualSpacing/>
    </w:pPr>
  </w:style>
  <w:style w:type="paragraph" w:styleId="ListBullet3">
    <w:name w:val="List Bullet 3"/>
    <w:basedOn w:val="Normal"/>
    <w:uiPriority w:val="99"/>
    <w:semiHidden/>
    <w:unhideWhenUsed/>
    <w:rsid w:val="00074561"/>
    <w:pPr>
      <w:numPr>
        <w:numId w:val="4"/>
      </w:numPr>
      <w:contextualSpacing/>
    </w:pPr>
  </w:style>
  <w:style w:type="paragraph" w:styleId="ListBullet4">
    <w:name w:val="List Bullet 4"/>
    <w:basedOn w:val="Normal"/>
    <w:uiPriority w:val="99"/>
    <w:semiHidden/>
    <w:unhideWhenUsed/>
    <w:rsid w:val="00074561"/>
    <w:pPr>
      <w:numPr>
        <w:numId w:val="5"/>
      </w:numPr>
      <w:contextualSpacing/>
    </w:pPr>
  </w:style>
  <w:style w:type="paragraph" w:styleId="ListNumber">
    <w:name w:val="List Number"/>
    <w:basedOn w:val="Normal"/>
    <w:uiPriority w:val="99"/>
    <w:semiHidden/>
    <w:unhideWhenUsed/>
    <w:rsid w:val="00074561"/>
    <w:pPr>
      <w:numPr>
        <w:numId w:val="6"/>
      </w:numPr>
      <w:contextualSpacing/>
    </w:pPr>
  </w:style>
  <w:style w:type="paragraph" w:styleId="ListNumber2">
    <w:name w:val="List Number 2"/>
    <w:basedOn w:val="Normal"/>
    <w:uiPriority w:val="99"/>
    <w:semiHidden/>
    <w:unhideWhenUsed/>
    <w:rsid w:val="00074561"/>
    <w:pPr>
      <w:numPr>
        <w:numId w:val="7"/>
      </w:numPr>
      <w:contextualSpacing/>
    </w:pPr>
  </w:style>
  <w:style w:type="paragraph" w:styleId="ListNumber3">
    <w:name w:val="List Number 3"/>
    <w:basedOn w:val="Normal"/>
    <w:uiPriority w:val="99"/>
    <w:semiHidden/>
    <w:unhideWhenUsed/>
    <w:rsid w:val="00074561"/>
    <w:pPr>
      <w:numPr>
        <w:numId w:val="8"/>
      </w:numPr>
      <w:contextualSpacing/>
    </w:pPr>
  </w:style>
  <w:style w:type="paragraph" w:styleId="ListNumber4">
    <w:name w:val="List Number 4"/>
    <w:basedOn w:val="Normal"/>
    <w:uiPriority w:val="99"/>
    <w:semiHidden/>
    <w:unhideWhenUsed/>
    <w:rsid w:val="00074561"/>
    <w:pPr>
      <w:numPr>
        <w:numId w:val="9"/>
      </w:numPr>
      <w:contextualSpacing/>
    </w:pPr>
  </w:style>
  <w:style w:type="character" w:styleId="CommentReference">
    <w:name w:val="annotation reference"/>
    <w:basedOn w:val="DefaultParagraphFont"/>
    <w:uiPriority w:val="99"/>
    <w:semiHidden/>
    <w:unhideWhenUsed/>
    <w:rsid w:val="00236052"/>
    <w:rPr>
      <w:sz w:val="16"/>
      <w:szCs w:val="16"/>
    </w:rPr>
  </w:style>
  <w:style w:type="paragraph" w:styleId="CommentText">
    <w:name w:val="annotation text"/>
    <w:basedOn w:val="Normal"/>
    <w:link w:val="CommentTextChar"/>
    <w:uiPriority w:val="99"/>
    <w:unhideWhenUsed/>
    <w:rsid w:val="00236052"/>
    <w:rPr>
      <w:sz w:val="20"/>
      <w:szCs w:val="20"/>
    </w:rPr>
  </w:style>
  <w:style w:type="character" w:customStyle="1" w:styleId="CommentTextChar">
    <w:name w:val="Comment Text Char"/>
    <w:basedOn w:val="DefaultParagraphFont"/>
    <w:link w:val="CommentText"/>
    <w:uiPriority w:val="99"/>
    <w:rsid w:val="0023605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6052"/>
    <w:rPr>
      <w:b/>
      <w:bCs/>
    </w:rPr>
  </w:style>
  <w:style w:type="character" w:customStyle="1" w:styleId="CommentSubjectChar">
    <w:name w:val="Comment Subject Char"/>
    <w:basedOn w:val="CommentTextChar"/>
    <w:link w:val="CommentSubject"/>
    <w:uiPriority w:val="99"/>
    <w:semiHidden/>
    <w:rsid w:val="00236052"/>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360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052"/>
    <w:rPr>
      <w:rFonts w:ascii="Segoe UI" w:hAnsi="Segoe UI" w:cs="Segoe UI"/>
      <w:sz w:val="18"/>
      <w:szCs w:val="18"/>
      <w:lang w:val="en-GB"/>
    </w:rPr>
  </w:style>
  <w:style w:type="character" w:styleId="Hyperlink">
    <w:name w:val="Hyperlink"/>
    <w:basedOn w:val="DefaultParagraphFont"/>
    <w:uiPriority w:val="99"/>
    <w:unhideWhenUsed/>
    <w:rsid w:val="00236052"/>
    <w:rPr>
      <w:color w:val="0000FF" w:themeColor="hyperlink"/>
      <w:u w:val="single"/>
    </w:rPr>
  </w:style>
  <w:style w:type="character" w:styleId="Strong">
    <w:name w:val="Strong"/>
    <w:uiPriority w:val="22"/>
    <w:qFormat/>
    <w:rsid w:val="007C6C3F"/>
    <w:rPr>
      <w:b/>
      <w:bCs/>
    </w:rPr>
  </w:style>
  <w:style w:type="character" w:styleId="FollowedHyperlink">
    <w:name w:val="FollowedHyperlink"/>
    <w:basedOn w:val="DefaultParagraphFont"/>
    <w:uiPriority w:val="99"/>
    <w:semiHidden/>
    <w:unhideWhenUsed/>
    <w:rsid w:val="004F18D3"/>
    <w:rPr>
      <w:color w:val="800080" w:themeColor="followedHyperlink"/>
      <w:u w:val="single"/>
    </w:rPr>
  </w:style>
  <w:style w:type="paragraph" w:customStyle="1" w:styleId="oj-signatory">
    <w:name w:val="oj-signatory"/>
    <w:basedOn w:val="Normal"/>
    <w:rsid w:val="00184846"/>
    <w:pPr>
      <w:spacing w:before="100" w:beforeAutospacing="1" w:after="100" w:afterAutospacing="1"/>
      <w:jc w:val="left"/>
    </w:pPr>
    <w:rPr>
      <w:rFonts w:eastAsia="Times New Roman"/>
      <w:szCs w:val="24"/>
      <w:lang w:val="fr-BE" w:eastAsia="fr-BE"/>
    </w:rPr>
  </w:style>
  <w:style w:type="character" w:customStyle="1" w:styleId="oj-italic">
    <w:name w:val="oj-italic"/>
    <w:basedOn w:val="DefaultParagraphFont"/>
    <w:rsid w:val="00184846"/>
  </w:style>
  <w:style w:type="paragraph" w:styleId="Revision">
    <w:name w:val="Revision"/>
    <w:hidden/>
    <w:uiPriority w:val="99"/>
    <w:semiHidden/>
    <w:rsid w:val="005D58AF"/>
    <w:pPr>
      <w:spacing w:after="0" w:line="240" w:lineRule="auto"/>
    </w:pPr>
    <w:rPr>
      <w:rFonts w:ascii="Times New Roman" w:hAnsi="Times New Roman" w:cs="Times New Roman"/>
      <w:sz w:val="24"/>
      <w:lang w:val="en-GB"/>
    </w:rPr>
  </w:style>
  <w:style w:type="paragraph" w:customStyle="1" w:styleId="ti-art">
    <w:name w:val="ti-art"/>
    <w:basedOn w:val="Normal"/>
    <w:rsid w:val="005573F8"/>
    <w:pPr>
      <w:spacing w:before="100" w:beforeAutospacing="1" w:after="100" w:afterAutospacing="1"/>
      <w:jc w:val="left"/>
    </w:pPr>
    <w:rPr>
      <w:rFonts w:eastAsia="Times New Roman"/>
      <w:szCs w:val="24"/>
      <w:lang w:val="en-IE" w:eastAsia="en-IE"/>
    </w:rPr>
  </w:style>
  <w:style w:type="paragraph" w:customStyle="1" w:styleId="Normal1">
    <w:name w:val="Normal1"/>
    <w:basedOn w:val="Normal"/>
    <w:rsid w:val="005573F8"/>
    <w:pPr>
      <w:spacing w:before="100" w:beforeAutospacing="1" w:after="100" w:afterAutospacing="1"/>
      <w:jc w:val="left"/>
    </w:pPr>
    <w:rPr>
      <w:rFonts w:eastAsia="Times New Roman"/>
      <w:szCs w:val="24"/>
      <w:lang w:val="en-IE" w:eastAsia="en-IE"/>
    </w:rPr>
  </w:style>
  <w:style w:type="character" w:customStyle="1" w:styleId="italic">
    <w:name w:val="italic"/>
    <w:basedOn w:val="DefaultParagraphFont"/>
    <w:rsid w:val="005573F8"/>
  </w:style>
  <w:style w:type="paragraph" w:customStyle="1" w:styleId="signatory">
    <w:name w:val="signatory"/>
    <w:basedOn w:val="Normal"/>
    <w:rsid w:val="005573F8"/>
    <w:pPr>
      <w:spacing w:before="100" w:beforeAutospacing="1" w:after="100" w:afterAutospacing="1"/>
      <w:jc w:val="left"/>
    </w:pPr>
    <w:rPr>
      <w:rFonts w:eastAsia="Times New Roman"/>
      <w:szCs w:val="24"/>
      <w:lang w:val="en-IE" w:eastAsia="en-IE"/>
    </w:rPr>
  </w:style>
  <w:style w:type="paragraph" w:styleId="HTMLPreformatted">
    <w:name w:val="HTML Preformatted"/>
    <w:basedOn w:val="Normal"/>
    <w:link w:val="HTMLPreformattedChar"/>
    <w:uiPriority w:val="99"/>
    <w:semiHidden/>
    <w:unhideWhenUsed/>
    <w:rsid w:val="00C25D8D"/>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5D8D"/>
    <w:rPr>
      <w:rFonts w:ascii="Consolas" w:hAnsi="Consolas" w:cs="Times New Roman"/>
      <w:sz w:val="20"/>
      <w:szCs w:val="20"/>
      <w:lang w:val="en-GB"/>
    </w:rPr>
  </w:style>
  <w:style w:type="paragraph" w:styleId="NoSpacing">
    <w:name w:val="No Spacing"/>
    <w:uiPriority w:val="1"/>
    <w:qFormat/>
    <w:rsid w:val="00321398"/>
    <w:pPr>
      <w:spacing w:after="0" w:line="240" w:lineRule="auto"/>
      <w:jc w:val="both"/>
    </w:pPr>
    <w:rPr>
      <w:rFonts w:ascii="Times New Roman" w:hAnsi="Times New Roman" w:cs="Times New Roman"/>
      <w:sz w:val="24"/>
      <w:lang w:val="en-GB"/>
    </w:rPr>
  </w:style>
  <w:style w:type="character" w:customStyle="1" w:styleId="UnresolvedMention1">
    <w:name w:val="Unresolved Mention1"/>
    <w:basedOn w:val="DefaultParagraphFont"/>
    <w:uiPriority w:val="99"/>
    <w:semiHidden/>
    <w:unhideWhenUsed/>
    <w:rsid w:val="009E398A"/>
    <w:rPr>
      <w:color w:val="605E5C"/>
      <w:shd w:val="clear" w:color="auto" w:fill="E1DFDD"/>
    </w:rPr>
  </w:style>
  <w:style w:type="character" w:styleId="UnresolvedMention">
    <w:name w:val="Unresolved Mention"/>
    <w:basedOn w:val="DefaultParagraphFont"/>
    <w:uiPriority w:val="99"/>
    <w:semiHidden/>
    <w:unhideWhenUsed/>
    <w:rsid w:val="00D948B5"/>
    <w:rPr>
      <w:color w:val="605E5C"/>
      <w:shd w:val="clear" w:color="auto" w:fill="E1DFDD"/>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91799">
      <w:bodyDiv w:val="1"/>
      <w:marLeft w:val="0"/>
      <w:marRight w:val="0"/>
      <w:marTop w:val="0"/>
      <w:marBottom w:val="0"/>
      <w:divBdr>
        <w:top w:val="none" w:sz="0" w:space="0" w:color="auto"/>
        <w:left w:val="none" w:sz="0" w:space="0" w:color="auto"/>
        <w:bottom w:val="none" w:sz="0" w:space="0" w:color="auto"/>
        <w:right w:val="none" w:sz="0" w:space="0" w:color="auto"/>
      </w:divBdr>
    </w:div>
    <w:div w:id="1310400646">
      <w:bodyDiv w:val="1"/>
      <w:marLeft w:val="0"/>
      <w:marRight w:val="0"/>
      <w:marTop w:val="0"/>
      <w:marBottom w:val="0"/>
      <w:divBdr>
        <w:top w:val="none" w:sz="0" w:space="0" w:color="auto"/>
        <w:left w:val="none" w:sz="0" w:space="0" w:color="auto"/>
        <w:bottom w:val="none" w:sz="0" w:space="0" w:color="auto"/>
        <w:right w:val="none" w:sz="0" w:space="0" w:color="auto"/>
      </w:divBdr>
    </w:div>
    <w:div w:id="1387875614">
      <w:bodyDiv w:val="1"/>
      <w:marLeft w:val="0"/>
      <w:marRight w:val="0"/>
      <w:marTop w:val="0"/>
      <w:marBottom w:val="0"/>
      <w:divBdr>
        <w:top w:val="none" w:sz="0" w:space="0" w:color="auto"/>
        <w:left w:val="none" w:sz="0" w:space="0" w:color="auto"/>
        <w:bottom w:val="none" w:sz="0" w:space="0" w:color="auto"/>
        <w:right w:val="none" w:sz="0" w:space="0" w:color="auto"/>
      </w:divBdr>
    </w:div>
    <w:div w:id="1899171481">
      <w:bodyDiv w:val="1"/>
      <w:marLeft w:val="0"/>
      <w:marRight w:val="0"/>
      <w:marTop w:val="0"/>
      <w:marBottom w:val="0"/>
      <w:divBdr>
        <w:top w:val="none" w:sz="0" w:space="0" w:color="auto"/>
        <w:left w:val="none" w:sz="0" w:space="0" w:color="auto"/>
        <w:bottom w:val="none" w:sz="0" w:space="0" w:color="auto"/>
        <w:right w:val="none" w:sz="0" w:space="0" w:color="auto"/>
      </w:divBdr>
      <w:divsChild>
        <w:div w:id="1099057166">
          <w:marLeft w:val="0"/>
          <w:marRight w:val="0"/>
          <w:marTop w:val="0"/>
          <w:marBottom w:val="0"/>
          <w:divBdr>
            <w:top w:val="none" w:sz="0" w:space="0" w:color="auto"/>
            <w:left w:val="none" w:sz="0" w:space="0" w:color="auto"/>
            <w:bottom w:val="none" w:sz="0" w:space="0" w:color="auto"/>
            <w:right w:val="none" w:sz="0" w:space="0" w:color="auto"/>
          </w:divBdr>
          <w:divsChild>
            <w:div w:id="4593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Props1.xml><?xml version="1.0" encoding="utf-8"?>
<ds:datastoreItem xmlns:ds="http://schemas.openxmlformats.org/officeDocument/2006/customXml" ds:itemID="{8442DCDB-EDFC-45F5-9F09-EA0E6B579684}">
  <ds:schemaRefs>
    <ds:schemaRef ds:uri="http://schemas.microsoft.com/sharepoint/v3/contenttype/forms"/>
  </ds:schemaRefs>
</ds:datastoreItem>
</file>

<file path=customXml/itemProps2.xml><?xml version="1.0" encoding="utf-8"?>
<ds:datastoreItem xmlns:ds="http://schemas.openxmlformats.org/officeDocument/2006/customXml" ds:itemID="{2EF888FA-3071-450C-8912-7C1C61E3475A}">
  <ds:schemaRefs>
    <ds:schemaRef ds:uri="http://schemas.openxmlformats.org/officeDocument/2006/bibliography"/>
  </ds:schemaRefs>
</ds:datastoreItem>
</file>

<file path=customXml/itemProps3.xml><?xml version="1.0" encoding="utf-8"?>
<ds:datastoreItem xmlns:ds="http://schemas.openxmlformats.org/officeDocument/2006/customXml" ds:itemID="{303DFF28-AD07-45FD-A5C9-12D97B96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4BAF5-EC78-4BB4-967A-22B150827F48}">
  <ds:schemaRefs>
    <ds:schemaRef ds:uri="http://schemas.microsoft.com/office/2006/metadata/properties"/>
    <ds:schemaRef ds:uri="http://purl.org/dc/elements/1.1/"/>
    <ds:schemaRef ds:uri="http://schemas.microsoft.com/sharepoint/v3/fields"/>
    <ds:schemaRef ds:uri="379e0a09-5deb-44c7-a703-b352a170740d"/>
    <ds:schemaRef ds:uri="39d607b5-3019-4139-86e9-2e131faaffa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Template>
  <TotalTime>2</TotalTime>
  <Pages>4</Pages>
  <Words>1769</Words>
  <Characters>9687</Characters>
  <Application>Microsoft Office Word</Application>
  <DocSecurity>0</DocSecurity>
  <Lines>162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Veerle.VANHEUSDEN@ec.europa.eu</dc:creator>
  <cp:keywords/>
  <dc:description/>
  <cp:lastModifiedBy>DOLHA Elena Adriana (SANTE)</cp:lastModifiedBy>
  <cp:revision>6</cp:revision>
  <cp:lastPrinted>2023-09-22T05:28:00Z</cp:lastPrinted>
  <dcterms:created xsi:type="dcterms:W3CDTF">2023-10-09T07:49:00Z</dcterms:created>
  <dcterms:modified xsi:type="dcterms:W3CDTF">2023-10-09T07:51:00Z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SJ-004</vt:lpwstr>
  </property>
  <property fmtid="{D5CDD505-2E9C-101B-9397-08002B2CF9AE}" pid="10" name="MSIP_Label_6bd9ddd1-4d20-43f6-abfa-fc3c07406f94_Enabled">
    <vt:lpwstr>true</vt:lpwstr>
  </property>
  <property fmtid="{D5CDD505-2E9C-101B-9397-08002B2CF9AE}" pid="11" name="MSIP_Label_6bd9ddd1-4d20-43f6-abfa-fc3c07406f94_SetDate">
    <vt:lpwstr>2022-10-23T22:02:27Z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f967a1a7-924b-4ed4-a31a-8f50498a6108</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