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7ABC8" w14:textId="5FA3F7B9" w:rsidR="00152894" w:rsidRDefault="00A33B21" w:rsidP="00470413">
      <w:pPr>
        <w:pStyle w:val="Pagedecouverture"/>
      </w:pPr>
      <w:bookmarkStart w:id="0" w:name="_GoBack"/>
      <w:bookmarkEnd w:id="0"/>
      <w:r>
        <w:pict w14:anchorId="6B763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BECDDF1-D9F4-49D5-9135-FEDD66218D2B" style="width:455.25pt;height:412.5pt">
            <v:imagedata r:id="rId8" o:title=""/>
          </v:shape>
        </w:pict>
      </w:r>
    </w:p>
    <w:p w14:paraId="4D56117D" w14:textId="77777777" w:rsidR="00807C4B" w:rsidRPr="00922C91" w:rsidRDefault="00807C4B">
      <w:pPr>
        <w:sectPr w:rsidR="00807C4B" w:rsidRPr="00922C91" w:rsidSect="004704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9E9CFBC" w14:textId="7AAEFE56" w:rsidR="00807C4B" w:rsidRPr="00922C91" w:rsidRDefault="00470413" w:rsidP="00470413">
      <w:pPr>
        <w:pStyle w:val="Typedudocument"/>
      </w:pPr>
      <w:r w:rsidRPr="00470413">
        <w:lastRenderedPageBreak/>
        <w:t>COMMISSION IMPLEMENTING REGULATION (EU) …/...</w:t>
      </w:r>
    </w:p>
    <w:p w14:paraId="19D34BA5" w14:textId="17CD24AF" w:rsidR="00807C4B" w:rsidRPr="00922C91" w:rsidRDefault="00470413" w:rsidP="00470413">
      <w:pPr>
        <w:pStyle w:val="Datedadoption"/>
      </w:pPr>
      <w:r w:rsidRPr="00470413">
        <w:t xml:space="preserve">of </w:t>
      </w:r>
      <w:r w:rsidRPr="00470413">
        <w:rPr>
          <w:rStyle w:val="Marker2"/>
        </w:rPr>
        <w:t>XXX</w:t>
      </w:r>
    </w:p>
    <w:p w14:paraId="5A09C597" w14:textId="457943FF" w:rsidR="00807C4B" w:rsidRPr="00922C91" w:rsidRDefault="00470413" w:rsidP="00470413">
      <w:pPr>
        <w:pStyle w:val="Titreobjet"/>
      </w:pPr>
      <w:r w:rsidRPr="00470413">
        <w:t>amending Regulation (EU) 2017/2470 as regards the labelling requirements of the novel foods α-cyclodextrin and γ-cyclodextrin</w:t>
      </w:r>
    </w:p>
    <w:p w14:paraId="43EE2B17" w14:textId="3600FA02" w:rsidR="00807C4B" w:rsidRDefault="00470413" w:rsidP="00470413">
      <w:pPr>
        <w:pStyle w:val="IntrtEEE"/>
      </w:pPr>
      <w:r w:rsidRPr="00470413">
        <w:t>(Text with EEA relevance)</w:t>
      </w:r>
    </w:p>
    <w:p w14:paraId="22F7E727" w14:textId="77777777" w:rsidR="00807C4B" w:rsidRPr="00236F83" w:rsidRDefault="00807C4B" w:rsidP="00807C4B">
      <w:pPr>
        <w:pStyle w:val="Institutionquiagit"/>
      </w:pPr>
      <w:r w:rsidRPr="00236F83">
        <w:t>THE EUROPEAN COMMISSION,</w:t>
      </w:r>
    </w:p>
    <w:p w14:paraId="1B6B75D2" w14:textId="77777777" w:rsidR="00807C4B" w:rsidRPr="00236F83" w:rsidRDefault="00807C4B" w:rsidP="00807C4B">
      <w:pPr>
        <w:rPr>
          <w:rFonts w:eastAsia="Calibri"/>
          <w:lang w:eastAsia="en-GB"/>
        </w:rPr>
      </w:pPr>
      <w:r w:rsidRPr="00236F83">
        <w:rPr>
          <w:rFonts w:eastAsia="Calibri"/>
          <w:lang w:eastAsia="en-GB"/>
        </w:rPr>
        <w:t>Having regard to the Treaty on the Functioning of the European Union,</w:t>
      </w:r>
    </w:p>
    <w:p w14:paraId="0493CB0A" w14:textId="77777777" w:rsidR="00807C4B" w:rsidRPr="00236F83" w:rsidRDefault="00807C4B" w:rsidP="00807C4B">
      <w:pPr>
        <w:rPr>
          <w:rFonts w:eastAsia="Calibri"/>
          <w:lang w:eastAsia="en-GB"/>
        </w:rPr>
      </w:pPr>
      <w:r w:rsidRPr="00236F83">
        <w:rPr>
          <w:rFonts w:eastAsia="Calibri"/>
          <w:lang w:eastAsia="en-GB"/>
        </w:rPr>
        <w:t>Having regard to Regulation (EU) 2015/2283 of the European Parliament and of the Council of 25 November 2015 on novel foods, amending Regulation (EU) No 1169/2011 of the European Parliament and of the Council and repealing Regulation (EC) No 258/97 of the European Parliament and of the Council and Commission Regulation (EC) No 1852/2001</w:t>
      </w:r>
      <w:r w:rsidRPr="00236F83">
        <w:rPr>
          <w:rStyle w:val="FootnoteReference"/>
        </w:rPr>
        <w:footnoteReference w:id="1"/>
      </w:r>
      <w:r w:rsidRPr="00236F83">
        <w:rPr>
          <w:rFonts w:eastAsia="Calibri"/>
          <w:lang w:eastAsia="en-GB"/>
        </w:rPr>
        <w:t xml:space="preserve">, and in </w:t>
      </w:r>
      <w:r w:rsidRPr="002210E6">
        <w:rPr>
          <w:rFonts w:eastAsia="Calibri"/>
          <w:lang w:eastAsia="en-GB"/>
        </w:rPr>
        <w:t>particular Article 12 thereof</w:t>
      </w:r>
      <w:r w:rsidRPr="00236F83">
        <w:rPr>
          <w:rFonts w:eastAsia="Calibri"/>
          <w:lang w:eastAsia="en-GB"/>
        </w:rPr>
        <w:t>,</w:t>
      </w:r>
    </w:p>
    <w:p w14:paraId="34E0F8A1" w14:textId="77777777" w:rsidR="00807C4B" w:rsidRPr="00236F83" w:rsidRDefault="00807C4B" w:rsidP="00807C4B">
      <w:r w:rsidRPr="00236F83">
        <w:rPr>
          <w:rFonts w:eastAsia="Calibri"/>
          <w:lang w:eastAsia="en-GB"/>
        </w:rPr>
        <w:t>Whereas:</w:t>
      </w:r>
    </w:p>
    <w:p w14:paraId="35AF0298" w14:textId="77777777" w:rsidR="00807C4B" w:rsidRDefault="00807C4B" w:rsidP="00807C4B">
      <w:pPr>
        <w:pStyle w:val="Considrant"/>
      </w:pPr>
      <w:r>
        <w:t xml:space="preserve">Regulation (EU) 2015/2283 provides that only novel foods authorised and included in the Union list of novel foods may be placed on the market within the Union. </w:t>
      </w:r>
    </w:p>
    <w:p w14:paraId="16034D59" w14:textId="77777777" w:rsidR="00807C4B" w:rsidRDefault="00807C4B" w:rsidP="00807C4B">
      <w:pPr>
        <w:pStyle w:val="Considrant"/>
      </w:pPr>
      <w:r w:rsidRPr="00175BE1">
        <w:t xml:space="preserve">Pursuant to Article </w:t>
      </w:r>
      <w:r>
        <w:t xml:space="preserve">8 of Regulation (EU) 2015/2283, </w:t>
      </w:r>
      <w:r w:rsidRPr="00175BE1">
        <w:t>Commission Impleme</w:t>
      </w:r>
      <w:r>
        <w:t>nting Regulation (EU) 2017/2470</w:t>
      </w:r>
      <w:r>
        <w:rPr>
          <w:rStyle w:val="FootnoteReference"/>
        </w:rPr>
        <w:footnoteReference w:id="2"/>
      </w:r>
      <w:r w:rsidRPr="00175BE1">
        <w:t xml:space="preserve"> </w:t>
      </w:r>
      <w:r>
        <w:t>has established</w:t>
      </w:r>
      <w:r w:rsidRPr="00175BE1">
        <w:t xml:space="preserve"> a Union list of novel foods.</w:t>
      </w:r>
    </w:p>
    <w:p w14:paraId="17BB17CA" w14:textId="77777777" w:rsidR="00807C4B" w:rsidRDefault="00B86530" w:rsidP="000D450A">
      <w:pPr>
        <w:pStyle w:val="Considrant"/>
      </w:pPr>
      <w:r>
        <w:t xml:space="preserve">Novel food </w:t>
      </w:r>
      <w:r w:rsidR="000D450A" w:rsidRPr="000D450A">
        <w:t xml:space="preserve">α-cyclodextrin </w:t>
      </w:r>
      <w:r w:rsidR="000D450A">
        <w:t>is included in t</w:t>
      </w:r>
      <w:r w:rsidR="00807C4B">
        <w:t xml:space="preserve">he Union list </w:t>
      </w:r>
      <w:r>
        <w:t xml:space="preserve">of authorised novel foods </w:t>
      </w:r>
      <w:r w:rsidR="00807C4B">
        <w:t>set out in the Annex to Implementing Regulation (EU) 2017/2470</w:t>
      </w:r>
      <w:r w:rsidR="00807C4B" w:rsidRPr="0014467F">
        <w:t>.</w:t>
      </w:r>
    </w:p>
    <w:p w14:paraId="7F8C6CA8" w14:textId="77777777" w:rsidR="00546B43" w:rsidRDefault="00807C4B" w:rsidP="00546B43">
      <w:pPr>
        <w:pStyle w:val="Considrant"/>
      </w:pPr>
      <w:r w:rsidRPr="005E4BB7">
        <w:t>Commission Decision 2008/413/EC</w:t>
      </w:r>
      <w:r w:rsidRPr="005E4BB7">
        <w:rPr>
          <w:rStyle w:val="FootnoteReference"/>
        </w:rPr>
        <w:footnoteReference w:id="3"/>
      </w:r>
      <w:r w:rsidRPr="005E4BB7">
        <w:t xml:space="preserve"> authorised, in accordance with Regulation (EC) No 258/97 of the European Parliament and of the Council</w:t>
      </w:r>
      <w:r w:rsidRPr="005E4BB7">
        <w:rPr>
          <w:rStyle w:val="FootnoteReference"/>
        </w:rPr>
        <w:footnoteReference w:id="4"/>
      </w:r>
      <w:r w:rsidRPr="005E4BB7">
        <w:t>, the placing on the market of α-cyclodextrin as a novel food ingredient</w:t>
      </w:r>
      <w:r>
        <w:t xml:space="preserve"> </w:t>
      </w:r>
      <w:r w:rsidRPr="005E4BB7">
        <w:t>(CAS No 10016-20-3).</w:t>
      </w:r>
      <w:r w:rsidR="00F83D5C" w:rsidRPr="00F83D5C">
        <w:t xml:space="preserve"> </w:t>
      </w:r>
      <w:r w:rsidR="00F83D5C">
        <w:t>That Decision included in the specifications the term “α-dextrin” as a synonym for α-cyclodextrin.</w:t>
      </w:r>
    </w:p>
    <w:p w14:paraId="493165C9" w14:textId="7A972ECB" w:rsidR="00546B43" w:rsidRDefault="003F6985" w:rsidP="00546B43">
      <w:pPr>
        <w:pStyle w:val="Considrant"/>
      </w:pPr>
      <w:r>
        <w:t xml:space="preserve"> </w:t>
      </w:r>
      <w:r w:rsidR="00807C4B" w:rsidRPr="000F25D2">
        <w:t>On</w:t>
      </w:r>
      <w:r w:rsidR="00807C4B">
        <w:t xml:space="preserve"> 23 </w:t>
      </w:r>
      <w:r w:rsidR="001C6716">
        <w:t>D</w:t>
      </w:r>
      <w:r w:rsidR="00807C4B">
        <w:t xml:space="preserve">ecember 2021, </w:t>
      </w:r>
      <w:r w:rsidR="00807C4B" w:rsidRPr="000F25D2">
        <w:t>the company</w:t>
      </w:r>
      <w:r w:rsidR="00807C4B">
        <w:t xml:space="preserve"> Wacker Chemie AG </w:t>
      </w:r>
      <w:r w:rsidR="00807C4B" w:rsidRPr="000F25D2">
        <w:t xml:space="preserve">(‘the applicant’) submitted an application to the Commission </w:t>
      </w:r>
      <w:r w:rsidR="00807C4B">
        <w:t>in accordance with</w:t>
      </w:r>
      <w:r w:rsidR="00807C4B" w:rsidRPr="000F25D2">
        <w:t xml:space="preserve"> Article 10(1) of Regulation (EU) 2015/2283 for </w:t>
      </w:r>
      <w:r w:rsidR="00807C4B">
        <w:t xml:space="preserve">a change of the labelling </w:t>
      </w:r>
      <w:r w:rsidR="00807C4B" w:rsidRPr="00470413">
        <w:t>requirements of the novel food α-cyclodextrin (</w:t>
      </w:r>
      <w:r w:rsidR="00807C4B" w:rsidRPr="00470413">
        <w:rPr>
          <w:i/>
        </w:rPr>
        <w:t>NF/2021/1876</w:t>
      </w:r>
      <w:r w:rsidR="00807C4B" w:rsidRPr="00470413">
        <w:t>). The applicant requested to include “alpha-dextrin” and “α-dextrin” to the specific labelling requirements for the already authorised novel food α-</w:t>
      </w:r>
      <w:r w:rsidR="00807C4B">
        <w:t xml:space="preserve">cyclodextrin, in addition to the currently permitted </w:t>
      </w:r>
      <w:r w:rsidR="004B5C79">
        <w:t xml:space="preserve">terms </w:t>
      </w:r>
      <w:r w:rsidR="00807C4B">
        <w:t>“Alpha-cyclodextrin” and “α-cyclodextrin”.</w:t>
      </w:r>
    </w:p>
    <w:p w14:paraId="071ABA7F" w14:textId="1A7350AE" w:rsidR="00546B43" w:rsidRDefault="00807C4B" w:rsidP="00546B43">
      <w:pPr>
        <w:pStyle w:val="Considrant"/>
      </w:pPr>
      <w:r w:rsidRPr="002238EE">
        <w:lastRenderedPageBreak/>
        <w:t>The applicant justified the request by indicating that</w:t>
      </w:r>
      <w:r w:rsidR="00546B43">
        <w:t xml:space="preserve"> </w:t>
      </w:r>
      <w:r w:rsidR="002E1B45">
        <w:t>the terms ‘</w:t>
      </w:r>
      <w:r w:rsidR="00546B43">
        <w:t>alpha-dextrin</w:t>
      </w:r>
      <w:r w:rsidR="002E1B45">
        <w:t>’ and ‘alpha-</w:t>
      </w:r>
      <w:r w:rsidR="000F0480">
        <w:t>cy</w:t>
      </w:r>
      <w:r w:rsidR="002E1B45">
        <w:t>clodextrin’ have been used interchangeably for a number of years</w:t>
      </w:r>
      <w:r w:rsidR="002F0E49">
        <w:t xml:space="preserve"> </w:t>
      </w:r>
      <w:r w:rsidR="002E1B45">
        <w:t>in the market place and have become synonymous</w:t>
      </w:r>
      <w:r w:rsidR="000F0480">
        <w:t>.</w:t>
      </w:r>
      <w:r w:rsidR="00983F36">
        <w:t xml:space="preserve"> </w:t>
      </w:r>
      <w:r w:rsidR="00470413">
        <w:t>The Commission understands that</w:t>
      </w:r>
      <w:r w:rsidR="002E1B45">
        <w:t xml:space="preserve"> including the term alpha dextrin</w:t>
      </w:r>
      <w:r w:rsidR="00267257">
        <w:t xml:space="preserve"> in the labelling requirements will more accurately reflect the </w:t>
      </w:r>
      <w:r w:rsidR="00F83D5C">
        <w:t>prevailing understanding and practice in the market place</w:t>
      </w:r>
      <w:r w:rsidR="00267257">
        <w:t xml:space="preserve"> and will clarify the designation of the product for consumers</w:t>
      </w:r>
      <w:r w:rsidR="008929F1">
        <w:t>.</w:t>
      </w:r>
      <w:r w:rsidR="002F0E49">
        <w:t xml:space="preserve"> </w:t>
      </w:r>
    </w:p>
    <w:p w14:paraId="277151E3" w14:textId="508CE405" w:rsidR="00963A1C" w:rsidRDefault="00963A1C" w:rsidP="00963A1C">
      <w:pPr>
        <w:pStyle w:val="Considrant"/>
      </w:pPr>
      <w:r>
        <w:t>Commission Implementing Decision 2012/288/EU</w:t>
      </w:r>
      <w:r>
        <w:rPr>
          <w:rStyle w:val="FootnoteReference"/>
        </w:rPr>
        <w:footnoteReference w:id="5"/>
      </w:r>
      <w:r>
        <w:t xml:space="preserve"> </w:t>
      </w:r>
      <w:r w:rsidRPr="005E4BB7">
        <w:t xml:space="preserve">authorised, in accordance with Regulation (EC) No 258/97, the placing on the market of </w:t>
      </w:r>
      <w:r>
        <w:rPr>
          <w:lang w:val="el-GR"/>
        </w:rPr>
        <w:t>γ</w:t>
      </w:r>
      <w:r w:rsidRPr="005E4BB7">
        <w:t>-cyclodextrin as a novel food ingredient</w:t>
      </w:r>
      <w:r>
        <w:t xml:space="preserve"> </w:t>
      </w:r>
      <w:r w:rsidRPr="005E4BB7">
        <w:t xml:space="preserve">(CAS No </w:t>
      </w:r>
      <w:r>
        <w:t>17465-86-0</w:t>
      </w:r>
      <w:r w:rsidRPr="005E4BB7">
        <w:t>).</w:t>
      </w:r>
      <w:r w:rsidRPr="00F83D5C">
        <w:t xml:space="preserve"> </w:t>
      </w:r>
      <w:r>
        <w:t>That Decision included in the specifications the term “</w:t>
      </w:r>
      <w:r>
        <w:rPr>
          <w:lang w:val="el-GR"/>
        </w:rPr>
        <w:t>γ</w:t>
      </w:r>
      <w:r w:rsidR="00983F36">
        <w:t xml:space="preserve">-dextrin” as a synonym for </w:t>
      </w:r>
      <w:r>
        <w:rPr>
          <w:lang w:val="el-GR"/>
        </w:rPr>
        <w:t>γ</w:t>
      </w:r>
      <w:r>
        <w:t>-cyclodextrin.</w:t>
      </w:r>
    </w:p>
    <w:p w14:paraId="415F2A56" w14:textId="0C1C9FC2" w:rsidR="00807C4B" w:rsidRDefault="00807C4B" w:rsidP="00546B43">
      <w:pPr>
        <w:pStyle w:val="Considrant"/>
      </w:pPr>
      <w:r w:rsidRPr="003F6985">
        <w:t>The Commission</w:t>
      </w:r>
      <w:r>
        <w:t xml:space="preserve"> considers that </w:t>
      </w:r>
      <w:r w:rsidR="00267257">
        <w:t xml:space="preserve">the specific labelling requirements </w:t>
      </w:r>
      <w:r w:rsidR="00963A1C">
        <w:t>for</w:t>
      </w:r>
      <w:r w:rsidR="00267257">
        <w:t xml:space="preserve"> gamma-cyclodextrin</w:t>
      </w:r>
      <w:r w:rsidR="00BD64C0">
        <w:t>,</w:t>
      </w:r>
      <w:r w:rsidR="00BD64C0" w:rsidRPr="00BD64C0">
        <w:t xml:space="preserve"> </w:t>
      </w:r>
      <w:r w:rsidR="00BD64C0">
        <w:t>which was authorised by Commission Implementing Decision 2012/288/EU</w:t>
      </w:r>
      <w:r w:rsidR="00BD64C0">
        <w:rPr>
          <w:rStyle w:val="FootnoteReference"/>
        </w:rPr>
        <w:footnoteReference w:id="6"/>
      </w:r>
      <w:r w:rsidR="00BD64C0">
        <w:t>,</w:t>
      </w:r>
      <w:r w:rsidR="00267257">
        <w:t xml:space="preserve"> should also be amended to include the term ‘gamma-dextrin’ for the same reasons justifying the inclusion of alpha dextrin in the </w:t>
      </w:r>
      <w:r w:rsidR="00963A1C">
        <w:t xml:space="preserve">specific </w:t>
      </w:r>
      <w:r w:rsidR="00267257">
        <w:t>labelling of alpha-cyclodextrin</w:t>
      </w:r>
      <w:r>
        <w:t xml:space="preserve">. </w:t>
      </w:r>
    </w:p>
    <w:p w14:paraId="7AE7F9E8" w14:textId="407ACB89" w:rsidR="00807C4B" w:rsidRDefault="00807C4B" w:rsidP="00807C4B">
      <w:pPr>
        <w:pStyle w:val="Considrant"/>
      </w:pPr>
      <w:r w:rsidRPr="002238EE">
        <w:t>The Commission considers that</w:t>
      </w:r>
      <w:r>
        <w:t xml:space="preserve"> the update of the Union list is not liable to have an effect on human health and that </w:t>
      </w:r>
      <w:r w:rsidRPr="002238EE">
        <w:t>a safety evaluation by the European Food Safety Authority in accordance with Article 10(3) of Regulation (EU) 2015/2283 is not necessary.</w:t>
      </w:r>
      <w:r>
        <w:t xml:space="preserve"> The changes in the labelling requirements only concern the addition of synonyms for α-cyclodextrin and </w:t>
      </w:r>
      <w:r w:rsidRPr="00900B0C">
        <w:t>γ-cyclodextrin</w:t>
      </w:r>
      <w:r>
        <w:t xml:space="preserve"> </w:t>
      </w:r>
      <w:r w:rsidR="00C06989">
        <w:t xml:space="preserve">with </w:t>
      </w:r>
      <w:r>
        <w:t xml:space="preserve">the aim </w:t>
      </w:r>
      <w:r w:rsidR="00A45B44">
        <w:t>to allow the applican</w:t>
      </w:r>
      <w:r w:rsidR="00092405">
        <w:t xml:space="preserve">t </w:t>
      </w:r>
      <w:r w:rsidR="00963A1C">
        <w:t xml:space="preserve">and economic operators </w:t>
      </w:r>
      <w:r w:rsidR="00092405">
        <w:t xml:space="preserve">to use the term that </w:t>
      </w:r>
      <w:r w:rsidR="00963A1C">
        <w:t xml:space="preserve">they </w:t>
      </w:r>
      <w:r w:rsidR="00A45B44">
        <w:t xml:space="preserve">consider more </w:t>
      </w:r>
      <w:r w:rsidR="00546B43">
        <w:t>appropriate</w:t>
      </w:r>
      <w:r>
        <w:t>.</w:t>
      </w:r>
    </w:p>
    <w:p w14:paraId="306B433A" w14:textId="77777777" w:rsidR="00807C4B" w:rsidRDefault="00807C4B" w:rsidP="00807C4B">
      <w:pPr>
        <w:pStyle w:val="Considrant"/>
      </w:pPr>
      <w:r>
        <w:t xml:space="preserve">The information provided in the application gives sufficient grounds to establish that the changes of the labelling requirements of the novel foods </w:t>
      </w:r>
      <w:r w:rsidR="00963A1C">
        <w:t xml:space="preserve">α-cyclodextrin and </w:t>
      </w:r>
      <w:r w:rsidR="00963A1C" w:rsidRPr="00900B0C">
        <w:t>γ-cyclodextrin</w:t>
      </w:r>
      <w:r w:rsidR="00963A1C">
        <w:t xml:space="preserve"> </w:t>
      </w:r>
      <w:r w:rsidR="002210E6">
        <w:t xml:space="preserve">are in accordance with </w:t>
      </w:r>
      <w:r>
        <w:t xml:space="preserve">the conditions </w:t>
      </w:r>
      <w:r w:rsidR="00BD64C0">
        <w:t>of Article 12(2</w:t>
      </w:r>
      <w:r>
        <w:t>) of Regulation (EU) 2015/2283.</w:t>
      </w:r>
    </w:p>
    <w:p w14:paraId="1DFECAFC" w14:textId="77777777" w:rsidR="00807C4B" w:rsidRPr="009E6D86" w:rsidRDefault="00807C4B" w:rsidP="00807C4B">
      <w:pPr>
        <w:pStyle w:val="Considrant"/>
      </w:pPr>
      <w:r>
        <w:rPr>
          <w:lang w:eastAsia="en-GB"/>
        </w:rPr>
        <w:t xml:space="preserve">The Annex to Implementing </w:t>
      </w:r>
      <w:r w:rsidRPr="009E6D86">
        <w:rPr>
          <w:lang w:eastAsia="en-GB"/>
        </w:rPr>
        <w:t>Regulation (EU) 2017/2470 should therefore be amended accordingly.</w:t>
      </w:r>
      <w:r w:rsidRPr="009E6D86">
        <w:t xml:space="preserve"> </w:t>
      </w:r>
    </w:p>
    <w:p w14:paraId="52BDE0E4" w14:textId="77777777" w:rsidR="00807C4B" w:rsidRDefault="00807C4B" w:rsidP="00807C4B">
      <w:pPr>
        <w:pStyle w:val="Considrant"/>
      </w:pPr>
      <w:r w:rsidRPr="00501B2E">
        <w:rPr>
          <w:lang w:eastAsia="en-GB"/>
        </w:rPr>
        <w:t>The measures provided for in this Regulation are in accordance with the opinion of the Standing Committee on Plants, Animals, Food and Feed</w:t>
      </w:r>
      <w:r>
        <w:rPr>
          <w:rFonts w:eastAsia="Times New Roman"/>
          <w:szCs w:val="24"/>
          <w:lang w:eastAsia="en-GB"/>
        </w:rPr>
        <w:t>,</w:t>
      </w:r>
    </w:p>
    <w:p w14:paraId="59695F45" w14:textId="77777777" w:rsidR="00807C4B" w:rsidRPr="00973D46" w:rsidRDefault="00807C4B" w:rsidP="00807C4B">
      <w:pPr>
        <w:pStyle w:val="Formuledadoption"/>
      </w:pPr>
      <w:r w:rsidRPr="00236F83">
        <w:rPr>
          <w:lang w:eastAsia="en-GB"/>
        </w:rPr>
        <w:t xml:space="preserve">HAS ADOPTED THIS REGULATION: </w:t>
      </w:r>
    </w:p>
    <w:p w14:paraId="3A78CF1B" w14:textId="77777777" w:rsidR="00807C4B" w:rsidRPr="00236F83" w:rsidRDefault="00807C4B" w:rsidP="00807C4B">
      <w:pPr>
        <w:pStyle w:val="Titrearticle"/>
        <w:rPr>
          <w:i w:val="0"/>
          <w:lang w:eastAsia="en-GB"/>
        </w:rPr>
      </w:pPr>
      <w:r w:rsidRPr="00236F83">
        <w:rPr>
          <w:lang w:eastAsia="en-GB"/>
        </w:rPr>
        <w:t xml:space="preserve">Article </w:t>
      </w:r>
      <w:r>
        <w:rPr>
          <w:lang w:eastAsia="en-GB"/>
        </w:rPr>
        <w:t>1</w:t>
      </w:r>
    </w:p>
    <w:p w14:paraId="47AE0E02" w14:textId="77777777" w:rsidR="00807C4B" w:rsidRPr="00236F83" w:rsidRDefault="00807C4B" w:rsidP="00807C4B">
      <w:r w:rsidRPr="00236F83">
        <w:rPr>
          <w:rFonts w:eastAsia="Times New Roman"/>
          <w:lang w:eastAsia="en-GB"/>
        </w:rPr>
        <w:t>The Annex to Implementing Regulation (EU) 2017/2470 is amended in accordance with the Annex to this Regulation.</w:t>
      </w:r>
    </w:p>
    <w:p w14:paraId="7B5C3C56" w14:textId="77777777" w:rsidR="00807C4B" w:rsidRPr="00236F83" w:rsidRDefault="00807C4B" w:rsidP="00807C4B">
      <w:pPr>
        <w:pStyle w:val="Titrearticle"/>
        <w:rPr>
          <w:i w:val="0"/>
          <w:lang w:eastAsia="en-GB"/>
        </w:rPr>
      </w:pPr>
      <w:r w:rsidRPr="00236F83">
        <w:rPr>
          <w:lang w:eastAsia="en-GB"/>
        </w:rPr>
        <w:t xml:space="preserve">Article </w:t>
      </w:r>
      <w:r>
        <w:rPr>
          <w:lang w:eastAsia="en-GB"/>
        </w:rPr>
        <w:t>2</w:t>
      </w:r>
    </w:p>
    <w:p w14:paraId="1C83B8BD" w14:textId="77777777" w:rsidR="00807C4B" w:rsidRPr="00236F83" w:rsidRDefault="00807C4B" w:rsidP="00807C4B">
      <w:r w:rsidRPr="00236F83">
        <w:t>This Regulation shall enter into force on the twentieth day following that of its publication in the</w:t>
      </w:r>
      <w:r w:rsidRPr="00236F83">
        <w:rPr>
          <w:i/>
        </w:rPr>
        <w:t xml:space="preserve"> Official Journal of the European Union</w:t>
      </w:r>
      <w:r w:rsidRPr="00236F83">
        <w:t>.</w:t>
      </w:r>
    </w:p>
    <w:p w14:paraId="0452EA21" w14:textId="77777777" w:rsidR="00807C4B" w:rsidRPr="00236F83" w:rsidRDefault="00807C4B" w:rsidP="00807C4B">
      <w:pPr>
        <w:pStyle w:val="Applicationdirecte"/>
      </w:pPr>
      <w:r w:rsidRPr="00236F83">
        <w:t>This Regulation shall be binding in its entirety and directly applicable in all Member States.</w:t>
      </w:r>
    </w:p>
    <w:p w14:paraId="7BECA1B1" w14:textId="02B20AA0" w:rsidR="00807C4B" w:rsidRPr="00236F83" w:rsidRDefault="00470413" w:rsidP="00470413">
      <w:pPr>
        <w:pStyle w:val="Fait"/>
        <w:rPr>
          <w:lang w:eastAsia="en-GB"/>
        </w:rPr>
      </w:pPr>
      <w:r w:rsidRPr="00470413">
        <w:lastRenderedPageBreak/>
        <w:t>Done at Brussels,</w:t>
      </w:r>
    </w:p>
    <w:p w14:paraId="4003FBDC" w14:textId="77777777" w:rsidR="00807C4B" w:rsidRPr="00236F83" w:rsidRDefault="00807C4B" w:rsidP="00807C4B">
      <w:pPr>
        <w:pStyle w:val="Institutionquisigne"/>
        <w:rPr>
          <w:lang w:eastAsia="en-GB"/>
        </w:rPr>
      </w:pPr>
      <w:r w:rsidRPr="00236F83">
        <w:rPr>
          <w:lang w:eastAsia="en-GB"/>
        </w:rPr>
        <w:tab/>
        <w:t>For the Commission</w:t>
      </w:r>
    </w:p>
    <w:p w14:paraId="73E20ACC" w14:textId="77777777" w:rsidR="00807C4B" w:rsidRPr="00892D87" w:rsidRDefault="00807C4B" w:rsidP="00807C4B">
      <w:pPr>
        <w:pStyle w:val="Personnequisigne"/>
        <w:rPr>
          <w:lang w:val="de-DE"/>
        </w:rPr>
      </w:pPr>
      <w:r w:rsidRPr="00236F83">
        <w:rPr>
          <w:lang w:eastAsia="en-GB"/>
        </w:rPr>
        <w:tab/>
      </w:r>
      <w:r w:rsidRPr="00892D87">
        <w:rPr>
          <w:lang w:val="de-DE"/>
        </w:rPr>
        <w:t>The President</w:t>
      </w:r>
    </w:p>
    <w:p w14:paraId="41C5392F" w14:textId="77777777" w:rsidR="00807C4B" w:rsidRPr="00807C4B" w:rsidRDefault="00807C4B" w:rsidP="00807C4B">
      <w:pPr>
        <w:pStyle w:val="Personnequisigne"/>
      </w:pPr>
      <w:r w:rsidRPr="00892D87">
        <w:rPr>
          <w:lang w:val="de-DE"/>
        </w:rPr>
        <w:tab/>
      </w:r>
      <w:r w:rsidRPr="004400BC">
        <w:rPr>
          <w:lang w:val="de-DE"/>
        </w:rPr>
        <w:t>Ursula VON DER LEYEN</w:t>
      </w:r>
    </w:p>
    <w:sectPr w:rsidR="00807C4B" w:rsidRPr="00807C4B" w:rsidSect="00470413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5624" w14:textId="77777777" w:rsidR="008B440C" w:rsidRDefault="008B440C" w:rsidP="00807C4B">
      <w:pPr>
        <w:spacing w:before="0" w:after="0"/>
      </w:pPr>
      <w:r>
        <w:separator/>
      </w:r>
    </w:p>
  </w:endnote>
  <w:endnote w:type="continuationSeparator" w:id="0">
    <w:p w14:paraId="43B426B0" w14:textId="77777777" w:rsidR="008B440C" w:rsidRDefault="008B440C" w:rsidP="00807C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5ADD" w14:textId="77777777" w:rsidR="00A31D76" w:rsidRDefault="00A31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EFBA" w14:textId="7A006D88" w:rsidR="00470413" w:rsidRPr="00470413" w:rsidRDefault="00470413" w:rsidP="00470413">
    <w:pPr>
      <w:pStyle w:val="Footer"/>
      <w:rPr>
        <w:rFonts w:ascii="Arial" w:hAnsi="Arial" w:cs="Arial"/>
        <w:b/>
        <w:sz w:val="48"/>
      </w:rPr>
    </w:pPr>
    <w:r w:rsidRPr="00470413">
      <w:rPr>
        <w:rFonts w:ascii="Arial" w:hAnsi="Arial" w:cs="Arial"/>
        <w:b/>
        <w:sz w:val="48"/>
      </w:rPr>
      <w:t>EN</w:t>
    </w:r>
    <w:r w:rsidRPr="00470413">
      <w:rPr>
        <w:rFonts w:ascii="Arial" w:hAnsi="Arial" w:cs="Arial"/>
        <w:b/>
        <w:sz w:val="48"/>
      </w:rPr>
      <w:tab/>
    </w:r>
    <w:r w:rsidRPr="00470413">
      <w:rPr>
        <w:rFonts w:ascii="Arial" w:hAnsi="Arial" w:cs="Arial"/>
        <w:b/>
        <w:sz w:val="48"/>
      </w:rPr>
      <w:tab/>
    </w:r>
    <w:r w:rsidRPr="00470413">
      <w:tab/>
    </w:r>
    <w:r w:rsidRPr="00470413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B515" w14:textId="77777777" w:rsidR="00A31D76" w:rsidRDefault="00A31D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AF78" w14:textId="2281A792" w:rsidR="00470413" w:rsidRPr="00470413" w:rsidRDefault="00470413" w:rsidP="00470413">
    <w:pPr>
      <w:pStyle w:val="Footer"/>
      <w:rPr>
        <w:rFonts w:ascii="Arial" w:hAnsi="Arial" w:cs="Arial"/>
        <w:b/>
        <w:sz w:val="48"/>
      </w:rPr>
    </w:pPr>
    <w:r w:rsidRPr="00470413">
      <w:rPr>
        <w:rFonts w:ascii="Arial" w:hAnsi="Arial" w:cs="Arial"/>
        <w:b/>
        <w:sz w:val="48"/>
      </w:rPr>
      <w:t>EN</w:t>
    </w:r>
    <w:r w:rsidRPr="0047041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A33B21">
      <w:rPr>
        <w:noProof/>
      </w:rPr>
      <w:t>3</w:t>
    </w:r>
    <w:r>
      <w:fldChar w:fldCharType="end"/>
    </w:r>
    <w:r>
      <w:tab/>
    </w:r>
    <w:r w:rsidRPr="00470413">
      <w:tab/>
    </w:r>
    <w:r w:rsidRPr="00470413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908C" w14:textId="77777777" w:rsidR="00470413" w:rsidRPr="00470413" w:rsidRDefault="00470413" w:rsidP="00470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1FFC" w14:textId="77777777" w:rsidR="008B440C" w:rsidRDefault="008B440C" w:rsidP="00807C4B">
      <w:pPr>
        <w:spacing w:before="0" w:after="0"/>
      </w:pPr>
      <w:r>
        <w:separator/>
      </w:r>
    </w:p>
  </w:footnote>
  <w:footnote w:type="continuationSeparator" w:id="0">
    <w:p w14:paraId="213D0FF9" w14:textId="77777777" w:rsidR="008B440C" w:rsidRDefault="008B440C" w:rsidP="00807C4B">
      <w:pPr>
        <w:spacing w:before="0" w:after="0"/>
      </w:pPr>
      <w:r>
        <w:continuationSeparator/>
      </w:r>
    </w:p>
  </w:footnote>
  <w:footnote w:id="1">
    <w:p w14:paraId="1039F010" w14:textId="77777777" w:rsidR="00807C4B" w:rsidRPr="00706052" w:rsidRDefault="00807C4B" w:rsidP="00807C4B">
      <w:pPr>
        <w:pStyle w:val="FootnoteText"/>
      </w:pPr>
      <w:r w:rsidRPr="00DE0D44">
        <w:rPr>
          <w:rStyle w:val="FootnoteReference"/>
        </w:rPr>
        <w:footnoteRef/>
      </w:r>
      <w:r w:rsidRPr="004B4EEE">
        <w:tab/>
      </w:r>
      <w:r w:rsidRPr="00706052">
        <w:t>OJ L 327, 11.12.2015, p. 1.</w:t>
      </w:r>
    </w:p>
  </w:footnote>
  <w:footnote w:id="2">
    <w:p w14:paraId="19BB5175" w14:textId="77777777" w:rsidR="00807C4B" w:rsidRDefault="00807C4B" w:rsidP="00807C4B">
      <w:pPr>
        <w:pStyle w:val="FootnoteText"/>
      </w:pPr>
      <w:r w:rsidRPr="00934C4C">
        <w:rPr>
          <w:rStyle w:val="FootnoteReference"/>
        </w:rPr>
        <w:footnoteRef/>
      </w:r>
      <w:r>
        <w:tab/>
      </w:r>
      <w:r w:rsidRPr="008446BA">
        <w:t>Commission Implementing Regulation (EU) 2017/2470 of 20 December 2017 establishing the Union list of novel foods in accordance with Regulation (EU) 2015/2283 of the European Parliament and of the Council on novel foods (OJ L 351, 30.12.2017, p. 72).</w:t>
      </w:r>
    </w:p>
  </w:footnote>
  <w:footnote w:id="3">
    <w:p w14:paraId="4230BF75" w14:textId="77777777" w:rsidR="00807C4B" w:rsidRPr="00DE0D39" w:rsidRDefault="00807C4B" w:rsidP="00807C4B">
      <w:pPr>
        <w:pStyle w:val="FootnoteText"/>
      </w:pPr>
      <w:r w:rsidRPr="00934C4C">
        <w:rPr>
          <w:rStyle w:val="FootnoteReference"/>
        </w:rPr>
        <w:footnoteRef/>
      </w:r>
      <w:r>
        <w:tab/>
      </w:r>
      <w:r>
        <w:rPr>
          <w:lang w:val="hu-HU"/>
        </w:rPr>
        <w:t>C</w:t>
      </w:r>
      <w:r>
        <w:t xml:space="preserve">ommission Decision </w:t>
      </w:r>
      <w:r w:rsidRPr="00224929">
        <w:t>2008/413/EC</w:t>
      </w:r>
      <w:r>
        <w:t xml:space="preserve"> of 26 May 2008 authorising the placing on the market of alpha-cyclodextrin as a novel food ingredient under Regulation (EC) No 258/97 of the European Parliament and of the Council</w:t>
      </w:r>
      <w:r w:rsidRPr="003719C5">
        <w:rPr>
          <w:i/>
          <w:lang w:val="hu-HU"/>
        </w:rPr>
        <w:t>.</w:t>
      </w:r>
      <w:r>
        <w:rPr>
          <w:i/>
          <w:lang w:val="hu-HU"/>
        </w:rPr>
        <w:t xml:space="preserve"> </w:t>
      </w:r>
      <w:r>
        <w:rPr>
          <w:lang w:val="hu-HU"/>
        </w:rPr>
        <w:t>(</w:t>
      </w:r>
      <w:r>
        <w:t>OJ L 146, 5.6.2008</w:t>
      </w:r>
      <w:r w:rsidRPr="00706052">
        <w:t>, p. 1</w:t>
      </w:r>
      <w:r>
        <w:t>2).</w:t>
      </w:r>
      <w:r>
        <w:rPr>
          <w:i/>
          <w:lang w:val="hu-HU"/>
        </w:rPr>
        <w:t xml:space="preserve"> </w:t>
      </w:r>
    </w:p>
  </w:footnote>
  <w:footnote w:id="4">
    <w:p w14:paraId="632DD00E" w14:textId="77777777" w:rsidR="00807C4B" w:rsidRPr="001A4F95" w:rsidRDefault="00807C4B" w:rsidP="00807C4B">
      <w:pPr>
        <w:pStyle w:val="FootnoteText"/>
        <w:rPr>
          <w:lang w:val="hu-HU"/>
        </w:rPr>
      </w:pPr>
      <w:r w:rsidRPr="00934C4C">
        <w:rPr>
          <w:rStyle w:val="FootnoteReference"/>
        </w:rPr>
        <w:footnoteRef/>
      </w:r>
      <w:r>
        <w:tab/>
      </w:r>
      <w:r w:rsidRPr="001A4F95">
        <w:rPr>
          <w:lang w:val="hu-HU"/>
        </w:rPr>
        <w:t>Regulation (EC) No 258/97 of the European Parliament and of the Council of 27 January 1997 concerning novel f</w:t>
      </w:r>
      <w:r>
        <w:rPr>
          <w:lang w:val="hu-HU"/>
        </w:rPr>
        <w:t>oods and novel food ingredients (</w:t>
      </w:r>
      <w:r w:rsidRPr="001A4F95">
        <w:rPr>
          <w:lang w:val="hu-HU"/>
        </w:rPr>
        <w:t>OJ L 43, 14.2.1997, p. 1</w:t>
      </w:r>
      <w:r>
        <w:rPr>
          <w:lang w:val="hu-HU"/>
        </w:rPr>
        <w:t>).</w:t>
      </w:r>
    </w:p>
  </w:footnote>
  <w:footnote w:id="5">
    <w:p w14:paraId="6F93A025" w14:textId="77777777" w:rsidR="00F71635" w:rsidRDefault="00F71635"/>
  </w:footnote>
  <w:footnote w:id="6">
    <w:p w14:paraId="0D739D56" w14:textId="0E77970B" w:rsidR="00BD64C0" w:rsidRDefault="0072599A" w:rsidP="0072599A">
      <w:pPr>
        <w:pStyle w:val="FootnoteText"/>
      </w:pPr>
      <w:r>
        <w:rPr>
          <w:rStyle w:val="FootnoteReference"/>
        </w:rPr>
        <w:t>5</w:t>
      </w:r>
      <w:r w:rsidR="00BD64C0">
        <w:tab/>
      </w:r>
      <w:r w:rsidR="00BD64C0" w:rsidRPr="00C471BF">
        <w:t xml:space="preserve">Commission </w:t>
      </w:r>
      <w:r w:rsidR="00BD64C0">
        <w:t xml:space="preserve">Implementing </w:t>
      </w:r>
      <w:r w:rsidR="00BD64C0" w:rsidRPr="00C471BF">
        <w:t xml:space="preserve">Decision </w:t>
      </w:r>
      <w:r w:rsidR="00BD64C0" w:rsidRPr="004E79DE">
        <w:t>2012/288/EU</w:t>
      </w:r>
      <w:r w:rsidR="00BD64C0">
        <w:t xml:space="preserve"> </w:t>
      </w:r>
      <w:r w:rsidR="00BD64C0" w:rsidRPr="00C471BF">
        <w:t xml:space="preserve">of </w:t>
      </w:r>
      <w:r w:rsidR="00BD64C0">
        <w:t>1 June</w:t>
      </w:r>
      <w:r w:rsidR="00BD64C0" w:rsidRPr="00C471BF">
        <w:t xml:space="preserve"> 20</w:t>
      </w:r>
      <w:r w:rsidR="00BD64C0">
        <w:t>12</w:t>
      </w:r>
      <w:r w:rsidR="00BD64C0" w:rsidRPr="00C471BF">
        <w:t xml:space="preserve"> authorising the placing on the market of </w:t>
      </w:r>
      <w:r w:rsidR="00BD64C0">
        <w:t>Gamma</w:t>
      </w:r>
      <w:r w:rsidR="00BD64C0" w:rsidRPr="00C471BF">
        <w:t>-cyclodextrin as a novel food ingredient under Regulation (EC) No 258/97 of the European Parliament and of the Council (OJ L 14</w:t>
      </w:r>
      <w:r w:rsidR="00BD64C0">
        <w:t>4</w:t>
      </w:r>
      <w:r w:rsidR="00BD64C0" w:rsidRPr="00C471BF">
        <w:t>, 5.6.20</w:t>
      </w:r>
      <w:r w:rsidR="00BD64C0">
        <w:t>12</w:t>
      </w:r>
      <w:r w:rsidR="00BD64C0" w:rsidRPr="00C471BF">
        <w:t xml:space="preserve">, p. </w:t>
      </w:r>
      <w:r w:rsidR="00BD64C0">
        <w:t>4</w:t>
      </w:r>
      <w:r w:rsidR="00BD64C0" w:rsidRPr="00C471BF">
        <w:t>1)</w:t>
      </w:r>
      <w:r w:rsidR="00BD64C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8337" w14:textId="77777777" w:rsidR="00A31D76" w:rsidRDefault="00A31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B9E6" w14:textId="77777777" w:rsidR="00A31D76" w:rsidRDefault="00A31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EF56" w14:textId="77777777" w:rsidR="00A31D76" w:rsidRDefault="00A31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1C847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CACDE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5C8E5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FAAD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B9A95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DBE54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39C5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B7A92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1"/>
  </w:num>
  <w:num w:numId="5">
    <w:abstractNumId w:val="13"/>
  </w:num>
  <w:num w:numId="6">
    <w:abstractNumId w:val="14"/>
  </w:num>
  <w:num w:numId="7">
    <w:abstractNumId w:val="9"/>
  </w:num>
  <w:num w:numId="8">
    <w:abstractNumId w:val="20"/>
  </w:num>
  <w:num w:numId="9">
    <w:abstractNumId w:val="8"/>
  </w:num>
  <w:num w:numId="10">
    <w:abstractNumId w:val="15"/>
  </w:num>
  <w:num w:numId="11">
    <w:abstractNumId w:val="17"/>
  </w:num>
  <w:num w:numId="12">
    <w:abstractNumId w:val="18"/>
  </w:num>
  <w:num w:numId="13">
    <w:abstractNumId w:val="10"/>
  </w:num>
  <w:num w:numId="14">
    <w:abstractNumId w:val="16"/>
  </w:num>
  <w:num w:numId="15">
    <w:abstractNumId w:val="22"/>
  </w:num>
  <w:num w:numId="16">
    <w:abstractNumId w:val="7"/>
  </w:num>
  <w:num w:numId="17">
    <w:abstractNumId w:val="22"/>
  </w:num>
  <w:num w:numId="18">
    <w:abstractNumId w:val="19"/>
  </w:num>
  <w:num w:numId="19">
    <w:abstractNumId w:val="12"/>
  </w:num>
  <w:num w:numId="20">
    <w:abstractNumId w:val="21"/>
  </w:num>
  <w:num w:numId="21">
    <w:abstractNumId w:val="11"/>
  </w:num>
  <w:num w:numId="22">
    <w:abstractNumId w:val="13"/>
  </w:num>
  <w:num w:numId="23">
    <w:abstractNumId w:val="14"/>
  </w:num>
  <w:num w:numId="24">
    <w:abstractNumId w:val="9"/>
  </w:num>
  <w:num w:numId="25">
    <w:abstractNumId w:val="20"/>
  </w:num>
  <w:num w:numId="26">
    <w:abstractNumId w:val="8"/>
  </w:num>
  <w:num w:numId="27">
    <w:abstractNumId w:val="15"/>
  </w:num>
  <w:num w:numId="28">
    <w:abstractNumId w:val="17"/>
  </w:num>
  <w:num w:numId="29">
    <w:abstractNumId w:val="18"/>
  </w:num>
  <w:num w:numId="30">
    <w:abstractNumId w:val="10"/>
  </w:num>
  <w:num w:numId="31">
    <w:abstractNumId w:val="16"/>
  </w:num>
  <w:num w:numId="32">
    <w:abstractNumId w:val="22"/>
  </w:num>
  <w:num w:numId="33">
    <w:abstractNumId w:val="5"/>
  </w:num>
  <w:num w:numId="34">
    <w:abstractNumId w:val="4"/>
  </w:num>
  <w:num w:numId="35">
    <w:abstractNumId w:val="3"/>
  </w:num>
  <w:num w:numId="36">
    <w:abstractNumId w:val="6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hu-HU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2-05-02 11:10:32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LinkedStyl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Result_UnknownFont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5BECDDF1-D9F4-49D5-9135-FEDD66218D2B"/>
    <w:docVar w:name="LW_COVERPAGE_TYPE" w:val="1"/>
    <w:docVar w:name="LW_CROSSREFERENCE" w:val="&lt;UNUSED&gt;"/>
    <w:docVar w:name="LW_DATE.ADOPT.CP" w:val="of XXX"/>
    <w:docVar w:name="LW_DATE.ADOPT.CP_DATEFORMAT" w:val="of %DATE%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MODEL" w:val="SJ-004"/>
    <w:docVar w:name="LW_ID_DOCSIGNATURE" w:val="SJ-004"/>
    <w:docVar w:name="LW_ID_DOCSTRUCTURE" w:val="COM/AA"/>
    <w:docVar w:name="LW_ID_DOCTYPE" w:val="SJ-004"/>
    <w:docVar w:name="LW_INTERETEEE.CP" w:val="(Text with EEA relevance)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2) XXX"/>
    <w:docVar w:name="LW_REF.INTERNE" w:val="PLAN/895/2022 CIS (POOL/E2/2022/895/895-EN CIS.docx)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amending Regulation (EU) 2017/2470 as regards the labelling requirements of the novel foods \u945?-cyclodextrin and \u947?-cyclodextrin"/>
    <w:docVar w:name="LW_TYPE.DOC.CP" w:val="COMMISSION IMPLEMENTING REGULATION (EU) \u8230?/..."/>
  </w:docVars>
  <w:rsids>
    <w:rsidRoot w:val="00807C4B"/>
    <w:rsid w:val="00044843"/>
    <w:rsid w:val="00092405"/>
    <w:rsid w:val="000B7A7D"/>
    <w:rsid w:val="000D450A"/>
    <w:rsid w:val="000F0480"/>
    <w:rsid w:val="00152894"/>
    <w:rsid w:val="001C6716"/>
    <w:rsid w:val="001D1F70"/>
    <w:rsid w:val="002210E6"/>
    <w:rsid w:val="00247BB5"/>
    <w:rsid w:val="00267257"/>
    <w:rsid w:val="002B7DBA"/>
    <w:rsid w:val="002E1B45"/>
    <w:rsid w:val="002F0E49"/>
    <w:rsid w:val="00356541"/>
    <w:rsid w:val="00396ACD"/>
    <w:rsid w:val="003F6985"/>
    <w:rsid w:val="00407B0C"/>
    <w:rsid w:val="00434857"/>
    <w:rsid w:val="00435207"/>
    <w:rsid w:val="00437AA5"/>
    <w:rsid w:val="00470413"/>
    <w:rsid w:val="00492396"/>
    <w:rsid w:val="004B5C79"/>
    <w:rsid w:val="004E19F9"/>
    <w:rsid w:val="00517205"/>
    <w:rsid w:val="00542487"/>
    <w:rsid w:val="00546B43"/>
    <w:rsid w:val="00582810"/>
    <w:rsid w:val="00595540"/>
    <w:rsid w:val="005B5FA6"/>
    <w:rsid w:val="006654AB"/>
    <w:rsid w:val="006E0C66"/>
    <w:rsid w:val="006F7EFE"/>
    <w:rsid w:val="0072599A"/>
    <w:rsid w:val="007D0861"/>
    <w:rsid w:val="007E010B"/>
    <w:rsid w:val="00802FC2"/>
    <w:rsid w:val="008030F7"/>
    <w:rsid w:val="00807C4B"/>
    <w:rsid w:val="00866628"/>
    <w:rsid w:val="00890EAD"/>
    <w:rsid w:val="008929F1"/>
    <w:rsid w:val="008A1EE9"/>
    <w:rsid w:val="008B1285"/>
    <w:rsid w:val="008B440C"/>
    <w:rsid w:val="008E244C"/>
    <w:rsid w:val="008E2694"/>
    <w:rsid w:val="00940731"/>
    <w:rsid w:val="00963A1C"/>
    <w:rsid w:val="00965BF0"/>
    <w:rsid w:val="00983F36"/>
    <w:rsid w:val="0099534A"/>
    <w:rsid w:val="009957C5"/>
    <w:rsid w:val="009E2E81"/>
    <w:rsid w:val="00A31D76"/>
    <w:rsid w:val="00A33B21"/>
    <w:rsid w:val="00A45B44"/>
    <w:rsid w:val="00A565C7"/>
    <w:rsid w:val="00A6762B"/>
    <w:rsid w:val="00A91766"/>
    <w:rsid w:val="00B86530"/>
    <w:rsid w:val="00BD64C0"/>
    <w:rsid w:val="00C06989"/>
    <w:rsid w:val="00C3731F"/>
    <w:rsid w:val="00C63D20"/>
    <w:rsid w:val="00D834A1"/>
    <w:rsid w:val="00D94BCE"/>
    <w:rsid w:val="00DB1E63"/>
    <w:rsid w:val="00DB4B20"/>
    <w:rsid w:val="00E07235"/>
    <w:rsid w:val="00E33C9F"/>
    <w:rsid w:val="00E42FD8"/>
    <w:rsid w:val="00E93114"/>
    <w:rsid w:val="00E979AB"/>
    <w:rsid w:val="00EC39BC"/>
    <w:rsid w:val="00EE140B"/>
    <w:rsid w:val="00F2105C"/>
    <w:rsid w:val="00F357C3"/>
    <w:rsid w:val="00F71635"/>
    <w:rsid w:val="00F83D5C"/>
    <w:rsid w:val="00F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697A718"/>
  <w15:docId w15:val="{0F5D3D75-3406-4724-8DF5-7C95B0F4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517205"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517205"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517205"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517205"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517205"/>
    <w:pPr>
      <w:keepNext/>
      <w:numPr>
        <w:ilvl w:val="4"/>
        <w:numId w:val="25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517205"/>
    <w:pPr>
      <w:keepNext/>
      <w:numPr>
        <w:ilvl w:val="5"/>
        <w:numId w:val="25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517205"/>
    <w:pPr>
      <w:keepNext/>
      <w:numPr>
        <w:ilvl w:val="6"/>
        <w:numId w:val="25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07C4B"/>
    <w:pPr>
      <w:numPr>
        <w:numId w:val="16"/>
      </w:numPr>
    </w:pPr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7041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0413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041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470413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720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20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1720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20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20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20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205"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205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205"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1720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517205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47041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7041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1720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704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47041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4704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517205"/>
    <w:pPr>
      <w:ind w:left="850"/>
    </w:pPr>
  </w:style>
  <w:style w:type="paragraph" w:customStyle="1" w:styleId="Text2">
    <w:name w:val="Text 2"/>
    <w:basedOn w:val="Normal"/>
    <w:rsid w:val="00517205"/>
    <w:pPr>
      <w:ind w:left="1417"/>
    </w:pPr>
  </w:style>
  <w:style w:type="paragraph" w:customStyle="1" w:styleId="Text3">
    <w:name w:val="Text 3"/>
    <w:basedOn w:val="Normal"/>
    <w:rsid w:val="00517205"/>
    <w:pPr>
      <w:ind w:left="1984"/>
    </w:pPr>
  </w:style>
  <w:style w:type="paragraph" w:customStyle="1" w:styleId="Text4">
    <w:name w:val="Text 4"/>
    <w:basedOn w:val="Normal"/>
    <w:rsid w:val="00517205"/>
    <w:pPr>
      <w:ind w:left="2551"/>
    </w:pPr>
  </w:style>
  <w:style w:type="paragraph" w:customStyle="1" w:styleId="Text5">
    <w:name w:val="Text 5"/>
    <w:basedOn w:val="Normal"/>
    <w:rsid w:val="00517205"/>
    <w:pPr>
      <w:ind w:left="3118"/>
    </w:pPr>
  </w:style>
  <w:style w:type="paragraph" w:customStyle="1" w:styleId="Text6">
    <w:name w:val="Text 6"/>
    <w:basedOn w:val="Normal"/>
    <w:rsid w:val="00517205"/>
    <w:pPr>
      <w:ind w:left="3685"/>
    </w:pPr>
  </w:style>
  <w:style w:type="paragraph" w:customStyle="1" w:styleId="NormalCentered">
    <w:name w:val="Normal Centered"/>
    <w:basedOn w:val="Normal"/>
    <w:rsid w:val="00517205"/>
    <w:pPr>
      <w:jc w:val="center"/>
    </w:pPr>
  </w:style>
  <w:style w:type="paragraph" w:customStyle="1" w:styleId="NormalLeft">
    <w:name w:val="Normal Left"/>
    <w:basedOn w:val="Normal"/>
    <w:rsid w:val="00517205"/>
    <w:pPr>
      <w:jc w:val="left"/>
    </w:pPr>
  </w:style>
  <w:style w:type="paragraph" w:customStyle="1" w:styleId="NormalRight">
    <w:name w:val="Normal Right"/>
    <w:basedOn w:val="Normal"/>
    <w:rsid w:val="00517205"/>
    <w:pPr>
      <w:jc w:val="right"/>
    </w:pPr>
  </w:style>
  <w:style w:type="paragraph" w:customStyle="1" w:styleId="QuotedText">
    <w:name w:val="Quoted Text"/>
    <w:basedOn w:val="Normal"/>
    <w:rsid w:val="00517205"/>
    <w:pPr>
      <w:ind w:left="1417"/>
    </w:pPr>
  </w:style>
  <w:style w:type="paragraph" w:customStyle="1" w:styleId="Point0">
    <w:name w:val="Point 0"/>
    <w:basedOn w:val="Normal"/>
    <w:rsid w:val="00517205"/>
    <w:pPr>
      <w:ind w:left="850" w:hanging="850"/>
    </w:pPr>
  </w:style>
  <w:style w:type="paragraph" w:customStyle="1" w:styleId="Point1">
    <w:name w:val="Point 1"/>
    <w:basedOn w:val="Normal"/>
    <w:rsid w:val="00517205"/>
    <w:pPr>
      <w:ind w:left="1417" w:hanging="567"/>
    </w:pPr>
  </w:style>
  <w:style w:type="paragraph" w:customStyle="1" w:styleId="Point2">
    <w:name w:val="Point 2"/>
    <w:basedOn w:val="Normal"/>
    <w:rsid w:val="00517205"/>
    <w:pPr>
      <w:ind w:left="1984" w:hanging="567"/>
    </w:pPr>
  </w:style>
  <w:style w:type="paragraph" w:customStyle="1" w:styleId="Point3">
    <w:name w:val="Point 3"/>
    <w:basedOn w:val="Normal"/>
    <w:rsid w:val="00517205"/>
    <w:pPr>
      <w:ind w:left="2551" w:hanging="567"/>
    </w:pPr>
  </w:style>
  <w:style w:type="paragraph" w:customStyle="1" w:styleId="Point4">
    <w:name w:val="Point 4"/>
    <w:basedOn w:val="Normal"/>
    <w:rsid w:val="00517205"/>
    <w:pPr>
      <w:ind w:left="3118" w:hanging="567"/>
    </w:pPr>
  </w:style>
  <w:style w:type="paragraph" w:customStyle="1" w:styleId="Point5">
    <w:name w:val="Point 5"/>
    <w:basedOn w:val="Normal"/>
    <w:rsid w:val="00517205"/>
    <w:pPr>
      <w:ind w:left="3685" w:hanging="567"/>
    </w:pPr>
  </w:style>
  <w:style w:type="paragraph" w:customStyle="1" w:styleId="Tiret0">
    <w:name w:val="Tiret 0"/>
    <w:basedOn w:val="Point0"/>
    <w:rsid w:val="00517205"/>
    <w:pPr>
      <w:numPr>
        <w:numId w:val="18"/>
      </w:numPr>
    </w:pPr>
  </w:style>
  <w:style w:type="paragraph" w:customStyle="1" w:styleId="Tiret1">
    <w:name w:val="Tiret 1"/>
    <w:basedOn w:val="Point1"/>
    <w:rsid w:val="00517205"/>
    <w:pPr>
      <w:numPr>
        <w:numId w:val="19"/>
      </w:numPr>
    </w:pPr>
  </w:style>
  <w:style w:type="paragraph" w:customStyle="1" w:styleId="Tiret2">
    <w:name w:val="Tiret 2"/>
    <w:basedOn w:val="Point2"/>
    <w:rsid w:val="00517205"/>
    <w:pPr>
      <w:numPr>
        <w:numId w:val="20"/>
      </w:numPr>
    </w:pPr>
  </w:style>
  <w:style w:type="paragraph" w:customStyle="1" w:styleId="Tiret3">
    <w:name w:val="Tiret 3"/>
    <w:basedOn w:val="Point3"/>
    <w:rsid w:val="00517205"/>
    <w:pPr>
      <w:numPr>
        <w:numId w:val="21"/>
      </w:numPr>
    </w:pPr>
  </w:style>
  <w:style w:type="paragraph" w:customStyle="1" w:styleId="Tiret4">
    <w:name w:val="Tiret 4"/>
    <w:basedOn w:val="Point4"/>
    <w:rsid w:val="00517205"/>
    <w:pPr>
      <w:numPr>
        <w:numId w:val="22"/>
      </w:numPr>
    </w:pPr>
  </w:style>
  <w:style w:type="paragraph" w:customStyle="1" w:styleId="Tiret5">
    <w:name w:val="Tiret 5"/>
    <w:basedOn w:val="Point5"/>
    <w:rsid w:val="00517205"/>
    <w:pPr>
      <w:numPr>
        <w:numId w:val="23"/>
      </w:numPr>
    </w:pPr>
  </w:style>
  <w:style w:type="paragraph" w:customStyle="1" w:styleId="PointDouble0">
    <w:name w:val="PointDouble 0"/>
    <w:basedOn w:val="Normal"/>
    <w:rsid w:val="0051720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51720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51720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51720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51720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51720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51720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51720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51720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51720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517205"/>
    <w:pPr>
      <w:numPr>
        <w:numId w:val="24"/>
      </w:numPr>
    </w:pPr>
  </w:style>
  <w:style w:type="paragraph" w:customStyle="1" w:styleId="NumPar2">
    <w:name w:val="NumPar 2"/>
    <w:basedOn w:val="Normal"/>
    <w:next w:val="Text1"/>
    <w:rsid w:val="00517205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rsid w:val="00517205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rsid w:val="00517205"/>
    <w:pPr>
      <w:numPr>
        <w:ilvl w:val="3"/>
        <w:numId w:val="24"/>
      </w:numPr>
    </w:pPr>
  </w:style>
  <w:style w:type="paragraph" w:customStyle="1" w:styleId="NumPar5">
    <w:name w:val="NumPar 5"/>
    <w:basedOn w:val="Normal"/>
    <w:next w:val="Text2"/>
    <w:rsid w:val="00517205"/>
    <w:pPr>
      <w:numPr>
        <w:ilvl w:val="4"/>
        <w:numId w:val="24"/>
      </w:numPr>
    </w:pPr>
  </w:style>
  <w:style w:type="paragraph" w:customStyle="1" w:styleId="NumPar6">
    <w:name w:val="NumPar 6"/>
    <w:basedOn w:val="Normal"/>
    <w:next w:val="Text2"/>
    <w:rsid w:val="00517205"/>
    <w:pPr>
      <w:numPr>
        <w:ilvl w:val="5"/>
        <w:numId w:val="24"/>
      </w:numPr>
    </w:pPr>
  </w:style>
  <w:style w:type="paragraph" w:customStyle="1" w:styleId="NumPar7">
    <w:name w:val="NumPar 7"/>
    <w:basedOn w:val="Normal"/>
    <w:next w:val="Text2"/>
    <w:rsid w:val="00517205"/>
    <w:pPr>
      <w:numPr>
        <w:ilvl w:val="6"/>
        <w:numId w:val="24"/>
      </w:numPr>
    </w:pPr>
  </w:style>
  <w:style w:type="paragraph" w:customStyle="1" w:styleId="ManualNumPar1">
    <w:name w:val="Manual NumPar 1"/>
    <w:basedOn w:val="Normal"/>
    <w:next w:val="Text1"/>
    <w:rsid w:val="0051720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51720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51720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517205"/>
    <w:pPr>
      <w:ind w:left="850" w:hanging="850"/>
    </w:pPr>
  </w:style>
  <w:style w:type="paragraph" w:customStyle="1" w:styleId="ManualNumPar5">
    <w:name w:val="Manual NumPar 5"/>
    <w:basedOn w:val="Normal"/>
    <w:next w:val="Text2"/>
    <w:rsid w:val="00517205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517205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517205"/>
    <w:pPr>
      <w:ind w:left="1417" w:hanging="1417"/>
    </w:pPr>
  </w:style>
  <w:style w:type="paragraph" w:customStyle="1" w:styleId="QuotedNumPar">
    <w:name w:val="Quoted NumPar"/>
    <w:basedOn w:val="Normal"/>
    <w:rsid w:val="0051720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51720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51720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51720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517205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rsid w:val="00517205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517205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517205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rsid w:val="0051720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51720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51720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517205"/>
    <w:pPr>
      <w:jc w:val="center"/>
    </w:pPr>
    <w:rPr>
      <w:b/>
    </w:rPr>
  </w:style>
  <w:style w:type="character" w:customStyle="1" w:styleId="Marker">
    <w:name w:val="Marker"/>
    <w:basedOn w:val="DefaultParagraphFont"/>
    <w:rsid w:val="0051720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51720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51720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17205"/>
    <w:pPr>
      <w:numPr>
        <w:numId w:val="26"/>
      </w:numPr>
    </w:pPr>
  </w:style>
  <w:style w:type="paragraph" w:customStyle="1" w:styleId="Point1number">
    <w:name w:val="Point 1 (number)"/>
    <w:basedOn w:val="Normal"/>
    <w:rsid w:val="00517205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rsid w:val="00517205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rsid w:val="00517205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rsid w:val="00517205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rsid w:val="00517205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rsid w:val="00517205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rsid w:val="00517205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rsid w:val="00517205"/>
    <w:pPr>
      <w:numPr>
        <w:ilvl w:val="8"/>
        <w:numId w:val="26"/>
      </w:numPr>
    </w:pPr>
  </w:style>
  <w:style w:type="paragraph" w:customStyle="1" w:styleId="Bullet0">
    <w:name w:val="Bullet 0"/>
    <w:basedOn w:val="Normal"/>
    <w:rsid w:val="00517205"/>
    <w:pPr>
      <w:numPr>
        <w:numId w:val="27"/>
      </w:numPr>
    </w:pPr>
  </w:style>
  <w:style w:type="paragraph" w:customStyle="1" w:styleId="Bullet1">
    <w:name w:val="Bullet 1"/>
    <w:basedOn w:val="Normal"/>
    <w:rsid w:val="00517205"/>
    <w:pPr>
      <w:numPr>
        <w:numId w:val="28"/>
      </w:numPr>
    </w:pPr>
  </w:style>
  <w:style w:type="paragraph" w:customStyle="1" w:styleId="Bullet2">
    <w:name w:val="Bullet 2"/>
    <w:basedOn w:val="Normal"/>
    <w:rsid w:val="00517205"/>
    <w:pPr>
      <w:numPr>
        <w:numId w:val="29"/>
      </w:numPr>
    </w:pPr>
  </w:style>
  <w:style w:type="paragraph" w:customStyle="1" w:styleId="Bullet3">
    <w:name w:val="Bullet 3"/>
    <w:basedOn w:val="Normal"/>
    <w:rsid w:val="00517205"/>
    <w:pPr>
      <w:numPr>
        <w:numId w:val="30"/>
      </w:numPr>
    </w:pPr>
  </w:style>
  <w:style w:type="paragraph" w:customStyle="1" w:styleId="Bullet4">
    <w:name w:val="Bullet 4"/>
    <w:basedOn w:val="Normal"/>
    <w:rsid w:val="00517205"/>
    <w:pPr>
      <w:numPr>
        <w:numId w:val="31"/>
      </w:numPr>
    </w:pPr>
  </w:style>
  <w:style w:type="paragraph" w:customStyle="1" w:styleId="Langue">
    <w:name w:val="Langue"/>
    <w:basedOn w:val="Normal"/>
    <w:next w:val="Rfrenceinterne"/>
    <w:rsid w:val="0051720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51720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51720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51720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51720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517205"/>
    <w:pPr>
      <w:spacing w:before="0" w:after="0"/>
    </w:pPr>
  </w:style>
  <w:style w:type="paragraph" w:customStyle="1" w:styleId="Disclaimer">
    <w:name w:val="Disclaimer"/>
    <w:basedOn w:val="Normal"/>
    <w:rsid w:val="0051720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517205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517205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517205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51720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51720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51720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51720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517205"/>
    <w:pPr>
      <w:numPr>
        <w:numId w:val="17"/>
      </w:numPr>
    </w:pPr>
  </w:style>
  <w:style w:type="paragraph" w:customStyle="1" w:styleId="Corrigendum">
    <w:name w:val="Corrigendum"/>
    <w:basedOn w:val="Normal"/>
    <w:next w:val="Normal"/>
    <w:rsid w:val="0051720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51720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51720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517205"/>
    <w:pPr>
      <w:keepNext/>
    </w:pPr>
  </w:style>
  <w:style w:type="paragraph" w:customStyle="1" w:styleId="Institutionquiagit">
    <w:name w:val="Institution qui agit"/>
    <w:basedOn w:val="Normal"/>
    <w:next w:val="Normal"/>
    <w:rsid w:val="0051720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51720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51720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51720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51720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51720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517205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517205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517205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517205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51720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51720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1720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517205"/>
    <w:rPr>
      <w:i/>
      <w:caps/>
    </w:rPr>
  </w:style>
  <w:style w:type="paragraph" w:customStyle="1" w:styleId="Supertitre">
    <w:name w:val="Supertitre"/>
    <w:basedOn w:val="Normal"/>
    <w:next w:val="Normal"/>
    <w:rsid w:val="0051720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51720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51720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51720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1720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17205"/>
  </w:style>
  <w:style w:type="paragraph" w:customStyle="1" w:styleId="StatutPagedecouverture">
    <w:name w:val="Statut (Page de couverture)"/>
    <w:basedOn w:val="Statut"/>
    <w:next w:val="TypedudocumentPagedecouverture"/>
    <w:rsid w:val="00517205"/>
  </w:style>
  <w:style w:type="paragraph" w:customStyle="1" w:styleId="TitreobjetPagedecouverture">
    <w:name w:val="Titre objet (Page de couverture)"/>
    <w:basedOn w:val="Titreobjet"/>
    <w:next w:val="IntrtEEEPagedecouverture"/>
    <w:rsid w:val="00517205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17205"/>
  </w:style>
  <w:style w:type="paragraph" w:customStyle="1" w:styleId="Volume">
    <w:name w:val="Volume"/>
    <w:basedOn w:val="Normal"/>
    <w:next w:val="Confidentialit"/>
    <w:rsid w:val="0051720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517205"/>
    <w:pPr>
      <w:spacing w:after="240"/>
    </w:pPr>
  </w:style>
  <w:style w:type="paragraph" w:customStyle="1" w:styleId="Accompagnant">
    <w:name w:val="Accompagnant"/>
    <w:basedOn w:val="Normal"/>
    <w:next w:val="Typeacteprincipal"/>
    <w:rsid w:val="00517205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51720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51720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517205"/>
  </w:style>
  <w:style w:type="paragraph" w:customStyle="1" w:styleId="AccompagnantPagedecouverture">
    <w:name w:val="Accompagnant (Page de couverture)"/>
    <w:basedOn w:val="Accompagnant"/>
    <w:next w:val="TypeacteprincipalPagedecouverture"/>
    <w:rsid w:val="0051720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17205"/>
  </w:style>
  <w:style w:type="paragraph" w:customStyle="1" w:styleId="ObjetacteprincipalPagedecouverture">
    <w:name w:val="Objet acte principal (Page de couverture)"/>
    <w:basedOn w:val="Objetacteprincipal"/>
    <w:next w:val="Rfrencecroise"/>
    <w:rsid w:val="00517205"/>
  </w:style>
  <w:style w:type="paragraph" w:customStyle="1" w:styleId="LanguesfaisantfoiPagedecouverture">
    <w:name w:val="Langues faisant foi (Page de couverture)"/>
    <w:basedOn w:val="Normal"/>
    <w:next w:val="Normal"/>
    <w:rsid w:val="00517205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2105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2105C"/>
    <w:pPr>
      <w:spacing w:after="0"/>
    </w:pPr>
  </w:style>
  <w:style w:type="paragraph" w:styleId="ListBullet2">
    <w:name w:val="List Bullet 2"/>
    <w:basedOn w:val="Normal"/>
    <w:uiPriority w:val="99"/>
    <w:semiHidden/>
    <w:unhideWhenUsed/>
    <w:rsid w:val="00F2105C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105C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105C"/>
    <w:pPr>
      <w:numPr>
        <w:numId w:val="3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F2105C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105C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105C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105C"/>
    <w:pPr>
      <w:numPr>
        <w:numId w:val="3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5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3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0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C66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C66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0EAD"/>
    <w:pPr>
      <w:spacing w:after="0" w:line="240" w:lineRule="auto"/>
    </w:pPr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CB53-E091-490F-B9BA-2F9E9433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1</TotalTime>
  <Pages>4</Pages>
  <Words>676</Words>
  <Characters>3857</Characters>
  <Application>Microsoft Office Word</Application>
  <DocSecurity>4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JAMRICHOVA Martina (SANTE)</dc:creator>
  <cp:keywords/>
  <dc:description/>
  <cp:lastModifiedBy>DOLHA Elena Adriana (SANTE)</cp:lastModifiedBy>
  <cp:revision>2</cp:revision>
  <dcterms:created xsi:type="dcterms:W3CDTF">2023-06-13T14:53:00Z</dcterms:created>
  <dcterms:modified xsi:type="dcterms:W3CDTF">2023-06-13T14:53:00Z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8.0, Build 20220128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SJ-004</vt:lpwstr>
  </property>
  <property fmtid="{D5CDD505-2E9C-101B-9397-08002B2CF9AE}" pid="10" name="DQCStatus">
    <vt:lpwstr>Yellow (DQC version 03)</vt:lpwstr>
  </property>
  <property fmtid="{D5CDD505-2E9C-101B-9397-08002B2CF9AE}" pid="11" name="MSIP_Label_6bd9ddd1-4d20-43f6-abfa-fc3c07406f94_Enabled">
    <vt:lpwstr>true</vt:lpwstr>
  </property>
  <property fmtid="{D5CDD505-2E9C-101B-9397-08002B2CF9AE}" pid="12" name="MSIP_Label_6bd9ddd1-4d20-43f6-abfa-fc3c07406f94_SetDate">
    <vt:lpwstr>2023-05-26T14:57:24Z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iteId">
    <vt:lpwstr>b24c8b06-522c-46fe-9080-70926f8dddb1</vt:lpwstr>
  </property>
  <property fmtid="{D5CDD505-2E9C-101B-9397-08002B2CF9AE}" pid="16" name="MSIP_Label_6bd9ddd1-4d20-43f6-abfa-fc3c07406f94_ActionId">
    <vt:lpwstr>a1fc52f8-7a9d-47e5-bf60-21b96bd12c4d</vt:lpwstr>
  </property>
  <property fmtid="{D5CDD505-2E9C-101B-9397-08002B2CF9AE}" pid="17" name="MSIP_Label_6bd9ddd1-4d20-43f6-abfa-fc3c07406f94_ContentBits">
    <vt:lpwstr>0</vt:lpwstr>
  </property>
</Properties>
</file>