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10E" w14:textId="77777777" w:rsidR="0029533F" w:rsidRDefault="00BF019E" w:rsidP="00554F3F">
      <w:pPr>
        <w:pStyle w:val="Pagedecouverture"/>
        <w:rPr>
          <w:noProof/>
        </w:rPr>
      </w:pPr>
      <w:r>
        <w:rPr>
          <w:noProof/>
        </w:rPr>
        <w:pict w14:anchorId="0046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EBA589-97B7-4313-943A-BED69FD0FCB7" style="width:455pt;height:341.5pt">
            <v:imagedata r:id="rId7" o:title=""/>
          </v:shape>
        </w:pict>
      </w:r>
    </w:p>
    <w:p w14:paraId="4C70F804" w14:textId="77777777" w:rsidR="00362F33" w:rsidRPr="000579B4" w:rsidRDefault="00362F33">
      <w:pPr>
        <w:rPr>
          <w:noProof/>
        </w:rPr>
        <w:sectPr w:rsidR="00362F33" w:rsidRPr="000579B4" w:rsidSect="00554F3F">
          <w:footerReference w:type="even" r:id="rId8"/>
          <w:footerReference w:type="default" r:id="rId9"/>
          <w:pgSz w:w="11907" w:h="16839"/>
          <w:pgMar w:top="1134" w:right="1417" w:bottom="1134" w:left="1417" w:header="709" w:footer="709" w:gutter="0"/>
          <w:pgNumType w:start="0"/>
          <w:cols w:space="720"/>
          <w:docGrid w:linePitch="360"/>
        </w:sectPr>
      </w:pPr>
    </w:p>
    <w:p w14:paraId="24E79ACE" w14:textId="77777777" w:rsidR="00362F33" w:rsidRPr="000579B4" w:rsidRDefault="00362F33" w:rsidP="00362F33">
      <w:pPr>
        <w:pStyle w:val="Typedudocument"/>
        <w:rPr>
          <w:noProof/>
        </w:rPr>
      </w:pPr>
      <w:r w:rsidRPr="00362F33">
        <w:rPr>
          <w:noProof/>
        </w:rPr>
        <w:lastRenderedPageBreak/>
        <w:t>COMMISSION IMPLEMENTING DECISION</w:t>
      </w:r>
    </w:p>
    <w:p w14:paraId="642A9325" w14:textId="77777777" w:rsidR="00362F33" w:rsidRPr="000579B4" w:rsidRDefault="009B26E3" w:rsidP="00362F33">
      <w:pPr>
        <w:pStyle w:val="Datedadoption"/>
        <w:rPr>
          <w:noProof/>
        </w:rPr>
      </w:pPr>
      <w:r>
        <w:rPr>
          <w:noProof/>
        </w:rPr>
        <w:t>of 10.6.2025</w:t>
      </w:r>
    </w:p>
    <w:p w14:paraId="505BE921" w14:textId="77777777" w:rsidR="00362F33" w:rsidRPr="000579B4" w:rsidRDefault="00362F33" w:rsidP="00362F33">
      <w:pPr>
        <w:pStyle w:val="Titreobjet"/>
        <w:rPr>
          <w:noProof/>
        </w:rPr>
      </w:pPr>
      <w:r w:rsidRPr="00362F33">
        <w:rPr>
          <w:noProof/>
        </w:rPr>
        <w:t>on the financing of the public sector loan facility and the adoption of the multiannual work programme for the period 2026-2027</w:t>
      </w:r>
    </w:p>
    <w:p w14:paraId="710B6609" w14:textId="77777777" w:rsidR="00362F33" w:rsidRPr="000579B4" w:rsidRDefault="00362F33" w:rsidP="000A1491">
      <w:pPr>
        <w:pStyle w:val="Institutionquiagit"/>
        <w:rPr>
          <w:noProof/>
        </w:rPr>
      </w:pPr>
      <w:r w:rsidRPr="000579B4">
        <w:rPr>
          <w:noProof/>
        </w:rPr>
        <w:t>THE EUROPEAN COMMISSION,</w:t>
      </w:r>
    </w:p>
    <w:p w14:paraId="5D56594F" w14:textId="77777777" w:rsidR="00362F33" w:rsidRPr="00571680" w:rsidRDefault="00362F33" w:rsidP="00362F33">
      <w:pPr>
        <w:shd w:val="clear" w:color="auto" w:fill="FFFFFF" w:themeFill="background1"/>
        <w:rPr>
          <w:rFonts w:eastAsia="Times New Roman"/>
          <w:noProof/>
          <w:szCs w:val="24"/>
          <w:lang w:val="en-IE"/>
        </w:rPr>
      </w:pPr>
      <w:r w:rsidRPr="00571680">
        <w:rPr>
          <w:rFonts w:eastAsia="Times New Roman"/>
          <w:noProof/>
          <w:szCs w:val="24"/>
          <w:lang w:val="en-IE"/>
        </w:rPr>
        <w:t xml:space="preserve">Having regard to </w:t>
      </w:r>
      <w:bookmarkStart w:id="0" w:name="_Hlk170482372"/>
      <w:r w:rsidRPr="00571680">
        <w:rPr>
          <w:rFonts w:eastAsia="Times New Roman"/>
          <w:noProof/>
          <w:szCs w:val="24"/>
          <w:lang w:val="en-IE"/>
        </w:rPr>
        <w:t xml:space="preserve">Regulation (EU, Euratom) </w:t>
      </w:r>
      <w:r w:rsidRPr="004F6430">
        <w:rPr>
          <w:rFonts w:eastAsia="Times New Roman"/>
          <w:noProof/>
          <w:szCs w:val="24"/>
          <w:lang w:val="en-IE"/>
        </w:rPr>
        <w:t>2024/2509</w:t>
      </w:r>
      <w:bookmarkEnd w:id="0"/>
      <w:r w:rsidRPr="00571680">
        <w:rPr>
          <w:rFonts w:eastAsia="Times New Roman"/>
          <w:noProof/>
          <w:szCs w:val="24"/>
          <w:lang w:val="en-IE"/>
        </w:rPr>
        <w:t xml:space="preserve"> of the European Parliament and of the Council of </w:t>
      </w:r>
      <w:r>
        <w:rPr>
          <w:rFonts w:eastAsia="Times New Roman"/>
          <w:noProof/>
          <w:szCs w:val="24"/>
          <w:lang w:val="en-IE"/>
        </w:rPr>
        <w:t xml:space="preserve">23 September </w:t>
      </w:r>
      <w:r w:rsidRPr="004F6430">
        <w:rPr>
          <w:rFonts w:eastAsia="Times New Roman"/>
          <w:noProof/>
          <w:szCs w:val="24"/>
          <w:lang w:val="en-IE"/>
        </w:rPr>
        <w:t>2024</w:t>
      </w:r>
      <w:r w:rsidRPr="00571680">
        <w:rPr>
          <w:rFonts w:eastAsia="Times New Roman"/>
          <w:noProof/>
          <w:szCs w:val="24"/>
          <w:lang w:val="en-IE"/>
        </w:rPr>
        <w:t xml:space="preserve"> on the financial rules applicable to the general budget of the Union</w:t>
      </w:r>
      <w:r w:rsidRPr="00571680">
        <w:rPr>
          <w:rStyle w:val="FootnoteReference"/>
          <w:noProof/>
          <w:lang w:val="en-IE"/>
        </w:rPr>
        <w:footnoteReference w:id="1"/>
      </w:r>
      <w:r w:rsidRPr="00571680">
        <w:rPr>
          <w:rFonts w:eastAsia="Times New Roman"/>
          <w:noProof/>
          <w:szCs w:val="24"/>
          <w:lang w:val="en-IE"/>
        </w:rPr>
        <w:t xml:space="preserve"> (‘the Financial Regulation’), and in particular Article 110(1) thereof, </w:t>
      </w:r>
    </w:p>
    <w:p w14:paraId="54AD1738" w14:textId="77777777" w:rsidR="00362F33" w:rsidRPr="000579B4" w:rsidRDefault="00362F33" w:rsidP="00362F33">
      <w:pPr>
        <w:rPr>
          <w:noProof/>
        </w:rPr>
      </w:pPr>
      <w:r w:rsidRPr="00571680">
        <w:rPr>
          <w:rFonts w:eastAsia="Times New Roman"/>
          <w:noProof/>
          <w:szCs w:val="24"/>
          <w:lang w:val="en-IE"/>
        </w:rPr>
        <w:t xml:space="preserve">Having regard to </w:t>
      </w:r>
      <w:r>
        <w:rPr>
          <w:noProof/>
        </w:rPr>
        <w:t>Regulation (EU) 2021/1229 of the European Parliament and of the Council of 14 July 2021 on the public sector loan facility under the Just Transition Mechanism</w:t>
      </w:r>
      <w:r w:rsidRPr="00571680">
        <w:rPr>
          <w:rFonts w:eastAsia="Times New Roman"/>
          <w:noProof/>
          <w:color w:val="0000FF"/>
          <w:szCs w:val="24"/>
          <w:lang w:val="en-IE"/>
        </w:rPr>
        <w:t xml:space="preserve"> </w:t>
      </w:r>
      <w:r w:rsidRPr="00571680">
        <w:rPr>
          <w:rFonts w:eastAsia="Times New Roman"/>
          <w:noProof/>
          <w:szCs w:val="24"/>
          <w:shd w:val="clear" w:color="auto" w:fill="FFFFFF" w:themeFill="background1"/>
          <w:lang w:val="en-IE"/>
        </w:rPr>
        <w:t>(‘the programme’)</w:t>
      </w:r>
      <w:r w:rsidRPr="00571680">
        <w:rPr>
          <w:rStyle w:val="FootnoteReference"/>
          <w:noProof/>
          <w:shd w:val="clear" w:color="auto" w:fill="FFFFFF" w:themeFill="background1"/>
          <w:lang w:val="en-IE"/>
        </w:rPr>
        <w:footnoteReference w:id="2"/>
      </w:r>
      <w:r>
        <w:rPr>
          <w:rFonts w:eastAsia="Times New Roman"/>
          <w:noProof/>
          <w:szCs w:val="24"/>
          <w:shd w:val="clear" w:color="auto" w:fill="FFFFFF" w:themeFill="background1"/>
          <w:lang w:val="en-IE"/>
        </w:rPr>
        <w:t>,</w:t>
      </w:r>
      <w:r w:rsidRPr="00571680">
        <w:rPr>
          <w:rFonts w:ascii="Comic Sans MS" w:eastAsia="Times New Roman" w:hAnsi="Comic Sans MS"/>
          <w:noProof/>
          <w:color w:val="008000"/>
          <w:szCs w:val="24"/>
          <w:lang w:val="en-IE"/>
        </w:rPr>
        <w:t xml:space="preserve"> </w:t>
      </w:r>
      <w:r w:rsidRPr="00571680">
        <w:rPr>
          <w:rFonts w:eastAsia="Times New Roman"/>
          <w:noProof/>
          <w:szCs w:val="24"/>
          <w:lang w:val="en-IE"/>
        </w:rPr>
        <w:t xml:space="preserve">and in particular Article </w:t>
      </w:r>
      <w:r w:rsidRPr="003C0795">
        <w:rPr>
          <w:rFonts w:eastAsia="Times New Roman"/>
          <w:noProof/>
          <w:szCs w:val="24"/>
          <w:lang w:val="en-IE"/>
        </w:rPr>
        <w:t xml:space="preserve">14 </w:t>
      </w:r>
      <w:r w:rsidRPr="00571680">
        <w:rPr>
          <w:rFonts w:eastAsia="Times New Roman"/>
          <w:noProof/>
          <w:szCs w:val="24"/>
          <w:lang w:val="en-IE"/>
        </w:rPr>
        <w:t>thereof</w:t>
      </w:r>
      <w:r>
        <w:rPr>
          <w:rFonts w:eastAsia="Times New Roman"/>
          <w:noProof/>
          <w:szCs w:val="24"/>
          <w:lang w:val="en-IE"/>
        </w:rPr>
        <w:t>,</w:t>
      </w:r>
    </w:p>
    <w:p w14:paraId="0F60B249" w14:textId="77777777" w:rsidR="00362F33" w:rsidRPr="000579B4" w:rsidRDefault="00362F33" w:rsidP="000A1491">
      <w:pPr>
        <w:rPr>
          <w:noProof/>
        </w:rPr>
      </w:pPr>
      <w:r w:rsidRPr="000579B4">
        <w:rPr>
          <w:noProof/>
        </w:rPr>
        <w:t>Whereas:</w:t>
      </w:r>
    </w:p>
    <w:p w14:paraId="0BA4666D" w14:textId="77777777" w:rsidR="00362F33" w:rsidRPr="00104E34" w:rsidRDefault="00157C81" w:rsidP="00157C81">
      <w:pPr>
        <w:pStyle w:val="ManualConsidrant"/>
        <w:rPr>
          <w:noProof/>
        </w:rPr>
      </w:pPr>
      <w:r w:rsidRPr="00157C81">
        <w:rPr>
          <w:noProof/>
        </w:rPr>
        <w:t>(1)</w:t>
      </w:r>
      <w:r w:rsidRPr="00157C81">
        <w:rPr>
          <w:noProof/>
        </w:rPr>
        <w:tab/>
      </w:r>
      <w:r w:rsidR="00362F33" w:rsidRPr="00571680">
        <w:rPr>
          <w:noProof/>
          <w:lang w:val="en-IE"/>
        </w:rPr>
        <w:t xml:space="preserve">In </w:t>
      </w:r>
      <w:r w:rsidR="00362F33" w:rsidRPr="003C0795">
        <w:rPr>
          <w:noProof/>
          <w:lang w:val="en-IE"/>
        </w:rPr>
        <w:t xml:space="preserve">order to ensure the implementation of </w:t>
      </w:r>
      <w:r w:rsidR="00362F33" w:rsidRPr="003C0795">
        <w:rPr>
          <w:noProof/>
          <w:shd w:val="clear" w:color="auto" w:fill="FFFFFF" w:themeFill="background1"/>
          <w:lang w:val="en-IE"/>
        </w:rPr>
        <w:t>the programme,</w:t>
      </w:r>
      <w:r w:rsidR="00362F33" w:rsidRPr="003C0795">
        <w:rPr>
          <w:noProof/>
          <w:lang w:val="en-IE"/>
        </w:rPr>
        <w:t xml:space="preserve"> it is necessary to adopt </w:t>
      </w:r>
      <w:r w:rsidR="00362F33" w:rsidRPr="003C0795">
        <w:rPr>
          <w:noProof/>
          <w:shd w:val="clear" w:color="auto" w:fill="FFFFFF" w:themeFill="background1"/>
          <w:lang w:val="en-IE"/>
        </w:rPr>
        <w:t>a multiannual financing decision, which is to constitute the multiannual</w:t>
      </w:r>
      <w:r w:rsidR="00362F33" w:rsidRPr="003C0795">
        <w:rPr>
          <w:noProof/>
          <w:lang w:val="en-IE"/>
        </w:rPr>
        <w:t xml:space="preserve"> work programme, for </w:t>
      </w:r>
      <w:r w:rsidR="00362F33" w:rsidRPr="003C0795">
        <w:rPr>
          <w:noProof/>
          <w:shd w:val="clear" w:color="auto" w:fill="FFFFFF" w:themeFill="background1"/>
          <w:lang w:val="en-IE"/>
        </w:rPr>
        <w:t>the period 2026-2027</w:t>
      </w:r>
      <w:r w:rsidR="00362F33" w:rsidRPr="003C0795">
        <w:rPr>
          <w:noProof/>
          <w:lang w:val="en-IE"/>
        </w:rPr>
        <w:t xml:space="preserve"> in accordance with </w:t>
      </w:r>
      <w:r w:rsidR="00362F33" w:rsidRPr="00571680">
        <w:rPr>
          <w:noProof/>
          <w:lang w:val="en-IE"/>
        </w:rPr>
        <w:t>Article 110(2) of Regulation (EU, Euratom</w:t>
      </w:r>
      <w:r w:rsidR="00362F33" w:rsidRPr="004F6430">
        <w:rPr>
          <w:noProof/>
          <w:lang w:val="en-IE"/>
        </w:rPr>
        <w:t xml:space="preserve">) </w:t>
      </w:r>
      <w:r w:rsidR="00362F33" w:rsidRPr="004F6430">
        <w:rPr>
          <w:noProof/>
          <w:shd w:val="clear" w:color="auto" w:fill="FFFFFF" w:themeFill="background1"/>
          <w:lang w:val="en-IE"/>
        </w:rPr>
        <w:t>2024/2509</w:t>
      </w:r>
      <w:r w:rsidR="00362F33" w:rsidRPr="00571680">
        <w:rPr>
          <w:noProof/>
          <w:lang w:val="en-IE"/>
        </w:rPr>
        <w:t xml:space="preserve"> (‘the Financial Regulation’)</w:t>
      </w:r>
      <w:r w:rsidR="00362F33">
        <w:rPr>
          <w:noProof/>
          <w:lang w:val="en-IE"/>
        </w:rPr>
        <w:t>.</w:t>
      </w:r>
    </w:p>
    <w:p w14:paraId="3CFA1726" w14:textId="77777777" w:rsidR="00362F33" w:rsidRPr="003C0795" w:rsidRDefault="00157C81" w:rsidP="00157C81">
      <w:pPr>
        <w:pStyle w:val="ManualConsidrant"/>
        <w:rPr>
          <w:noProof/>
        </w:rPr>
      </w:pPr>
      <w:r w:rsidRPr="00157C81">
        <w:rPr>
          <w:noProof/>
        </w:rPr>
        <w:t>(2)</w:t>
      </w:r>
      <w:r w:rsidRPr="00157C81">
        <w:rPr>
          <w:noProof/>
        </w:rPr>
        <w:tab/>
      </w:r>
      <w:r w:rsidR="00362F33" w:rsidRPr="00571680">
        <w:rPr>
          <w:noProof/>
          <w:lang w:val="en-IE"/>
        </w:rPr>
        <w:t>The envisaged assistance is to comply with the conditions and procedures set out by the restrictive measures</w:t>
      </w:r>
      <w:r w:rsidR="00362F33" w:rsidRPr="00571680">
        <w:rPr>
          <w:rStyle w:val="FootnoteReference"/>
          <w:noProof/>
          <w:lang w:val="en-IE"/>
        </w:rPr>
        <w:footnoteReference w:id="3"/>
      </w:r>
      <w:r w:rsidR="00362F33" w:rsidRPr="00571680">
        <w:rPr>
          <w:noProof/>
          <w:lang w:val="en-IE"/>
        </w:rPr>
        <w:t xml:space="preserve"> adopted pursuant to Article 215 of the Treaty on the Functioning of the European Union</w:t>
      </w:r>
      <w:r w:rsidR="00362F33">
        <w:rPr>
          <w:noProof/>
          <w:lang w:val="en-IE"/>
        </w:rPr>
        <w:t>.</w:t>
      </w:r>
    </w:p>
    <w:p w14:paraId="6156E571" w14:textId="77777777" w:rsidR="00362F33" w:rsidRPr="003C0795" w:rsidRDefault="00157C81" w:rsidP="00157C81">
      <w:pPr>
        <w:pStyle w:val="ManualConsidrant"/>
        <w:rPr>
          <w:noProof/>
        </w:rPr>
      </w:pPr>
      <w:r w:rsidRPr="00157C81">
        <w:rPr>
          <w:noProof/>
        </w:rPr>
        <w:t>(3)</w:t>
      </w:r>
      <w:r w:rsidRPr="00157C81">
        <w:rPr>
          <w:noProof/>
        </w:rPr>
        <w:tab/>
      </w:r>
      <w:r w:rsidR="00362F33" w:rsidRPr="00571680">
        <w:rPr>
          <w:noProof/>
          <w:lang w:val="en-IE"/>
        </w:rPr>
        <w:t>It is necessary to allow for the payment of interest due for late payment on the basis of Article 116(5) of the Financial Regulation</w:t>
      </w:r>
      <w:r w:rsidR="00362F33">
        <w:rPr>
          <w:noProof/>
          <w:lang w:val="en-IE"/>
        </w:rPr>
        <w:t>.</w:t>
      </w:r>
    </w:p>
    <w:p w14:paraId="5DAD1BAE" w14:textId="77777777" w:rsidR="00362F33" w:rsidRPr="003C0795" w:rsidRDefault="00157C81" w:rsidP="00157C81">
      <w:pPr>
        <w:pStyle w:val="ManualConsidrant"/>
        <w:rPr>
          <w:noProof/>
        </w:rPr>
      </w:pPr>
      <w:r w:rsidRPr="00157C81">
        <w:rPr>
          <w:noProof/>
        </w:rPr>
        <w:t>(4)</w:t>
      </w:r>
      <w:r w:rsidRPr="00157C81">
        <w:rPr>
          <w:noProof/>
        </w:rPr>
        <w:tab/>
      </w:r>
      <w:r w:rsidR="00362F33" w:rsidRPr="00571680">
        <w:rPr>
          <w:noProof/>
          <w:lang w:val="en-IE"/>
        </w:rPr>
        <w:t>In order to allow for flexibility in the implementation of the work programme, it is appropriate to determine the changes, which should not be considered substantial for the purposes of Article 110(5) of the Financial Regulation</w:t>
      </w:r>
      <w:r w:rsidR="00362F33">
        <w:rPr>
          <w:noProof/>
          <w:lang w:val="en-IE"/>
        </w:rPr>
        <w:t>.</w:t>
      </w:r>
    </w:p>
    <w:p w14:paraId="550BD72C" w14:textId="77777777" w:rsidR="00362F33" w:rsidRPr="003C0795" w:rsidRDefault="00157C81" w:rsidP="00157C81">
      <w:pPr>
        <w:pStyle w:val="ManualConsidrant"/>
        <w:rPr>
          <w:noProof/>
        </w:rPr>
      </w:pPr>
      <w:r w:rsidRPr="00157C81">
        <w:rPr>
          <w:noProof/>
        </w:rPr>
        <w:t>(5)</w:t>
      </w:r>
      <w:r w:rsidRPr="00157C81">
        <w:rPr>
          <w:noProof/>
        </w:rPr>
        <w:tab/>
      </w:r>
      <w:r w:rsidR="00362F33" w:rsidRPr="00571680">
        <w:rPr>
          <w:noProof/>
          <w:lang w:val="en-IE"/>
        </w:rPr>
        <w:t xml:space="preserve">The activities should contribute to </w:t>
      </w:r>
      <w:r w:rsidR="00362F33" w:rsidRPr="003C0795">
        <w:rPr>
          <w:noProof/>
          <w:shd w:val="clear" w:color="auto" w:fill="FFFFFF" w:themeFill="background1"/>
          <w:lang w:val="en-IE"/>
        </w:rPr>
        <w:t>climate</w:t>
      </w:r>
      <w:r w:rsidR="00362F33" w:rsidRPr="003C0795">
        <w:rPr>
          <w:noProof/>
          <w:lang w:val="en-IE"/>
        </w:rPr>
        <w:t xml:space="preserve">, biodiversity and gender-equality </w:t>
      </w:r>
      <w:r w:rsidR="00362F33" w:rsidRPr="00571680">
        <w:rPr>
          <w:noProof/>
          <w:lang w:val="en-IE"/>
        </w:rPr>
        <w:t>mainstreaming in line with the Commission Communication ‘The European Green Deal’</w:t>
      </w:r>
      <w:r w:rsidR="00362F33" w:rsidRPr="00571680">
        <w:rPr>
          <w:rStyle w:val="FootnoteReference"/>
          <w:noProof/>
          <w:lang w:val="en-IE"/>
        </w:rPr>
        <w:footnoteReference w:id="4"/>
      </w:r>
      <w:r w:rsidR="00362F33" w:rsidRPr="00571680">
        <w:rPr>
          <w:noProof/>
          <w:lang w:val="en-IE"/>
        </w:rPr>
        <w:t xml:space="preserve"> and the Interinstitutional Agreement of 16 December 2020 on budgetary discipline, on cooperation in budgetary matters and on sound financial management, as well as on new own resources, including a roadmap towards the introduction of new own resources</w:t>
      </w:r>
      <w:r w:rsidR="00362F33">
        <w:rPr>
          <w:noProof/>
          <w:lang w:val="en-IE"/>
        </w:rPr>
        <w:t>.</w:t>
      </w:r>
    </w:p>
    <w:p w14:paraId="424AA194" w14:textId="77777777" w:rsidR="00362F33" w:rsidRPr="003C0795" w:rsidRDefault="00157C81" w:rsidP="00157C81">
      <w:pPr>
        <w:pStyle w:val="ManualConsidrant"/>
        <w:rPr>
          <w:noProof/>
        </w:rPr>
      </w:pPr>
      <w:bookmarkStart w:id="2" w:name="_Hlk184807074"/>
      <w:r w:rsidRPr="00157C81">
        <w:rPr>
          <w:noProof/>
        </w:rPr>
        <w:t>(6)</w:t>
      </w:r>
      <w:r w:rsidRPr="00157C81">
        <w:rPr>
          <w:noProof/>
        </w:rPr>
        <w:tab/>
      </w:r>
      <w:r w:rsidR="00362F33" w:rsidRPr="00571680">
        <w:rPr>
          <w:noProof/>
          <w:shd w:val="clear" w:color="auto" w:fill="FFFFFF" w:themeFill="background1"/>
          <w:lang w:val="en-IE"/>
        </w:rPr>
        <w:t>Pursuant to Article 62(1), first subparagraph, point (c), of the Financial Regulation,</w:t>
      </w:r>
      <w:r w:rsidR="00362F33" w:rsidRPr="00571680">
        <w:rPr>
          <w:noProof/>
          <w:lang w:val="en-IE"/>
        </w:rPr>
        <w:t xml:space="preserve"> indirect management is to be used for the </w:t>
      </w:r>
      <w:r w:rsidR="00362F33" w:rsidRPr="00A023E5">
        <w:rPr>
          <w:noProof/>
          <w:lang w:val="en-IE"/>
        </w:rPr>
        <w:t>implementation of advisory support</w:t>
      </w:r>
      <w:r w:rsidR="00362F33">
        <w:rPr>
          <w:noProof/>
          <w:lang w:val="en-IE"/>
        </w:rPr>
        <w:t xml:space="preserve"> as </w:t>
      </w:r>
      <w:r w:rsidR="00362F33" w:rsidRPr="00571680">
        <w:rPr>
          <w:noProof/>
          <w:lang w:val="en-IE"/>
        </w:rPr>
        <w:t>specified in the work programme</w:t>
      </w:r>
      <w:bookmarkEnd w:id="2"/>
      <w:r w:rsidR="00362F33">
        <w:rPr>
          <w:noProof/>
          <w:lang w:val="en-IE"/>
        </w:rPr>
        <w:t>.</w:t>
      </w:r>
    </w:p>
    <w:p w14:paraId="44258880" w14:textId="77777777" w:rsidR="00362F33" w:rsidRPr="003C0795" w:rsidRDefault="00157C81" w:rsidP="00157C81">
      <w:pPr>
        <w:pStyle w:val="ManualConsidrant"/>
        <w:rPr>
          <w:noProof/>
        </w:rPr>
      </w:pPr>
      <w:r w:rsidRPr="00157C81">
        <w:rPr>
          <w:noProof/>
        </w:rPr>
        <w:lastRenderedPageBreak/>
        <w:t>(7)</w:t>
      </w:r>
      <w:r w:rsidRPr="00157C81">
        <w:rPr>
          <w:noProof/>
        </w:rPr>
        <w:tab/>
      </w:r>
      <w:r w:rsidR="00362F33" w:rsidRPr="00571680">
        <w:rPr>
          <w:noProof/>
          <w:lang w:val="en-IE"/>
        </w:rPr>
        <w:t xml:space="preserve">The Commission is to ensure a level of protection of the financial interests of the Union with regard to persons and entities entrusted with the implementation of Union funds by indirect management as provided for in Article 157(3) of the Financial Regulation. To that end, and before a contribution agreement can be signed, </w:t>
      </w:r>
      <w:r w:rsidR="00362F33" w:rsidRPr="00571680" w:rsidDel="00AA4D04">
        <w:rPr>
          <w:noProof/>
          <w:lang w:val="en-IE"/>
        </w:rPr>
        <w:t xml:space="preserve">such </w:t>
      </w:r>
      <w:r w:rsidR="00362F33" w:rsidRPr="00571680">
        <w:rPr>
          <w:noProof/>
          <w:lang w:val="en-IE"/>
        </w:rPr>
        <w:t xml:space="preserve">persons and entities are to be subject to an assessment of their systems and procedures in accordance with Article 157(4) of the </w:t>
      </w:r>
      <w:r w:rsidR="00362F33" w:rsidRPr="00571680">
        <w:rPr>
          <w:rFonts w:eastAsia="Times New Roman"/>
          <w:noProof/>
          <w:lang w:val="en-IE"/>
        </w:rPr>
        <w:t>Financial Regulation</w:t>
      </w:r>
      <w:r w:rsidR="00362F33" w:rsidRPr="00571680">
        <w:rPr>
          <w:noProof/>
          <w:lang w:val="en-IE"/>
        </w:rPr>
        <w:t xml:space="preserve"> and, if necessary, to appropriate supervisory measures in accordance with Article 157(5) of the Financial Regulation</w:t>
      </w:r>
      <w:r w:rsidR="00362F33">
        <w:rPr>
          <w:noProof/>
          <w:lang w:val="en-IE"/>
        </w:rPr>
        <w:t>.</w:t>
      </w:r>
    </w:p>
    <w:p w14:paraId="6EF27941" w14:textId="77777777" w:rsidR="00362F33" w:rsidRPr="000579B4" w:rsidRDefault="00157C81" w:rsidP="00157C81">
      <w:pPr>
        <w:pStyle w:val="ManualConsidrant"/>
        <w:rPr>
          <w:noProof/>
        </w:rPr>
      </w:pPr>
      <w:r w:rsidRPr="00157C81">
        <w:rPr>
          <w:noProof/>
        </w:rPr>
        <w:t>(8)</w:t>
      </w:r>
      <w:r w:rsidRPr="00157C81">
        <w:rPr>
          <w:noProof/>
        </w:rPr>
        <w:tab/>
      </w:r>
      <w:r w:rsidR="00362F33" w:rsidRPr="00571680">
        <w:rPr>
          <w:noProof/>
          <w:lang w:val="en-IE"/>
        </w:rPr>
        <w:t xml:space="preserve">The measures provided for in this Decision are in accordance with the opinion of the Committee established by </w:t>
      </w:r>
      <w:r w:rsidR="00362F33" w:rsidRPr="003C0795">
        <w:rPr>
          <w:noProof/>
          <w:lang w:val="en-IE"/>
        </w:rPr>
        <w:t xml:space="preserve">Article 115(1) of </w:t>
      </w:r>
      <w:r w:rsidR="00362F33">
        <w:rPr>
          <w:noProof/>
        </w:rPr>
        <w:t xml:space="preserve">Regulation (EU) </w:t>
      </w:r>
      <w:r w:rsidR="00362F33" w:rsidRPr="00AA0509">
        <w:rPr>
          <w:noProof/>
        </w:rPr>
        <w:t>2021/1060</w:t>
      </w:r>
      <w:r w:rsidR="00362F33">
        <w:rPr>
          <w:noProof/>
        </w:rPr>
        <w:t>,</w:t>
      </w:r>
    </w:p>
    <w:p w14:paraId="67229BE3" w14:textId="77777777" w:rsidR="00362F33" w:rsidRPr="000579B4" w:rsidRDefault="00362F33" w:rsidP="000A1491">
      <w:pPr>
        <w:pStyle w:val="Formuledadoption"/>
        <w:rPr>
          <w:noProof/>
        </w:rPr>
      </w:pPr>
      <w:r w:rsidRPr="000579B4">
        <w:rPr>
          <w:noProof/>
        </w:rPr>
        <w:t xml:space="preserve">HAS DECIDED AS FOLLOWS: </w:t>
      </w:r>
    </w:p>
    <w:p w14:paraId="35C3353F" w14:textId="77777777" w:rsidR="00362F33" w:rsidRPr="00104E34" w:rsidRDefault="00362F33" w:rsidP="00362F33">
      <w:pPr>
        <w:pStyle w:val="Titrearticle"/>
        <w:rPr>
          <w:noProof/>
        </w:rPr>
      </w:pPr>
      <w:r w:rsidRPr="00104E34">
        <w:rPr>
          <w:noProof/>
        </w:rPr>
        <w:t>Article 1</w:t>
      </w:r>
      <w:r>
        <w:rPr>
          <w:noProof/>
        </w:rPr>
        <w:br/>
      </w:r>
      <w:r w:rsidRPr="003C0795">
        <w:rPr>
          <w:rFonts w:eastAsia="Times New Roman"/>
          <w:b/>
          <w:i w:val="0"/>
          <w:iCs/>
          <w:noProof/>
          <w:szCs w:val="24"/>
          <w:lang w:val="en-IE"/>
        </w:rPr>
        <w:t>The work programme</w:t>
      </w:r>
    </w:p>
    <w:p w14:paraId="1CDE8D4D" w14:textId="77777777" w:rsidR="00362F33" w:rsidRPr="00104E34" w:rsidRDefault="00362F33" w:rsidP="00362F33">
      <w:pPr>
        <w:rPr>
          <w:noProof/>
        </w:rPr>
      </w:pPr>
      <w:r w:rsidRPr="00571680">
        <w:rPr>
          <w:rFonts w:eastAsia="Times New Roman"/>
          <w:noProof/>
          <w:shd w:val="clear" w:color="auto" w:fill="FFFFFF" w:themeFill="background1"/>
          <w:lang w:val="en-IE"/>
        </w:rPr>
        <w:t>T</w:t>
      </w:r>
      <w:r w:rsidRPr="003C0795">
        <w:rPr>
          <w:rFonts w:eastAsia="Times New Roman"/>
          <w:noProof/>
          <w:shd w:val="clear" w:color="auto" w:fill="FFFFFF" w:themeFill="background1"/>
          <w:lang w:val="en-IE"/>
        </w:rPr>
        <w:t>he multiannual</w:t>
      </w:r>
      <w:r w:rsidRPr="003C0795">
        <w:rPr>
          <w:rFonts w:eastAsia="Times New Roman"/>
          <w:noProof/>
          <w:lang w:val="en-IE"/>
        </w:rPr>
        <w:t xml:space="preserve"> financing decision, constituting the </w:t>
      </w:r>
      <w:r w:rsidRPr="003C0795">
        <w:rPr>
          <w:rFonts w:eastAsia="Times New Roman"/>
          <w:noProof/>
          <w:shd w:val="clear" w:color="auto" w:fill="FFFFFF" w:themeFill="background1"/>
          <w:lang w:val="en-IE"/>
        </w:rPr>
        <w:t xml:space="preserve">multiannual </w:t>
      </w:r>
      <w:r w:rsidRPr="003C0795">
        <w:rPr>
          <w:rFonts w:eastAsia="Times New Roman"/>
          <w:noProof/>
          <w:lang w:val="en-IE"/>
        </w:rPr>
        <w:t xml:space="preserve">work programme for the implementation of the </w:t>
      </w:r>
      <w:r w:rsidRPr="003C0795">
        <w:rPr>
          <w:noProof/>
        </w:rPr>
        <w:t>public sector loan facility</w:t>
      </w:r>
      <w:r w:rsidRPr="003C0795">
        <w:rPr>
          <w:rFonts w:eastAsia="Times New Roman"/>
          <w:noProof/>
          <w:lang w:val="en-IE"/>
        </w:rPr>
        <w:t xml:space="preserve"> for </w:t>
      </w:r>
      <w:r w:rsidRPr="003C0795">
        <w:rPr>
          <w:rFonts w:eastAsia="Times New Roman"/>
          <w:noProof/>
          <w:shd w:val="clear" w:color="auto" w:fill="FFFFFF" w:themeFill="background1"/>
          <w:lang w:val="en-IE"/>
        </w:rPr>
        <w:t>the period 2026-2027</w:t>
      </w:r>
      <w:r w:rsidRPr="003C0795">
        <w:rPr>
          <w:rFonts w:eastAsia="Times New Roman"/>
          <w:noProof/>
          <w:lang w:val="en-IE"/>
        </w:rPr>
        <w:t>, as set out in the Annex, is hereby adopted.</w:t>
      </w:r>
    </w:p>
    <w:p w14:paraId="20DF8D87" w14:textId="77777777" w:rsidR="00362F33" w:rsidRPr="00104E34" w:rsidRDefault="00362F33" w:rsidP="00362F33">
      <w:pPr>
        <w:pStyle w:val="Titrearticle"/>
        <w:rPr>
          <w:noProof/>
        </w:rPr>
      </w:pPr>
      <w:r w:rsidRPr="00104E34">
        <w:rPr>
          <w:noProof/>
        </w:rPr>
        <w:t xml:space="preserve">Article </w:t>
      </w:r>
      <w:r>
        <w:rPr>
          <w:noProof/>
        </w:rPr>
        <w:t>2</w:t>
      </w:r>
      <w:r>
        <w:rPr>
          <w:noProof/>
        </w:rPr>
        <w:br/>
      </w:r>
      <w:r w:rsidRPr="003C0795">
        <w:rPr>
          <w:rFonts w:eastAsia="Times New Roman"/>
          <w:b/>
          <w:i w:val="0"/>
          <w:iCs/>
          <w:noProof/>
          <w:szCs w:val="24"/>
          <w:lang w:val="en-IE"/>
        </w:rPr>
        <w:t>Union contribution</w:t>
      </w:r>
    </w:p>
    <w:p w14:paraId="3B45439E" w14:textId="77777777" w:rsidR="00362F33" w:rsidRPr="00571680" w:rsidRDefault="00362F33" w:rsidP="00362F33">
      <w:pPr>
        <w:shd w:val="clear" w:color="auto" w:fill="FFFFFF" w:themeFill="background1"/>
        <w:rPr>
          <w:rFonts w:eastAsia="Times New Roman"/>
          <w:noProof/>
          <w:lang w:val="en-IE"/>
        </w:rPr>
      </w:pPr>
      <w:r w:rsidRPr="00571680">
        <w:rPr>
          <w:rFonts w:eastAsia="Times New Roman"/>
          <w:noProof/>
          <w:lang w:val="en-IE"/>
        </w:rPr>
        <w:t xml:space="preserve">The maximum Union contribution for the implementation of the </w:t>
      </w:r>
      <w:r>
        <w:rPr>
          <w:rFonts w:eastAsia="Times New Roman"/>
          <w:noProof/>
          <w:lang w:val="en-IE"/>
        </w:rPr>
        <w:t>public sector loan facility</w:t>
      </w:r>
      <w:r w:rsidRPr="003C0795">
        <w:rPr>
          <w:rFonts w:eastAsia="Times New Roman"/>
          <w:noProof/>
          <w:lang w:val="en-IE"/>
        </w:rPr>
        <w:t xml:space="preserve"> for the period 2026-2027 is s</w:t>
      </w:r>
      <w:r w:rsidRPr="00571680">
        <w:rPr>
          <w:rFonts w:eastAsia="Times New Roman"/>
          <w:noProof/>
          <w:lang w:val="en-IE"/>
        </w:rPr>
        <w:t xml:space="preserve">et at EUR </w:t>
      </w:r>
      <w:r>
        <w:rPr>
          <w:noProof/>
        </w:rPr>
        <w:t>1 118 726 127</w:t>
      </w:r>
      <w:r w:rsidRPr="00571680">
        <w:rPr>
          <w:rFonts w:eastAsia="Times New Roman"/>
          <w:noProof/>
          <w:lang w:val="en-IE"/>
        </w:rPr>
        <w:t xml:space="preserve">,and shall be financed </w:t>
      </w:r>
      <w:r w:rsidRPr="00571680">
        <w:rPr>
          <w:rFonts w:eastAsia="Times New Roman"/>
          <w:noProof/>
          <w:shd w:val="clear" w:color="auto" w:fill="FFFFFF" w:themeFill="background1"/>
          <w:lang w:val="en-IE"/>
        </w:rPr>
        <w:t>from the appropriations entered in the following line of the general budget of the</w:t>
      </w:r>
      <w:r w:rsidRPr="00571680">
        <w:rPr>
          <w:rFonts w:eastAsia="Times New Roman"/>
          <w:noProof/>
          <w:lang w:val="en-IE"/>
        </w:rPr>
        <w:t xml:space="preserve"> Union:</w:t>
      </w:r>
      <w:r w:rsidRPr="00571680">
        <w:rPr>
          <w:rFonts w:eastAsia="Times New Roman"/>
          <w:b/>
          <w:bCs/>
          <w:noProof/>
          <w:lang w:val="en-IE"/>
        </w:rPr>
        <w:t xml:space="preserve"> </w:t>
      </w:r>
    </w:p>
    <w:p w14:paraId="6B3FDA7D" w14:textId="77777777" w:rsidR="00362F33" w:rsidRPr="00571680" w:rsidRDefault="00362F33" w:rsidP="00362F33">
      <w:pPr>
        <w:pStyle w:val="Point0"/>
        <w:shd w:val="clear" w:color="auto" w:fill="FFFFFF" w:themeFill="background1"/>
        <w:rPr>
          <w:noProof/>
          <w:lang w:val="en-IE"/>
        </w:rPr>
      </w:pPr>
      <w:r w:rsidRPr="00571680">
        <w:rPr>
          <w:noProof/>
          <w:lang w:val="en-IE"/>
        </w:rPr>
        <w:t>(a)</w:t>
      </w:r>
      <w:r w:rsidRPr="00571680">
        <w:rPr>
          <w:noProof/>
          <w:lang w:val="en-IE"/>
        </w:rPr>
        <w:tab/>
        <w:t xml:space="preserve">budget line </w:t>
      </w:r>
      <w:r w:rsidRPr="7ACEC8C5">
        <w:rPr>
          <w:noProof/>
        </w:rPr>
        <w:t>09</w:t>
      </w:r>
      <w:r>
        <w:rPr>
          <w:noProof/>
        </w:rPr>
        <w:t> </w:t>
      </w:r>
      <w:r w:rsidRPr="7ACEC8C5">
        <w:rPr>
          <w:noProof/>
        </w:rPr>
        <w:t>04</w:t>
      </w:r>
      <w:r>
        <w:rPr>
          <w:noProof/>
        </w:rPr>
        <w:t> </w:t>
      </w:r>
      <w:r w:rsidRPr="7ACEC8C5">
        <w:rPr>
          <w:noProof/>
        </w:rPr>
        <w:t>01</w:t>
      </w:r>
      <w:r w:rsidRPr="00571680">
        <w:rPr>
          <w:noProof/>
          <w:lang w:val="en-IE"/>
        </w:rPr>
        <w:t>:</w:t>
      </w:r>
      <w:r w:rsidRPr="00571680">
        <w:rPr>
          <w:noProof/>
          <w:color w:val="0000FF"/>
          <w:lang w:val="en-IE"/>
        </w:rPr>
        <w:t xml:space="preserve"> </w:t>
      </w:r>
      <w:r w:rsidRPr="7ACEC8C5">
        <w:rPr>
          <w:noProof/>
          <w:lang w:val="en-IE"/>
        </w:rPr>
        <w:t>-</w:t>
      </w:r>
      <w:r w:rsidRPr="7ACEC8C5">
        <w:rPr>
          <w:noProof/>
          <w:color w:val="0000FF"/>
          <w:lang w:val="en-IE"/>
        </w:rPr>
        <w:t xml:space="preserve"> </w:t>
      </w:r>
      <w:r w:rsidRPr="7ACEC8C5">
        <w:rPr>
          <w:noProof/>
        </w:rPr>
        <w:t>Public sector loan facility under the Just Transition Mechanism (JTM): up to a maximum of EUR</w:t>
      </w:r>
      <w:r>
        <w:rPr>
          <w:noProof/>
        </w:rPr>
        <w:t xml:space="preserve"> </w:t>
      </w:r>
      <w:r w:rsidRPr="00A023E5">
        <w:rPr>
          <w:rFonts w:eastAsia="Calibri"/>
          <w:noProof/>
        </w:rPr>
        <w:t>1</w:t>
      </w:r>
      <w:r>
        <w:rPr>
          <w:rFonts w:eastAsia="Calibri"/>
          <w:noProof/>
        </w:rPr>
        <w:t> </w:t>
      </w:r>
      <w:r w:rsidRPr="00A023E5">
        <w:rPr>
          <w:rFonts w:eastAsia="Calibri"/>
          <w:noProof/>
        </w:rPr>
        <w:t>1</w:t>
      </w:r>
      <w:r>
        <w:rPr>
          <w:rFonts w:eastAsia="Calibri"/>
          <w:noProof/>
        </w:rPr>
        <w:t>1</w:t>
      </w:r>
      <w:r w:rsidRPr="00A023E5">
        <w:rPr>
          <w:rFonts w:eastAsia="Calibri"/>
          <w:noProof/>
        </w:rPr>
        <w:t>8</w:t>
      </w:r>
      <w:r>
        <w:rPr>
          <w:rFonts w:eastAsia="Calibri"/>
          <w:noProof/>
        </w:rPr>
        <w:t> 7</w:t>
      </w:r>
      <w:r w:rsidRPr="00A023E5">
        <w:rPr>
          <w:rFonts w:eastAsia="Calibri"/>
          <w:noProof/>
        </w:rPr>
        <w:t>26</w:t>
      </w:r>
      <w:r>
        <w:rPr>
          <w:rFonts w:eastAsia="Calibri"/>
          <w:noProof/>
        </w:rPr>
        <w:t> </w:t>
      </w:r>
      <w:r w:rsidRPr="00A023E5">
        <w:rPr>
          <w:rFonts w:eastAsia="Calibri"/>
          <w:noProof/>
        </w:rPr>
        <w:t>127</w:t>
      </w:r>
      <w:r w:rsidRPr="7ACEC8C5">
        <w:rPr>
          <w:rFonts w:eastAsia="Calibri"/>
          <w:noProof/>
        </w:rPr>
        <w:t xml:space="preserve"> in current prices, financed from </w:t>
      </w:r>
      <w:r w:rsidRPr="7ACEC8C5">
        <w:rPr>
          <w:noProof/>
          <w:lang w:val="en-US"/>
        </w:rPr>
        <w:t xml:space="preserve">external assigned revenue </w:t>
      </w:r>
    </w:p>
    <w:p w14:paraId="0BADE24D" w14:textId="77777777" w:rsidR="00362F33" w:rsidRDefault="00362F33" w:rsidP="00362F33">
      <w:pPr>
        <w:shd w:val="clear" w:color="auto" w:fill="FFFFFF" w:themeFill="background1"/>
        <w:rPr>
          <w:rFonts w:eastAsia="Times New Roman"/>
          <w:noProof/>
          <w:szCs w:val="24"/>
          <w:lang w:val="en-IE"/>
        </w:rPr>
      </w:pPr>
      <w:r w:rsidRPr="00571680">
        <w:rPr>
          <w:rFonts w:eastAsia="Times New Roman"/>
          <w:noProof/>
          <w:szCs w:val="24"/>
          <w:lang w:val="en-IE"/>
        </w:rPr>
        <w:t xml:space="preserve">The appropriations provided for in the first paragraph may also cover interest </w:t>
      </w:r>
      <w:r w:rsidRPr="00571680">
        <w:rPr>
          <w:rFonts w:eastAsia="Times New Roman"/>
          <w:noProof/>
          <w:color w:val="000000"/>
          <w:szCs w:val="24"/>
          <w:lang w:val="en-IE"/>
        </w:rPr>
        <w:t>due for late payment</w:t>
      </w:r>
      <w:r w:rsidRPr="00571680">
        <w:rPr>
          <w:rFonts w:eastAsia="Times New Roman"/>
          <w:noProof/>
          <w:szCs w:val="24"/>
          <w:lang w:val="en-IE"/>
        </w:rPr>
        <w:t>.</w:t>
      </w:r>
    </w:p>
    <w:p w14:paraId="28CF653D" w14:textId="77777777" w:rsidR="00362F33" w:rsidRPr="00A26BC2" w:rsidRDefault="00362F33" w:rsidP="00362F33">
      <w:pPr>
        <w:rPr>
          <w:noProof/>
          <w:lang w:val="en-IE"/>
        </w:rPr>
      </w:pPr>
      <w:r w:rsidRPr="00A80536">
        <w:rPr>
          <w:noProof/>
          <w:lang w:val="en-US"/>
        </w:rPr>
        <w:t xml:space="preserve">The </w:t>
      </w:r>
      <w:r w:rsidRPr="00A26BC2">
        <w:rPr>
          <w:noProof/>
          <w:lang w:val="en-IE"/>
        </w:rPr>
        <w:t xml:space="preserve">Union contribution set out in the first paragraph of this Article shall be distributed between the components of the facility in accordance with </w:t>
      </w:r>
      <w:r>
        <w:rPr>
          <w:noProof/>
          <w:lang w:val="en-IE"/>
        </w:rPr>
        <w:t>p</w:t>
      </w:r>
      <w:r w:rsidRPr="00A26BC2">
        <w:rPr>
          <w:noProof/>
          <w:lang w:val="en-IE"/>
        </w:rPr>
        <w:t xml:space="preserve">oints 2 and 3 of the Annex. </w:t>
      </w:r>
    </w:p>
    <w:p w14:paraId="376B90A7" w14:textId="77777777" w:rsidR="00362F33" w:rsidRPr="00A26BC2" w:rsidRDefault="00362F33" w:rsidP="00362F33">
      <w:pPr>
        <w:rPr>
          <w:rFonts w:eastAsia="Times New Roman"/>
          <w:noProof/>
          <w:szCs w:val="24"/>
          <w:lang w:val="en-IE"/>
        </w:rPr>
      </w:pPr>
      <w:r w:rsidRPr="00A26BC2">
        <w:rPr>
          <w:noProof/>
          <w:lang w:val="en-IE"/>
        </w:rPr>
        <w:t xml:space="preserve">The implementation of this Decision is subject to the availability of appropriations, as defined in article 5 of Regulation </w:t>
      </w:r>
      <w:r>
        <w:rPr>
          <w:noProof/>
          <w:lang w:val="en-IE"/>
        </w:rPr>
        <w:t xml:space="preserve">(EU) </w:t>
      </w:r>
      <w:r w:rsidRPr="00A26BC2">
        <w:rPr>
          <w:noProof/>
          <w:lang w:val="en-IE"/>
        </w:rPr>
        <w:t>2021/1229, in</w:t>
      </w:r>
      <w:r>
        <w:rPr>
          <w:noProof/>
          <w:lang w:val="en-IE"/>
        </w:rPr>
        <w:t xml:space="preserve"> the</w:t>
      </w:r>
      <w:r w:rsidRPr="00A26BC2">
        <w:rPr>
          <w:noProof/>
          <w:lang w:val="en-IE"/>
        </w:rPr>
        <w:t xml:space="preserve"> years 2026 and 2027</w:t>
      </w:r>
      <w:r>
        <w:rPr>
          <w:noProof/>
          <w:lang w:val="en-IE"/>
        </w:rPr>
        <w:t>.</w:t>
      </w:r>
    </w:p>
    <w:p w14:paraId="3499390D" w14:textId="77777777" w:rsidR="00362F33" w:rsidRPr="008400B6" w:rsidRDefault="00362F33" w:rsidP="00362F33">
      <w:pPr>
        <w:pStyle w:val="Titrearticle"/>
        <w:rPr>
          <w:b/>
          <w:bCs/>
          <w:i w:val="0"/>
          <w:iCs/>
          <w:noProof/>
          <w:lang w:val="en-IE"/>
        </w:rPr>
      </w:pPr>
      <w:r w:rsidRPr="008400B6">
        <w:rPr>
          <w:noProof/>
          <w:lang w:val="en-IE"/>
        </w:rPr>
        <w:t>Article 3</w:t>
      </w:r>
      <w:r w:rsidRPr="008400B6">
        <w:rPr>
          <w:noProof/>
          <w:lang w:val="en-IE"/>
        </w:rPr>
        <w:br/>
      </w:r>
      <w:r w:rsidRPr="008400B6">
        <w:rPr>
          <w:b/>
          <w:bCs/>
          <w:i w:val="0"/>
          <w:iCs/>
          <w:noProof/>
          <w:lang w:val="en-IE"/>
        </w:rPr>
        <w:t>Flexibility clause</w:t>
      </w:r>
    </w:p>
    <w:p w14:paraId="752E6E27" w14:textId="77777777" w:rsidR="00362F33" w:rsidRPr="003C0795" w:rsidRDefault="00362F33" w:rsidP="00362F33">
      <w:pPr>
        <w:shd w:val="clear" w:color="auto" w:fill="FFFFFF" w:themeFill="background1"/>
        <w:rPr>
          <w:rFonts w:eastAsia="Times New Roman"/>
          <w:noProof/>
          <w:lang w:val="en-IE"/>
        </w:rPr>
      </w:pPr>
      <w:r w:rsidRPr="008400B6">
        <w:rPr>
          <w:rFonts w:eastAsia="Times New Roman"/>
          <w:noProof/>
          <w:lang w:val="en-IE"/>
        </w:rPr>
        <w:t>Cumulated changes to the allocations to specific actions not exceeding 20%</w:t>
      </w:r>
      <w:r w:rsidRPr="00A26BC2">
        <w:rPr>
          <w:noProof/>
          <w:lang w:val="en-IE"/>
        </w:rPr>
        <w:t xml:space="preserve"> </w:t>
      </w:r>
      <w:r w:rsidRPr="008400B6">
        <w:rPr>
          <w:rFonts w:eastAsia="Times New Roman"/>
          <w:noProof/>
          <w:lang w:val="en-IE"/>
        </w:rPr>
        <w:t>of the maximum Union contribution set in Article 2, first paragraph, of this Decision shall not be considered to be substantial for the purposes of Article 110(5) of the Financial Regulation, where those changes do not significantly affect the nature of the actions</w:t>
      </w:r>
      <w:r w:rsidRPr="003C0795">
        <w:rPr>
          <w:rFonts w:eastAsia="Times New Roman"/>
          <w:noProof/>
          <w:lang w:val="en-IE"/>
        </w:rPr>
        <w:t xml:space="preserve"> and the objective of the work programme.</w:t>
      </w:r>
      <w:r w:rsidRPr="003C0795">
        <w:rPr>
          <w:rFonts w:eastAsia="Times New Roman"/>
          <w:i/>
          <w:iCs/>
          <w:noProof/>
          <w:lang w:val="en-IE"/>
        </w:rPr>
        <w:t xml:space="preserve"> </w:t>
      </w:r>
      <w:r w:rsidRPr="003C0795">
        <w:rPr>
          <w:rFonts w:eastAsia="Times New Roman"/>
          <w:noProof/>
          <w:shd w:val="clear" w:color="auto" w:fill="FFFFFF" w:themeFill="background1"/>
          <w:lang w:val="en-IE"/>
        </w:rPr>
        <w:t>The increase of the maximum Union contribution set in Article 2, first paragraph, of this Decision</w:t>
      </w:r>
      <w:r w:rsidRPr="003C0795">
        <w:rPr>
          <w:noProof/>
          <w:shd w:val="clear" w:color="auto" w:fill="FFFFFF" w:themeFill="background1"/>
          <w:lang w:val="en-IE"/>
        </w:rPr>
        <w:t xml:space="preserve"> </w:t>
      </w:r>
      <w:r w:rsidRPr="003C0795">
        <w:rPr>
          <w:rFonts w:eastAsia="Times New Roman"/>
          <w:noProof/>
          <w:shd w:val="clear" w:color="auto" w:fill="FFFFFF" w:themeFill="background1"/>
          <w:lang w:val="en-IE"/>
        </w:rPr>
        <w:t>shall not exceed 20%</w:t>
      </w:r>
      <w:r w:rsidRPr="003C0795">
        <w:rPr>
          <w:rFonts w:eastAsia="Times New Roman"/>
          <w:noProof/>
          <w:lang w:val="en-IE"/>
        </w:rPr>
        <w:t>.</w:t>
      </w:r>
    </w:p>
    <w:p w14:paraId="1144C47C" w14:textId="77777777" w:rsidR="00362F33" w:rsidRDefault="00362F33" w:rsidP="00362F33">
      <w:pPr>
        <w:rPr>
          <w:rFonts w:eastAsia="Times New Roman"/>
          <w:noProof/>
          <w:szCs w:val="24"/>
          <w:lang w:val="en-IE"/>
        </w:rPr>
      </w:pPr>
      <w:r w:rsidRPr="00571680">
        <w:rPr>
          <w:rFonts w:eastAsia="Times New Roman"/>
          <w:noProof/>
          <w:szCs w:val="24"/>
          <w:lang w:val="en-IE"/>
        </w:rPr>
        <w:t xml:space="preserve">The </w:t>
      </w:r>
      <w:r w:rsidRPr="00571680">
        <w:rPr>
          <w:rFonts w:eastAsia="Times New Roman"/>
          <w:noProof/>
          <w:szCs w:val="24"/>
          <w:shd w:val="clear" w:color="auto" w:fill="FFFFFF" w:themeFill="background1"/>
          <w:lang w:val="en-IE"/>
        </w:rPr>
        <w:t>auth</w:t>
      </w:r>
      <w:r w:rsidRPr="00571680">
        <w:rPr>
          <w:noProof/>
          <w:shd w:val="clear" w:color="auto" w:fill="FFFFFF" w:themeFill="background1"/>
          <w:lang w:val="en-IE"/>
        </w:rPr>
        <w:t>o</w:t>
      </w:r>
      <w:r w:rsidRPr="00571680">
        <w:rPr>
          <w:rFonts w:eastAsia="Times New Roman"/>
          <w:noProof/>
          <w:szCs w:val="24"/>
          <w:shd w:val="clear" w:color="auto" w:fill="FFFFFF" w:themeFill="background1"/>
          <w:lang w:val="en-IE"/>
        </w:rPr>
        <w:t>rising officer responsible may apply the changes referred to in the first paragraph. Those change</w:t>
      </w:r>
      <w:r w:rsidRPr="00571680">
        <w:rPr>
          <w:rFonts w:eastAsia="Times New Roman"/>
          <w:noProof/>
          <w:szCs w:val="24"/>
          <w:lang w:val="en-IE"/>
        </w:rPr>
        <w:t>s shall be applied in accordance with the principles of sound financial management and proportionality</w:t>
      </w:r>
      <w:r>
        <w:rPr>
          <w:rFonts w:eastAsia="Times New Roman"/>
          <w:noProof/>
          <w:szCs w:val="24"/>
          <w:lang w:val="en-IE"/>
        </w:rPr>
        <w:t>.</w:t>
      </w:r>
    </w:p>
    <w:p w14:paraId="16327555" w14:textId="77777777" w:rsidR="00362F33" w:rsidRDefault="00362F33" w:rsidP="00D86C2C">
      <w:pPr>
        <w:pStyle w:val="Titrearticle"/>
        <w:rPr>
          <w:b/>
          <w:bCs/>
          <w:i w:val="0"/>
          <w:iCs/>
          <w:noProof/>
          <w:lang w:val="en-IE"/>
        </w:rPr>
      </w:pPr>
      <w:r>
        <w:rPr>
          <w:noProof/>
          <w:lang w:val="en-IE"/>
        </w:rPr>
        <w:t>Article 4</w:t>
      </w:r>
      <w:r>
        <w:rPr>
          <w:noProof/>
          <w:lang w:val="en-IE"/>
        </w:rPr>
        <w:br/>
      </w:r>
      <w:r w:rsidRPr="003C0795">
        <w:rPr>
          <w:b/>
          <w:bCs/>
          <w:i w:val="0"/>
          <w:iCs/>
          <w:noProof/>
          <w:lang w:val="en-IE"/>
        </w:rPr>
        <w:t>Methods of implementation and entrusted entities or persons</w:t>
      </w:r>
    </w:p>
    <w:p w14:paraId="28CBFEC5" w14:textId="77777777" w:rsidR="00362F33" w:rsidRDefault="00362F33" w:rsidP="00362F33">
      <w:pPr>
        <w:rPr>
          <w:noProof/>
        </w:rPr>
      </w:pPr>
      <w:r w:rsidRPr="00571680">
        <w:rPr>
          <w:rFonts w:eastAsia="Times New Roman"/>
          <w:noProof/>
          <w:lang w:val="en-IE"/>
        </w:rPr>
        <w:t xml:space="preserve">The implementation of the actions carried out by way </w:t>
      </w:r>
      <w:r w:rsidRPr="00571680">
        <w:rPr>
          <w:rFonts w:eastAsia="Times New Roman"/>
          <w:noProof/>
          <w:shd w:val="clear" w:color="auto" w:fill="FFFFFF" w:themeFill="background1"/>
          <w:lang w:val="en-IE"/>
        </w:rPr>
        <w:t>of indirect management, as s</w:t>
      </w:r>
      <w:r w:rsidRPr="00571680">
        <w:rPr>
          <w:rFonts w:eastAsia="Times New Roman"/>
          <w:noProof/>
          <w:lang w:val="en-IE"/>
        </w:rPr>
        <w:t>et out in the Annex, may be entrusted to the persons or entities referred to or selected in accordance with the criteria laid down</w:t>
      </w:r>
      <w:r w:rsidRPr="005704E1">
        <w:rPr>
          <w:noProof/>
        </w:rPr>
        <w:t xml:space="preserve"> </w:t>
      </w:r>
      <w:r w:rsidRPr="00BB5624">
        <w:rPr>
          <w:noProof/>
        </w:rPr>
        <w:t xml:space="preserve">laid down in </w:t>
      </w:r>
      <w:r>
        <w:rPr>
          <w:noProof/>
        </w:rPr>
        <w:t>point 3 of</w:t>
      </w:r>
      <w:r w:rsidRPr="00571680">
        <w:rPr>
          <w:rFonts w:eastAsia="Times New Roman"/>
          <w:noProof/>
          <w:lang w:val="en-IE"/>
        </w:rPr>
        <w:t xml:space="preserve"> the Annex</w:t>
      </w:r>
    </w:p>
    <w:p w14:paraId="34F98A95" w14:textId="77777777" w:rsidR="00362F33" w:rsidRDefault="009B26E3" w:rsidP="00D86C2C">
      <w:pPr>
        <w:pStyle w:val="Fait"/>
        <w:rPr>
          <w:noProof/>
        </w:rPr>
      </w:pPr>
      <w:r>
        <w:rPr>
          <w:noProof/>
        </w:rPr>
        <w:t>Done at Brussels, 10.6.2025</w:t>
      </w:r>
    </w:p>
    <w:p w14:paraId="644646C0" w14:textId="77777777" w:rsidR="00362F33" w:rsidRDefault="00362F33" w:rsidP="00D86C2C">
      <w:pPr>
        <w:pStyle w:val="Institutionquisigne"/>
        <w:rPr>
          <w:noProof/>
        </w:rPr>
      </w:pPr>
      <w:r w:rsidRPr="00362F33">
        <w:rPr>
          <w:noProof/>
        </w:rPr>
        <w:tab/>
        <w:t>For the Commission</w:t>
      </w:r>
    </w:p>
    <w:p w14:paraId="77151EAB" w14:textId="77777777" w:rsidR="00362F33" w:rsidRPr="00362F33" w:rsidRDefault="00923F0C" w:rsidP="00362F33">
      <w:pPr>
        <w:pStyle w:val="Personnequisigne"/>
        <w:rPr>
          <w:noProof/>
        </w:rPr>
      </w:pPr>
      <w:r>
        <w:rPr>
          <w:noProof/>
        </w:rPr>
        <w:tab/>
        <w:t>Raffaele FITTO</w:t>
      </w:r>
      <w:r>
        <w:rPr>
          <w:noProof/>
        </w:rPr>
        <w:br/>
      </w:r>
      <w:r>
        <w:rPr>
          <w:noProof/>
        </w:rPr>
        <w:tab/>
        <w:t>Executive Vice-President</w:t>
      </w:r>
    </w:p>
    <w:sectPr w:rsidR="00362F33" w:rsidRPr="00362F33" w:rsidSect="00554F3F">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6973" w14:textId="77777777" w:rsidR="00362F33" w:rsidRDefault="00362F33" w:rsidP="00362F33">
      <w:pPr>
        <w:spacing w:before="0" w:after="0"/>
      </w:pPr>
      <w:r>
        <w:separator/>
      </w:r>
    </w:p>
  </w:endnote>
  <w:endnote w:type="continuationSeparator" w:id="0">
    <w:p w14:paraId="1CDC414C" w14:textId="77777777" w:rsidR="00362F33" w:rsidRDefault="00362F33" w:rsidP="00362F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096C" w14:textId="77777777" w:rsidR="00554F3F" w:rsidRPr="00554F3F" w:rsidRDefault="00554F3F" w:rsidP="00554F3F">
    <w:pPr>
      <w:pStyle w:val="Footer"/>
      <w:rPr>
        <w:rFonts w:ascii="Arial" w:hAnsi="Arial" w:cs="Arial"/>
        <w:b/>
        <w:sz w:val="48"/>
      </w:rPr>
    </w:pPr>
    <w:r w:rsidRPr="00554F3F">
      <w:rPr>
        <w:rFonts w:ascii="Arial" w:hAnsi="Arial" w:cs="Arial"/>
        <w:b/>
        <w:sz w:val="48"/>
      </w:rPr>
      <w:t>EN</w:t>
    </w:r>
    <w:r w:rsidRPr="00554F3F">
      <w:rPr>
        <w:rFonts w:ascii="Arial" w:hAnsi="Arial" w:cs="Arial"/>
        <w:b/>
        <w:sz w:val="48"/>
      </w:rPr>
      <w:tab/>
    </w:r>
    <w:r w:rsidRPr="00554F3F">
      <w:rPr>
        <w:rFonts w:ascii="Arial" w:hAnsi="Arial" w:cs="Arial"/>
        <w:b/>
        <w:sz w:val="48"/>
      </w:rPr>
      <w:tab/>
    </w:r>
    <w:r w:rsidRPr="00554F3F">
      <w:tab/>
    </w:r>
    <w:r w:rsidRPr="00554F3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23DD" w14:textId="77777777" w:rsidR="00554F3F" w:rsidRPr="00554F3F" w:rsidRDefault="00554F3F" w:rsidP="00554F3F">
    <w:pPr>
      <w:pStyle w:val="Footer"/>
      <w:rPr>
        <w:rFonts w:ascii="Arial" w:hAnsi="Arial" w:cs="Arial"/>
        <w:b/>
        <w:sz w:val="48"/>
      </w:rPr>
    </w:pPr>
    <w:r w:rsidRPr="00554F3F">
      <w:rPr>
        <w:rFonts w:ascii="Arial" w:hAnsi="Arial" w:cs="Arial"/>
        <w:b/>
        <w:sz w:val="48"/>
      </w:rPr>
      <w:t>EN</w:t>
    </w:r>
    <w:r w:rsidRPr="00554F3F">
      <w:rPr>
        <w:rFonts w:ascii="Arial" w:hAnsi="Arial" w:cs="Arial"/>
        <w:b/>
        <w:sz w:val="48"/>
      </w:rPr>
      <w:tab/>
    </w:r>
    <w:r w:rsidRPr="00554F3F">
      <w:rPr>
        <w:rFonts w:ascii="Arial" w:hAnsi="Arial" w:cs="Arial"/>
        <w:b/>
        <w:sz w:val="48"/>
      </w:rPr>
      <w:tab/>
    </w:r>
    <w:r w:rsidRPr="00554F3F">
      <w:tab/>
    </w:r>
    <w:r w:rsidRPr="00554F3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35E7" w14:textId="77777777" w:rsidR="00554F3F" w:rsidRDefault="00554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D0C8" w14:textId="77777777" w:rsidR="00554F3F" w:rsidRPr="00554F3F" w:rsidRDefault="00554F3F" w:rsidP="00554F3F">
    <w:pPr>
      <w:pStyle w:val="Footer"/>
      <w:rPr>
        <w:rFonts w:ascii="Arial" w:hAnsi="Arial" w:cs="Arial"/>
        <w:b/>
        <w:sz w:val="48"/>
      </w:rPr>
    </w:pPr>
    <w:r w:rsidRPr="00554F3F">
      <w:rPr>
        <w:rFonts w:ascii="Arial" w:hAnsi="Arial" w:cs="Arial"/>
        <w:b/>
        <w:sz w:val="48"/>
      </w:rPr>
      <w:t>EN</w:t>
    </w:r>
    <w:r w:rsidRPr="00554F3F">
      <w:rPr>
        <w:rFonts w:ascii="Arial" w:hAnsi="Arial" w:cs="Arial"/>
        <w:b/>
        <w:sz w:val="48"/>
      </w:rPr>
      <w:tab/>
    </w:r>
    <w:r>
      <w:fldChar w:fldCharType="begin"/>
    </w:r>
    <w:r>
      <w:instrText xml:space="preserve"> PAGE  \* MERGEFORMAT </w:instrText>
    </w:r>
    <w:r>
      <w:fldChar w:fldCharType="separate"/>
    </w:r>
    <w:r w:rsidR="00D86C2C">
      <w:rPr>
        <w:noProof/>
      </w:rPr>
      <w:t>3</w:t>
    </w:r>
    <w:r>
      <w:fldChar w:fldCharType="end"/>
    </w:r>
    <w:r>
      <w:tab/>
    </w:r>
    <w:r w:rsidRPr="00554F3F">
      <w:tab/>
    </w:r>
    <w:r w:rsidRPr="00554F3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D77" w14:textId="77777777" w:rsidR="00554F3F" w:rsidRDefault="00554F3F" w:rsidP="00554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DA46" w14:textId="77777777" w:rsidR="00362F33" w:rsidRDefault="00362F33" w:rsidP="00362F33">
      <w:pPr>
        <w:spacing w:before="0" w:after="0"/>
      </w:pPr>
      <w:r>
        <w:separator/>
      </w:r>
    </w:p>
  </w:footnote>
  <w:footnote w:type="continuationSeparator" w:id="0">
    <w:p w14:paraId="2BEB48F4" w14:textId="77777777" w:rsidR="00362F33" w:rsidRDefault="00362F33" w:rsidP="00362F33">
      <w:pPr>
        <w:spacing w:before="0" w:after="0"/>
      </w:pPr>
      <w:r>
        <w:continuationSeparator/>
      </w:r>
    </w:p>
  </w:footnote>
  <w:footnote w:id="1">
    <w:p w14:paraId="47E1D49A" w14:textId="77777777" w:rsidR="00362F33" w:rsidRPr="00B803FC" w:rsidRDefault="00362F33" w:rsidP="00362F33">
      <w:pPr>
        <w:pStyle w:val="FootnoteText"/>
        <w:shd w:val="clear" w:color="auto" w:fill="FFFFFF" w:themeFill="background1"/>
        <w:rPr>
          <w:lang w:val="en-IE"/>
        </w:rPr>
      </w:pPr>
      <w:r w:rsidRPr="004F6430">
        <w:rPr>
          <w:rStyle w:val="FootnoteReference"/>
        </w:rPr>
        <w:footnoteRef/>
      </w:r>
      <w:r w:rsidRPr="00B803FC">
        <w:rPr>
          <w:noProof/>
        </w:rPr>
        <w:tab/>
        <w:t xml:space="preserve">Regulation (EU, Euratom) 2024/2509 of the European Parliament and of the Council of 23 September 2024 on the financial rules applicable to the general budget of the Union (recast) (OJ L, 2024/2509, 26.9.2024, ELI: </w:t>
      </w:r>
      <w:hyperlink r:id="rId1" w:history="1">
        <w:r w:rsidRPr="00B803FC">
          <w:rPr>
            <w:rFonts w:eastAsia="Calibri"/>
            <w:color w:val="0563C1"/>
            <w:kern w:val="2"/>
            <w:u w:val="single"/>
            <w:lang w:val="cs-CZ" w:eastAsia="en-IE"/>
          </w:rPr>
          <w:t>http://data.europa.eu/eli/reg/2024/2509/oj</w:t>
        </w:r>
      </w:hyperlink>
      <w:r w:rsidRPr="00B803FC">
        <w:rPr>
          <w:noProof/>
        </w:rPr>
        <w:t>).</w:t>
      </w:r>
    </w:p>
  </w:footnote>
  <w:footnote w:id="2">
    <w:p w14:paraId="3DA60617" w14:textId="77777777" w:rsidR="00362F33" w:rsidRPr="00876ACE" w:rsidRDefault="00362F33" w:rsidP="00362F33">
      <w:pPr>
        <w:pStyle w:val="FootnoteText"/>
        <w:shd w:val="clear" w:color="auto" w:fill="FFFFFF" w:themeFill="background1"/>
        <w:rPr>
          <w:lang w:val="pl-PL"/>
        </w:rPr>
      </w:pPr>
      <w:r w:rsidRPr="00B803FC">
        <w:rPr>
          <w:rStyle w:val="FootnoteReference"/>
        </w:rPr>
        <w:footnoteRef/>
      </w:r>
      <w:r w:rsidRPr="00876ACE">
        <w:rPr>
          <w:lang w:val="pl-PL"/>
        </w:rPr>
        <w:tab/>
      </w:r>
      <w:bookmarkStart w:id="1" w:name="_Hlk185578925"/>
      <w:r w:rsidRPr="00B803FC">
        <w:rPr>
          <w:lang w:val="pl-PL"/>
        </w:rPr>
        <w:t xml:space="preserve">OJ L </w:t>
      </w:r>
      <w:r w:rsidRPr="00876ACE">
        <w:rPr>
          <w:lang w:val="pl-PL"/>
        </w:rPr>
        <w:t xml:space="preserve">274, 2021, p. 1-19, ELI http://data.europa.eu/eli/reg/2021/1229/oj  </w:t>
      </w:r>
      <w:bookmarkEnd w:id="1"/>
    </w:p>
  </w:footnote>
  <w:footnote w:id="3">
    <w:p w14:paraId="25447AA5" w14:textId="77777777" w:rsidR="00362F33" w:rsidRPr="00390690" w:rsidRDefault="00362F33" w:rsidP="00362F33">
      <w:pPr>
        <w:pStyle w:val="FootnoteText"/>
        <w:rPr>
          <w:color w:val="008000"/>
        </w:rPr>
      </w:pPr>
      <w:r w:rsidRPr="00B803FC">
        <w:rPr>
          <w:rStyle w:val="FootnoteReference"/>
        </w:rPr>
        <w:footnoteRef/>
      </w:r>
      <w:r w:rsidRPr="00B803FC">
        <w:tab/>
        <w:t xml:space="preserve">See </w:t>
      </w:r>
      <w:hyperlink r:id="rId2" w:history="1">
        <w:r w:rsidRPr="00B803FC">
          <w:t>www.sanctionsmap.eu</w:t>
        </w:r>
      </w:hyperlink>
      <w:r w:rsidRPr="00B803FC">
        <w:t xml:space="preserve"> – Note that the sanctions map is an IT tool for identifying the sanctions regimes. The source of the sanctions stems from legal acts published in the Official Journal (OJ). In the case of discrepancy, the OJ prevails.</w:t>
      </w:r>
    </w:p>
  </w:footnote>
  <w:footnote w:id="4">
    <w:p w14:paraId="4F21E10F" w14:textId="77777777" w:rsidR="00362F33" w:rsidRPr="00032E48" w:rsidRDefault="00362F33" w:rsidP="00362F33">
      <w:pPr>
        <w:pStyle w:val="FootnoteText"/>
        <w:rPr>
          <w:lang w:val="en-IE"/>
        </w:rPr>
      </w:pPr>
      <w:r w:rsidRPr="0078348B">
        <w:rPr>
          <w:rStyle w:val="FootnoteReference"/>
        </w:rPr>
        <w:footnoteRef/>
      </w:r>
      <w:r>
        <w:tab/>
      </w:r>
      <w:r w:rsidRPr="00032E48">
        <w:t>COM (2019) 640 final</w:t>
      </w:r>
      <w:r>
        <w:t>,</w:t>
      </w:r>
      <w:r w:rsidRPr="00032E48">
        <w:t xml:space="preserve"> 11 December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26FB" w14:textId="77777777" w:rsidR="00554F3F" w:rsidRDefault="00554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E504" w14:textId="77777777" w:rsidR="00554F3F" w:rsidRDefault="00554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324048211">
    <w:abstractNumId w:val="11"/>
  </w:num>
  <w:num w:numId="2" w16cid:durableId="1185170050">
    <w:abstractNumId w:val="4"/>
  </w:num>
  <w:num w:numId="3" w16cid:durableId="1017733214">
    <w:abstractNumId w:val="13"/>
  </w:num>
  <w:num w:numId="4" w16cid:durableId="1879975941">
    <w:abstractNumId w:val="3"/>
  </w:num>
  <w:num w:numId="5" w16cid:durableId="1292831409">
    <w:abstractNumId w:val="5"/>
  </w:num>
  <w:num w:numId="6" w16cid:durableId="685401389">
    <w:abstractNumId w:val="6"/>
  </w:num>
  <w:num w:numId="7" w16cid:durableId="1600063303">
    <w:abstractNumId w:val="1"/>
  </w:num>
  <w:num w:numId="8" w16cid:durableId="366029646">
    <w:abstractNumId w:val="12"/>
  </w:num>
  <w:num w:numId="9" w16cid:durableId="1094589822">
    <w:abstractNumId w:val="0"/>
  </w:num>
  <w:num w:numId="10" w16cid:durableId="624581707">
    <w:abstractNumId w:val="7"/>
  </w:num>
  <w:num w:numId="11" w16cid:durableId="1643847914">
    <w:abstractNumId w:val="9"/>
  </w:num>
  <w:num w:numId="12" w16cid:durableId="853034296">
    <w:abstractNumId w:val="10"/>
  </w:num>
  <w:num w:numId="13" w16cid:durableId="2045446772">
    <w:abstractNumId w:val="2"/>
  </w:num>
  <w:num w:numId="14" w16cid:durableId="692656148">
    <w:abstractNumId w:val="8"/>
  </w:num>
  <w:num w:numId="15" w16cid:durableId="320352823">
    <w:abstractNumId w:val="14"/>
  </w:num>
  <w:num w:numId="16" w16cid:durableId="1981231845">
    <w:abstractNumId w:val="14"/>
    <w:lvlOverride w:ilvl="0">
      <w:startOverride w:val="1"/>
    </w:lvlOverride>
  </w:num>
  <w:num w:numId="17" w16cid:durableId="1453787389">
    <w:abstractNumId w:val="11"/>
  </w:num>
  <w:num w:numId="18" w16cid:durableId="362903118">
    <w:abstractNumId w:val="4"/>
  </w:num>
  <w:num w:numId="19" w16cid:durableId="769816286">
    <w:abstractNumId w:val="13"/>
  </w:num>
  <w:num w:numId="20" w16cid:durableId="2083914879">
    <w:abstractNumId w:val="3"/>
  </w:num>
  <w:num w:numId="21" w16cid:durableId="2077048353">
    <w:abstractNumId w:val="5"/>
  </w:num>
  <w:num w:numId="22" w16cid:durableId="1182552718">
    <w:abstractNumId w:val="6"/>
  </w:num>
  <w:num w:numId="23" w16cid:durableId="2143837991">
    <w:abstractNumId w:val="1"/>
  </w:num>
  <w:num w:numId="24" w16cid:durableId="178855694">
    <w:abstractNumId w:val="12"/>
  </w:num>
  <w:num w:numId="25" w16cid:durableId="2006400809">
    <w:abstractNumId w:val="0"/>
  </w:num>
  <w:num w:numId="26" w16cid:durableId="1344549621">
    <w:abstractNumId w:val="7"/>
  </w:num>
  <w:num w:numId="27" w16cid:durableId="2072656945">
    <w:abstractNumId w:val="9"/>
  </w:num>
  <w:num w:numId="28" w16cid:durableId="945114646">
    <w:abstractNumId w:val="10"/>
  </w:num>
  <w:num w:numId="29" w16cid:durableId="47193580">
    <w:abstractNumId w:val="2"/>
  </w:num>
  <w:num w:numId="30" w16cid:durableId="53503264">
    <w:abstractNumId w:val="8"/>
  </w:num>
  <w:num w:numId="31" w16cid:durableId="1635482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5-06-02 08:30:5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EEBA589-97B7-4313-943A-BED69FD0FCB7"/>
    <w:docVar w:name="LW_COVERPAGE_TYPE" w:val="1"/>
    <w:docVar w:name="LW_CreatedUtc" w:val="2025-05-22T13:29:22.3685530Z"/>
    <w:docVar w:name="LW_CROSSREFERENCE" w:val="&lt;UNUSED&gt;"/>
    <w:docVar w:name="LW_DATE.ADOPT.CP" w:val="of 10.6.2025"/>
    <w:docVar w:name="LW_DATE.ADOPT.CP_DATEFORMAT" w:val="of %DATE%"/>
    <w:docVar w:name="LW_DATE.ADOPT.CP_ISODATE" w:val="2025-06-10"/>
    <w:docVar w:name="LW_DocType" w:val="COM"/>
    <w:docVar w:name="LW_EMISSION" w:val="10.6.2025"/>
    <w:docVar w:name="LW_EMISSION_ISODATE" w:val="2025-06-10"/>
    <w:docVar w:name="LW_EMISSION_LOCATION" w:val="BRX"/>
    <w:docVar w:name="LW_EMISSION_PREFIX" w:val="Brussels, "/>
    <w:docVar w:name="LW_EMISSION_SUFFIX" w:val=" "/>
    <w:docVar w:name="LW_ID_DOCMODEL" w:val="SJ-031"/>
    <w:docVar w:name="LW_ID_DOCSIGNATURE" w:val="SJ-031"/>
    <w:docVar w:name="LW_ID_DOCSTRUCTURE" w:val="COM/AA"/>
    <w:docVar w:name="LW_ID_DOCTYPE" w:val="SJ-031"/>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25) 35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inancing of the public sector loan facility and the adoption of the multiannual work programme for the period 2026-2027"/>
    <w:docVar w:name="LW_TYPE.DOC.CP" w:val="COMMISSION IMPLEMENTING DECISION"/>
    <w:docVar w:name="LwApiVersions" w:val="LW4CoDe 1.24.5.0; LW 9.0, Build 20240221"/>
  </w:docVars>
  <w:rsids>
    <w:rsidRoot w:val="00362F33"/>
    <w:rsid w:val="001065F5"/>
    <w:rsid w:val="001238EF"/>
    <w:rsid w:val="00157C81"/>
    <w:rsid w:val="00197613"/>
    <w:rsid w:val="00233DC7"/>
    <w:rsid w:val="00247779"/>
    <w:rsid w:val="00285BEE"/>
    <w:rsid w:val="0029533F"/>
    <w:rsid w:val="002B30AF"/>
    <w:rsid w:val="0033344A"/>
    <w:rsid w:val="00362F33"/>
    <w:rsid w:val="0042648E"/>
    <w:rsid w:val="004936D2"/>
    <w:rsid w:val="004B268B"/>
    <w:rsid w:val="00515FC2"/>
    <w:rsid w:val="00554F3F"/>
    <w:rsid w:val="00562E12"/>
    <w:rsid w:val="00593827"/>
    <w:rsid w:val="005B1EB6"/>
    <w:rsid w:val="00677C6E"/>
    <w:rsid w:val="00773331"/>
    <w:rsid w:val="007932EF"/>
    <w:rsid w:val="007B7CDE"/>
    <w:rsid w:val="007E05B0"/>
    <w:rsid w:val="00826FFE"/>
    <w:rsid w:val="008413D0"/>
    <w:rsid w:val="00874D22"/>
    <w:rsid w:val="00880D61"/>
    <w:rsid w:val="008A2914"/>
    <w:rsid w:val="008E4D8E"/>
    <w:rsid w:val="008E4EB5"/>
    <w:rsid w:val="009004C5"/>
    <w:rsid w:val="00912595"/>
    <w:rsid w:val="00923F0C"/>
    <w:rsid w:val="009B26E3"/>
    <w:rsid w:val="00A40691"/>
    <w:rsid w:val="00A72D9A"/>
    <w:rsid w:val="00A7471D"/>
    <w:rsid w:val="00A87371"/>
    <w:rsid w:val="00B06216"/>
    <w:rsid w:val="00BE7561"/>
    <w:rsid w:val="00BF019E"/>
    <w:rsid w:val="00C12301"/>
    <w:rsid w:val="00C17E47"/>
    <w:rsid w:val="00CC1950"/>
    <w:rsid w:val="00D20381"/>
    <w:rsid w:val="00D86C2C"/>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DF5EBC"/>
  <w15:docId w15:val="{2A942033-8AFF-404A-AE24-F12A8C43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54F3F"/>
    <w:rPr>
      <w:rFonts w:ascii="Times New Roman" w:hAnsi="Times New Roman" w:cs="Times New Roman"/>
      <w:sz w:val="24"/>
      <w:lang w:val="en-GB"/>
    </w:rPr>
  </w:style>
  <w:style w:type="character" w:customStyle="1" w:styleId="FooterChar">
    <w:name w:val="Footer Char"/>
    <w:basedOn w:val="DefaultParagraphFont"/>
    <w:link w:val="Footer"/>
    <w:uiPriority w:val="99"/>
    <w:rsid w:val="00554F3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54F3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54F3F"/>
    <w:pPr>
      <w:spacing w:before="0"/>
      <w:jc w:val="right"/>
    </w:pPr>
    <w:rPr>
      <w:sz w:val="28"/>
    </w:rPr>
  </w:style>
  <w:style w:type="paragraph" w:customStyle="1" w:styleId="FooterSensitivity">
    <w:name w:val="Footer Sensitivity"/>
    <w:basedOn w:val="Normal"/>
    <w:rsid w:val="00554F3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Tiret5">
    <w:name w:val="Tiret 5"/>
    <w:basedOn w:val="Point5"/>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NumPar5">
    <w:name w:val="NumPar 5"/>
    <w:basedOn w:val="Normal"/>
    <w:next w:val="Text2"/>
    <w:pPr>
      <w:numPr>
        <w:ilvl w:val="4"/>
        <w:numId w:val="23"/>
      </w:numPr>
    </w:pPr>
  </w:style>
  <w:style w:type="paragraph" w:customStyle="1" w:styleId="NumPar6">
    <w:name w:val="NumPar 6"/>
    <w:basedOn w:val="Normal"/>
    <w:next w:val="Text2"/>
    <w:pPr>
      <w:numPr>
        <w:ilvl w:val="5"/>
        <w:numId w:val="23"/>
      </w:numPr>
    </w:pPr>
  </w:style>
  <w:style w:type="paragraph" w:customStyle="1" w:styleId="NumPar7">
    <w:name w:val="NumPar 7"/>
    <w:basedOn w:val="Normal"/>
    <w:next w:val="Text2"/>
    <w:pPr>
      <w:numPr>
        <w:ilvl w:val="6"/>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54F3F"/>
    <w:pPr>
      <w:tabs>
        <w:tab w:val="center" w:pos="4535"/>
        <w:tab w:val="right" w:pos="9071"/>
      </w:tabs>
      <w:spacing w:before="0"/>
    </w:pPr>
  </w:style>
  <w:style w:type="paragraph" w:customStyle="1" w:styleId="HeaderLandscape">
    <w:name w:val="HeaderLandscape"/>
    <w:basedOn w:val="Normal"/>
    <w:rsid w:val="00554F3F"/>
    <w:pPr>
      <w:tabs>
        <w:tab w:val="center" w:pos="7285"/>
        <w:tab w:val="right" w:pos="14003"/>
      </w:tabs>
      <w:spacing w:before="0"/>
    </w:pPr>
  </w:style>
  <w:style w:type="paragraph" w:styleId="Footer">
    <w:name w:val="footer"/>
    <w:basedOn w:val="Normal"/>
    <w:link w:val="FooterChar"/>
    <w:uiPriority w:val="99"/>
    <w:unhideWhenUsed/>
    <w:rsid w:val="00554F3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54F3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sanctionsmap.eu" TargetMode="External"/><Relationship Id="rId1" Type="http://schemas.openxmlformats.org/officeDocument/2006/relationships/hyperlink" Target="http://data.europa.eu/eli/reg/2024/250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836</Words>
  <Characters>4467</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BIRVONOVA Martina (REGIO)</dc:creator>
  <cp:keywords/>
  <dc:description/>
  <cp:lastModifiedBy>BIRVONOVA Martina (REGIO)</cp:lastModifiedBy>
  <cp:revision>2</cp:revision>
  <dcterms:created xsi:type="dcterms:W3CDTF">2025-06-12T06:47:00Z</dcterms:created>
  <dcterms:modified xsi:type="dcterms:W3CDTF">2025-06-12T06:47:00Z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SJ-031</vt:lpwstr>
  </property>
  <property fmtid="{D5CDD505-2E9C-101B-9397-08002B2CF9AE}" pid="10" name="MSIP_Label_6bd9ddd1-4d20-43f6-abfa-fc3c07406f94_Enabled">
    <vt:lpwstr>true</vt:lpwstr>
  </property>
  <property fmtid="{D5CDD505-2E9C-101B-9397-08002B2CF9AE}" pid="11" name="MSIP_Label_6bd9ddd1-4d20-43f6-abfa-fc3c07406f94_SetDate">
    <vt:lpwstr>2025-05-22T13:32:29Z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41ecc68d-0802-4cfe-9b02-2a979285498e</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