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856E06" w:rsidP="000A1ECD">
      <w:pPr>
        <w:jc w:val="center"/>
        <w:rPr>
          <w:rFonts w:ascii="Verdana" w:hAnsi="Verdana" w:cstheme="minorHAnsi"/>
          <w:b/>
          <w:color w:val="003399"/>
          <w:kern w:val="12"/>
          <w:sz w:val="40"/>
          <w:szCs w:val="40"/>
        </w:rPr>
      </w:pPr>
      <w:r w:rsidRPr="00856E06">
        <w:rPr>
          <w:noProof/>
          <w:lang w:val="en-GB" w:eastAsia="en-GB" w:bidi="ar-SA"/>
        </w:rPr>
        <w:drawing>
          <wp:inline distT="0" distB="0" distL="0" distR="0">
            <wp:extent cx="10055364" cy="6757060"/>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5814" cy="6764082"/>
                    </a:xfrm>
                    <a:prstGeom prst="rect">
                      <a:avLst/>
                    </a:prstGeom>
                    <a:noFill/>
                    <a:ln>
                      <a:noFill/>
                    </a:ln>
                  </pic:spPr>
                </pic:pic>
              </a:graphicData>
            </a:graphic>
          </wp:inline>
        </w:drawing>
      </w:r>
    </w:p>
    <w:p w:rsidR="004D1BB8" w:rsidRDefault="004D1BB8" w:rsidP="000A1ECD">
      <w:pPr>
        <w:jc w:val="center"/>
        <w:rPr>
          <w:rFonts w:ascii="Verdana" w:hAnsi="Verdana" w:cstheme="minorHAnsi"/>
          <w:b/>
          <w:color w:val="003399"/>
          <w:kern w:val="12"/>
          <w:sz w:val="40"/>
          <w:szCs w:val="40"/>
        </w:rPr>
        <w:sectPr w:rsidR="004D1BB8" w:rsidSect="00856E06">
          <w:headerReference w:type="default" r:id="rId10"/>
          <w:footerReference w:type="default" r:id="rId11"/>
          <w:pgSz w:w="15840" w:h="12240" w:orient="landscape"/>
          <w:pgMar w:top="1440" w:right="0" w:bottom="142" w:left="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Dokumento versijos</w:t>
      </w:r>
    </w:p>
    <w:tbl>
      <w:tblPr>
        <w:tblStyle w:val="TableGrid"/>
        <w:tblW w:w="5000" w:type="pct"/>
        <w:tblLook w:val="04A0" w:firstRow="1" w:lastRow="0" w:firstColumn="1" w:lastColumn="0" w:noHBand="0" w:noVBand="1"/>
      </w:tblPr>
      <w:tblGrid>
        <w:gridCol w:w="6588"/>
        <w:gridCol w:w="6588"/>
      </w:tblGrid>
      <w:tr w:rsidR="004D1BB8" w:rsidRPr="00751B8C"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Versija</w:t>
            </w:r>
          </w:p>
        </w:tc>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Data</w:t>
            </w:r>
          </w:p>
        </w:tc>
      </w:tr>
      <w:tr w:rsidR="004D1BB8" w:rsidRPr="00751B8C" w:rsidTr="00667C28">
        <w:trPr>
          <w:trHeight w:val="265"/>
        </w:trPr>
        <w:tc>
          <w:tcPr>
            <w:tcW w:w="2500" w:type="pct"/>
          </w:tcPr>
          <w:p w:rsidR="004D1BB8" w:rsidRPr="00751B8C" w:rsidRDefault="004D1BB8" w:rsidP="00667C28">
            <w:pPr>
              <w:rPr>
                <w:rFonts w:cstheme="minorHAnsi"/>
                <w:sz w:val="20"/>
                <w:szCs w:val="56"/>
              </w:rPr>
            </w:pPr>
            <w:r>
              <w:rPr>
                <w:rFonts w:cstheme="minorHAnsi"/>
                <w:sz w:val="20"/>
              </w:rPr>
              <w:t>V1</w:t>
            </w:r>
          </w:p>
        </w:tc>
        <w:tc>
          <w:tcPr>
            <w:tcW w:w="2500" w:type="pct"/>
          </w:tcPr>
          <w:p w:rsidR="004D1BB8" w:rsidRPr="00751B8C" w:rsidRDefault="003F072E" w:rsidP="00667C28">
            <w:pPr>
              <w:rPr>
                <w:rFonts w:cstheme="minorHAnsi"/>
                <w:sz w:val="20"/>
                <w:szCs w:val="56"/>
              </w:rPr>
            </w:pPr>
            <w:r>
              <w:rPr>
                <w:rFonts w:cstheme="minorHAnsi"/>
                <w:sz w:val="20"/>
              </w:rPr>
              <w:t>2017 m. lapkričio 3 d.</w:t>
            </w: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957972"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Turinys</w:t>
          </w:r>
          <w:bookmarkEnd w:id="0"/>
        </w:p>
        <w:p w:rsidR="00E35D33" w:rsidRPr="00E35D33" w:rsidRDefault="00CF51E8">
          <w:pPr>
            <w:pStyle w:val="TOC1"/>
            <w:tabs>
              <w:tab w:val="right" w:leader="dot" w:pos="12950"/>
            </w:tabs>
            <w:rPr>
              <w:rFonts w:eastAsiaTheme="minorEastAsia"/>
              <w:noProof/>
              <w:sz w:val="32"/>
              <w:szCs w:val="32"/>
              <w:lang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57972" w:history="1">
            <w:r w:rsidR="00856E06" w:rsidRPr="00856E06">
              <w:rPr>
                <w:rStyle w:val="Hyperlink"/>
              </w:rPr>
              <w:t>_Toc508957972</w:t>
            </w:r>
          </w:hyperlink>
        </w:p>
        <w:p w:rsidR="00E35D33" w:rsidRPr="00E35D33" w:rsidRDefault="008B3CBE">
          <w:pPr>
            <w:pStyle w:val="TOC1"/>
            <w:tabs>
              <w:tab w:val="left" w:pos="440"/>
              <w:tab w:val="right" w:leader="dot" w:pos="12950"/>
            </w:tabs>
            <w:rPr>
              <w:rFonts w:eastAsiaTheme="minorEastAsia"/>
              <w:noProof/>
              <w:sz w:val="32"/>
              <w:szCs w:val="32"/>
              <w:lang w:bidi="ar-SA"/>
            </w:rPr>
          </w:pPr>
          <w:hyperlink w:anchor="_Toc508957973" w:history="1">
            <w:r w:rsidR="00E35D33" w:rsidRPr="00E35D33">
              <w:rPr>
                <w:rStyle w:val="Hyperlink"/>
                <w:noProof/>
                <w:sz w:val="32"/>
                <w:szCs w:val="32"/>
              </w:rPr>
              <w:t>1.</w:t>
            </w:r>
            <w:r w:rsidR="00E35D33" w:rsidRPr="00E35D33">
              <w:rPr>
                <w:rFonts w:eastAsiaTheme="minorEastAsia"/>
                <w:noProof/>
                <w:sz w:val="32"/>
                <w:szCs w:val="32"/>
                <w:lang w:bidi="ar-SA"/>
              </w:rPr>
              <w:tab/>
            </w:r>
            <w:r w:rsidR="00E35D33" w:rsidRPr="00E35D33">
              <w:rPr>
                <w:rStyle w:val="Hyperlink"/>
                <w:noProof/>
                <w:sz w:val="32"/>
                <w:szCs w:val="32"/>
              </w:rPr>
              <w:t>Pareigybės</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_Toc508957973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4</w:t>
            </w:r>
            <w:r w:rsidR="00E35D33" w:rsidRPr="00E35D33">
              <w:rPr>
                <w:noProof/>
                <w:webHidden/>
                <w:sz w:val="32"/>
                <w:szCs w:val="32"/>
              </w:rPr>
              <w:fldChar w:fldCharType="end"/>
            </w:r>
          </w:hyperlink>
        </w:p>
        <w:p w:rsidR="00E35D33" w:rsidRPr="00E35D33" w:rsidRDefault="008B3CBE">
          <w:pPr>
            <w:pStyle w:val="TOC1"/>
            <w:tabs>
              <w:tab w:val="left" w:pos="440"/>
              <w:tab w:val="right" w:leader="dot" w:pos="12950"/>
            </w:tabs>
            <w:rPr>
              <w:rFonts w:eastAsiaTheme="minorEastAsia"/>
              <w:noProof/>
              <w:sz w:val="32"/>
              <w:szCs w:val="32"/>
              <w:lang w:bidi="ar-SA"/>
            </w:rPr>
          </w:pPr>
          <w:hyperlink w:anchor="_Toc508957974" w:history="1">
            <w:r w:rsidR="00E35D33" w:rsidRPr="00E35D33">
              <w:rPr>
                <w:rStyle w:val="Hyperlink"/>
                <w:noProof/>
                <w:sz w:val="32"/>
                <w:szCs w:val="32"/>
              </w:rPr>
              <w:t>2.</w:t>
            </w:r>
            <w:r w:rsidR="00E35D33" w:rsidRPr="00E35D33">
              <w:rPr>
                <w:rFonts w:eastAsiaTheme="minorEastAsia"/>
                <w:noProof/>
                <w:sz w:val="32"/>
                <w:szCs w:val="32"/>
                <w:lang w:bidi="ar-SA"/>
              </w:rPr>
              <w:tab/>
            </w:r>
            <w:r w:rsidR="00E35D33" w:rsidRPr="00E35D33">
              <w:rPr>
                <w:rStyle w:val="Hyperlink"/>
                <w:noProof/>
                <w:sz w:val="32"/>
                <w:szCs w:val="32"/>
              </w:rPr>
              <w:t>Užduotys ir užduočių dalys</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_Toc508957974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5</w:t>
            </w:r>
            <w:r w:rsidR="00E35D33" w:rsidRPr="00E35D33">
              <w:rPr>
                <w:noProof/>
                <w:webHidden/>
                <w:sz w:val="32"/>
                <w:szCs w:val="32"/>
              </w:rPr>
              <w:fldChar w:fldCharType="end"/>
            </w:r>
          </w:hyperlink>
        </w:p>
        <w:p w:rsidR="00E35D33" w:rsidRPr="00E35D33" w:rsidRDefault="008B3CBE">
          <w:pPr>
            <w:pStyle w:val="TOC1"/>
            <w:tabs>
              <w:tab w:val="left" w:pos="440"/>
              <w:tab w:val="right" w:leader="dot" w:pos="12950"/>
            </w:tabs>
            <w:rPr>
              <w:rFonts w:eastAsiaTheme="minorEastAsia"/>
              <w:noProof/>
              <w:sz w:val="32"/>
              <w:szCs w:val="32"/>
              <w:lang w:bidi="ar-SA"/>
            </w:rPr>
          </w:pPr>
          <w:hyperlink w:anchor="_Toc508957975" w:history="1">
            <w:r w:rsidR="00E35D33" w:rsidRPr="00E35D33">
              <w:rPr>
                <w:rStyle w:val="Hyperlink"/>
                <w:noProof/>
                <w:sz w:val="32"/>
                <w:szCs w:val="32"/>
              </w:rPr>
              <w:t>3.</w:t>
            </w:r>
            <w:r w:rsidR="00E35D33" w:rsidRPr="00E35D33">
              <w:rPr>
                <w:rFonts w:eastAsiaTheme="minorEastAsia"/>
                <w:noProof/>
                <w:sz w:val="32"/>
                <w:szCs w:val="32"/>
                <w:lang w:bidi="ar-SA"/>
              </w:rPr>
              <w:tab/>
            </w:r>
            <w:r w:rsidR="00E35D33" w:rsidRPr="00E35D33">
              <w:rPr>
                <w:rStyle w:val="Hyperlink"/>
                <w:noProof/>
                <w:sz w:val="32"/>
                <w:szCs w:val="32"/>
              </w:rPr>
              <w:t>Kvalifikacijos skalė</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_Toc508957975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11</w:t>
            </w:r>
            <w:r w:rsidR="00E35D33" w:rsidRPr="00E35D33">
              <w:rPr>
                <w:noProof/>
                <w:webHidden/>
                <w:sz w:val="32"/>
                <w:szCs w:val="32"/>
              </w:rPr>
              <w:fldChar w:fldCharType="end"/>
            </w:r>
          </w:hyperlink>
        </w:p>
        <w:p w:rsidR="00E35D33" w:rsidRPr="00E35D33" w:rsidRDefault="008B3CBE">
          <w:pPr>
            <w:pStyle w:val="TOC1"/>
            <w:tabs>
              <w:tab w:val="left" w:pos="440"/>
              <w:tab w:val="right" w:leader="dot" w:pos="12950"/>
            </w:tabs>
            <w:rPr>
              <w:rFonts w:eastAsiaTheme="minorEastAsia"/>
              <w:noProof/>
              <w:sz w:val="32"/>
              <w:szCs w:val="32"/>
              <w:lang w:bidi="ar-SA"/>
            </w:rPr>
          </w:pPr>
          <w:hyperlink w:anchor="_Toc508957976" w:history="1">
            <w:r w:rsidR="00E35D33" w:rsidRPr="00E35D33">
              <w:rPr>
                <w:rStyle w:val="Hyperlink"/>
                <w:noProof/>
                <w:sz w:val="32"/>
                <w:szCs w:val="32"/>
              </w:rPr>
              <w:t>4.</w:t>
            </w:r>
            <w:r w:rsidR="00E35D33" w:rsidRPr="00E35D33">
              <w:rPr>
                <w:rFonts w:eastAsiaTheme="minorEastAsia"/>
                <w:noProof/>
                <w:sz w:val="32"/>
                <w:szCs w:val="32"/>
                <w:lang w:bidi="ar-SA"/>
              </w:rPr>
              <w:tab/>
            </w:r>
            <w:r w:rsidR="00E35D33" w:rsidRPr="00E35D33">
              <w:rPr>
                <w:rStyle w:val="Hyperlink"/>
                <w:noProof/>
                <w:sz w:val="32"/>
                <w:szCs w:val="32"/>
              </w:rPr>
              <w:t>Veiklos kompetencijos</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_Toc508957976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13</w:t>
            </w:r>
            <w:r w:rsidR="00E35D33" w:rsidRPr="00E35D33">
              <w:rPr>
                <w:noProof/>
                <w:webHidden/>
                <w:sz w:val="32"/>
                <w:szCs w:val="32"/>
              </w:rPr>
              <w:fldChar w:fldCharType="end"/>
            </w:r>
          </w:hyperlink>
        </w:p>
        <w:p w:rsidR="00E35D33" w:rsidRPr="00E35D33" w:rsidRDefault="008B3CBE">
          <w:pPr>
            <w:pStyle w:val="TOC1"/>
            <w:tabs>
              <w:tab w:val="left" w:pos="440"/>
              <w:tab w:val="right" w:leader="dot" w:pos="12950"/>
            </w:tabs>
            <w:rPr>
              <w:rFonts w:eastAsiaTheme="minorEastAsia"/>
              <w:noProof/>
              <w:sz w:val="32"/>
              <w:szCs w:val="32"/>
              <w:lang w:bidi="ar-SA"/>
            </w:rPr>
          </w:pPr>
          <w:hyperlink w:anchor="_Toc508957977" w:history="1">
            <w:r w:rsidR="00E35D33" w:rsidRPr="00E35D33">
              <w:rPr>
                <w:rStyle w:val="Hyperlink"/>
                <w:noProof/>
                <w:sz w:val="32"/>
                <w:szCs w:val="32"/>
              </w:rPr>
              <w:t>5.</w:t>
            </w:r>
            <w:r w:rsidR="00E35D33" w:rsidRPr="00E35D33">
              <w:rPr>
                <w:rFonts w:eastAsiaTheme="minorEastAsia"/>
                <w:noProof/>
                <w:sz w:val="32"/>
                <w:szCs w:val="32"/>
                <w:lang w:bidi="ar-SA"/>
              </w:rPr>
              <w:tab/>
            </w:r>
            <w:r w:rsidR="00E35D33" w:rsidRPr="00E35D33">
              <w:rPr>
                <w:rStyle w:val="Hyperlink"/>
                <w:noProof/>
                <w:sz w:val="32"/>
                <w:szCs w:val="32"/>
              </w:rPr>
              <w:t>Vadovavimo kompetencijos</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_Toc508957977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16</w:t>
            </w:r>
            <w:r w:rsidR="00E35D33" w:rsidRPr="00E35D33">
              <w:rPr>
                <w:noProof/>
                <w:webHidden/>
                <w:sz w:val="32"/>
                <w:szCs w:val="32"/>
              </w:rPr>
              <w:fldChar w:fldCharType="end"/>
            </w:r>
          </w:hyperlink>
        </w:p>
        <w:p w:rsidR="00E35D33" w:rsidRDefault="008B3CBE">
          <w:pPr>
            <w:pStyle w:val="TOC1"/>
            <w:tabs>
              <w:tab w:val="left" w:pos="440"/>
              <w:tab w:val="right" w:leader="dot" w:pos="12950"/>
            </w:tabs>
            <w:rPr>
              <w:rFonts w:eastAsiaTheme="minorEastAsia"/>
              <w:noProof/>
              <w:lang w:bidi="ar-SA"/>
            </w:rPr>
          </w:pPr>
          <w:hyperlink w:anchor="_Toc508957978" w:history="1">
            <w:r w:rsidR="00E35D33" w:rsidRPr="00E35D33">
              <w:rPr>
                <w:rStyle w:val="Hyperlink"/>
                <w:noProof/>
                <w:sz w:val="32"/>
                <w:szCs w:val="32"/>
              </w:rPr>
              <w:t>6.</w:t>
            </w:r>
            <w:r w:rsidR="00E35D33" w:rsidRPr="00E35D33">
              <w:rPr>
                <w:rFonts w:eastAsiaTheme="minorEastAsia"/>
                <w:noProof/>
                <w:sz w:val="32"/>
                <w:szCs w:val="32"/>
                <w:lang w:bidi="ar-SA"/>
              </w:rPr>
              <w:tab/>
            </w:r>
            <w:r w:rsidR="00E35D33" w:rsidRPr="00E35D33">
              <w:rPr>
                <w:rStyle w:val="Hyperlink"/>
                <w:noProof/>
                <w:sz w:val="32"/>
                <w:szCs w:val="32"/>
              </w:rPr>
              <w:t>Profesinės kompetencijos</w:t>
            </w:r>
            <w:r w:rsidR="00E35D33" w:rsidRPr="00E35D33">
              <w:rPr>
                <w:noProof/>
                <w:webHidden/>
                <w:sz w:val="32"/>
                <w:szCs w:val="32"/>
              </w:rPr>
              <w:tab/>
            </w:r>
            <w:r w:rsidR="00E35D33" w:rsidRPr="00E35D33">
              <w:rPr>
                <w:noProof/>
                <w:webHidden/>
                <w:sz w:val="32"/>
                <w:szCs w:val="32"/>
              </w:rPr>
              <w:fldChar w:fldCharType="begin"/>
            </w:r>
            <w:r w:rsidR="00E35D33" w:rsidRPr="00E35D33">
              <w:rPr>
                <w:noProof/>
                <w:webHidden/>
                <w:sz w:val="32"/>
                <w:szCs w:val="32"/>
              </w:rPr>
              <w:instrText xml:space="preserve"> PAGEREF _Toc508957978 \h </w:instrText>
            </w:r>
            <w:r w:rsidR="00E35D33" w:rsidRPr="00E35D33">
              <w:rPr>
                <w:noProof/>
                <w:webHidden/>
                <w:sz w:val="32"/>
                <w:szCs w:val="32"/>
              </w:rPr>
            </w:r>
            <w:r w:rsidR="00E35D33" w:rsidRPr="00E35D33">
              <w:rPr>
                <w:noProof/>
                <w:webHidden/>
                <w:sz w:val="32"/>
                <w:szCs w:val="32"/>
              </w:rPr>
              <w:fldChar w:fldCharType="separate"/>
            </w:r>
            <w:r w:rsidR="00856E06">
              <w:rPr>
                <w:noProof/>
                <w:webHidden/>
                <w:sz w:val="32"/>
                <w:szCs w:val="32"/>
              </w:rPr>
              <w:t>21</w:t>
            </w:r>
            <w:r w:rsidR="00E35D33" w:rsidRPr="00E35D33">
              <w:rPr>
                <w:noProof/>
                <w:webHidden/>
                <w:sz w:val="32"/>
                <w:szCs w:val="32"/>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8957973"/>
      <w:r>
        <w:lastRenderedPageBreak/>
        <w:t>Pareigybės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426"/>
        <w:gridCol w:w="1359"/>
        <w:gridCol w:w="7257"/>
      </w:tblGrid>
      <w:tr w:rsidR="006931AA" w:rsidRPr="0062042A" w:rsidTr="006931AA">
        <w:trPr>
          <w:trHeight w:val="467"/>
        </w:trPr>
        <w:tc>
          <w:tcPr>
            <w:tcW w:w="1804"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3196"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35D33" w:rsidRPr="0062042A" w:rsidTr="00E35D33">
        <w:trPr>
          <w:trHeight w:val="440"/>
        </w:trPr>
        <w:tc>
          <w:tcPr>
            <w:tcW w:w="533" w:type="pct"/>
            <w:shd w:val="clear" w:color="auto" w:fill="F2F2F2" w:themeFill="background1" w:themeFillShade="F2"/>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Job Role</w:t>
            </w:r>
          </w:p>
        </w:tc>
        <w:tc>
          <w:tcPr>
            <w:tcW w:w="1271" w:type="pct"/>
            <w:shd w:val="clear" w:color="auto" w:fill="F2F2F2" w:themeFill="background1" w:themeFillShade="F2"/>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szCs w:val="20"/>
              </w:rPr>
              <w:t>Description</w:t>
            </w:r>
          </w:p>
        </w:tc>
        <w:tc>
          <w:tcPr>
            <w:tcW w:w="504" w:type="pct"/>
            <w:shd w:val="clear" w:color="auto" w:fill="F2F2F2" w:themeFill="background1" w:themeFillShade="F2"/>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Pareigybė</w:t>
            </w:r>
          </w:p>
        </w:tc>
        <w:tc>
          <w:tcPr>
            <w:tcW w:w="2692" w:type="pct"/>
            <w:shd w:val="clear" w:color="auto" w:fill="F2F2F2" w:themeFill="background1" w:themeFillShade="F2"/>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Aprašymas</w:t>
            </w:r>
          </w:p>
        </w:tc>
      </w:tr>
      <w:tr w:rsidR="00E35D33" w:rsidRPr="0062042A" w:rsidTr="00D126D1">
        <w:trPr>
          <w:trHeight w:val="1250"/>
        </w:trPr>
        <w:tc>
          <w:tcPr>
            <w:tcW w:w="533"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Decision-making level</w:t>
            </w:r>
          </w:p>
        </w:tc>
        <w:tc>
          <w:tcPr>
            <w:tcW w:w="1271"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04"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Sprendimų priėmimo lygmuo</w:t>
            </w:r>
          </w:p>
        </w:tc>
        <w:tc>
          <w:tcPr>
            <w:tcW w:w="2692"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Organizacijos vadovas arba palyginti aukštais strateginiais valdymo lygmenimis veikiantys asmenys.</w:t>
            </w:r>
          </w:p>
        </w:tc>
      </w:tr>
      <w:tr w:rsidR="00E35D33" w:rsidRPr="0062042A" w:rsidTr="00D126D1">
        <w:trPr>
          <w:trHeight w:val="1871"/>
        </w:trPr>
        <w:tc>
          <w:tcPr>
            <w:tcW w:w="533"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Supervisory level</w:t>
            </w:r>
          </w:p>
        </w:tc>
        <w:tc>
          <w:tcPr>
            <w:tcW w:w="1271"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04"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Priežiūros lygmuo</w:t>
            </w:r>
          </w:p>
        </w:tc>
        <w:tc>
          <w:tcPr>
            <w:tcW w:w="2692"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Viduriniosios grandies vadovas, atsakingas už žmonių grupę, bet tiesiogiai nedalyvaujantis programos įgyvendinimo veikloje, pvz., organizacijos skyrių vadovai.</w:t>
            </w:r>
          </w:p>
        </w:tc>
      </w:tr>
      <w:tr w:rsidR="00E35D33" w:rsidRPr="0062042A" w:rsidTr="00D126D1">
        <w:trPr>
          <w:trHeight w:val="1439"/>
        </w:trPr>
        <w:tc>
          <w:tcPr>
            <w:tcW w:w="533"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Operational level</w:t>
            </w:r>
          </w:p>
        </w:tc>
        <w:tc>
          <w:tcPr>
            <w:tcW w:w="1271" w:type="pct"/>
            <w:shd w:val="clear" w:color="000000" w:fill="FFFFFF"/>
            <w:vAlign w:val="center"/>
          </w:tcPr>
          <w:p w:rsidR="00E35D33" w:rsidRPr="0062042A" w:rsidRDefault="00E35D33" w:rsidP="00AA6E25">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04"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Veiklos lygmuo</w:t>
            </w:r>
          </w:p>
        </w:tc>
        <w:tc>
          <w:tcPr>
            <w:tcW w:w="2692" w:type="pct"/>
            <w:shd w:val="clear" w:color="000000" w:fill="FFFFFF"/>
            <w:vAlign w:val="center"/>
          </w:tcPr>
          <w:p w:rsidR="00E35D33" w:rsidRPr="0062042A" w:rsidRDefault="00E35D33" w:rsidP="00AA6E25">
            <w:pPr>
              <w:spacing w:after="0"/>
              <w:rPr>
                <w:rFonts w:ascii="Verdana" w:hAnsi="Verdana" w:cstheme="minorHAnsi"/>
                <w:sz w:val="20"/>
                <w:szCs w:val="20"/>
              </w:rPr>
            </w:pPr>
            <w:r>
              <w:rPr>
                <w:rFonts w:ascii="Verdana" w:hAnsi="Verdana" w:cstheme="minorHAnsi"/>
                <w:sz w:val="20"/>
              </w:rPr>
              <w:t>Ekspertai, organizacijoje tiesiogiai dirbantys su įvairiomis užduotimis ir užduočių dalimis.</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8957974"/>
      <w:r>
        <w:lastRenderedPageBreak/>
        <w:t>Užduotys ir užduočių dalys</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35D33" w:rsidRPr="00751B8C" w:rsidTr="006645FC">
        <w:trPr>
          <w:trHeight w:val="318"/>
          <w:tblHeader/>
        </w:trPr>
        <w:tc>
          <w:tcPr>
            <w:tcW w:w="902" w:type="pct"/>
            <w:shd w:val="clear" w:color="auto" w:fill="F2F2F2" w:themeFill="background1" w:themeFillShade="F2"/>
            <w:vAlign w:val="center"/>
          </w:tcPr>
          <w:p w:rsidR="00E35D33" w:rsidRPr="00751B8C" w:rsidRDefault="00E35D33" w:rsidP="00AA6E25">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E35D33" w:rsidRPr="00751B8C" w:rsidRDefault="00E35D33" w:rsidP="00AA6E25">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E35D33" w:rsidRPr="00751B8C" w:rsidRDefault="00E35D33" w:rsidP="00AA6E25">
            <w:pPr>
              <w:spacing w:after="0" w:line="240" w:lineRule="auto"/>
              <w:rPr>
                <w:rFonts w:ascii="Verdana" w:eastAsia="Times New Roman" w:hAnsi="Verdana" w:cstheme="minorHAnsi"/>
                <w:b/>
                <w:bCs/>
                <w:sz w:val="20"/>
                <w:szCs w:val="20"/>
              </w:rPr>
            </w:pPr>
            <w:r>
              <w:rPr>
                <w:rFonts w:ascii="Verdana" w:hAnsi="Verdana" w:cstheme="minorHAnsi"/>
                <w:b/>
                <w:sz w:val="20"/>
              </w:rPr>
              <w:t>Užduotys</w:t>
            </w:r>
          </w:p>
        </w:tc>
        <w:tc>
          <w:tcPr>
            <w:tcW w:w="1251" w:type="pct"/>
            <w:shd w:val="clear" w:color="auto" w:fill="F2F2F2" w:themeFill="background1" w:themeFillShade="F2"/>
            <w:vAlign w:val="center"/>
          </w:tcPr>
          <w:p w:rsidR="00E35D33" w:rsidRPr="00751B8C" w:rsidRDefault="00E35D33" w:rsidP="00AA6E25">
            <w:pPr>
              <w:spacing w:after="0" w:line="240" w:lineRule="auto"/>
              <w:rPr>
                <w:rFonts w:ascii="Verdana" w:eastAsia="Times New Roman" w:hAnsi="Verdana" w:cstheme="minorHAnsi"/>
                <w:b/>
                <w:bCs/>
                <w:sz w:val="20"/>
                <w:szCs w:val="20"/>
              </w:rPr>
            </w:pPr>
            <w:r>
              <w:rPr>
                <w:rFonts w:ascii="Verdana" w:hAnsi="Verdana" w:cstheme="minorHAnsi"/>
                <w:b/>
                <w:sz w:val="20"/>
              </w:rPr>
              <w:t>Užduoties dalis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1. Programavimas   </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1.1. Tarpinstitucinis koordinavimas ir suinteresuotųjų subjektų įtraukimas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1.2.  Programos rengimas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1.3. (</w:t>
            </w:r>
            <w:r>
              <w:rPr>
                <w:rFonts w:ascii="Verdana" w:hAnsi="Verdana" w:cstheme="minorHAnsi"/>
                <w:i/>
                <w:sz w:val="20"/>
              </w:rPr>
              <w:t>Ex ante</w:t>
            </w:r>
            <w:r>
              <w:rPr>
                <w:rFonts w:ascii="Verdana" w:hAnsi="Verdana" w:cstheme="minorHAnsi"/>
                <w:sz w:val="20"/>
              </w:rPr>
              <w:t xml:space="preserve">) vertinimo proceso valdymas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1.4. Derybos su EK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1.5.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1.6. Veiksmų atrankos pagrindinių principų nustatymas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2. Sistemos nustatymas, procedūrų ir priemonių rengimas</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2.1. Valdymo ir kontrolės sistemų aprašo rengimas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2.2. Programos įgyvendinimo procedūrų ir priemonių rengimas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2.3. Teisinės sistemos nustatymas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2.4. Stebėsenos ir informacinių sistemų ir elektroninės sanglaudos rengimas ir priežiūra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2.5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2.5.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administrative capacity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2.6. Institucinių ir administracinių gebėjimų ugdymas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3. Project generation, preparation of calls for proposals, project selection and contracting</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3. Projektų rengimas, kvietimų teikti pasiūlymus rengimas, projektų atranka ir sutarčių skyrimas</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3.1. Pareiškėjų rėmimas techniniais ir finansiniais projektų reikalavimų aspektais, įskaitant gebėjimų stiprinimą paramos gavėjo lygmeniu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3.2. Atrankos kriterijų ir atrankos procedūrų pasiūlymų rengimas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3.3. Pareiškėjams skirtų gairių rengimas ir (arba) keitimas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3.4. Administracinis ir tinkamumo finansuoti (rinkinio išsamumo ir atitikties susijusiems įstatymams ir kitiems teisės aktams) patikrinimas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3.5. Vertinimas (balų skyrimas paraiškoms, pretenzijų nagrinėjimas, projektų sąrašo sudarymas, pranešimas apie rezultatus sprendimus priimantiems asmenims ir pareiškėjams)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3.6. Procedūrų rengimas ir keitimas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3.7.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3.7.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3.8. Informavimo ir rėmimo veikla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3.9. Collecting documentation from successful applicants, preparation of contracting documentation and contract modifications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3.9. Dokumentų rinkimas iš sėkmingų pareiškėjų, su sutarčių skyrimu susijusių dokumentų rengimas ir sutarčių pakeitimai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4. Monitoring on project level</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4. Stebėsena projektų lygmeniu</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4.1. Techninė stebėsena ir patikrinimai vietoje projektų lygmeniu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4.2. Paramos gavėjų konsultavimas projektų įgyvendinimo klausimais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4.3. Pažeidimų nustatymas ir pranešimas apie juos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4.4.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5. Stebėsena programos lygmeniu</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5.1. </w:t>
            </w:r>
            <w:r w:rsidR="008B3CBE">
              <w:rPr>
                <w:rFonts w:ascii="Verdana" w:hAnsi="Verdana" w:cstheme="minorHAnsi"/>
                <w:sz w:val="20"/>
              </w:rPr>
              <w:t xml:space="preserve">Prioritetinės krypties </w:t>
            </w:r>
            <w:r>
              <w:rPr>
                <w:rFonts w:ascii="Verdana" w:hAnsi="Verdana" w:cstheme="minorHAnsi"/>
                <w:sz w:val="20"/>
              </w:rPr>
              <w:t xml:space="preserve">ir (arba) priemonės veiklos rezultatų (planavimo, stebėsenos, prognozavimo, peržiūros) vertinimas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5.2. Veiksmų programos veiklos rezultatų (planavimo, stebėsenos, prognozavimo, peržiūros ir taisomųjų veiksmų) vertinimas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5.3 Monitoring the progress of implementation of the partnership agreement</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5.3. Partnerystės susitarimo įgyvendinimo pažangos stebėsena</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5.4. Reporting to the Monitoring </w:t>
            </w:r>
            <w:r w:rsidRPr="00751B8C">
              <w:rPr>
                <w:rFonts w:ascii="Verdana" w:hAnsi="Verdana" w:cstheme="minorHAnsi"/>
                <w:sz w:val="20"/>
                <w:szCs w:val="20"/>
              </w:rPr>
              <w:lastRenderedPageBreak/>
              <w:t xml:space="preserve">Committee and European Commission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5.4. Ataskaitų teikimas </w:t>
            </w:r>
            <w:r>
              <w:rPr>
                <w:rFonts w:ascii="Verdana" w:hAnsi="Verdana" w:cstheme="minorHAnsi"/>
                <w:sz w:val="20"/>
              </w:rPr>
              <w:lastRenderedPageBreak/>
              <w:t xml:space="preserve">stebėsenos komitetui ir Europos Komisijai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5.5. Stebėsenos procedūrų rengimas ir keitimas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5.6. Stebėsenos komiteto rėmimas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5.7.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6. Vertinimas</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6.1. Vertinimo proceso (naudojantis užsakomosiomis paslaugomis) rengimas ir vadovavimas jam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6.2. Vertinimo atlikimas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6.3. Rezultatų naudojimas. Dalyvavimas nustatant ir įgyvendinant tolesnius veiksmus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6.4.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6.4.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6.5. Ex-ante conditionalities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6.5. </w:t>
            </w:r>
            <w:r>
              <w:rPr>
                <w:rFonts w:ascii="Verdana" w:hAnsi="Verdana" w:cstheme="minorHAnsi"/>
                <w:i/>
                <w:sz w:val="20"/>
              </w:rPr>
              <w:t>Ex ante</w:t>
            </w:r>
            <w:r>
              <w:rPr>
                <w:rFonts w:ascii="Verdana" w:hAnsi="Verdana" w:cstheme="minorHAnsi"/>
                <w:sz w:val="20"/>
              </w:rPr>
              <w:t xml:space="preserve"> sąlygos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7. Finansų valdymas projektų lygmeniu</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7.1. Mokėjimo prašymų ir pirmojo lygmens kontrolės ataskaitų patikrinimas projektų lygmeniu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7.2. Finansų stebėsena ir patikrinimai vietoje projektų lygmeniu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7.3.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lastRenderedPageBreak/>
              <w:t>8. Financial management on programme level</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8. Finansų valdymas programos lygmeniu</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8.1. </w:t>
            </w:r>
            <w:r w:rsidR="008B3CBE">
              <w:rPr>
                <w:rFonts w:ascii="Verdana" w:hAnsi="Verdana" w:cstheme="minorHAnsi"/>
                <w:sz w:val="20"/>
              </w:rPr>
              <w:t xml:space="preserve">Prioritetinės krypties </w:t>
            </w:r>
            <w:bookmarkStart w:id="5" w:name="_GoBack"/>
            <w:bookmarkEnd w:id="5"/>
            <w:r>
              <w:rPr>
                <w:rFonts w:ascii="Verdana" w:hAnsi="Verdana" w:cstheme="minorHAnsi"/>
                <w:sz w:val="20"/>
              </w:rPr>
              <w:t xml:space="preserve">ir (arba) priemonės finansinių veiklos rezultatų (planavimo, stebėsenos, prognozavimo, peržiūros) vertinimas </w:t>
            </w:r>
          </w:p>
        </w:tc>
      </w:tr>
      <w:tr w:rsidR="00E35D33" w:rsidRPr="00751B8C" w:rsidTr="00757D2E">
        <w:trPr>
          <w:trHeight w:val="683"/>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8.2. Veiksmų programos finansų valdymas (planavimas, stebėsena, prognozavimas, peržiūra ir taisomieji veiksmai)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8.3. Ataskaitos stebėsenos komitetui ir Europos Komisijai, įskaitant valdymo pareiškimą ir metinę galutinių audito ataskaitų ir atliktų patikrinimų santrauką (Bendrųjų nuostatų reglamento 125 straipsnio 4 dalies e punktas)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8.4. Finansų valdymo procedūrų rengimas ir keitimas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8.5.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8.5. Prekių ir paslaugų viešieji pirkimai naudojant techninės paramos lėšas</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9. Communication</w:t>
            </w: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9. Komunikacija</w:t>
            </w: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9.1. Komunikacijos plano rengimas ir jo įgyvendinimas įvairių suinteresuotųjų subjektų atžvilgiu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9.2. Tinklų su įvairiais visuomenės informavimo priemonių atstovais kūrimas </w:t>
            </w:r>
          </w:p>
        </w:tc>
      </w:tr>
      <w:tr w:rsidR="00E35D33" w:rsidRPr="00751B8C" w:rsidTr="00757D2E">
        <w:trPr>
          <w:trHeight w:val="318"/>
        </w:trPr>
        <w:tc>
          <w:tcPr>
            <w:tcW w:w="902"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702"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9.3. Procurement of goods and services under Technical Assistance</w:t>
            </w:r>
          </w:p>
        </w:tc>
        <w:tc>
          <w:tcPr>
            <w:tcW w:w="1145" w:type="pct"/>
            <w:shd w:val="clear" w:color="000000" w:fill="FFFFFF"/>
            <w:vAlign w:val="center"/>
          </w:tcPr>
          <w:p w:rsidR="00E35D33" w:rsidRPr="00751B8C" w:rsidRDefault="00E35D33" w:rsidP="00AA6E25">
            <w:pPr>
              <w:spacing w:after="0"/>
              <w:rPr>
                <w:rFonts w:ascii="Verdana" w:hAnsi="Verdana" w:cstheme="minorHAnsi"/>
                <w:sz w:val="20"/>
                <w:szCs w:val="20"/>
              </w:rPr>
            </w:pPr>
          </w:p>
        </w:tc>
        <w:tc>
          <w:tcPr>
            <w:tcW w:w="125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9.3. Prekių ir paslaugų viešieji pirkimai naudojant techninės paramos lėšas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ind w:left="175"/>
              <w:rPr>
                <w:rFonts w:ascii="Verdana" w:hAnsi="Verdana"/>
                <w:sz w:val="20"/>
                <w:szCs w:val="20"/>
              </w:rPr>
            </w:pPr>
            <w:r w:rsidRPr="00751B8C">
              <w:rPr>
                <w:rFonts w:ascii="Verdana" w:hAnsi="Verdana" w:cstheme="minorHAnsi"/>
                <w:sz w:val="20"/>
                <w:szCs w:val="20"/>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ind w:left="175"/>
              <w:rPr>
                <w:rFonts w:ascii="Verdana" w:hAnsi="Verdana"/>
                <w:sz w:val="20"/>
                <w:szCs w:val="20"/>
              </w:rPr>
            </w:pPr>
            <w:r>
              <w:rPr>
                <w:rFonts w:ascii="Verdana" w:hAnsi="Verdana" w:cstheme="minorHAnsi"/>
                <w:sz w:val="20"/>
              </w:rPr>
              <w:t>10. Tarpinių institucijų priežiūra</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1. Pagalba tarpinėms institucijoms nustatant valdymo ir kontrolės sistemas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 xml:space="preserve">2. Įgaliojimo susitarimo rengimas </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3. Tarpinių institucijų auditų planavimas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4. Tarpinių institucijų valdymo ir kontrolės sistemos auditas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5. Reguliari tarpinės institucijos praneštų rezultatų patikra</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6. Tarpinių institucijų atsakomybe atliktų veiksmų imties patikra</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7. Procedūrų ir gairių rengimas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8. Prekių ir paslaugų viešieji pirkimai naudojant techninės paramos lėšas</w:t>
            </w:r>
          </w:p>
        </w:tc>
      </w:tr>
      <w:tr w:rsidR="00E35D33" w:rsidRPr="00751B8C" w:rsidTr="00A2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E35D33" w:rsidRPr="00751B8C" w:rsidRDefault="00E35D33" w:rsidP="00AA6E25">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ind w:left="180"/>
              <w:rPr>
                <w:rFonts w:ascii="Verdana" w:hAnsi="Verdana" w:cstheme="minorHAnsi"/>
                <w:sz w:val="20"/>
                <w:szCs w:val="20"/>
              </w:rPr>
            </w:pPr>
            <w:r>
              <w:rPr>
                <w:rFonts w:ascii="Verdana" w:hAnsi="Verdana" w:cstheme="minorHAnsi"/>
                <w:sz w:val="20"/>
              </w:rPr>
              <w:t>9. Nuolatinė parama tarpinėms institucijoms</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957975"/>
      <w:r>
        <w:lastRenderedPageBreak/>
        <w:t>Kvalifikacijos skalė</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Anglų k.</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Lietuvių k.</w:t>
            </w:r>
          </w:p>
        </w:tc>
      </w:tr>
      <w:tr w:rsidR="00E35D33" w:rsidRPr="00751B8C" w:rsidTr="00F55E53">
        <w:trPr>
          <w:trHeight w:val="20"/>
          <w:tblHeader/>
        </w:trPr>
        <w:tc>
          <w:tcPr>
            <w:tcW w:w="658" w:type="pct"/>
            <w:shd w:val="clear" w:color="auto" w:fill="F2F2F2" w:themeFill="background1" w:themeFillShade="F2"/>
          </w:tcPr>
          <w:p w:rsidR="00E35D33" w:rsidRPr="00751B8C" w:rsidRDefault="00E35D33" w:rsidP="00AA6E25">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E35D33" w:rsidRPr="00751B8C" w:rsidRDefault="00E35D33" w:rsidP="00AA6E25">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E35D33" w:rsidRPr="00751B8C" w:rsidRDefault="00E35D33" w:rsidP="00AA6E25">
            <w:pPr>
              <w:spacing w:after="0" w:line="240" w:lineRule="auto"/>
              <w:rPr>
                <w:rFonts w:ascii="Verdana" w:hAnsi="Verdana" w:cstheme="minorHAnsi"/>
                <w:sz w:val="20"/>
                <w:szCs w:val="18"/>
              </w:rPr>
            </w:pPr>
            <w:r>
              <w:rPr>
                <w:rFonts w:ascii="Verdana" w:hAnsi="Verdana" w:cstheme="minorHAnsi"/>
                <w:sz w:val="20"/>
              </w:rPr>
              <w:t xml:space="preserve">Skalė </w:t>
            </w:r>
          </w:p>
        </w:tc>
        <w:tc>
          <w:tcPr>
            <w:tcW w:w="2014" w:type="pct"/>
            <w:shd w:val="clear" w:color="auto" w:fill="F2F2F2" w:themeFill="background1" w:themeFillShade="F2"/>
          </w:tcPr>
          <w:p w:rsidR="00E35D33" w:rsidRPr="00751B8C" w:rsidRDefault="00E35D33" w:rsidP="00AA6E25">
            <w:pPr>
              <w:spacing w:after="0" w:line="240" w:lineRule="auto"/>
              <w:rPr>
                <w:rFonts w:ascii="Verdana" w:hAnsi="Verdana" w:cstheme="minorHAnsi"/>
                <w:sz w:val="20"/>
                <w:szCs w:val="18"/>
              </w:rPr>
            </w:pPr>
            <w:r>
              <w:rPr>
                <w:rFonts w:ascii="Verdana" w:hAnsi="Verdana" w:cstheme="minorHAnsi"/>
                <w:sz w:val="20"/>
              </w:rPr>
              <w:t xml:space="preserve">Aprašymas </w:t>
            </w:r>
          </w:p>
        </w:tc>
      </w:tr>
      <w:tr w:rsidR="00E35D33" w:rsidRPr="00751B8C" w:rsidTr="00E35D33">
        <w:trPr>
          <w:trHeight w:val="20"/>
        </w:trPr>
        <w:tc>
          <w:tcPr>
            <w:tcW w:w="65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N – netaikoma</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 xml:space="preserve">Kompetencija pareigybei netaikoma. </w:t>
            </w:r>
          </w:p>
        </w:tc>
      </w:tr>
      <w:tr w:rsidR="00E35D33" w:rsidRPr="00751B8C" w:rsidTr="00F55E53">
        <w:trPr>
          <w:trHeight w:val="20"/>
        </w:trPr>
        <w:tc>
          <w:tcPr>
            <w:tcW w:w="65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 xml:space="preserve">0 lygis – </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žinių neturi</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Žinių apie kompetenciją neturi arba negali pritaikyti jų tikrose situacijose.</w:t>
            </w:r>
          </w:p>
        </w:tc>
      </w:tr>
      <w:tr w:rsidR="00E35D33" w:rsidRPr="00751B8C" w:rsidTr="00F55E53">
        <w:trPr>
          <w:trHeight w:val="20"/>
        </w:trPr>
        <w:tc>
          <w:tcPr>
            <w:tcW w:w="65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1 lygis – žinių turi</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Turi pagrindinių žinių apie kompetenciją (pvz., supranta bendrąsias sąvokas ir procesus, yra susipažinęs su pagrindiniais susijusiais terminais).</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Gali įrodyti turįs šią kompetenciją gavęs konkrečių nurodymų ir gairių.</w:t>
            </w:r>
          </w:p>
        </w:tc>
      </w:tr>
      <w:tr w:rsidR="00E35D33" w:rsidRPr="00751B8C" w:rsidTr="00F55E53">
        <w:trPr>
          <w:trHeight w:val="20"/>
        </w:trPr>
        <w:tc>
          <w:tcPr>
            <w:tcW w:w="65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2 lygis – parengtas</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Turi gerų darbinių su kompetencija susijusių žinių.</w:t>
            </w:r>
            <w:r>
              <w:rPr>
                <w:rFonts w:ascii="Verdana" w:hAnsi="Verdana" w:cstheme="minorHAnsi"/>
                <w:sz w:val="20"/>
                <w:szCs w:val="18"/>
              </w:rPr>
              <w:br/>
            </w:r>
            <w:r>
              <w:rPr>
                <w:rFonts w:ascii="Verdana" w:hAnsi="Verdana" w:cstheme="minorHAnsi"/>
                <w:sz w:val="20"/>
              </w:rPr>
              <w:t>Gali pritaikyti šias žinias kasdieniame darbe.</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Gali savarankiškai atlikti su šia kompetencija susijusius standartinius darbus.</w:t>
            </w:r>
          </w:p>
        </w:tc>
      </w:tr>
      <w:tr w:rsidR="00E35D33" w:rsidRPr="00751B8C" w:rsidTr="003A3E75">
        <w:trPr>
          <w:trHeight w:val="20"/>
        </w:trPr>
        <w:tc>
          <w:tcPr>
            <w:tcW w:w="658" w:type="pct"/>
            <w:shd w:val="clear" w:color="000000" w:fill="FFFFFF"/>
            <w:vAlign w:val="center"/>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Confidence in serving as an advisor and is sought out to provide insight in the application of this competency.</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lastRenderedPageBreak/>
              <w:t>3 lygis – pažengęs</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Turi plačių ir išsamių su kompetencija susijusių žinių bei įgūdžių.</w:t>
            </w:r>
            <w:r>
              <w:rPr>
                <w:rFonts w:ascii="Verdana" w:hAnsi="Verdana" w:cstheme="minorHAnsi"/>
                <w:sz w:val="20"/>
                <w:szCs w:val="18"/>
              </w:rPr>
              <w:br/>
            </w:r>
            <w:r>
              <w:rPr>
                <w:rFonts w:ascii="Verdana" w:hAnsi="Verdana" w:cstheme="minorHAnsi"/>
                <w:sz w:val="20"/>
              </w:rPr>
              <w:t>Gali nepriklausomai dirbti su įvairiomis su kompetencija susijusiomis išimtimis ir specialiais atvejais.</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Gali veiksmingai dalytis savo žiniomis ir patirtimi su žemesnio profilio kolegomis.</w:t>
            </w:r>
            <w:r>
              <w:rPr>
                <w:rFonts w:ascii="Verdana" w:hAnsi="Verdana" w:cstheme="minorHAnsi"/>
                <w:sz w:val="20"/>
                <w:szCs w:val="18"/>
              </w:rPr>
              <w:br/>
            </w:r>
            <w:r>
              <w:rPr>
                <w:rFonts w:ascii="Verdana" w:hAnsi="Verdana" w:cstheme="minorHAnsi"/>
                <w:sz w:val="20"/>
              </w:rPr>
              <w:t>Gali patikimai konsultuoti ir paprašytas pateikti įžvalgų apie šios kompetencijos taikymą.</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 xml:space="preserve">Gali konsultuodamas ugdyti kitų kolegų </w:t>
            </w:r>
            <w:r>
              <w:rPr>
                <w:rFonts w:ascii="Verdana" w:hAnsi="Verdana" w:cstheme="minorHAnsi"/>
                <w:sz w:val="20"/>
              </w:rPr>
              <w:lastRenderedPageBreak/>
              <w:t>kompetenciją, suprantamai paaiškindamas sudėtingus su šia kompetencija susijusius niuansus ir klausimus.</w:t>
            </w:r>
          </w:p>
        </w:tc>
      </w:tr>
      <w:tr w:rsidR="00E35D33" w:rsidRPr="00751B8C" w:rsidTr="003A3E75">
        <w:trPr>
          <w:trHeight w:val="20"/>
        </w:trPr>
        <w:tc>
          <w:tcPr>
            <w:tcW w:w="658" w:type="pct"/>
            <w:shd w:val="clear" w:color="000000" w:fill="FFFFFF"/>
            <w:vAlign w:val="center"/>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E35D33" w:rsidRPr="00751B8C" w:rsidRDefault="00E35D33" w:rsidP="00AA6E25">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4 lygis – patyręs</w:t>
            </w:r>
          </w:p>
        </w:tc>
        <w:tc>
          <w:tcPr>
            <w:tcW w:w="2014" w:type="pct"/>
            <w:shd w:val="clear" w:color="000000" w:fill="FFFFFF"/>
          </w:tcPr>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Turi išsamių su kompetencija susijusių eksperto lygio žinių ir gebėjimų.</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Gali pabrėžti kiekvieno su kompetencija susijusio proceso pranašumus ir trūkumus bei susieti juos platesniame kontekste.</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Atsakydamas į vidaus ir išorės užklausas gali teikti pritaikytas konsultacijas ir pagrįsti jas atitinkamais nuo aplinkybių priklausančiais argumentais.</w:t>
            </w:r>
          </w:p>
          <w:p w:rsidR="00E35D33" w:rsidRPr="00751B8C" w:rsidRDefault="00E35D33" w:rsidP="00AA6E25">
            <w:pPr>
              <w:spacing w:before="60" w:after="120" w:line="240" w:lineRule="auto"/>
              <w:rPr>
                <w:rFonts w:ascii="Verdana" w:hAnsi="Verdana" w:cstheme="minorHAnsi"/>
                <w:sz w:val="20"/>
                <w:szCs w:val="18"/>
              </w:rPr>
            </w:pPr>
            <w:r>
              <w:rPr>
                <w:rFonts w:ascii="Verdana" w:hAnsi="Verdana" w:cstheme="minorHAnsi"/>
                <w:sz w:val="20"/>
              </w:rPr>
              <w:t>Yra pavyzdys kitiems ir savo kompetencijos srityje gali kitiems vadovauti arba juos mokyti.</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957976"/>
      <w:r>
        <w:lastRenderedPageBreak/>
        <w:t>Veiklos kompetencijos</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35D33"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35D33" w:rsidRPr="00751B8C" w:rsidRDefault="00E35D33" w:rsidP="006931AA">
            <w:pPr>
              <w:spacing w:after="0" w:line="240" w:lineRule="auto"/>
              <w:jc w:val="center"/>
              <w:rPr>
                <w:rFonts w:ascii="Verdana" w:eastAsia="Times New Roman" w:hAnsi="Verdana" w:cs="Times New Roman"/>
                <w:b/>
                <w:bCs/>
                <w:sz w:val="20"/>
                <w:szCs w:val="20"/>
              </w:rPr>
            </w:pPr>
            <w:r>
              <w:rPr>
                <w:rFonts w:ascii="Verdana" w:hAnsi="Verdana"/>
                <w:b/>
                <w:sz w:val="20"/>
              </w:rPr>
              <w:t>Kodas</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35D33" w:rsidRPr="00751B8C" w:rsidRDefault="00E35D33" w:rsidP="00AA6E2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35D33" w:rsidRPr="00751B8C" w:rsidRDefault="00E35D3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r>
      <w:tr w:rsidR="00E35D33" w:rsidRPr="00751B8C" w:rsidTr="009C6CF2">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 xml:space="preserve">Bendrosios </w:t>
            </w:r>
            <w:r>
              <w:rPr>
                <w:rFonts w:ascii="Verdana" w:hAnsi="Verdana"/>
                <w:color w:val="000000"/>
                <w:sz w:val="20"/>
              </w:rPr>
              <w:t xml:space="preserve"> ESI fondų ES ir (arba) nacionalinės teisės aktų nuostatos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Nacionaliniai strateginiai dokumentai (pvz., nacionalinės vystymosi strategijos, susijusi teminė ir sektorių politika)</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 xml:space="preserve">Į ESI fondų ES ir (arba) nacionalinės teisės aktus įtrauktos išlaidų tinkamumo finansuoti nuostatos </w:t>
            </w:r>
            <w:r>
              <w:rPr>
                <w:rFonts w:ascii="Verdana" w:hAnsi="Verdana"/>
                <w:color w:val="000000"/>
                <w:sz w:val="20"/>
              </w:rPr>
              <w:t>(taisyklės, gairės ir metodika, įskaitant paramos teikimo sritį)</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Teritoriniai klausimai, pvz., integruota teritorinė investicija, bendruomenės inicijuota vietos plėtra, tvari miestų plėtra, makroregioninės strategijos ir tarpregioninio bendradarbiavimo planavimas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Valstybės pagalba</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Susijusios teminės žinios (teminiai teisės aktai, išlaidos, taikomi standartai, tendencijos)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Intervencinė logika</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Išteklių, produkto, rezultato rodikliai</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Biudžeto sudarymas ir sąnaudų vertinimas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Finansinių priemonių kūrimas (</w:t>
            </w:r>
            <w:r>
              <w:rPr>
                <w:rFonts w:ascii="Verdana" w:hAnsi="Verdana"/>
                <w:i/>
                <w:sz w:val="20"/>
              </w:rPr>
              <w:t>ex ante</w:t>
            </w:r>
            <w:r>
              <w:rPr>
                <w:rFonts w:ascii="Verdana" w:hAnsi="Verdana"/>
                <w:sz w:val="20"/>
              </w:rPr>
              <w:t xml:space="preserve"> vertinimas, finansinių priemonių atranka ir nustatymas)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Horizontalieji klausimai (pvz., darnus vystymasis, lygybė ir pan.)</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Prekių ir paslaugų viešųjų pirkimų naudojant techninės paramos lėšas administracinės procedūros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Tarpvalstybinis, tarptautinis ir tarpregioninis bendradarbiavimas ir Europos teritorinio bendradarbiavimo grupė</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Techninės paramos veiklos užsakomųjų paslaugų perdavimo valdymas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Ekonominės aplinkos ir reformos procesai (Europos semestras, nacionalinės reformų programos ir konkrečioms šalims skirtos rekomendacijos)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Programos valdymas ir projektų ciklo valdymas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 xml:space="preserve">Į ESI fondų ES ir (arba) nacionalinės teisės aktus įtrauktos </w:t>
            </w:r>
            <w:r>
              <w:rPr>
                <w:rFonts w:ascii="Verdana" w:hAnsi="Verdana"/>
                <w:color w:val="000000"/>
                <w:sz w:val="20"/>
              </w:rPr>
              <w:t xml:space="preserve"> valdymo ir įgyvendinimo (programavimo, veiksmų atrankos, stebėsenos, kontrolės ir auditų, vertinimo, viešinimo) nuostatos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Viešųjų pirkimų taisyklės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Sukčiavimo rizika, pažeidimų valdymas (įskaitant prevencines, nustatymo ir mažinimo priemones)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 xml:space="preserve">Administracinio organizavimo nustatymas ir tikslinimas </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Valdymo ir kontrolės sistemos nustatymas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Administracinės naštos vertinimas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ESI fondų sistemos veiklos rezultatų vertinimas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Supaprastintas išlaidų apmokėjimas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Sąnaudų ir naudos analizė ir galimybių studijos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Didelės apimties ir infrastruktūros projektų poveikio aplinkai vertinimas (PAV)</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Finansavimo spraga ir pajamų generavimas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Didelės apimties projektų procedūros ir (arba) teisės aktai</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Skatinamasis poveikis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Su funkcija susijusios finansinės priemonės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Finansinių priemonių kūrimo ir įgyvendinimo mechanizmai</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Veiklos rezultatų rodiklių ir (arba) veiklos rezultatų sistemos prognozavimas ir planavimas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Su didelės apimties ir infrastruktūros projektais susijęs rizikos valdymas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Programos, prioriteto arba priemonės vertinimo proceso valdymas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Pagrindiniai vertinimo kriterijai (aktualumas, papildomumas, nuoseklumas, efektyvumas ir veiksmingumas)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Programų, prioritetų arba priemonių vertinimo duomenų rinkimo ir analizės metodai</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lastRenderedPageBreak/>
              <w:t>MA.O.C37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Biudžeto planavimas, valdymas ir prognozavimas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Išlaidos projektų lygmeniu</w:t>
            </w:r>
            <w:r>
              <w:rPr>
                <w:rFonts w:ascii="Verdana" w:hAnsi="Verdana"/>
                <w:color w:val="000000"/>
                <w:sz w:val="20"/>
              </w:rPr>
              <w:t xml:space="preserve"> (sutarčių sąskaitos faktūros, bankų išrašai)</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Į ESI fondų ES ir (arba) nacionalinės teisės aktus</w:t>
            </w:r>
            <w:r>
              <w:rPr>
                <w:rFonts w:ascii="Verdana" w:hAnsi="Verdana"/>
                <w:color w:val="000000"/>
                <w:sz w:val="20"/>
              </w:rPr>
              <w:t xml:space="preserve"> įtrauktos komunikacijos nuostatos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Įvairių suinteresuotųjų subjektų ir jų informavimo poreikių nustatymas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Atitinkamų visuomenės informavimo priemonių valdymas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Internetinė komunikacija</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Sektoriui svarbios inžinerijos žinios</w:t>
            </w:r>
          </w:p>
        </w:tc>
      </w:tr>
      <w:tr w:rsidR="00E35D33" w:rsidRPr="00751B8C" w:rsidTr="009C6CF2">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35D33" w:rsidRPr="00751B8C" w:rsidRDefault="00E35D33"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35D33" w:rsidRPr="00751B8C" w:rsidRDefault="00E35D33" w:rsidP="00AA6E25">
            <w:pPr>
              <w:spacing w:after="0" w:line="240" w:lineRule="auto"/>
              <w:rPr>
                <w:rFonts w:ascii="Verdana" w:eastAsia="Times New Roman" w:hAnsi="Verdana" w:cs="Times New Roman"/>
                <w:sz w:val="20"/>
                <w:szCs w:val="20"/>
              </w:rPr>
            </w:pPr>
            <w:r>
              <w:rPr>
                <w:rFonts w:ascii="Verdana" w:hAnsi="Verdana"/>
                <w:sz w:val="20"/>
              </w:rPr>
              <w:t>Audito standartai, procedūros ir metodika</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957977"/>
      <w:r>
        <w:lastRenderedPageBreak/>
        <w:t>Vadovavimo kompetencijos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35D33" w:rsidRPr="00751B8C" w:rsidTr="004E3E15">
        <w:trPr>
          <w:trHeight w:val="255"/>
          <w:tblHeader/>
        </w:trPr>
        <w:tc>
          <w:tcPr>
            <w:tcW w:w="386" w:type="pct"/>
            <w:shd w:val="clear" w:color="auto" w:fill="EDEDED" w:themeFill="accent3" w:themeFillTint="33"/>
          </w:tcPr>
          <w:p w:rsidR="00E35D33" w:rsidRPr="00751B8C" w:rsidRDefault="00E35D33" w:rsidP="00AD2B31">
            <w:pPr>
              <w:spacing w:after="0" w:line="240" w:lineRule="auto"/>
              <w:rPr>
                <w:rFonts w:ascii="Verdana" w:eastAsia="Times New Roman" w:hAnsi="Verdana" w:cstheme="minorHAnsi"/>
                <w:b/>
                <w:bCs/>
                <w:sz w:val="20"/>
                <w:szCs w:val="20"/>
              </w:rPr>
            </w:pPr>
            <w:r>
              <w:rPr>
                <w:rFonts w:ascii="Verdana" w:hAnsi="Verdana" w:cstheme="minorHAnsi"/>
                <w:b/>
                <w:sz w:val="20"/>
              </w:rPr>
              <w:t>Kodas</w:t>
            </w:r>
          </w:p>
        </w:tc>
        <w:tc>
          <w:tcPr>
            <w:tcW w:w="793" w:type="pct"/>
            <w:shd w:val="clear" w:color="auto" w:fill="EDEDED" w:themeFill="accent3" w:themeFillTint="33"/>
            <w:noWrap/>
            <w:vAlign w:val="center"/>
          </w:tcPr>
          <w:p w:rsidR="00E35D33" w:rsidRPr="00751B8C" w:rsidRDefault="00E35D33" w:rsidP="00AA6E2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E35D33" w:rsidRPr="00751B8C" w:rsidRDefault="00E35D33" w:rsidP="00AA6E2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E35D33" w:rsidRPr="00751B8C" w:rsidRDefault="00E35D3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82" w:type="pct"/>
            <w:shd w:val="clear" w:color="auto" w:fill="EDEDED" w:themeFill="accent3" w:themeFillTint="33"/>
            <w:vAlign w:val="center"/>
          </w:tcPr>
          <w:p w:rsidR="00E35D33" w:rsidRPr="00751B8C" w:rsidRDefault="00E35D3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E35D33" w:rsidRPr="00751B8C" w:rsidTr="00E35D33">
        <w:trPr>
          <w:trHeight w:val="130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Developing others and people management</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Kitų tobulinimas ir personalo vadyba</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laiku ir aiškiai teikti konkrečias gaires, grįžtamąjį ryšį ir paramą kitiems, nustatant tobulinimo ir mokymo poreikius ir galimybes, plečiant jų žinias, ugdant jų įgūdžius ir gebėjimus, kurių reikia paskirtai užduočiai atlikti arba klausimams išspręsti, taip pat gebėjimas vadovauti darbuotojų darbo veiklai, jų tobulinimuisi ir veiklos rezultatams didinant žmogiškųjų išteklių efektyvumą.</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Decision making</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Sprendimų priėmimas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taikyti veiksmingus metodus darant išvadas arba rengiant sprendimus ir laiku imtis veiksmų, atsižvelgiant į esamus duomenis, iš įvairių šaltinių gautus faktus, apribojimus ir galimus padarinius.</w:t>
            </w:r>
          </w:p>
        </w:tc>
      </w:tr>
      <w:tr w:rsidR="00E35D33" w:rsidRPr="00751B8C" w:rsidTr="00E35D33">
        <w:trPr>
          <w:trHeight w:val="1020"/>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Delegation</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Įgaliojimų perdavimas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paskirstyti kitiems sprendimų priėmimo ir (arba) užduočių vykdymo atsakomybę, užtikrinti aiškią komunikaciją apie atsakomybės paskirstymą ir įvykdymą, taip pat teikti tinkamą paramą, kuria didinamas organizacijos ir pavienių asmenų veiksmingumas.</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Palengvinimas ir komunikacija</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skatinti kitų aktyvumą ir kūrybiškumą, pasinaudoti grupės gebėjimais siekiant grupės konsensuso, veiksmingai spręsti problemas, užbaigti užduotis ir pasiekti bendrus tikslus.</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Leadership</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bookmarkStart w:id="12" w:name="RANGE!B8"/>
            <w:r>
              <w:rPr>
                <w:rFonts w:ascii="Verdana" w:hAnsi="Verdana" w:cstheme="minorHAnsi"/>
                <w:sz w:val="20"/>
              </w:rPr>
              <w:t>Lyderystė</w:t>
            </w:r>
            <w:bookmarkEnd w:id="12"/>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suteikti energijos ir įkvėpti žmones siekti ateities vizijos, aiškiai nurodyti siekius ir tikslus, sudaryti darbuotojams įspūdį, kad jie veikia kryptingai bei tikslingai ir skatinti imtis veiksmų.</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lastRenderedPageBreak/>
              <w:t>M.C6</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Daugiapakopis suinteresuotųjų subjektų valdymas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suprasti įvairių suinteresuotųjų subjektų siekius ir tikslus, užtikrinti veiksmingą bendradarbiavimą ir suinteresuotųjų subjektų aktyvumą (įskaitant buvimą atviram ir skatinimą keistis gerąja įvairių valstybių narių patirtimi).  </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Negotiating</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Derėjimasis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veiksmingai nagrinėti alternatyvas ir kitų požiūrius (lengvinti diskusijas, užduoti klausimus, atsakyti į prieštaravimus ir pan.), kad būtų pasiekti visoms šalims priimtini rezultatai (visiems naudingas sprendimas).</w:t>
            </w:r>
          </w:p>
        </w:tc>
      </w:tr>
      <w:tr w:rsidR="00E35D33" w:rsidRPr="00751B8C" w:rsidTr="00E35D33">
        <w:trPr>
          <w:trHeight w:val="510"/>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Result orientation</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Orientavimasis į rezultatus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nustatyti plataus užmojo tikslus, išlaikyti dėmesį bei atkaklumą ir nuosekliai siekti tikslų arba reikiamų rezultatų net nepalankiomis aplinkybėmis.</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Strategic management</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Demonstrating ability to make decisions and take actions that lead to development and implementation of strategies aligned with the </w:t>
            </w:r>
            <w:r w:rsidRPr="00751B8C">
              <w:rPr>
                <w:rFonts w:ascii="Verdana" w:hAnsi="Verdana" w:cstheme="minorHAnsi"/>
                <w:sz w:val="20"/>
                <w:szCs w:val="20"/>
              </w:rPr>
              <w:lastRenderedPageBreak/>
              <w:t>strategic direction of the organisation and achievement of objectives.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lastRenderedPageBreak/>
              <w:t>Strateginis valdymas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priimti sprendimus ir imtis veiksmų, kad būtų </w:t>
            </w:r>
            <w:r>
              <w:rPr>
                <w:rFonts w:ascii="Verdana" w:hAnsi="Verdana" w:cstheme="minorHAnsi"/>
                <w:sz w:val="20"/>
              </w:rPr>
              <w:lastRenderedPageBreak/>
              <w:t>parengtos ir įgyvendintos strategijos, derančios su strategine organizacijos kryptimi, ir įgyvendinti tikslai.</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lastRenderedPageBreak/>
              <w:t>M.C10</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Risk management</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Rizikos valdymas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nustatyti, analizuoti, įvertinti riziką ir nustatyti jos prioritetus, taip pat mažinti, stebėti ir kontroliuoti nepalankių įvykių tikimybę ir (arba) poveikį arba sudaryti sąlygas kuo geriau pasinaudoti galimybėmis.</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Planning of resources</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Išteklių planavimas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veiksmingai ir efektyviai valdyti organizacijos išteklius, įskaitant, be kita ko, finansinius išteklius, inventorių, žmonių gebėjimus, gamybos išteklius ir informacines technologijas (IT).</w:t>
            </w:r>
          </w:p>
        </w:tc>
      </w:tr>
      <w:tr w:rsidR="00E35D33" w:rsidRPr="00751B8C" w:rsidTr="00E35D33">
        <w:trPr>
          <w:trHeight w:val="765"/>
        </w:trPr>
        <w:tc>
          <w:tcPr>
            <w:tcW w:w="386" w:type="pct"/>
            <w:shd w:val="clear" w:color="000000" w:fill="FFFFFF"/>
            <w:vAlign w:val="center"/>
          </w:tcPr>
          <w:p w:rsidR="00E35D33" w:rsidRPr="00751B8C" w:rsidRDefault="00E35D33"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HR Strategy development and implementation</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Žmogiškųjų išteklių strategijos rengimas ir įgyvendinimas</w:t>
            </w:r>
          </w:p>
        </w:tc>
        <w:tc>
          <w:tcPr>
            <w:tcW w:w="1082"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priimti sprendimus ir imtis veiksmų, kad būtų parengtos ir įgyvendintos žmogiškųjų išteklių strategijos, derančios su strategine organizacijos kryptimi, ir įgyvendinti </w:t>
            </w:r>
            <w:r>
              <w:rPr>
                <w:rFonts w:ascii="Verdana" w:hAnsi="Verdana" w:cstheme="minorHAnsi"/>
                <w:sz w:val="20"/>
              </w:rPr>
              <w:lastRenderedPageBreak/>
              <w:t>tikslai.</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957978"/>
      <w:r>
        <w:lastRenderedPageBreak/>
        <w:t>Profesinės kompetencijos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35D33" w:rsidRPr="00751B8C" w:rsidTr="0095552E">
        <w:trPr>
          <w:trHeight w:val="219"/>
          <w:tblHeader/>
        </w:trPr>
        <w:tc>
          <w:tcPr>
            <w:tcW w:w="453" w:type="pct"/>
            <w:shd w:val="clear" w:color="auto" w:fill="EDEDED" w:themeFill="accent3" w:themeFillTint="33"/>
            <w:vAlign w:val="center"/>
          </w:tcPr>
          <w:p w:rsidR="00E35D33" w:rsidRPr="00751B8C" w:rsidRDefault="00E35D33"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Kodas</w:t>
            </w:r>
          </w:p>
        </w:tc>
        <w:tc>
          <w:tcPr>
            <w:tcW w:w="726" w:type="pct"/>
            <w:shd w:val="clear" w:color="auto" w:fill="EDEDED" w:themeFill="accent3" w:themeFillTint="33"/>
            <w:noWrap/>
            <w:vAlign w:val="center"/>
          </w:tcPr>
          <w:p w:rsidR="00E35D33" w:rsidRPr="00751B8C" w:rsidRDefault="00E35D33" w:rsidP="00AA6E2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E35D33" w:rsidRPr="00751B8C" w:rsidRDefault="00E35D33" w:rsidP="00AA6E2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E35D33" w:rsidRPr="00751B8C" w:rsidRDefault="00E35D3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09" w:type="pct"/>
            <w:shd w:val="clear" w:color="auto" w:fill="EDEDED" w:themeFill="accent3" w:themeFillTint="33"/>
            <w:vAlign w:val="center"/>
          </w:tcPr>
          <w:p w:rsidR="00E35D33" w:rsidRPr="00751B8C" w:rsidRDefault="00E35D3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E35D33" w:rsidRPr="00751B8C" w:rsidTr="00390240">
        <w:trPr>
          <w:trHeight w:val="421"/>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Analytical skills</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Analitiniai gebėjimai</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logiškai spręsti sudėtingas problemas arba galimybes, padalijant jas į sudėtines dalis, kad būtų galima nustatyti susijusias problemas, nustatyti priežastinius ryšius ir prieiti prie išvadų arba priimti sprendimus.</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Komunikacija raštu</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aiškiai ir įtikinamai dėstyti informaciją ir mintis raštu, pasirenkant tinkamas rašytinės komunikacijos priemones ir rašymo stilių, kad būtų galima pasiekti tikslinę auditoriją, laikantis rašybos, gramatikos ir skyrybos taisyklių, taip pat gebėjimas bendrauti su įvairių kultūrų žmonėmis.</w:t>
            </w:r>
          </w:p>
        </w:tc>
      </w:tr>
      <w:tr w:rsidR="00E35D33" w:rsidRPr="00751B8C" w:rsidTr="00390240">
        <w:trPr>
          <w:trHeight w:val="878"/>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w:t>
            </w:r>
            <w:r w:rsidRPr="00751B8C">
              <w:rPr>
                <w:rFonts w:ascii="Verdana" w:hAnsi="Verdana" w:cstheme="minorHAnsi"/>
                <w:sz w:val="20"/>
                <w:szCs w:val="20"/>
              </w:rPr>
              <w:lastRenderedPageBreak/>
              <w:t>and retain the message, as well as demonstrating ability to communicate across cultures.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lastRenderedPageBreak/>
              <w:t>Komunikacija žodžiu</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aiškiai reikšti mintis ir sumanymus pavieniams asmenims arba </w:t>
            </w:r>
            <w:r>
              <w:rPr>
                <w:rFonts w:ascii="Verdana" w:hAnsi="Verdana" w:cstheme="minorHAnsi"/>
                <w:sz w:val="20"/>
              </w:rPr>
              <w:lastRenderedPageBreak/>
              <w:t>grupėms žodžiu, aktyviai įtraukiant klausytojus, skatinant dvikryptę komunikaciją ir padedant jiems suprasti ir prisiminti pagrindinę mintį, taip pat gebėjimas bendrauti su įvairių kultūrų žmonėmis.</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Conflict handling</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Konfliktų valdymas</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veiksmingai bendrauti su kitais asmenimis priešiškomis aplinkybėmis, pripažįstant skirtingas nuomones, suburiant juos atvirai diskusijai ir pasirenkant tinkamą bendravimo stilių ir metodus, kad būtų galima rasti visiems palankų sprendimą kilus dviejų arba daugiau žmonių konfliktui.</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Flexibility and adaptability to change </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Lankstumas ir gebėjimas prisitaikyti prie pokyčių </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prisitaikyti ir išsaugoti efektyvumą labai pakitus darbo užduotims, darbo aplinkai, organizacijos struktūrai ir kultūrai, procesams, reikalavimams ir </w:t>
            </w:r>
            <w:r>
              <w:rPr>
                <w:rFonts w:ascii="Verdana" w:hAnsi="Verdana" w:cstheme="minorHAnsi"/>
                <w:sz w:val="20"/>
              </w:rPr>
              <w:lastRenderedPageBreak/>
              <w:t xml:space="preserve">kitiems su darbu susijusiems aspektams. </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Problem solving</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Problemų sprendimas</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nustatyti problemas vadovaujantis logika, intuicija, remiantis duomenimis, atliekant tinkamas analizes, paiešką ir įtraukiant kitus (jei to reikia), siekiant rasti išeitis arba sprendimus.</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Team work</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Kolektyvinis darbas</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bendradarbiauti ir kartu dirbti su kitais įvairiuose struktūriniuose vienetuose dirbančiais ir skirtingas pareigas einančiais kolegomis, siekiant įgyvendinti kolektyvinius tikslus.</w:t>
            </w:r>
          </w:p>
        </w:tc>
      </w:tr>
      <w:tr w:rsidR="00E35D33" w:rsidRPr="00751B8C" w:rsidTr="00390240">
        <w:trPr>
          <w:trHeight w:val="43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Technological ability</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Technologiniai gebėjimai</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 xml:space="preserve">Gebėjimas naudotis tinkama asmenine kompiuterių programine įranga, informacinėmis sistemomis ir kitomis informacinių technologijų priemonėmis (pvz., </w:t>
            </w:r>
            <w:r>
              <w:rPr>
                <w:rFonts w:ascii="Verdana" w:hAnsi="Verdana" w:cstheme="minorHAnsi"/>
                <w:i/>
                <w:sz w:val="20"/>
              </w:rPr>
              <w:t>Microsoft Office</w:t>
            </w:r>
            <w:r>
              <w:rPr>
                <w:rFonts w:ascii="Verdana" w:hAnsi="Verdana" w:cstheme="minorHAnsi"/>
                <w:sz w:val="20"/>
              </w:rPr>
              <w:t xml:space="preserve"> programomis), kurių </w:t>
            </w:r>
            <w:r>
              <w:rPr>
                <w:rFonts w:ascii="Verdana" w:hAnsi="Verdana" w:cstheme="minorHAnsi"/>
                <w:sz w:val="20"/>
              </w:rPr>
              <w:lastRenderedPageBreak/>
              <w:t>reikia darbo tikslams pasiekti.</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Usage of monitoring and information system</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Naudojimasis stebėsenos ir informacinėmis sistemomis</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naudotis ES fondų stebėsenos ir informacinėmis sistemomis (išorės ir vidaus, jei jos taikomos), siekiant įgyvendinti darbo tikslus.</w:t>
            </w:r>
          </w:p>
        </w:tc>
      </w:tr>
      <w:tr w:rsidR="00E35D33" w:rsidRPr="00751B8C" w:rsidTr="00390240">
        <w:trPr>
          <w:trHeight w:val="398"/>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Representation to the outside world</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Atstovavimas išorės santykiuose</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veiksmingai ir tinkamai veikti arba kalbėti institucijos vardu.</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Atitinkamų kalbų mokėjimas</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taikyti atitinkamas užsienio kalbų žinias, siekiant įvykdyti paskirtas funkcijas ir įgyvendinti darbo tikslus.</w:t>
            </w:r>
          </w:p>
        </w:tc>
      </w:tr>
      <w:tr w:rsidR="00E35D33" w:rsidRPr="00751B8C" w:rsidTr="00390240">
        <w:trPr>
          <w:trHeight w:val="659"/>
        </w:trPr>
        <w:tc>
          <w:tcPr>
            <w:tcW w:w="453" w:type="pct"/>
            <w:shd w:val="clear" w:color="000000" w:fill="FFFFFF"/>
            <w:vAlign w:val="center"/>
          </w:tcPr>
          <w:p w:rsidR="00E35D33" w:rsidRPr="00751B8C" w:rsidRDefault="00E35D33"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Intercultural skills</w:t>
            </w:r>
          </w:p>
        </w:tc>
        <w:tc>
          <w:tcPr>
            <w:tcW w:w="2051" w:type="pct"/>
            <w:shd w:val="clear" w:color="000000" w:fill="FFFFFF"/>
            <w:vAlign w:val="center"/>
          </w:tcPr>
          <w:p w:rsidR="00E35D33" w:rsidRPr="00751B8C" w:rsidRDefault="00E35D33" w:rsidP="00AA6E25">
            <w:pPr>
              <w:spacing w:after="0"/>
              <w:rPr>
                <w:rFonts w:ascii="Verdana" w:hAnsi="Verdana" w:cstheme="minorHAnsi"/>
                <w:sz w:val="20"/>
                <w:szCs w:val="20"/>
              </w:rPr>
            </w:pPr>
            <w:r w:rsidRPr="00751B8C">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Tarpkultūriniai gebėjimai</w:t>
            </w:r>
          </w:p>
        </w:tc>
        <w:tc>
          <w:tcPr>
            <w:tcW w:w="1009" w:type="pct"/>
            <w:shd w:val="clear" w:color="000000" w:fill="FFFFFF"/>
            <w:vAlign w:val="center"/>
          </w:tcPr>
          <w:p w:rsidR="00E35D33" w:rsidRPr="00751B8C" w:rsidRDefault="00E35D33" w:rsidP="00AA6E25">
            <w:pPr>
              <w:spacing w:after="0"/>
              <w:rPr>
                <w:rFonts w:ascii="Verdana" w:hAnsi="Verdana" w:cstheme="minorHAnsi"/>
                <w:sz w:val="20"/>
                <w:szCs w:val="20"/>
              </w:rPr>
            </w:pPr>
            <w:r>
              <w:rPr>
                <w:rFonts w:ascii="Verdana" w:hAnsi="Verdana" w:cstheme="minorHAnsi"/>
                <w:sz w:val="20"/>
              </w:rPr>
              <w:t>Gebėjimas dirbti įvairių kultūrų aplinkoje, veiksmingai bendrauti su suinteresuotaisiais subjektais ES institucijose ir kitose valstybėse narėse.</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69" w:rsidRDefault="00B14669" w:rsidP="0008776A">
      <w:pPr>
        <w:spacing w:after="0" w:line="240" w:lineRule="auto"/>
      </w:pPr>
      <w:r>
        <w:separator/>
      </w:r>
    </w:p>
  </w:endnote>
  <w:endnote w:type="continuationSeparator" w:id="0">
    <w:p w:rsidR="00B14669" w:rsidRDefault="00B146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B3CBE">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69" w:rsidRDefault="00B14669" w:rsidP="0008776A">
      <w:pPr>
        <w:spacing w:after="0" w:line="240" w:lineRule="auto"/>
      </w:pPr>
      <w:r>
        <w:separator/>
      </w:r>
    </w:p>
  </w:footnote>
  <w:footnote w:type="continuationSeparator" w:id="0">
    <w:p w:rsidR="00B14669" w:rsidRDefault="00B146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2" w:rsidRPr="00313892" w:rsidRDefault="00313892"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ES kompetencijų sistema. Aiškinamasis įsivertinimo priemonėje vartojamų terminų žodynėlis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822B80"/>
    <w:rsid w:val="008339CD"/>
    <w:rsid w:val="00834E93"/>
    <w:rsid w:val="0084461D"/>
    <w:rsid w:val="00856E06"/>
    <w:rsid w:val="008806DD"/>
    <w:rsid w:val="008B3CBE"/>
    <w:rsid w:val="008E21AD"/>
    <w:rsid w:val="008F4A1B"/>
    <w:rsid w:val="00910BED"/>
    <w:rsid w:val="009248AB"/>
    <w:rsid w:val="009259B3"/>
    <w:rsid w:val="00927761"/>
    <w:rsid w:val="009A279A"/>
    <w:rsid w:val="00A30ABC"/>
    <w:rsid w:val="00A564CD"/>
    <w:rsid w:val="00A97695"/>
    <w:rsid w:val="00AB64E3"/>
    <w:rsid w:val="00AD2B31"/>
    <w:rsid w:val="00AD341D"/>
    <w:rsid w:val="00B14669"/>
    <w:rsid w:val="00B579F3"/>
    <w:rsid w:val="00B967FA"/>
    <w:rsid w:val="00C35824"/>
    <w:rsid w:val="00C971E1"/>
    <w:rsid w:val="00CC3497"/>
    <w:rsid w:val="00CD1306"/>
    <w:rsid w:val="00CE608F"/>
    <w:rsid w:val="00CF51E8"/>
    <w:rsid w:val="00CF661F"/>
    <w:rsid w:val="00CF6967"/>
    <w:rsid w:val="00D02119"/>
    <w:rsid w:val="00D27017"/>
    <w:rsid w:val="00D42D77"/>
    <w:rsid w:val="00D92F59"/>
    <w:rsid w:val="00D97BC9"/>
    <w:rsid w:val="00DE6C01"/>
    <w:rsid w:val="00E35D33"/>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lt-L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lt-L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6D54-2347-4135-9477-6B3C132A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INDRILIUNAITE Laura (REGIO)</cp:lastModifiedBy>
  <cp:revision>18</cp:revision>
  <cp:lastPrinted>2017-03-22T18:35:00Z</cp:lastPrinted>
  <dcterms:created xsi:type="dcterms:W3CDTF">2017-10-04T12:00:00Z</dcterms:created>
  <dcterms:modified xsi:type="dcterms:W3CDTF">2018-04-12T16:33:00Z</dcterms:modified>
</cp:coreProperties>
</file>