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8" w:rsidRDefault="00811CDE" w:rsidP="000A1ECD">
      <w:pPr>
        <w:jc w:val="center"/>
        <w:rPr>
          <w:rFonts w:ascii="Verdana" w:hAnsi="Verdana" w:cstheme="minorHAnsi"/>
          <w:b/>
          <w:color w:val="003399"/>
          <w:kern w:val="12"/>
          <w:sz w:val="40"/>
          <w:szCs w:val="40"/>
        </w:rPr>
      </w:pPr>
      <w:r w:rsidRPr="00811CDE">
        <w:rPr>
          <w:noProof/>
          <w:lang w:val="en-GB" w:eastAsia="en-GB" w:bidi="ar-SA"/>
        </w:rPr>
        <mc:AlternateContent>
          <mc:Choice Requires="wps">
            <w:drawing>
              <wp:anchor distT="0" distB="0" distL="114300" distR="114300" simplePos="0" relativeHeight="251661312" behindDoc="0" locked="0" layoutInCell="1" allowOverlap="1" wp14:anchorId="18A05573" wp14:editId="59FAE681">
                <wp:simplePos x="0" y="0"/>
                <wp:positionH relativeFrom="column">
                  <wp:posOffset>4377690</wp:posOffset>
                </wp:positionH>
                <wp:positionV relativeFrom="paragraph">
                  <wp:posOffset>6392545</wp:posOffset>
                </wp:positionV>
                <wp:extent cx="702310" cy="504825"/>
                <wp:effectExtent l="0" t="0" r="2540" b="9525"/>
                <wp:wrapNone/>
                <wp:docPr id="11" name="TextBox 10"/>
                <wp:cNvGraphicFramePr/>
                <a:graphic xmlns:a="http://schemas.openxmlformats.org/drawingml/2006/main">
                  <a:graphicData uri="http://schemas.microsoft.com/office/word/2010/wordprocessingShape">
                    <wps:wsp>
                      <wps:cNvSpPr txBox="1"/>
                      <wps:spPr>
                        <a:xfrm>
                          <a:off x="0" y="0"/>
                          <a:ext cx="702310" cy="504825"/>
                        </a:xfrm>
                        <a:prstGeom prst="rect">
                          <a:avLst/>
                        </a:prstGeom>
                        <a:solidFill>
                          <a:srgbClr val="6DAC59"/>
                        </a:solidFill>
                      </wps:spPr>
                      <wps:txbx>
                        <w:txbxContent>
                          <w:p w:rsidR="00811CDE" w:rsidRDefault="00811CDE" w:rsidP="00811CDE">
                            <w:pPr>
                              <w:pStyle w:val="NormalWeb"/>
                              <w:spacing w:before="0" w:beforeAutospacing="0" w:after="0" w:afterAutospacing="0"/>
                            </w:pPr>
                            <w:r>
                              <w:rPr>
                                <w:rFonts w:ascii="PF Square Sans Pro" w:hAnsi="PF Square Sans Pro" w:cstheme="minorBidi"/>
                                <w:i/>
                                <w:iCs/>
                                <w:color w:val="FFFFFF" w:themeColor="background1"/>
                                <w:kern w:val="24"/>
                                <w:sz w:val="17"/>
                                <w:szCs w:val="17"/>
                                <w:lang w:val="it-IT"/>
                              </w:rPr>
                              <w:t>Politica regionale e urbana</w:t>
                            </w:r>
                          </w:p>
                        </w:txbxContent>
                      </wps:txbx>
                      <wps:bodyPr wrap="square" lIns="43200" tIns="36000" rIns="36000"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344.7pt;margin-top:503.35pt;width:55.3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4RvwEAAGUDAAAOAAAAZHJzL2Uyb0RvYy54bWysU8Fu2zAMvQ/YPwi6L3aSJuuMOEWXoMOA&#10;YRvQ9gMUWUoESKJGKbHz96OUNOm2W7GL7EfST3yP9OJucJYdFEYDvuXjUc2Z8hI647ctf356+HDL&#10;WUzCd8KCVy0/qsjvlu/fLfrQqAnswHYKGZH42PSh5buUQlNVUe6UE3EEQXlKakAnEkHcVh2Kntid&#10;rSZ1Pa96wC4gSBUjRdenJF8Wfq2VTD+0jiox23LqLZUTy7nJZ7VciGaLIuyMPLch3tCFE8bTpReq&#10;tUiC7dH8Q+WMRIig00iCq0BrI1XRQGrG9V9qHnciqKKFzInhYlP8f7Ty++EnMtPR7MaceeFoRk9q&#10;SJ9hYONiTx9iQ1WPgerSQHEqzbbleKRgVj1odPlJehjlyejjxVwiY5KCH+vJlBiZpNSsvrmdzDJL&#10;df04YExfFDiWX1qONLtiqTh8i+lU+lKS74pgTfdgrC0At5uVRXYQNOf5+n41+3Rmf1VWXVvOb2nY&#10;DCflL3I20B1JZU/r0PL4ay9QcWa/evL7ZkrbRvtTwHReZ4B/gGRXUJYs9+Phfp9Am9J3vuxETXoz&#10;oFkW5ee9y8vyGpeq69+x/A0AAP//AwBQSwMEFAAGAAgAAAAhAAaqRHbhAAAADQEAAA8AAABkcnMv&#10;ZG93bnJldi54bWxMj8FOwzAQRO9I/IO1SNyoQ6jSkMapSiXgglS18AFOvE0i4nUUO2ng69meynF3&#10;RjNv8s1sOzHh4FtHCh4XEQikypmWagVfn68PKQgfNBndOUIFP+hhU9ze5Doz7kwHnI6hFhxCPtMK&#10;mhD6TEpfNWi1X7geibWTG6wOfA61NIM+c7jtZBxFibS6JW5odI+7Bqvv42gVVHtXl28f+6WJn6bV&#10;77w7bN/HF6Xu7+btGkTAOVzNcMFndCiYqXQjGS86BUn6vGQrC1yzAsGWNIp4Xnl5pUkMssjl/xXF&#10;HwAAAP//AwBQSwECLQAUAAYACAAAACEAtoM4kv4AAADhAQAAEwAAAAAAAAAAAAAAAAAAAAAAW0Nv&#10;bnRlbnRfVHlwZXNdLnhtbFBLAQItABQABgAIAAAAIQA4/SH/1gAAAJQBAAALAAAAAAAAAAAAAAAA&#10;AC8BAABfcmVscy8ucmVsc1BLAQItABQABgAIAAAAIQCT3q4RvwEAAGUDAAAOAAAAAAAAAAAAAAAA&#10;AC4CAABkcnMvZTJvRG9jLnhtbFBLAQItABQABgAIAAAAIQAGqkR24QAAAA0BAAAPAAAAAAAAAAAA&#10;AAAAABkEAABkcnMvZG93bnJldi54bWxQSwUGAAAAAAQABADzAAAAJwUAAAAA&#10;" fillcolor="#6dac59" stroked="f">
                <v:textbox inset="1.2mm,1mm,1mm">
                  <w:txbxContent>
                    <w:p w:rsidR="00811CDE" w:rsidRDefault="00811CDE" w:rsidP="00811CDE">
                      <w:pPr>
                        <w:pStyle w:val="NormalWeb"/>
                        <w:spacing w:before="0" w:beforeAutospacing="0" w:after="0" w:afterAutospacing="0"/>
                      </w:pPr>
                      <w:r>
                        <w:rPr>
                          <w:rFonts w:ascii="PF Square Sans Pro" w:hAnsi="PF Square Sans Pro" w:cstheme="minorBidi"/>
                          <w:i/>
                          <w:iCs/>
                          <w:color w:val="FFFFFF" w:themeColor="background1"/>
                          <w:kern w:val="24"/>
                          <w:sz w:val="17"/>
                          <w:szCs w:val="17"/>
                          <w:lang w:val="it-IT"/>
                        </w:rPr>
                        <w:t>Politica regionale e urbana</w:t>
                      </w:r>
                    </w:p>
                  </w:txbxContent>
                </v:textbox>
              </v:shape>
            </w:pict>
          </mc:Fallback>
        </mc:AlternateContent>
      </w:r>
      <w:r w:rsidRPr="00811CDE">
        <w:rPr>
          <w:rFonts w:ascii="Verdana" w:hAnsi="Verdana" w:cstheme="minorHAnsi"/>
          <w:b/>
          <w:noProof/>
          <w:color w:val="003399"/>
          <w:kern w:val="12"/>
          <w:sz w:val="40"/>
          <w:szCs w:val="40"/>
          <w:lang w:val="en-GB" w:eastAsia="en-GB"/>
        </w:rPr>
        <mc:AlternateContent>
          <mc:Choice Requires="wps">
            <w:drawing>
              <wp:anchor distT="0" distB="0" distL="114300" distR="114300" simplePos="0" relativeHeight="251659264" behindDoc="0" locked="0" layoutInCell="1" allowOverlap="1" wp14:anchorId="5BD229C4" wp14:editId="28993559">
                <wp:simplePos x="0" y="0"/>
                <wp:positionH relativeFrom="column">
                  <wp:posOffset>2072640</wp:posOffset>
                </wp:positionH>
                <wp:positionV relativeFrom="paragraph">
                  <wp:posOffset>5535930</wp:posOffset>
                </wp:positionV>
                <wp:extent cx="5286375" cy="762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62000"/>
                        </a:xfrm>
                        <a:prstGeom prst="rect">
                          <a:avLst/>
                        </a:prstGeom>
                        <a:solidFill>
                          <a:srgbClr val="FFFFFF"/>
                        </a:solidFill>
                        <a:ln w="9525">
                          <a:solidFill>
                            <a:srgbClr val="000000"/>
                          </a:solidFill>
                          <a:miter lim="800000"/>
                          <a:headEnd/>
                          <a:tailEnd/>
                        </a:ln>
                      </wps:spPr>
                      <wps:txbx>
                        <w:txbxContent>
                          <w:p w:rsidR="00811CDE" w:rsidRPr="00811CDE" w:rsidRDefault="00811CDE" w:rsidP="00811CDE">
                            <w:pPr>
                              <w:pStyle w:val="NormalWeb"/>
                              <w:spacing w:before="0" w:beforeAutospacing="0" w:after="0" w:afterAutospacing="0"/>
                              <w:jc w:val="both"/>
                              <w:rPr>
                                <w:lang w:val="it-IT"/>
                              </w:rPr>
                            </w:pPr>
                            <w:r>
                              <w:rPr>
                                <w:rFonts w:ascii="Calibri" w:eastAsia="+mn-ea" w:hAnsi="Calibri" w:cs="+mn-cs"/>
                                <w:color w:val="286AA6"/>
                                <w:kern w:val="24"/>
                                <w:sz w:val="21"/>
                                <w:szCs w:val="21"/>
                                <w:lang w:val="it-IT"/>
                              </w:rPr>
                              <w:t xml:space="preserve">Il quadro UE delle competenze e lo strumento di autovalutazione sono </w:t>
                            </w:r>
                            <w:proofErr w:type="gramStart"/>
                            <w:r>
                              <w:rPr>
                                <w:rFonts w:ascii="Calibri" w:eastAsia="+mn-ea" w:hAnsi="Calibri" w:cs="+mn-cs"/>
                                <w:color w:val="286AA6"/>
                                <w:kern w:val="24"/>
                                <w:sz w:val="21"/>
                                <w:szCs w:val="21"/>
                                <w:lang w:val="it-IT"/>
                              </w:rPr>
                              <w:t>strumenti</w:t>
                            </w:r>
                            <w:proofErr w:type="gramEnd"/>
                            <w:r>
                              <w:rPr>
                                <w:rFonts w:ascii="Calibri" w:eastAsia="+mn-ea" w:hAnsi="Calibri" w:cs="+mn-cs"/>
                                <w:color w:val="286AA6"/>
                                <w:kern w:val="24"/>
                                <w:sz w:val="21"/>
                                <w:szCs w:val="21"/>
                                <w:lang w:val="it-IT"/>
                              </w:rPr>
                              <w:t xml:space="preserve"> sviluppati dalla DG Politica regionale e urbana a sostegno delle amministrazioni incaricate della gestione e dell'attuazione del FESR e del Fondo di coesione al fine di individuare e gestire le competenze che devono essere ulteriormente potenziate.</w:t>
                            </w:r>
                          </w:p>
                          <w:p w:rsidR="00811CDE" w:rsidRPr="00811CDE" w:rsidRDefault="00811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3.2pt;margin-top:435.9pt;width:416.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PGJgIAAEYEAAAOAAAAZHJzL2Uyb0RvYy54bWysU8tu2zAQvBfoPxC817IVvyJYDlKnLgqk&#10;DyDpB1AUZREluSxJW3K/PkvKcdwUvRTVQeCSy+HszO7qpteKHITzEkxJJ6MxJcJwqKXZlfT74/bd&#10;khIfmKmZAiNKehSe3qzfvll1thA5tKBq4QiCGF90tqRtCLbIMs9boZkfgRUGDxtwmgUM3S6rHesQ&#10;XassH4/nWQeutg648B5374ZDuk74TSN4+No0XgSiSorcQvq79K/iP1uvWLFzzLaSn2iwf2ChmTT4&#10;6BnqjgVG9k7+AaUld+ChCSMOOoOmkVykGrCayfhVNQ8tsyLVguJ4e5bJ/z9Y/uXwzRFZl/RqvKDE&#10;MI0mPYo+kPfQkzzq01lfYNqDxcTQ4zb6nGr19h74D08MbFpmduLWOehawWrkN4k3s4urA46PIFX3&#10;GWp8hu0DJKC+cTqKh3IQREefjmdvIhWOm7N8Ob9azCjheLaYo/fJvIwVz7et8+GjAE3ioqQOvU/o&#10;7HDvQ2TDiueU+JgHJeutVCoFbldtlCMHhn2yTV8q4FWaMqQr6fUsnw0C/BUC2b0Q/O0lLQM2vJK6&#10;pMtzEiuibB9MndoxMKmGNVJW5qRjlG4QMfRVf/KlgvqIijoYGhsHERctuF+UdNjUJfU/98wJStQn&#10;g65cT6bTOAUpmM4WOQbu8qS6PGGGI1RJAyXDchPS5ETBDNyie41MwkabByYnrtisSe/TYMVpuIxT&#10;1sv4r58AAAD//wMAUEsDBBQABgAIAAAAIQDMw13D4QAAAAwBAAAPAAAAZHJzL2Rvd25yZXYueG1s&#10;TI/LTsMwEEX3SPyDNUhsEHXSljQJcSqEBIIdtBVs3XiaRPgRbDcNf890BcuZuTpzbrWejGYj+tA7&#10;KyCdJcDQNk71thWw2z7d5sBClFZJ7SwK+MEA6/ryopKlcif7juMmtowgNpRSQBfjUHIemg6NDDM3&#10;oKXbwXkjI42+5crLE8GN5vMkybiRvaUPnRzwscPma3M0AvLly/gZXhdvH0120EW8WY3P316I66vp&#10;4R5YxCn+heGsT+pQk9PeHa0KTAtYzLMlRQm2SqnDOZHe5QWwvYCioBWvK/6/RP0LAAD//wMAUEsB&#10;Ai0AFAAGAAgAAAAhALaDOJL+AAAA4QEAABMAAAAAAAAAAAAAAAAAAAAAAFtDb250ZW50X1R5cGVz&#10;XS54bWxQSwECLQAUAAYACAAAACEAOP0h/9YAAACUAQAACwAAAAAAAAAAAAAAAAAvAQAAX3JlbHMv&#10;LnJlbHNQSwECLQAUAAYACAAAACEAb3FzxiYCAABGBAAADgAAAAAAAAAAAAAAAAAuAgAAZHJzL2Uy&#10;b0RvYy54bWxQSwECLQAUAAYACAAAACEAzMNdw+EAAAAMAQAADwAAAAAAAAAAAAAAAACABAAAZHJz&#10;L2Rvd25yZXYueG1sUEsFBgAAAAAEAAQA8wAAAI4FAAAAAA==&#10;">
                <v:textbox>
                  <w:txbxContent>
                    <w:p w:rsidR="00811CDE" w:rsidRPr="00811CDE" w:rsidRDefault="00811CDE" w:rsidP="00811CDE">
                      <w:pPr>
                        <w:pStyle w:val="NormalWeb"/>
                        <w:spacing w:before="0" w:beforeAutospacing="0" w:after="0" w:afterAutospacing="0"/>
                        <w:jc w:val="both"/>
                        <w:rPr>
                          <w:lang w:val="it-IT"/>
                        </w:rPr>
                      </w:pPr>
                      <w:r>
                        <w:rPr>
                          <w:rFonts w:ascii="Calibri" w:eastAsia="+mn-ea" w:hAnsi="Calibri" w:cs="+mn-cs"/>
                          <w:color w:val="286AA6"/>
                          <w:kern w:val="24"/>
                          <w:sz w:val="21"/>
                          <w:szCs w:val="21"/>
                          <w:lang w:val="it-IT"/>
                        </w:rPr>
                        <w:t xml:space="preserve">Il quadro UE delle competenze e lo strumento di autovalutazione sono </w:t>
                      </w:r>
                      <w:proofErr w:type="gramStart"/>
                      <w:r>
                        <w:rPr>
                          <w:rFonts w:ascii="Calibri" w:eastAsia="+mn-ea" w:hAnsi="Calibri" w:cs="+mn-cs"/>
                          <w:color w:val="286AA6"/>
                          <w:kern w:val="24"/>
                          <w:sz w:val="21"/>
                          <w:szCs w:val="21"/>
                          <w:lang w:val="it-IT"/>
                        </w:rPr>
                        <w:t>strumenti</w:t>
                      </w:r>
                      <w:proofErr w:type="gramEnd"/>
                      <w:r>
                        <w:rPr>
                          <w:rFonts w:ascii="Calibri" w:eastAsia="+mn-ea" w:hAnsi="Calibri" w:cs="+mn-cs"/>
                          <w:color w:val="286AA6"/>
                          <w:kern w:val="24"/>
                          <w:sz w:val="21"/>
                          <w:szCs w:val="21"/>
                          <w:lang w:val="it-IT"/>
                        </w:rPr>
                        <w:t xml:space="preserve"> sviluppati dalla DG Politica regionale e urbana a sostegno delle amministrazioni incaricate della gestione e dell'attuazione del FESR e del Fondo di coesione al fine di individuare e gestire le competenze che devono essere ulteriormente potenziate.</w:t>
                      </w:r>
                    </w:p>
                    <w:p w:rsidR="00811CDE" w:rsidRPr="00811CDE" w:rsidRDefault="00811CDE"/>
                  </w:txbxContent>
                </v:textbox>
              </v:shape>
            </w:pict>
          </mc:Fallback>
        </mc:AlternateContent>
      </w:r>
      <w:bookmarkStart w:id="0" w:name="_GoBack"/>
      <w:r>
        <w:rPr>
          <w:rFonts w:ascii="Verdana" w:hAnsi="Verdana" w:cstheme="minorHAnsi"/>
          <w:b/>
          <w:noProof/>
          <w:color w:val="003399"/>
          <w:kern w:val="12"/>
          <w:sz w:val="40"/>
          <w:szCs w:val="40"/>
          <w:lang w:val="en-GB" w:eastAsia="en-GB" w:bidi="ar-SA"/>
        </w:rPr>
        <w:drawing>
          <wp:inline distT="0" distB="0" distL="0" distR="0" wp14:anchorId="6FD07785" wp14:editId="2B8616F0">
            <wp:extent cx="9488664" cy="6715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0258" cy="6716253"/>
                    </a:xfrm>
                    <a:prstGeom prst="rect">
                      <a:avLst/>
                    </a:prstGeom>
                    <a:noFill/>
                  </pic:spPr>
                </pic:pic>
              </a:graphicData>
            </a:graphic>
          </wp:inline>
        </w:drawing>
      </w:r>
      <w:bookmarkEnd w:id="0"/>
    </w:p>
    <w:p w:rsidR="004D1BB8" w:rsidRDefault="004D1BB8" w:rsidP="000A1ECD">
      <w:pPr>
        <w:jc w:val="center"/>
        <w:rPr>
          <w:rFonts w:ascii="Verdana" w:hAnsi="Verdana" w:cstheme="minorHAnsi"/>
          <w:b/>
          <w:color w:val="003399"/>
          <w:kern w:val="12"/>
          <w:sz w:val="40"/>
          <w:szCs w:val="40"/>
        </w:rPr>
        <w:sectPr w:rsidR="004D1BB8" w:rsidSect="00811CDE">
          <w:headerReference w:type="default" r:id="rId10"/>
          <w:footerReference w:type="default" r:id="rId11"/>
          <w:pgSz w:w="15840" w:h="12240" w:orient="landscape"/>
          <w:pgMar w:top="567" w:right="672" w:bottom="1440" w:left="426" w:header="720" w:footer="720" w:gutter="0"/>
          <w:cols w:space="720"/>
          <w:titlePg/>
          <w:docGrid w:linePitch="360"/>
        </w:sectPr>
      </w:pP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Versioni del documento</w:t>
      </w:r>
    </w:p>
    <w:tbl>
      <w:tblPr>
        <w:tblStyle w:val="TableGrid"/>
        <w:tblW w:w="5000" w:type="pct"/>
        <w:tblLook w:val="04A0" w:firstRow="1" w:lastRow="0" w:firstColumn="1" w:lastColumn="0" w:noHBand="0" w:noVBand="1"/>
      </w:tblPr>
      <w:tblGrid>
        <w:gridCol w:w="6588"/>
        <w:gridCol w:w="6588"/>
      </w:tblGrid>
      <w:tr w:rsidR="004D1BB8" w:rsidRPr="00751B8C"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667C28">
            <w:pPr>
              <w:rPr>
                <w:rFonts w:cstheme="minorHAnsi"/>
                <w:sz w:val="20"/>
                <w:szCs w:val="56"/>
              </w:rPr>
            </w:pPr>
            <w:r>
              <w:rPr>
                <w:rFonts w:cstheme="minorHAnsi"/>
                <w:sz w:val="20"/>
              </w:rPr>
              <w:t>Versione</w:t>
            </w:r>
          </w:p>
        </w:tc>
        <w:tc>
          <w:tcPr>
            <w:tcW w:w="2500" w:type="pct"/>
            <w:shd w:val="clear" w:color="auto" w:fill="44546A" w:themeFill="text2"/>
          </w:tcPr>
          <w:p w:rsidR="004D1BB8" w:rsidRPr="00751B8C" w:rsidRDefault="004D1BB8" w:rsidP="00667C28">
            <w:pPr>
              <w:rPr>
                <w:rFonts w:cstheme="minorHAnsi"/>
                <w:sz w:val="20"/>
                <w:szCs w:val="56"/>
              </w:rPr>
            </w:pPr>
            <w:r>
              <w:rPr>
                <w:rFonts w:cstheme="minorHAnsi"/>
                <w:sz w:val="20"/>
              </w:rPr>
              <w:t>Data</w:t>
            </w:r>
          </w:p>
        </w:tc>
      </w:tr>
      <w:tr w:rsidR="004D1BB8" w:rsidRPr="00751B8C" w:rsidTr="00667C28">
        <w:trPr>
          <w:trHeight w:val="265"/>
        </w:trPr>
        <w:tc>
          <w:tcPr>
            <w:tcW w:w="2500" w:type="pct"/>
          </w:tcPr>
          <w:p w:rsidR="004D1BB8" w:rsidRPr="00751B8C" w:rsidRDefault="004D1BB8" w:rsidP="00667C28">
            <w:pPr>
              <w:rPr>
                <w:rFonts w:cstheme="minorHAnsi"/>
                <w:sz w:val="20"/>
                <w:szCs w:val="56"/>
              </w:rPr>
            </w:pPr>
            <w:r>
              <w:rPr>
                <w:rFonts w:cstheme="minorHAnsi"/>
                <w:sz w:val="20"/>
              </w:rPr>
              <w:t>V1</w:t>
            </w:r>
          </w:p>
        </w:tc>
        <w:tc>
          <w:tcPr>
            <w:tcW w:w="2500" w:type="pct"/>
          </w:tcPr>
          <w:p w:rsidR="004D1BB8" w:rsidRPr="00751B8C" w:rsidRDefault="003F072E" w:rsidP="00667C28">
            <w:pPr>
              <w:rPr>
                <w:rFonts w:cstheme="minorHAnsi"/>
                <w:sz w:val="20"/>
                <w:szCs w:val="56"/>
              </w:rPr>
            </w:pPr>
            <w:r>
              <w:rPr>
                <w:rFonts w:cstheme="minorHAnsi"/>
                <w:sz w:val="20"/>
              </w:rPr>
              <w:t>venerdì 3 novembre 2017</w:t>
            </w: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65"/>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r w:rsidR="004D1BB8" w:rsidRPr="00751B8C" w:rsidTr="00667C28">
        <w:trPr>
          <w:trHeight w:val="254"/>
        </w:trPr>
        <w:tc>
          <w:tcPr>
            <w:tcW w:w="2500" w:type="pct"/>
          </w:tcPr>
          <w:p w:rsidR="004D1BB8" w:rsidRPr="00751B8C" w:rsidRDefault="004D1BB8" w:rsidP="00667C28">
            <w:pPr>
              <w:rPr>
                <w:rFonts w:cstheme="minorHAnsi"/>
                <w:sz w:val="20"/>
                <w:szCs w:val="56"/>
              </w:rPr>
            </w:pPr>
          </w:p>
        </w:tc>
        <w:tc>
          <w:tcPr>
            <w:tcW w:w="2500" w:type="pct"/>
          </w:tcPr>
          <w:p w:rsidR="004D1BB8" w:rsidRPr="00751B8C" w:rsidRDefault="004D1BB8" w:rsidP="00667C28">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1" w:name="_Toc508986542"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bCs/>
          <w:noProof/>
        </w:rPr>
      </w:sdtEndPr>
      <w:sdtContent>
        <w:p w:rsidR="004D1BB8" w:rsidRPr="004D1BB8" w:rsidRDefault="004D1BB8" w:rsidP="004D1BB8">
          <w:pPr>
            <w:pStyle w:val="Heading1"/>
            <w:numPr>
              <w:ilvl w:val="0"/>
              <w:numId w:val="0"/>
            </w:numPr>
          </w:pPr>
          <w:r>
            <w:t>Indice</w:t>
          </w:r>
          <w:bookmarkEnd w:id="1"/>
        </w:p>
        <w:p w:rsidR="00306B4F" w:rsidRPr="004D1BB8" w:rsidRDefault="00306B4F" w:rsidP="004D1BB8">
          <w:pPr>
            <w:pStyle w:val="Heading1"/>
            <w:numPr>
              <w:ilvl w:val="0"/>
              <w:numId w:val="0"/>
            </w:numPr>
            <w:ind w:left="547" w:hanging="547"/>
          </w:pPr>
        </w:p>
        <w:p w:rsidR="00F95499" w:rsidRDefault="00CF51E8">
          <w:pPr>
            <w:pStyle w:val="TOC1"/>
            <w:tabs>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986542" w:history="1">
            <w:r w:rsidR="00F95499" w:rsidRPr="00FF27C1">
              <w:rPr>
                <w:rStyle w:val="Hyperlink"/>
                <w:noProof/>
              </w:rPr>
              <w:t>Indice</w:t>
            </w:r>
            <w:r w:rsidR="00F95499">
              <w:rPr>
                <w:noProof/>
                <w:webHidden/>
              </w:rPr>
              <w:tab/>
            </w:r>
            <w:r w:rsidR="00F95499">
              <w:rPr>
                <w:noProof/>
                <w:webHidden/>
              </w:rPr>
              <w:fldChar w:fldCharType="begin"/>
            </w:r>
            <w:r w:rsidR="00F95499">
              <w:rPr>
                <w:noProof/>
                <w:webHidden/>
              </w:rPr>
              <w:instrText xml:space="preserve"> PAGEREF _Toc508986542 \h </w:instrText>
            </w:r>
            <w:r w:rsidR="00F95499">
              <w:rPr>
                <w:noProof/>
                <w:webHidden/>
              </w:rPr>
            </w:r>
            <w:r w:rsidR="00F95499">
              <w:rPr>
                <w:noProof/>
                <w:webHidden/>
              </w:rPr>
              <w:fldChar w:fldCharType="separate"/>
            </w:r>
            <w:r w:rsidR="00F95499">
              <w:rPr>
                <w:noProof/>
                <w:webHidden/>
              </w:rPr>
              <w:t>3</w:t>
            </w:r>
            <w:r w:rsidR="00F95499">
              <w:rPr>
                <w:noProof/>
                <w:webHidden/>
              </w:rPr>
              <w:fldChar w:fldCharType="end"/>
            </w:r>
          </w:hyperlink>
        </w:p>
        <w:p w:rsidR="00F95499" w:rsidRDefault="00811CDE">
          <w:pPr>
            <w:pStyle w:val="TOC1"/>
            <w:tabs>
              <w:tab w:val="left" w:pos="440"/>
              <w:tab w:val="right" w:leader="dot" w:pos="12950"/>
            </w:tabs>
            <w:rPr>
              <w:rFonts w:eastAsiaTheme="minorEastAsia"/>
              <w:noProof/>
              <w:lang w:val="en-GB" w:eastAsia="en-GB" w:bidi="ar-SA"/>
            </w:rPr>
          </w:pPr>
          <w:hyperlink w:anchor="_Toc508986543" w:history="1">
            <w:r w:rsidR="00F95499" w:rsidRPr="00FF27C1">
              <w:rPr>
                <w:rStyle w:val="Hyperlink"/>
                <w:noProof/>
              </w:rPr>
              <w:t>1.</w:t>
            </w:r>
            <w:r w:rsidR="00F95499">
              <w:rPr>
                <w:rFonts w:eastAsiaTheme="minorEastAsia"/>
                <w:noProof/>
                <w:lang w:val="en-GB" w:eastAsia="en-GB" w:bidi="ar-SA"/>
              </w:rPr>
              <w:tab/>
            </w:r>
            <w:r w:rsidR="00F95499" w:rsidRPr="00FF27C1">
              <w:rPr>
                <w:rStyle w:val="Hyperlink"/>
                <w:noProof/>
              </w:rPr>
              <w:t>Profili professionali</w:t>
            </w:r>
            <w:r w:rsidR="00F95499">
              <w:rPr>
                <w:noProof/>
                <w:webHidden/>
              </w:rPr>
              <w:tab/>
            </w:r>
            <w:r w:rsidR="00F95499">
              <w:rPr>
                <w:noProof/>
                <w:webHidden/>
              </w:rPr>
              <w:fldChar w:fldCharType="begin"/>
            </w:r>
            <w:r w:rsidR="00F95499">
              <w:rPr>
                <w:noProof/>
                <w:webHidden/>
              </w:rPr>
              <w:instrText xml:space="preserve"> PAGEREF _Toc508986543 \h </w:instrText>
            </w:r>
            <w:r w:rsidR="00F95499">
              <w:rPr>
                <w:noProof/>
                <w:webHidden/>
              </w:rPr>
            </w:r>
            <w:r w:rsidR="00F95499">
              <w:rPr>
                <w:noProof/>
                <w:webHidden/>
              </w:rPr>
              <w:fldChar w:fldCharType="separate"/>
            </w:r>
            <w:r w:rsidR="00F95499">
              <w:rPr>
                <w:noProof/>
                <w:webHidden/>
              </w:rPr>
              <w:t>4</w:t>
            </w:r>
            <w:r w:rsidR="00F95499">
              <w:rPr>
                <w:noProof/>
                <w:webHidden/>
              </w:rPr>
              <w:fldChar w:fldCharType="end"/>
            </w:r>
          </w:hyperlink>
        </w:p>
        <w:p w:rsidR="00F95499" w:rsidRDefault="00811CDE">
          <w:pPr>
            <w:pStyle w:val="TOC1"/>
            <w:tabs>
              <w:tab w:val="left" w:pos="440"/>
              <w:tab w:val="right" w:leader="dot" w:pos="12950"/>
            </w:tabs>
            <w:rPr>
              <w:rFonts w:eastAsiaTheme="minorEastAsia"/>
              <w:noProof/>
              <w:lang w:val="en-GB" w:eastAsia="en-GB" w:bidi="ar-SA"/>
            </w:rPr>
          </w:pPr>
          <w:hyperlink w:anchor="_Toc508986544" w:history="1">
            <w:r w:rsidR="00F95499" w:rsidRPr="00FF27C1">
              <w:rPr>
                <w:rStyle w:val="Hyperlink"/>
                <w:noProof/>
              </w:rPr>
              <w:t>2.</w:t>
            </w:r>
            <w:r w:rsidR="00F95499">
              <w:rPr>
                <w:rFonts w:eastAsiaTheme="minorEastAsia"/>
                <w:noProof/>
                <w:lang w:val="en-GB" w:eastAsia="en-GB" w:bidi="ar-SA"/>
              </w:rPr>
              <w:tab/>
            </w:r>
            <w:r w:rsidR="00F95499" w:rsidRPr="00FF27C1">
              <w:rPr>
                <w:rStyle w:val="Hyperlink"/>
                <w:noProof/>
              </w:rPr>
              <w:t>Compiti principali e compiti secondari</w:t>
            </w:r>
            <w:r w:rsidR="00F95499">
              <w:rPr>
                <w:noProof/>
                <w:webHidden/>
              </w:rPr>
              <w:tab/>
            </w:r>
            <w:r w:rsidR="00F95499">
              <w:rPr>
                <w:noProof/>
                <w:webHidden/>
              </w:rPr>
              <w:fldChar w:fldCharType="begin"/>
            </w:r>
            <w:r w:rsidR="00F95499">
              <w:rPr>
                <w:noProof/>
                <w:webHidden/>
              </w:rPr>
              <w:instrText xml:space="preserve"> PAGEREF _Toc508986544 \h </w:instrText>
            </w:r>
            <w:r w:rsidR="00F95499">
              <w:rPr>
                <w:noProof/>
                <w:webHidden/>
              </w:rPr>
            </w:r>
            <w:r w:rsidR="00F95499">
              <w:rPr>
                <w:noProof/>
                <w:webHidden/>
              </w:rPr>
              <w:fldChar w:fldCharType="separate"/>
            </w:r>
            <w:r w:rsidR="00F95499">
              <w:rPr>
                <w:noProof/>
                <w:webHidden/>
              </w:rPr>
              <w:t>5</w:t>
            </w:r>
            <w:r w:rsidR="00F95499">
              <w:rPr>
                <w:noProof/>
                <w:webHidden/>
              </w:rPr>
              <w:fldChar w:fldCharType="end"/>
            </w:r>
          </w:hyperlink>
        </w:p>
        <w:p w:rsidR="00F95499" w:rsidRDefault="00811CDE">
          <w:pPr>
            <w:pStyle w:val="TOC1"/>
            <w:tabs>
              <w:tab w:val="left" w:pos="440"/>
              <w:tab w:val="right" w:leader="dot" w:pos="12950"/>
            </w:tabs>
            <w:rPr>
              <w:rFonts w:eastAsiaTheme="minorEastAsia"/>
              <w:noProof/>
              <w:lang w:val="en-GB" w:eastAsia="en-GB" w:bidi="ar-SA"/>
            </w:rPr>
          </w:pPr>
          <w:hyperlink w:anchor="_Toc508986545" w:history="1">
            <w:r w:rsidR="00F95499" w:rsidRPr="00FF27C1">
              <w:rPr>
                <w:rStyle w:val="Hyperlink"/>
                <w:noProof/>
              </w:rPr>
              <w:t>3.</w:t>
            </w:r>
            <w:r w:rsidR="00F95499">
              <w:rPr>
                <w:rFonts w:eastAsiaTheme="minorEastAsia"/>
                <w:noProof/>
                <w:lang w:val="en-GB" w:eastAsia="en-GB" w:bidi="ar-SA"/>
              </w:rPr>
              <w:tab/>
            </w:r>
            <w:r w:rsidR="00F95499" w:rsidRPr="00FF27C1">
              <w:rPr>
                <w:rStyle w:val="Hyperlink"/>
                <w:noProof/>
              </w:rPr>
              <w:t>Scala di competenze</w:t>
            </w:r>
            <w:r w:rsidR="00F95499">
              <w:rPr>
                <w:noProof/>
                <w:webHidden/>
              </w:rPr>
              <w:tab/>
            </w:r>
            <w:r w:rsidR="00F95499">
              <w:rPr>
                <w:noProof/>
                <w:webHidden/>
              </w:rPr>
              <w:fldChar w:fldCharType="begin"/>
            </w:r>
            <w:r w:rsidR="00F95499">
              <w:rPr>
                <w:noProof/>
                <w:webHidden/>
              </w:rPr>
              <w:instrText xml:space="preserve"> PAGEREF _Toc508986545 \h </w:instrText>
            </w:r>
            <w:r w:rsidR="00F95499">
              <w:rPr>
                <w:noProof/>
                <w:webHidden/>
              </w:rPr>
            </w:r>
            <w:r w:rsidR="00F95499">
              <w:rPr>
                <w:noProof/>
                <w:webHidden/>
              </w:rPr>
              <w:fldChar w:fldCharType="separate"/>
            </w:r>
            <w:r w:rsidR="00F95499">
              <w:rPr>
                <w:noProof/>
                <w:webHidden/>
              </w:rPr>
              <w:t>10</w:t>
            </w:r>
            <w:r w:rsidR="00F95499">
              <w:rPr>
                <w:noProof/>
                <w:webHidden/>
              </w:rPr>
              <w:fldChar w:fldCharType="end"/>
            </w:r>
          </w:hyperlink>
        </w:p>
        <w:p w:rsidR="00F95499" w:rsidRDefault="00811CDE">
          <w:pPr>
            <w:pStyle w:val="TOC1"/>
            <w:tabs>
              <w:tab w:val="left" w:pos="440"/>
              <w:tab w:val="right" w:leader="dot" w:pos="12950"/>
            </w:tabs>
            <w:rPr>
              <w:rFonts w:eastAsiaTheme="minorEastAsia"/>
              <w:noProof/>
              <w:lang w:val="en-GB" w:eastAsia="en-GB" w:bidi="ar-SA"/>
            </w:rPr>
          </w:pPr>
          <w:hyperlink w:anchor="_Toc508986546" w:history="1">
            <w:r w:rsidR="00F95499" w:rsidRPr="00FF27C1">
              <w:rPr>
                <w:rStyle w:val="Hyperlink"/>
                <w:noProof/>
              </w:rPr>
              <w:t>4.</w:t>
            </w:r>
            <w:r w:rsidR="00F95499">
              <w:rPr>
                <w:rFonts w:eastAsiaTheme="minorEastAsia"/>
                <w:noProof/>
                <w:lang w:val="en-GB" w:eastAsia="en-GB" w:bidi="ar-SA"/>
              </w:rPr>
              <w:tab/>
            </w:r>
            <w:r w:rsidR="00F95499" w:rsidRPr="00FF27C1">
              <w:rPr>
                <w:rStyle w:val="Hyperlink"/>
                <w:noProof/>
              </w:rPr>
              <w:t>Competenze operative</w:t>
            </w:r>
            <w:r w:rsidR="00F95499">
              <w:rPr>
                <w:noProof/>
                <w:webHidden/>
              </w:rPr>
              <w:tab/>
            </w:r>
            <w:r w:rsidR="00F95499">
              <w:rPr>
                <w:noProof/>
                <w:webHidden/>
              </w:rPr>
              <w:fldChar w:fldCharType="begin"/>
            </w:r>
            <w:r w:rsidR="00F95499">
              <w:rPr>
                <w:noProof/>
                <w:webHidden/>
              </w:rPr>
              <w:instrText xml:space="preserve"> PAGEREF _Toc508986546 \h </w:instrText>
            </w:r>
            <w:r w:rsidR="00F95499">
              <w:rPr>
                <w:noProof/>
                <w:webHidden/>
              </w:rPr>
            </w:r>
            <w:r w:rsidR="00F95499">
              <w:rPr>
                <w:noProof/>
                <w:webHidden/>
              </w:rPr>
              <w:fldChar w:fldCharType="separate"/>
            </w:r>
            <w:r w:rsidR="00F95499">
              <w:rPr>
                <w:noProof/>
                <w:webHidden/>
              </w:rPr>
              <w:t>12</w:t>
            </w:r>
            <w:r w:rsidR="00F95499">
              <w:rPr>
                <w:noProof/>
                <w:webHidden/>
              </w:rPr>
              <w:fldChar w:fldCharType="end"/>
            </w:r>
          </w:hyperlink>
        </w:p>
        <w:p w:rsidR="00F95499" w:rsidRDefault="00811CDE">
          <w:pPr>
            <w:pStyle w:val="TOC1"/>
            <w:tabs>
              <w:tab w:val="left" w:pos="440"/>
              <w:tab w:val="right" w:leader="dot" w:pos="12950"/>
            </w:tabs>
            <w:rPr>
              <w:rFonts w:eastAsiaTheme="minorEastAsia"/>
              <w:noProof/>
              <w:lang w:val="en-GB" w:eastAsia="en-GB" w:bidi="ar-SA"/>
            </w:rPr>
          </w:pPr>
          <w:hyperlink w:anchor="_Toc508986547" w:history="1">
            <w:r w:rsidR="00F95499" w:rsidRPr="00FF27C1">
              <w:rPr>
                <w:rStyle w:val="Hyperlink"/>
                <w:noProof/>
              </w:rPr>
              <w:t>5.</w:t>
            </w:r>
            <w:r w:rsidR="00F95499">
              <w:rPr>
                <w:rFonts w:eastAsiaTheme="minorEastAsia"/>
                <w:noProof/>
                <w:lang w:val="en-GB" w:eastAsia="en-GB" w:bidi="ar-SA"/>
              </w:rPr>
              <w:tab/>
            </w:r>
            <w:r w:rsidR="00F95499" w:rsidRPr="00FF27C1">
              <w:rPr>
                <w:rStyle w:val="Hyperlink"/>
                <w:noProof/>
              </w:rPr>
              <w:t>Competenze gestionali</w:t>
            </w:r>
            <w:r w:rsidR="00F95499">
              <w:rPr>
                <w:noProof/>
                <w:webHidden/>
              </w:rPr>
              <w:tab/>
            </w:r>
            <w:r w:rsidR="00F95499">
              <w:rPr>
                <w:noProof/>
                <w:webHidden/>
              </w:rPr>
              <w:fldChar w:fldCharType="begin"/>
            </w:r>
            <w:r w:rsidR="00F95499">
              <w:rPr>
                <w:noProof/>
                <w:webHidden/>
              </w:rPr>
              <w:instrText xml:space="preserve"> PAGEREF _Toc508986547 \h </w:instrText>
            </w:r>
            <w:r w:rsidR="00F95499">
              <w:rPr>
                <w:noProof/>
                <w:webHidden/>
              </w:rPr>
            </w:r>
            <w:r w:rsidR="00F95499">
              <w:rPr>
                <w:noProof/>
                <w:webHidden/>
              </w:rPr>
              <w:fldChar w:fldCharType="separate"/>
            </w:r>
            <w:r w:rsidR="00F95499">
              <w:rPr>
                <w:noProof/>
                <w:webHidden/>
              </w:rPr>
              <w:t>15</w:t>
            </w:r>
            <w:r w:rsidR="00F95499">
              <w:rPr>
                <w:noProof/>
                <w:webHidden/>
              </w:rPr>
              <w:fldChar w:fldCharType="end"/>
            </w:r>
          </w:hyperlink>
        </w:p>
        <w:p w:rsidR="00F95499" w:rsidRDefault="00811CDE">
          <w:pPr>
            <w:pStyle w:val="TOC1"/>
            <w:tabs>
              <w:tab w:val="left" w:pos="440"/>
              <w:tab w:val="right" w:leader="dot" w:pos="12950"/>
            </w:tabs>
            <w:rPr>
              <w:rFonts w:eastAsiaTheme="minorEastAsia"/>
              <w:noProof/>
              <w:lang w:val="en-GB" w:eastAsia="en-GB" w:bidi="ar-SA"/>
            </w:rPr>
          </w:pPr>
          <w:hyperlink w:anchor="_Toc508986548" w:history="1">
            <w:r w:rsidR="00F95499" w:rsidRPr="00FF27C1">
              <w:rPr>
                <w:rStyle w:val="Hyperlink"/>
                <w:noProof/>
              </w:rPr>
              <w:t>6.</w:t>
            </w:r>
            <w:r w:rsidR="00F95499">
              <w:rPr>
                <w:rFonts w:eastAsiaTheme="minorEastAsia"/>
                <w:noProof/>
                <w:lang w:val="en-GB" w:eastAsia="en-GB" w:bidi="ar-SA"/>
              </w:rPr>
              <w:tab/>
            </w:r>
            <w:r w:rsidR="00F95499" w:rsidRPr="00FF27C1">
              <w:rPr>
                <w:rStyle w:val="Hyperlink"/>
                <w:noProof/>
              </w:rPr>
              <w:t>Competenze professionali</w:t>
            </w:r>
            <w:r w:rsidR="00F95499">
              <w:rPr>
                <w:noProof/>
                <w:webHidden/>
              </w:rPr>
              <w:tab/>
            </w:r>
            <w:r w:rsidR="00F95499">
              <w:rPr>
                <w:noProof/>
                <w:webHidden/>
              </w:rPr>
              <w:fldChar w:fldCharType="begin"/>
            </w:r>
            <w:r w:rsidR="00F95499">
              <w:rPr>
                <w:noProof/>
                <w:webHidden/>
              </w:rPr>
              <w:instrText xml:space="preserve"> PAGEREF _Toc508986548 \h </w:instrText>
            </w:r>
            <w:r w:rsidR="00F95499">
              <w:rPr>
                <w:noProof/>
                <w:webHidden/>
              </w:rPr>
            </w:r>
            <w:r w:rsidR="00F95499">
              <w:rPr>
                <w:noProof/>
                <w:webHidden/>
              </w:rPr>
              <w:fldChar w:fldCharType="separate"/>
            </w:r>
            <w:r w:rsidR="00F95499">
              <w:rPr>
                <w:noProof/>
                <w:webHidden/>
              </w:rPr>
              <w:t>18</w:t>
            </w:r>
            <w:r w:rsidR="00F95499">
              <w:rPr>
                <w:noProof/>
                <w:webHidden/>
              </w:rPr>
              <w:fldChar w:fldCharType="end"/>
            </w:r>
          </w:hyperlink>
        </w:p>
        <w:p w:rsidR="00F55E53" w:rsidRPr="004D1BB8" w:rsidRDefault="00CF51E8">
          <w:pPr>
            <w:pStyle w:val="TOC1"/>
            <w:tabs>
              <w:tab w:val="left" w:pos="66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2" w:name="_Toc494906118"/>
      <w:bookmarkStart w:id="3" w:name="_Toc508986543"/>
      <w:r>
        <w:lastRenderedPageBreak/>
        <w:t>Profili professionali</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1"/>
        <w:gridCol w:w="3281"/>
        <w:gridCol w:w="1543"/>
        <w:gridCol w:w="7114"/>
      </w:tblGrid>
      <w:tr w:rsidR="006931AA" w:rsidRPr="0062042A" w:rsidTr="00AC3452">
        <w:trPr>
          <w:trHeight w:val="467"/>
        </w:trPr>
        <w:tc>
          <w:tcPr>
            <w:tcW w:w="1789"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Inglese</w:t>
            </w:r>
          </w:p>
        </w:tc>
        <w:tc>
          <w:tcPr>
            <w:tcW w:w="3211" w:type="pct"/>
            <w:gridSpan w:val="2"/>
            <w:shd w:val="clear" w:color="auto" w:fill="1F4E79" w:themeFill="accent1" w:themeFillShade="80"/>
            <w:vAlign w:val="center"/>
          </w:tcPr>
          <w:p w:rsidR="006931AA" w:rsidRPr="00AD2B31"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Lingua locale</w:t>
            </w:r>
          </w:p>
        </w:tc>
      </w:tr>
      <w:tr w:rsidR="00AC3452" w:rsidRPr="0062042A" w:rsidTr="00AC3452">
        <w:trPr>
          <w:trHeight w:val="440"/>
        </w:trPr>
        <w:tc>
          <w:tcPr>
            <w:tcW w:w="572" w:type="pct"/>
            <w:shd w:val="clear" w:color="auto" w:fill="F2F2F2" w:themeFill="background1" w:themeFillShade="F2"/>
            <w:vAlign w:val="center"/>
            <w:hideMark/>
          </w:tcPr>
          <w:p w:rsidR="00AC3452" w:rsidRPr="0062042A" w:rsidRDefault="00AC3452" w:rsidP="00906C2F">
            <w:pPr>
              <w:spacing w:after="0"/>
              <w:rPr>
                <w:rFonts w:ascii="Verdana" w:hAnsi="Verdana" w:cstheme="minorHAnsi"/>
                <w:sz w:val="20"/>
                <w:szCs w:val="20"/>
              </w:rPr>
            </w:pPr>
            <w:r w:rsidRPr="0062042A">
              <w:rPr>
                <w:rFonts w:ascii="Verdana" w:hAnsi="Verdana" w:cstheme="minorHAnsi"/>
                <w:sz w:val="20"/>
                <w:szCs w:val="20"/>
              </w:rPr>
              <w:t xml:space="preserve">Job </w:t>
            </w:r>
            <w:proofErr w:type="spellStart"/>
            <w:r w:rsidRPr="0062042A">
              <w:rPr>
                <w:rFonts w:ascii="Verdana" w:hAnsi="Verdana" w:cstheme="minorHAnsi"/>
                <w:sz w:val="20"/>
                <w:szCs w:val="20"/>
              </w:rPr>
              <w:t>Role</w:t>
            </w:r>
            <w:proofErr w:type="spellEnd"/>
          </w:p>
        </w:tc>
        <w:tc>
          <w:tcPr>
            <w:tcW w:w="1217" w:type="pct"/>
            <w:shd w:val="clear" w:color="auto" w:fill="F2F2F2" w:themeFill="background1" w:themeFillShade="F2"/>
            <w:vAlign w:val="center"/>
          </w:tcPr>
          <w:p w:rsidR="00AC3452" w:rsidRPr="0062042A" w:rsidRDefault="00AC3452" w:rsidP="00906C2F">
            <w:pPr>
              <w:spacing w:after="0"/>
              <w:rPr>
                <w:rFonts w:ascii="Verdana" w:hAnsi="Verdana" w:cstheme="minorHAnsi"/>
                <w:sz w:val="20"/>
                <w:szCs w:val="20"/>
              </w:rPr>
            </w:pPr>
            <w:proofErr w:type="spellStart"/>
            <w:r>
              <w:rPr>
                <w:rFonts w:ascii="Verdana" w:hAnsi="Verdana" w:cstheme="minorHAnsi"/>
                <w:sz w:val="20"/>
                <w:szCs w:val="20"/>
              </w:rPr>
              <w:t>Description</w:t>
            </w:r>
            <w:proofErr w:type="spellEnd"/>
          </w:p>
        </w:tc>
        <w:tc>
          <w:tcPr>
            <w:tcW w:w="572" w:type="pct"/>
            <w:shd w:val="clear" w:color="auto" w:fill="F2F2F2" w:themeFill="background1" w:themeFillShade="F2"/>
            <w:vAlign w:val="center"/>
          </w:tcPr>
          <w:p w:rsidR="00AC3452" w:rsidRPr="0062042A" w:rsidRDefault="00AC3452" w:rsidP="00906C2F">
            <w:pPr>
              <w:spacing w:after="0"/>
              <w:rPr>
                <w:rFonts w:ascii="Verdana" w:hAnsi="Verdana" w:cstheme="minorHAnsi"/>
                <w:sz w:val="20"/>
                <w:szCs w:val="20"/>
              </w:rPr>
            </w:pPr>
            <w:r>
              <w:rPr>
                <w:rFonts w:ascii="Verdana" w:hAnsi="Verdana" w:cstheme="minorHAnsi"/>
                <w:sz w:val="20"/>
              </w:rPr>
              <w:t>Profilo professionale</w:t>
            </w:r>
          </w:p>
        </w:tc>
        <w:tc>
          <w:tcPr>
            <w:tcW w:w="2638" w:type="pct"/>
            <w:shd w:val="clear" w:color="auto" w:fill="F2F2F2" w:themeFill="background1" w:themeFillShade="F2"/>
            <w:vAlign w:val="center"/>
          </w:tcPr>
          <w:p w:rsidR="00AC3452" w:rsidRPr="0062042A" w:rsidRDefault="00AC3452" w:rsidP="00906C2F">
            <w:pPr>
              <w:spacing w:after="0"/>
              <w:rPr>
                <w:rFonts w:ascii="Verdana" w:hAnsi="Verdana" w:cstheme="minorHAnsi"/>
                <w:sz w:val="20"/>
                <w:szCs w:val="20"/>
              </w:rPr>
            </w:pPr>
            <w:r>
              <w:rPr>
                <w:rFonts w:ascii="Verdana" w:hAnsi="Verdana" w:cstheme="minorHAnsi"/>
                <w:sz w:val="20"/>
              </w:rPr>
              <w:t>Descrizione</w:t>
            </w:r>
          </w:p>
        </w:tc>
      </w:tr>
      <w:tr w:rsidR="00AC3452" w:rsidRPr="0062042A" w:rsidTr="00AC3452">
        <w:trPr>
          <w:trHeight w:val="1250"/>
        </w:trPr>
        <w:tc>
          <w:tcPr>
            <w:tcW w:w="572" w:type="pct"/>
            <w:shd w:val="clear" w:color="000000" w:fill="FFFFFF"/>
            <w:vAlign w:val="center"/>
            <w:hideMark/>
          </w:tcPr>
          <w:p w:rsidR="00AC3452" w:rsidRPr="0062042A" w:rsidRDefault="00AC3452" w:rsidP="00906C2F">
            <w:pPr>
              <w:spacing w:after="0"/>
              <w:rPr>
                <w:rFonts w:ascii="Verdana" w:hAnsi="Verdana" w:cstheme="minorHAnsi"/>
                <w:sz w:val="20"/>
                <w:szCs w:val="20"/>
              </w:rPr>
            </w:pPr>
            <w:proofErr w:type="spellStart"/>
            <w:r w:rsidRPr="0062042A">
              <w:rPr>
                <w:rFonts w:ascii="Verdana" w:hAnsi="Verdana" w:cstheme="minorHAnsi"/>
                <w:sz w:val="20"/>
                <w:szCs w:val="20"/>
              </w:rPr>
              <w:t>Decision-making</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217"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This is the head of the organization or persons that act on relatively high strategic management levels</w:t>
            </w:r>
          </w:p>
        </w:tc>
        <w:tc>
          <w:tcPr>
            <w:tcW w:w="572" w:type="pct"/>
            <w:shd w:val="clear" w:color="000000" w:fill="FFFFFF"/>
            <w:vAlign w:val="center"/>
          </w:tcPr>
          <w:p w:rsidR="00AC3452" w:rsidRPr="0062042A" w:rsidRDefault="00AC3452" w:rsidP="00906C2F">
            <w:pPr>
              <w:spacing w:after="0"/>
              <w:rPr>
                <w:rFonts w:ascii="Verdana" w:hAnsi="Verdana" w:cstheme="minorHAnsi"/>
                <w:sz w:val="20"/>
                <w:szCs w:val="20"/>
              </w:rPr>
            </w:pPr>
            <w:r>
              <w:rPr>
                <w:rFonts w:ascii="Verdana" w:hAnsi="Verdana" w:cstheme="minorHAnsi"/>
                <w:sz w:val="20"/>
              </w:rPr>
              <w:t>Livello decisionale</w:t>
            </w:r>
          </w:p>
        </w:tc>
        <w:tc>
          <w:tcPr>
            <w:tcW w:w="2638" w:type="pct"/>
            <w:shd w:val="clear" w:color="000000" w:fill="FFFFFF"/>
            <w:vAlign w:val="center"/>
          </w:tcPr>
          <w:p w:rsidR="00AC3452" w:rsidRPr="0062042A" w:rsidRDefault="00AC3452" w:rsidP="00906C2F">
            <w:pPr>
              <w:spacing w:after="0"/>
              <w:rPr>
                <w:rFonts w:ascii="Verdana" w:hAnsi="Verdana" w:cstheme="minorHAnsi"/>
                <w:sz w:val="20"/>
                <w:szCs w:val="20"/>
              </w:rPr>
            </w:pPr>
            <w:r>
              <w:rPr>
                <w:rFonts w:ascii="Verdana" w:hAnsi="Verdana" w:cstheme="minorHAnsi"/>
                <w:sz w:val="20"/>
              </w:rPr>
              <w:t xml:space="preserve">Responsabile dell’organizzazione ovvero persone che agiscono a livelli direzionali strategici relativamente </w:t>
            </w:r>
            <w:proofErr w:type="gramStart"/>
            <w:r>
              <w:rPr>
                <w:rFonts w:ascii="Verdana" w:hAnsi="Verdana" w:cstheme="minorHAnsi"/>
                <w:sz w:val="20"/>
              </w:rPr>
              <w:t>elevati</w:t>
            </w:r>
            <w:proofErr w:type="gramEnd"/>
          </w:p>
        </w:tc>
      </w:tr>
      <w:tr w:rsidR="00AC3452" w:rsidRPr="0062042A" w:rsidTr="00AC3452">
        <w:trPr>
          <w:trHeight w:val="1871"/>
        </w:trPr>
        <w:tc>
          <w:tcPr>
            <w:tcW w:w="572" w:type="pct"/>
            <w:shd w:val="clear" w:color="000000" w:fill="FFFFFF"/>
            <w:vAlign w:val="center"/>
            <w:hideMark/>
          </w:tcPr>
          <w:p w:rsidR="00AC3452" w:rsidRPr="0062042A" w:rsidRDefault="00AC3452" w:rsidP="00906C2F">
            <w:pPr>
              <w:spacing w:after="0"/>
              <w:rPr>
                <w:rFonts w:ascii="Verdana" w:hAnsi="Verdana" w:cstheme="minorHAnsi"/>
                <w:sz w:val="20"/>
                <w:szCs w:val="20"/>
              </w:rPr>
            </w:pPr>
            <w:proofErr w:type="spellStart"/>
            <w:r w:rsidRPr="0062042A">
              <w:rPr>
                <w:rFonts w:ascii="Verdana" w:hAnsi="Verdana" w:cstheme="minorHAnsi"/>
                <w:sz w:val="20"/>
                <w:szCs w:val="20"/>
              </w:rPr>
              <w:t>Supervisory</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217"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572" w:type="pct"/>
            <w:shd w:val="clear" w:color="000000" w:fill="FFFFFF"/>
            <w:vAlign w:val="center"/>
          </w:tcPr>
          <w:p w:rsidR="00AC3452" w:rsidRPr="0062042A" w:rsidRDefault="00AC3452" w:rsidP="00906C2F">
            <w:pPr>
              <w:spacing w:after="0"/>
              <w:rPr>
                <w:rFonts w:ascii="Verdana" w:hAnsi="Verdana" w:cstheme="minorHAnsi"/>
                <w:sz w:val="20"/>
                <w:szCs w:val="20"/>
              </w:rPr>
            </w:pPr>
            <w:r>
              <w:rPr>
                <w:rFonts w:ascii="Verdana" w:hAnsi="Verdana" w:cstheme="minorHAnsi"/>
                <w:sz w:val="20"/>
              </w:rPr>
              <w:t>Livello di supervisione</w:t>
            </w:r>
          </w:p>
        </w:tc>
        <w:tc>
          <w:tcPr>
            <w:tcW w:w="2638" w:type="pct"/>
            <w:shd w:val="clear" w:color="000000" w:fill="FFFFFF"/>
            <w:vAlign w:val="center"/>
          </w:tcPr>
          <w:p w:rsidR="00AC3452" w:rsidRPr="0062042A" w:rsidRDefault="00AC3452" w:rsidP="00906C2F">
            <w:pPr>
              <w:spacing w:after="0"/>
              <w:rPr>
                <w:rFonts w:ascii="Verdana" w:hAnsi="Verdana" w:cstheme="minorHAnsi"/>
                <w:sz w:val="20"/>
                <w:szCs w:val="20"/>
              </w:rPr>
            </w:pPr>
            <w:r>
              <w:rPr>
                <w:rFonts w:ascii="Verdana" w:hAnsi="Verdana" w:cstheme="minorHAnsi"/>
                <w:sz w:val="20"/>
              </w:rPr>
              <w:t xml:space="preserve">Figure direttive di livello intermedio, responsabili di un gruppo </w:t>
            </w:r>
            <w:proofErr w:type="gramStart"/>
            <w:r>
              <w:rPr>
                <w:rFonts w:ascii="Verdana" w:hAnsi="Verdana" w:cstheme="minorHAnsi"/>
                <w:sz w:val="20"/>
              </w:rPr>
              <w:t xml:space="preserve">di </w:t>
            </w:r>
            <w:proofErr w:type="gramEnd"/>
            <w:r>
              <w:rPr>
                <w:rFonts w:ascii="Verdana" w:hAnsi="Verdana" w:cstheme="minorHAnsi"/>
                <w:sz w:val="20"/>
              </w:rPr>
              <w:t>individui e non direttamente coinvolti nell’attuazione operativa del programma, ad esempio responsabili di unità organizzative</w:t>
            </w:r>
          </w:p>
        </w:tc>
      </w:tr>
      <w:tr w:rsidR="00AC3452" w:rsidRPr="0062042A" w:rsidTr="00AC3452">
        <w:trPr>
          <w:trHeight w:val="1439"/>
        </w:trPr>
        <w:tc>
          <w:tcPr>
            <w:tcW w:w="572" w:type="pct"/>
            <w:shd w:val="clear" w:color="000000" w:fill="FFFFFF"/>
            <w:vAlign w:val="center"/>
            <w:hideMark/>
          </w:tcPr>
          <w:p w:rsidR="00AC3452" w:rsidRPr="0062042A" w:rsidRDefault="00AC3452" w:rsidP="00906C2F">
            <w:pPr>
              <w:spacing w:after="0"/>
              <w:rPr>
                <w:rFonts w:ascii="Verdana" w:hAnsi="Verdana" w:cstheme="minorHAnsi"/>
                <w:sz w:val="20"/>
                <w:szCs w:val="20"/>
              </w:rPr>
            </w:pPr>
            <w:proofErr w:type="spellStart"/>
            <w:r w:rsidRPr="0062042A">
              <w:rPr>
                <w:rFonts w:ascii="Verdana" w:hAnsi="Verdana" w:cstheme="minorHAnsi"/>
                <w:sz w:val="20"/>
                <w:szCs w:val="20"/>
              </w:rPr>
              <w:t>Operational</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217"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These are the experts that are directly working on the different tasks and sub-tasks within the organization</w:t>
            </w:r>
          </w:p>
        </w:tc>
        <w:tc>
          <w:tcPr>
            <w:tcW w:w="572" w:type="pct"/>
            <w:shd w:val="clear" w:color="000000" w:fill="FFFFFF"/>
            <w:vAlign w:val="center"/>
          </w:tcPr>
          <w:p w:rsidR="00AC3452" w:rsidRPr="0062042A" w:rsidRDefault="00AC3452" w:rsidP="00906C2F">
            <w:pPr>
              <w:spacing w:after="0"/>
              <w:rPr>
                <w:rFonts w:ascii="Verdana" w:hAnsi="Verdana" w:cstheme="minorHAnsi"/>
                <w:sz w:val="20"/>
                <w:szCs w:val="20"/>
              </w:rPr>
            </w:pPr>
            <w:r>
              <w:rPr>
                <w:rFonts w:ascii="Verdana" w:hAnsi="Verdana" w:cstheme="minorHAnsi"/>
                <w:sz w:val="20"/>
              </w:rPr>
              <w:t>Livello operativo</w:t>
            </w:r>
          </w:p>
        </w:tc>
        <w:tc>
          <w:tcPr>
            <w:tcW w:w="2638" w:type="pct"/>
            <w:shd w:val="clear" w:color="000000" w:fill="FFFFFF"/>
            <w:vAlign w:val="center"/>
          </w:tcPr>
          <w:p w:rsidR="00AC3452" w:rsidRPr="0062042A" w:rsidRDefault="00AC3452" w:rsidP="00906C2F">
            <w:pPr>
              <w:spacing w:after="0"/>
              <w:rPr>
                <w:rFonts w:ascii="Verdana" w:hAnsi="Verdana" w:cstheme="minorHAnsi"/>
                <w:sz w:val="20"/>
                <w:szCs w:val="20"/>
              </w:rPr>
            </w:pPr>
            <w:r>
              <w:rPr>
                <w:rFonts w:ascii="Verdana" w:hAnsi="Verdana" w:cstheme="minorHAnsi"/>
                <w:sz w:val="20"/>
              </w:rPr>
              <w:t>Esperti che lavorano direttamente sui diversi compiti principali e secondari all’interno dell’</w:t>
            </w:r>
            <w:proofErr w:type="gramStart"/>
            <w:r>
              <w:rPr>
                <w:rFonts w:ascii="Verdana" w:hAnsi="Verdana" w:cstheme="minorHAnsi"/>
                <w:sz w:val="20"/>
              </w:rPr>
              <w:t>organizzazione</w:t>
            </w:r>
            <w:proofErr w:type="gramEnd"/>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4" w:name="_Toc494906119"/>
      <w:bookmarkStart w:id="5" w:name="_Toc508986544"/>
      <w:r>
        <w:lastRenderedPageBreak/>
        <w:t>Compiti principali e compiti secondari</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4485"/>
        <w:gridCol w:w="3017"/>
        <w:gridCol w:w="3297"/>
      </w:tblGrid>
      <w:tr w:rsidR="006931AA" w:rsidRPr="00751B8C" w:rsidTr="006645FC">
        <w:trPr>
          <w:trHeight w:val="318"/>
          <w:tblHeader/>
        </w:trPr>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Inglese</w:t>
            </w:r>
          </w:p>
        </w:tc>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Lingua locale</w:t>
            </w:r>
          </w:p>
        </w:tc>
      </w:tr>
      <w:tr w:rsidR="00AC3452" w:rsidRPr="00751B8C" w:rsidTr="006645FC">
        <w:trPr>
          <w:trHeight w:val="318"/>
          <w:tblHeader/>
        </w:trPr>
        <w:tc>
          <w:tcPr>
            <w:tcW w:w="902" w:type="pct"/>
            <w:shd w:val="clear" w:color="auto" w:fill="F2F2F2" w:themeFill="background1" w:themeFillShade="F2"/>
            <w:vAlign w:val="center"/>
          </w:tcPr>
          <w:p w:rsidR="00AC3452" w:rsidRPr="00751B8C" w:rsidRDefault="00AC3452" w:rsidP="00906C2F">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AC3452" w:rsidRPr="00751B8C" w:rsidRDefault="00AC3452" w:rsidP="00906C2F">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Sub-task</w:t>
            </w:r>
          </w:p>
        </w:tc>
        <w:tc>
          <w:tcPr>
            <w:tcW w:w="1145" w:type="pct"/>
            <w:shd w:val="clear" w:color="auto" w:fill="F2F2F2" w:themeFill="background1" w:themeFillShade="F2"/>
            <w:vAlign w:val="center"/>
          </w:tcPr>
          <w:p w:rsidR="00AC3452" w:rsidRPr="00751B8C" w:rsidRDefault="00AC3452" w:rsidP="00906C2F">
            <w:pPr>
              <w:spacing w:after="0" w:line="240" w:lineRule="auto"/>
              <w:rPr>
                <w:rFonts w:ascii="Verdana" w:eastAsia="Times New Roman" w:hAnsi="Verdana" w:cstheme="minorHAnsi"/>
                <w:b/>
                <w:bCs/>
                <w:sz w:val="20"/>
                <w:szCs w:val="20"/>
              </w:rPr>
            </w:pPr>
            <w:r>
              <w:rPr>
                <w:rFonts w:ascii="Verdana" w:hAnsi="Verdana" w:cstheme="minorHAnsi"/>
                <w:b/>
                <w:sz w:val="20"/>
              </w:rPr>
              <w:t>Compiti</w:t>
            </w:r>
          </w:p>
        </w:tc>
        <w:tc>
          <w:tcPr>
            <w:tcW w:w="1251" w:type="pct"/>
            <w:shd w:val="clear" w:color="auto" w:fill="F2F2F2" w:themeFill="background1" w:themeFillShade="F2"/>
            <w:vAlign w:val="center"/>
          </w:tcPr>
          <w:p w:rsidR="00AC3452" w:rsidRPr="00751B8C" w:rsidRDefault="00AC3452" w:rsidP="00906C2F">
            <w:pPr>
              <w:spacing w:after="0" w:line="240" w:lineRule="auto"/>
              <w:rPr>
                <w:rFonts w:ascii="Verdana" w:eastAsia="Times New Roman" w:hAnsi="Verdana" w:cstheme="minorHAnsi"/>
                <w:b/>
                <w:bCs/>
                <w:sz w:val="20"/>
                <w:szCs w:val="20"/>
              </w:rPr>
            </w:pPr>
            <w:r>
              <w:rPr>
                <w:rFonts w:ascii="Verdana" w:hAnsi="Verdana" w:cstheme="minorHAnsi"/>
                <w:b/>
                <w:sz w:val="20"/>
              </w:rPr>
              <w:t>Compito secondario</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1. Programming</w:t>
            </w:r>
            <w:proofErr w:type="gramStart"/>
            <w:r w:rsidRPr="00751B8C">
              <w:rPr>
                <w:rFonts w:ascii="Verdana" w:hAnsi="Verdana" w:cstheme="minorHAnsi"/>
                <w:sz w:val="20"/>
                <w:szCs w:val="20"/>
              </w:rPr>
              <w:t xml:space="preserve">   </w:t>
            </w:r>
            <w:proofErr w:type="gramEnd"/>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1.1. Inter-institutional coordination and stakeholder involvement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1. Programmazione</w:t>
            </w:r>
            <w:proofErr w:type="gramStart"/>
            <w:r>
              <w:rPr>
                <w:rFonts w:ascii="Verdana" w:hAnsi="Verdana" w:cstheme="minorHAnsi"/>
                <w:sz w:val="20"/>
              </w:rPr>
              <w:t xml:space="preserve">   </w:t>
            </w:r>
            <w:proofErr w:type="gramEnd"/>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1.1. Coordinamento interistituzionale e coinvolgimento delle parti interessate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1.2.</w:t>
            </w:r>
            <w:proofErr w:type="gramStart"/>
            <w:r w:rsidRPr="00751B8C">
              <w:rPr>
                <w:rFonts w:ascii="Verdana" w:hAnsi="Verdana" w:cstheme="minorHAnsi"/>
                <w:sz w:val="20"/>
                <w:szCs w:val="20"/>
              </w:rPr>
              <w:t xml:space="preserve">  </w:t>
            </w:r>
            <w:proofErr w:type="spellStart"/>
            <w:proofErr w:type="gramEnd"/>
            <w:r w:rsidRPr="00751B8C">
              <w:rPr>
                <w:rFonts w:ascii="Verdana" w:hAnsi="Verdana" w:cstheme="minorHAnsi"/>
                <w:sz w:val="20"/>
                <w:szCs w:val="20"/>
              </w:rPr>
              <w:t>Preparation</w:t>
            </w:r>
            <w:proofErr w:type="spellEnd"/>
            <w:r w:rsidRPr="00751B8C">
              <w:rPr>
                <w:rFonts w:ascii="Verdana" w:hAnsi="Verdana" w:cstheme="minorHAnsi"/>
                <w:sz w:val="20"/>
                <w:szCs w:val="20"/>
              </w:rPr>
              <w:t xml:space="preserve"> of the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1.2.</w:t>
            </w:r>
            <w:proofErr w:type="gramStart"/>
            <w:r>
              <w:rPr>
                <w:rFonts w:ascii="Verdana" w:hAnsi="Verdana" w:cstheme="minorHAnsi"/>
                <w:sz w:val="20"/>
              </w:rPr>
              <w:t xml:space="preserve">  </w:t>
            </w:r>
            <w:proofErr w:type="gramEnd"/>
            <w:r>
              <w:rPr>
                <w:rFonts w:ascii="Verdana" w:hAnsi="Verdana" w:cstheme="minorHAnsi"/>
                <w:sz w:val="20"/>
              </w:rPr>
              <w:t xml:space="preserve">Preparazione del programma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1.3. Management of the evaluation process (ex-ante)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1.3. Gestione del processo di valutazione (ex-ante)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 xml:space="preserve">1.4. </w:t>
            </w:r>
            <w:proofErr w:type="spellStart"/>
            <w:r w:rsidRPr="00751B8C">
              <w:rPr>
                <w:rFonts w:ascii="Verdana" w:hAnsi="Verdana" w:cstheme="minorHAnsi"/>
                <w:sz w:val="20"/>
                <w:szCs w:val="20"/>
              </w:rPr>
              <w:t>Negotiation</w:t>
            </w:r>
            <w:proofErr w:type="spellEnd"/>
            <w:r w:rsidRPr="00751B8C">
              <w:rPr>
                <w:rFonts w:ascii="Verdana" w:hAnsi="Verdana" w:cstheme="minorHAnsi"/>
                <w:sz w:val="20"/>
                <w:szCs w:val="20"/>
              </w:rPr>
              <w:t xml:space="preserve"> with the EC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1.4. Negoziazione con la CE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1.5 Procurement of goods and services under Technical Assistance</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1.5 Acquisto di beni e servizi nell’ambito dell’assistenza tecnica</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1.6 Definition of the guiding principles for selection of operations</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1.6 Definizione dei principi di orientamento alla selezione </w:t>
            </w:r>
            <w:proofErr w:type="gramStart"/>
            <w:r>
              <w:rPr>
                <w:rFonts w:ascii="Verdana" w:hAnsi="Verdana" w:cstheme="minorHAnsi"/>
                <w:sz w:val="20"/>
              </w:rPr>
              <w:t>delle</w:t>
            </w:r>
            <w:proofErr w:type="gramEnd"/>
            <w:r>
              <w:rPr>
                <w:rFonts w:ascii="Verdana" w:hAnsi="Verdana" w:cstheme="minorHAnsi"/>
                <w:sz w:val="20"/>
              </w:rPr>
              <w:t xml:space="preserve"> operazioni</w:t>
            </w:r>
          </w:p>
        </w:tc>
      </w:tr>
      <w:tr w:rsidR="00AC3452" w:rsidRPr="00751B8C" w:rsidTr="00757D2E">
        <w:trPr>
          <w:trHeight w:val="318"/>
        </w:trPr>
        <w:tc>
          <w:tcPr>
            <w:tcW w:w="9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2. System set-up, development of procedures and tools</w:t>
            </w: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2.1. Development of the description of management and control systems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2. Impostazione del sistema, sviluppo di procedure e strumenti</w:t>
            </w: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2.1. Sviluppo della descrizione dei sistemi </w:t>
            </w:r>
            <w:proofErr w:type="gramStart"/>
            <w:r>
              <w:rPr>
                <w:rFonts w:ascii="Verdana" w:hAnsi="Verdana" w:cstheme="minorHAnsi"/>
                <w:sz w:val="20"/>
              </w:rPr>
              <w:t>di</w:t>
            </w:r>
            <w:proofErr w:type="gramEnd"/>
            <w:r>
              <w:rPr>
                <w:rFonts w:ascii="Verdana" w:hAnsi="Verdana" w:cstheme="minorHAnsi"/>
                <w:sz w:val="20"/>
              </w:rPr>
              <w:t xml:space="preserve"> gestione e controllo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2.2. Development of the procedures and tools for Programme implementation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2.2. Sviluppo delle procedure e degli strumenti di attuazione </w:t>
            </w:r>
            <w:proofErr w:type="gramStart"/>
            <w:r>
              <w:rPr>
                <w:rFonts w:ascii="Verdana" w:hAnsi="Verdana" w:cstheme="minorHAnsi"/>
                <w:sz w:val="20"/>
              </w:rPr>
              <w:t>del</w:t>
            </w:r>
            <w:proofErr w:type="gramEnd"/>
            <w:r>
              <w:rPr>
                <w:rFonts w:ascii="Verdana" w:hAnsi="Verdana" w:cstheme="minorHAnsi"/>
                <w:sz w:val="20"/>
              </w:rPr>
              <w:t xml:space="preserve"> programma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 xml:space="preserve">2.3 Legal </w:t>
            </w:r>
            <w:proofErr w:type="spellStart"/>
            <w:r w:rsidRPr="00751B8C">
              <w:rPr>
                <w:rFonts w:ascii="Verdana" w:hAnsi="Verdana" w:cstheme="minorHAnsi"/>
                <w:sz w:val="20"/>
                <w:szCs w:val="20"/>
              </w:rPr>
              <w:t>system</w:t>
            </w:r>
            <w:proofErr w:type="spellEnd"/>
            <w:r w:rsidRPr="00751B8C">
              <w:rPr>
                <w:rFonts w:ascii="Verdana" w:hAnsi="Verdana" w:cstheme="minorHAnsi"/>
                <w:sz w:val="20"/>
                <w:szCs w:val="20"/>
              </w:rPr>
              <w:t xml:space="preserve"> </w:t>
            </w:r>
            <w:proofErr w:type="gramStart"/>
            <w:r w:rsidRPr="00751B8C">
              <w:rPr>
                <w:rFonts w:ascii="Verdana" w:hAnsi="Verdana" w:cstheme="minorHAnsi"/>
                <w:sz w:val="20"/>
                <w:szCs w:val="20"/>
              </w:rPr>
              <w:t>set-up</w:t>
            </w:r>
            <w:proofErr w:type="gramEnd"/>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2.3 Impostazione del sistema legale</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2.4. Development and maintenance of monitoring and information systems and e-cohesion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2.4. Sviluppo e mantenimento di sistemi di monitoraggio e informazione e </w:t>
            </w:r>
            <w:proofErr w:type="gramStart"/>
            <w:r>
              <w:rPr>
                <w:rFonts w:ascii="Verdana" w:hAnsi="Verdana" w:cstheme="minorHAnsi"/>
                <w:sz w:val="20"/>
              </w:rPr>
              <w:t xml:space="preserve">della </w:t>
            </w:r>
            <w:proofErr w:type="gramEnd"/>
            <w:r>
              <w:rPr>
                <w:rFonts w:ascii="Verdana" w:hAnsi="Verdana" w:cstheme="minorHAnsi"/>
                <w:sz w:val="20"/>
              </w:rPr>
              <w:t>e-</w:t>
            </w:r>
            <w:proofErr w:type="spellStart"/>
            <w:r>
              <w:rPr>
                <w:rFonts w:ascii="Verdana" w:hAnsi="Verdana" w:cstheme="minorHAnsi"/>
                <w:sz w:val="20"/>
              </w:rPr>
              <w:t>cohesion</w:t>
            </w:r>
            <w:proofErr w:type="spellEnd"/>
            <w:r>
              <w:rPr>
                <w:rFonts w:ascii="Verdana" w:hAnsi="Verdana" w:cstheme="minorHAnsi"/>
                <w:sz w:val="20"/>
              </w:rPr>
              <w:t xml:space="preserv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2.5 Procurement of goods and services under Technical Assistance</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2.5 Acquisto di beni e servizi nell’ambito dell’assistenza tecnica</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2.6. Development of institutional and administrative capacity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2.6. Sviluppo della capacità istituzionale e amministrativa </w:t>
            </w:r>
          </w:p>
        </w:tc>
      </w:tr>
      <w:tr w:rsidR="00AC3452" w:rsidRPr="00751B8C" w:rsidTr="00757D2E">
        <w:trPr>
          <w:trHeight w:val="318"/>
        </w:trPr>
        <w:tc>
          <w:tcPr>
            <w:tcW w:w="9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3. Project generation, preparation of calls for proposals, project selection and contracting</w:t>
            </w: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3. Elaborazione del progetto, preparazione </w:t>
            </w:r>
            <w:proofErr w:type="gramStart"/>
            <w:r>
              <w:rPr>
                <w:rFonts w:ascii="Verdana" w:hAnsi="Verdana" w:cstheme="minorHAnsi"/>
                <w:sz w:val="20"/>
              </w:rPr>
              <w:t xml:space="preserve">di </w:t>
            </w:r>
            <w:proofErr w:type="gramEnd"/>
            <w:r>
              <w:rPr>
                <w:rFonts w:ascii="Verdana" w:hAnsi="Verdana" w:cstheme="minorHAnsi"/>
                <w:sz w:val="20"/>
              </w:rPr>
              <w:t>inviti a presentare proposte, selezione del progetto e aggiudicazione</w:t>
            </w: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3.1 Sostegno ai richiedenti </w:t>
            </w:r>
            <w:proofErr w:type="gramStart"/>
            <w:r>
              <w:rPr>
                <w:rFonts w:ascii="Verdana" w:hAnsi="Verdana" w:cstheme="minorHAnsi"/>
                <w:sz w:val="20"/>
              </w:rPr>
              <w:t>in relazione agli</w:t>
            </w:r>
            <w:proofErr w:type="gramEnd"/>
            <w:r>
              <w:rPr>
                <w:rFonts w:ascii="Verdana" w:hAnsi="Verdana" w:cstheme="minorHAnsi"/>
                <w:sz w:val="20"/>
              </w:rPr>
              <w:t xml:space="preserve"> aspetti tecnici e finanziari dei requisiti del progetto, ivi compreso lo sviluppo di capacità a livello dei beneficiari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3.2. Preparation of proposals for selection criteria and selection procedures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3.2. Preparazione di proposte </w:t>
            </w:r>
            <w:proofErr w:type="gramStart"/>
            <w:r>
              <w:rPr>
                <w:rFonts w:ascii="Verdana" w:hAnsi="Verdana" w:cstheme="minorHAnsi"/>
                <w:sz w:val="20"/>
              </w:rPr>
              <w:t>relative ai</w:t>
            </w:r>
            <w:proofErr w:type="gramEnd"/>
            <w:r>
              <w:rPr>
                <w:rFonts w:ascii="Verdana" w:hAnsi="Verdana" w:cstheme="minorHAnsi"/>
                <w:sz w:val="20"/>
              </w:rPr>
              <w:t xml:space="preserve"> criteri di selezione e alle procedure di selezione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3.3. Preparation / modification of guidelines for applicants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3.3. Preparazione / modifica degli orientamenti per i richiedenti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3.4. Administrative and eligibility check (completeness of the package and compliance with relevant laws and regulations)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3.4. Controllo amministrativo e di ammissibilità (completezza del pacchetto e conformità a leggi e regolamenti pertinenti)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3.5. Valutazione (assegnazione di punteggio alle domande, gestione dei ricorsi, elaborazione di un elenco di progetti, comunicazione dei risultati ai decisori e ai richiedenti)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3.6. Development and amendment of procedures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3.6. Sviluppo e modifica delle procedure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3.7. Procurement of goods and services under Technical Assistance</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3.7. Acquisto di beni e servizi nell’ambito dell’assistenza tecnica</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 xml:space="preserve">3.8. </w:t>
            </w:r>
            <w:proofErr w:type="spellStart"/>
            <w:r w:rsidRPr="00751B8C">
              <w:rPr>
                <w:rFonts w:ascii="Verdana" w:hAnsi="Verdana" w:cstheme="minorHAnsi"/>
                <w:sz w:val="20"/>
                <w:szCs w:val="20"/>
              </w:rPr>
              <w:t>Awareness</w:t>
            </w:r>
            <w:proofErr w:type="spellEnd"/>
            <w:r w:rsidRPr="00751B8C">
              <w:rPr>
                <w:rFonts w:ascii="Verdana" w:hAnsi="Verdana" w:cstheme="minorHAnsi"/>
                <w:sz w:val="20"/>
                <w:szCs w:val="20"/>
              </w:rPr>
              <w:t xml:space="preserve"> and </w:t>
            </w:r>
            <w:proofErr w:type="spellStart"/>
            <w:r w:rsidRPr="00751B8C">
              <w:rPr>
                <w:rFonts w:ascii="Verdana" w:hAnsi="Verdana" w:cstheme="minorHAnsi"/>
                <w:sz w:val="20"/>
                <w:szCs w:val="20"/>
              </w:rPr>
              <w:t>support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activities</w:t>
            </w:r>
            <w:proofErr w:type="spellEnd"/>
            <w:r w:rsidRPr="00751B8C">
              <w:rPr>
                <w:rFonts w:ascii="Verdana" w:hAnsi="Verdana" w:cstheme="minorHAnsi"/>
                <w:sz w:val="20"/>
                <w:szCs w:val="20"/>
              </w:rPr>
              <w:t xml:space="preserve">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3.8. Attività di </w:t>
            </w:r>
            <w:r>
              <w:rPr>
                <w:rFonts w:ascii="Verdana" w:hAnsi="Verdana" w:cstheme="minorHAnsi"/>
                <w:sz w:val="20"/>
              </w:rPr>
              <w:lastRenderedPageBreak/>
              <w:t xml:space="preserve">sensibilizzazione e sostegno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3.9. Collecting documentation from successful applicants, preparation of contracting documentation and contract modifications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3.9. Raccolta di documentazione dai richiedenti prescelti, preparazione della </w:t>
            </w:r>
            <w:proofErr w:type="gramStart"/>
            <w:r>
              <w:rPr>
                <w:rFonts w:ascii="Verdana" w:hAnsi="Verdana" w:cstheme="minorHAnsi"/>
                <w:sz w:val="20"/>
              </w:rPr>
              <w:t>documentazione</w:t>
            </w:r>
            <w:proofErr w:type="gramEnd"/>
            <w:r>
              <w:rPr>
                <w:rFonts w:ascii="Verdana" w:hAnsi="Verdana" w:cstheme="minorHAnsi"/>
                <w:sz w:val="20"/>
              </w:rPr>
              <w:t xml:space="preserve"> di aggiudicazione e modifiche al contratto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 xml:space="preserve">4. </w:t>
            </w:r>
            <w:proofErr w:type="spellStart"/>
            <w:r w:rsidRPr="00751B8C">
              <w:rPr>
                <w:rFonts w:ascii="Verdana" w:hAnsi="Verdana" w:cstheme="minorHAnsi"/>
                <w:sz w:val="20"/>
                <w:szCs w:val="20"/>
              </w:rPr>
              <w:t>Monitoring</w:t>
            </w:r>
            <w:proofErr w:type="spellEnd"/>
            <w:r w:rsidRPr="00751B8C">
              <w:rPr>
                <w:rFonts w:ascii="Verdana" w:hAnsi="Verdana" w:cstheme="minorHAnsi"/>
                <w:sz w:val="20"/>
                <w:szCs w:val="20"/>
              </w:rPr>
              <w:t xml:space="preserve"> on </w:t>
            </w:r>
            <w:proofErr w:type="spellStart"/>
            <w:r w:rsidRPr="00751B8C">
              <w:rPr>
                <w:rFonts w:ascii="Verdana" w:hAnsi="Verdana" w:cstheme="minorHAnsi"/>
                <w:sz w:val="20"/>
                <w:szCs w:val="20"/>
              </w:rPr>
              <w:t>project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level</w:t>
            </w:r>
            <w:proofErr w:type="spellEnd"/>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4.1. Technical monitoring and on the spot verifications at project level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4. Monitoraggio a livello di progetto</w:t>
            </w: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4.1. Monitoraggio tecnico e verifiche in loco a livello di progetto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4.2. Providing advice to beneficiaries on project implementation issues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4.2. Consulenza ai beneficiari su questioni inerenti </w:t>
            </w:r>
            <w:proofErr w:type="gramStart"/>
            <w:r>
              <w:rPr>
                <w:rFonts w:ascii="Verdana" w:hAnsi="Verdana" w:cstheme="minorHAnsi"/>
                <w:sz w:val="20"/>
              </w:rPr>
              <w:t>l’</w:t>
            </w:r>
            <w:proofErr w:type="gramEnd"/>
            <w:r>
              <w:rPr>
                <w:rFonts w:ascii="Verdana" w:hAnsi="Verdana" w:cstheme="minorHAnsi"/>
                <w:sz w:val="20"/>
              </w:rPr>
              <w:t xml:space="preserve">attuazione del progetto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 xml:space="preserve">4.3. </w:t>
            </w:r>
            <w:proofErr w:type="spellStart"/>
            <w:r w:rsidRPr="00751B8C">
              <w:rPr>
                <w:rFonts w:ascii="Verdana" w:hAnsi="Verdana" w:cstheme="minorHAnsi"/>
                <w:sz w:val="20"/>
                <w:szCs w:val="20"/>
              </w:rPr>
              <w:t>Finding</w:t>
            </w:r>
            <w:proofErr w:type="spellEnd"/>
            <w:r w:rsidRPr="00751B8C">
              <w:rPr>
                <w:rFonts w:ascii="Verdana" w:hAnsi="Verdana" w:cstheme="minorHAnsi"/>
                <w:sz w:val="20"/>
                <w:szCs w:val="20"/>
              </w:rPr>
              <w:t xml:space="preserve"> and reporting </w:t>
            </w:r>
            <w:proofErr w:type="spellStart"/>
            <w:r w:rsidRPr="00751B8C">
              <w:rPr>
                <w:rFonts w:ascii="Verdana" w:hAnsi="Verdana" w:cstheme="minorHAnsi"/>
                <w:sz w:val="20"/>
                <w:szCs w:val="20"/>
              </w:rPr>
              <w:t>irregularities</w:t>
            </w:r>
            <w:proofErr w:type="spellEnd"/>
            <w:r w:rsidRPr="00751B8C">
              <w:rPr>
                <w:rFonts w:ascii="Verdana" w:hAnsi="Verdana" w:cstheme="minorHAnsi"/>
                <w:sz w:val="20"/>
                <w:szCs w:val="20"/>
              </w:rPr>
              <w:t xml:space="preserve">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4.3. Individuazione e comunicazione </w:t>
            </w:r>
            <w:proofErr w:type="gramStart"/>
            <w:r>
              <w:rPr>
                <w:rFonts w:ascii="Verdana" w:hAnsi="Verdana" w:cstheme="minorHAnsi"/>
                <w:sz w:val="20"/>
              </w:rPr>
              <w:t xml:space="preserve">di </w:t>
            </w:r>
            <w:proofErr w:type="gramEnd"/>
            <w:r>
              <w:rPr>
                <w:rFonts w:ascii="Verdana" w:hAnsi="Verdana" w:cstheme="minorHAnsi"/>
                <w:sz w:val="20"/>
              </w:rPr>
              <w:t xml:space="preserve">irregolarità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4.4 Procurement of goods and services under Technical Assistance</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4.4 Acquisto di beni e servizi nell’ambito dell’assistenza tecnica</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 xml:space="preserve">5. </w:t>
            </w:r>
            <w:proofErr w:type="spellStart"/>
            <w:r w:rsidRPr="00751B8C">
              <w:rPr>
                <w:rFonts w:ascii="Verdana" w:hAnsi="Verdana" w:cstheme="minorHAnsi"/>
                <w:sz w:val="20"/>
                <w:szCs w:val="20"/>
              </w:rPr>
              <w:t>Monitoring</w:t>
            </w:r>
            <w:proofErr w:type="spellEnd"/>
            <w:r w:rsidRPr="00751B8C">
              <w:rPr>
                <w:rFonts w:ascii="Verdana" w:hAnsi="Verdana" w:cstheme="minorHAnsi"/>
                <w:sz w:val="20"/>
                <w:szCs w:val="20"/>
              </w:rPr>
              <w:t xml:space="preserve"> on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level</w:t>
            </w:r>
            <w:proofErr w:type="spellEnd"/>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5.1. Measurement of the performance of the PA/Measure (planning, monitoring, forecasting, revising)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5. Monitoraggio a livello di programma</w:t>
            </w: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5.1. Misurazione dei risultati </w:t>
            </w:r>
            <w:r w:rsidR="000760F2" w:rsidRPr="009826EF">
              <w:rPr>
                <w:rFonts w:ascii="Verdana" w:hAnsi="Verdana" w:cstheme="minorHAnsi"/>
                <w:sz w:val="20"/>
              </w:rPr>
              <w:t>dell'asse prioritario</w:t>
            </w:r>
            <w:r>
              <w:rPr>
                <w:rFonts w:ascii="Verdana" w:hAnsi="Verdana" w:cstheme="minorHAnsi"/>
                <w:sz w:val="20"/>
              </w:rPr>
              <w:t xml:space="preserve">/Misura (pianificazione, monitoraggio, previsione, </w:t>
            </w:r>
            <w:proofErr w:type="gramStart"/>
            <w:r>
              <w:rPr>
                <w:rFonts w:ascii="Verdana" w:hAnsi="Verdana" w:cstheme="minorHAnsi"/>
                <w:sz w:val="20"/>
              </w:rPr>
              <w:t>revisione</w:t>
            </w:r>
            <w:proofErr w:type="gramEnd"/>
            <w:r>
              <w:rPr>
                <w:rFonts w:ascii="Verdana" w:hAnsi="Verdana" w:cstheme="minorHAnsi"/>
                <w:sz w:val="20"/>
              </w:rPr>
              <w:t xml:space="preserv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5.2. Misurazione dei risultati del programma operativo (pianificazione, monitoraggio, previsione, </w:t>
            </w:r>
            <w:proofErr w:type="gramStart"/>
            <w:r>
              <w:rPr>
                <w:rFonts w:ascii="Verdana" w:hAnsi="Verdana" w:cstheme="minorHAnsi"/>
                <w:sz w:val="20"/>
              </w:rPr>
              <w:t>revisione</w:t>
            </w:r>
            <w:proofErr w:type="gramEnd"/>
            <w:r>
              <w:rPr>
                <w:rFonts w:ascii="Verdana" w:hAnsi="Verdana" w:cstheme="minorHAnsi"/>
                <w:sz w:val="20"/>
              </w:rPr>
              <w:t xml:space="preserve"> e azioni correttive)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5.3 Monitoring the progress of implementation of the partnership agreement</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5.3 Monitoraggio dei progressi fatti nell’attuazione dell’accordo </w:t>
            </w:r>
            <w:proofErr w:type="gramStart"/>
            <w:r>
              <w:rPr>
                <w:rFonts w:ascii="Verdana" w:hAnsi="Verdana" w:cstheme="minorHAnsi"/>
                <w:sz w:val="20"/>
              </w:rPr>
              <w:t>di</w:t>
            </w:r>
            <w:proofErr w:type="gramEnd"/>
            <w:r>
              <w:rPr>
                <w:rFonts w:ascii="Verdana" w:hAnsi="Verdana" w:cstheme="minorHAnsi"/>
                <w:sz w:val="20"/>
              </w:rPr>
              <w:t xml:space="preserve"> partenariato</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5.4. Reporting to the Monitoring </w:t>
            </w:r>
            <w:r w:rsidRPr="00F355E4">
              <w:rPr>
                <w:rFonts w:ascii="Verdana" w:hAnsi="Verdana" w:cstheme="minorHAnsi"/>
                <w:sz w:val="20"/>
                <w:szCs w:val="20"/>
                <w:lang w:val="en-GB"/>
              </w:rPr>
              <w:lastRenderedPageBreak/>
              <w:t xml:space="preserve">Committee and European Commission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5.4. Attività di relazione al </w:t>
            </w:r>
            <w:r>
              <w:rPr>
                <w:rFonts w:ascii="Verdana" w:hAnsi="Verdana" w:cstheme="minorHAnsi"/>
                <w:sz w:val="20"/>
              </w:rPr>
              <w:lastRenderedPageBreak/>
              <w:t xml:space="preserve">comitato di monitoraggio e alla Commissione europea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5.5. Development and amendment of monitoring procedures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5.5. Sviluppo e modifica delle procedure di monitoraggio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 xml:space="preserve">5.6. </w:t>
            </w:r>
            <w:proofErr w:type="spellStart"/>
            <w:r w:rsidRPr="00751B8C">
              <w:rPr>
                <w:rFonts w:ascii="Verdana" w:hAnsi="Verdana" w:cstheme="minorHAnsi"/>
                <w:sz w:val="20"/>
                <w:szCs w:val="20"/>
              </w:rPr>
              <w:t>Supporting</w:t>
            </w:r>
            <w:proofErr w:type="spellEnd"/>
            <w:r w:rsidRPr="00751B8C">
              <w:rPr>
                <w:rFonts w:ascii="Verdana" w:hAnsi="Verdana" w:cstheme="minorHAnsi"/>
                <w:sz w:val="20"/>
                <w:szCs w:val="20"/>
              </w:rPr>
              <w:t xml:space="preserve"> the </w:t>
            </w:r>
            <w:proofErr w:type="spellStart"/>
            <w:r w:rsidRPr="00751B8C">
              <w:rPr>
                <w:rFonts w:ascii="Verdana" w:hAnsi="Verdana" w:cstheme="minorHAnsi"/>
                <w:sz w:val="20"/>
                <w:szCs w:val="20"/>
              </w:rPr>
              <w:t>Monitoring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Committee</w:t>
            </w:r>
            <w:proofErr w:type="spellEnd"/>
            <w:r w:rsidRPr="00751B8C">
              <w:rPr>
                <w:rFonts w:ascii="Verdana" w:hAnsi="Verdana" w:cstheme="minorHAnsi"/>
                <w:sz w:val="20"/>
                <w:szCs w:val="20"/>
              </w:rPr>
              <w:t xml:space="preserve">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5.6. Sostegno al comitato di monitoraggio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5.7. Procurement of goods and services under Technical Assistance</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5.7. Acquisto di beni e servizi nell’ambito dell’assistenza tecnica</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6. Evaluation</w:t>
            </w: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6.1. Preparing and guiding the evaluation process (outsourced)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6. Valutazione</w:t>
            </w: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6.1. Preparazione e orientamento del processo di valutazione (esternalizzato)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 xml:space="preserve">6.2. </w:t>
            </w:r>
            <w:proofErr w:type="spellStart"/>
            <w:r w:rsidRPr="00751B8C">
              <w:rPr>
                <w:rFonts w:ascii="Verdana" w:hAnsi="Verdana" w:cstheme="minorHAnsi"/>
                <w:sz w:val="20"/>
                <w:szCs w:val="20"/>
              </w:rPr>
              <w:t>Carrying</w:t>
            </w:r>
            <w:proofErr w:type="spellEnd"/>
            <w:r w:rsidRPr="00751B8C">
              <w:rPr>
                <w:rFonts w:ascii="Verdana" w:hAnsi="Verdana" w:cstheme="minorHAnsi"/>
                <w:sz w:val="20"/>
                <w:szCs w:val="20"/>
              </w:rPr>
              <w:t xml:space="preserve"> out </w:t>
            </w:r>
            <w:proofErr w:type="spellStart"/>
            <w:r w:rsidRPr="00751B8C">
              <w:rPr>
                <w:rFonts w:ascii="Verdana" w:hAnsi="Verdana" w:cstheme="minorHAnsi"/>
                <w:sz w:val="20"/>
                <w:szCs w:val="20"/>
              </w:rPr>
              <w:t>evaluation</w:t>
            </w:r>
            <w:proofErr w:type="spellEnd"/>
            <w:r w:rsidRPr="00751B8C">
              <w:rPr>
                <w:rFonts w:ascii="Verdana" w:hAnsi="Verdana" w:cstheme="minorHAnsi"/>
                <w:sz w:val="20"/>
                <w:szCs w:val="20"/>
              </w:rPr>
              <w:t xml:space="preserve">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6.2. Svolgimento della valutazione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6.3. Usage of results: involved in the identification and implementation of follow up actions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6.3. Utilizzo dei risultati: coinvolti nell’individuazione e nell’attuazione di azioni successive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6.4. Procurement of goods and services under Technical Assistance</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6.4. Acquisto di beni e servizi nell’ambito dell’assistenza tecnica</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 xml:space="preserve">6.5. Ex-ante </w:t>
            </w:r>
            <w:proofErr w:type="spellStart"/>
            <w:r w:rsidRPr="00751B8C">
              <w:rPr>
                <w:rFonts w:ascii="Verdana" w:hAnsi="Verdana" w:cstheme="minorHAnsi"/>
                <w:sz w:val="20"/>
                <w:szCs w:val="20"/>
              </w:rPr>
              <w:t>conditionalities</w:t>
            </w:r>
            <w:proofErr w:type="spellEnd"/>
            <w:r w:rsidRPr="00751B8C">
              <w:rPr>
                <w:rFonts w:ascii="Verdana" w:hAnsi="Verdana" w:cstheme="minorHAnsi"/>
                <w:sz w:val="20"/>
                <w:szCs w:val="20"/>
              </w:rPr>
              <w:t xml:space="preserve">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6.5. Condizionalità ex ante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 xml:space="preserve">7. Financial management on </w:t>
            </w:r>
            <w:proofErr w:type="spellStart"/>
            <w:r w:rsidRPr="00751B8C">
              <w:rPr>
                <w:rFonts w:ascii="Verdana" w:hAnsi="Verdana" w:cstheme="minorHAnsi"/>
                <w:sz w:val="20"/>
                <w:szCs w:val="20"/>
              </w:rPr>
              <w:t>project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level</w:t>
            </w:r>
            <w:proofErr w:type="spellEnd"/>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7.1. Verification of payment claims and first level control reports at project level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7. Gestione finanziaria a livello di progetto</w:t>
            </w: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7.1. Verifica delle domande di pagamento e dei rapporti di controllo di primo </w:t>
            </w:r>
            <w:proofErr w:type="gramStart"/>
            <w:r>
              <w:rPr>
                <w:rFonts w:ascii="Verdana" w:hAnsi="Verdana" w:cstheme="minorHAnsi"/>
                <w:sz w:val="20"/>
              </w:rPr>
              <w:t>livello a livello</w:t>
            </w:r>
            <w:proofErr w:type="gramEnd"/>
            <w:r>
              <w:rPr>
                <w:rFonts w:ascii="Verdana" w:hAnsi="Verdana" w:cstheme="minorHAnsi"/>
                <w:sz w:val="20"/>
              </w:rPr>
              <w:t xml:space="preserve"> di progetto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7.2. Financial monitoring and on the spot verifications at project level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7.2. Monitoraggio finanziario e verifiche in loco a livello di progetto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7.3. Procurement of goods and services under Technical Assistance</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7.3. Acquisto di beni e servizi nell’ambito dell’assistenza tecnica</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lastRenderedPageBreak/>
              <w:t xml:space="preserve">8. Financial management on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level</w:t>
            </w:r>
            <w:proofErr w:type="spellEnd"/>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8.1. Measurement of the financial performance of PA/Measure (planning, monitoring, forecasting, revising)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8. Gestione finanziaria a livello di programma</w:t>
            </w: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8.1. Misurazione dei risultati finanziari </w:t>
            </w:r>
            <w:r w:rsidR="000760F2" w:rsidRPr="009826EF">
              <w:rPr>
                <w:rFonts w:ascii="Verdana" w:hAnsi="Verdana" w:cstheme="minorHAnsi"/>
                <w:sz w:val="20"/>
              </w:rPr>
              <w:t>dell'asse prioritario</w:t>
            </w:r>
            <w:r>
              <w:rPr>
                <w:rFonts w:ascii="Verdana" w:hAnsi="Verdana" w:cstheme="minorHAnsi"/>
                <w:sz w:val="20"/>
              </w:rPr>
              <w:t xml:space="preserve">/Misura (pianificazione, monitoraggio, previsione, </w:t>
            </w:r>
            <w:proofErr w:type="gramStart"/>
            <w:r>
              <w:rPr>
                <w:rFonts w:ascii="Verdana" w:hAnsi="Verdana" w:cstheme="minorHAnsi"/>
                <w:sz w:val="20"/>
              </w:rPr>
              <w:t>revisione</w:t>
            </w:r>
            <w:proofErr w:type="gramEnd"/>
            <w:r>
              <w:rPr>
                <w:rFonts w:ascii="Verdana" w:hAnsi="Verdana" w:cstheme="minorHAnsi"/>
                <w:sz w:val="20"/>
              </w:rPr>
              <w:t xml:space="preserve">) </w:t>
            </w:r>
          </w:p>
        </w:tc>
      </w:tr>
      <w:tr w:rsidR="00AC3452" w:rsidRPr="00751B8C" w:rsidTr="00757D2E">
        <w:trPr>
          <w:trHeight w:val="683"/>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8.2. Financial management of Operational Programme (planning, monitoring, forecasting, revising and corrective actions)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8.2. Gestione finanziaria del programma operativo (pianificazione, monitoraggio, previsione, </w:t>
            </w:r>
            <w:proofErr w:type="gramStart"/>
            <w:r>
              <w:rPr>
                <w:rFonts w:ascii="Verdana" w:hAnsi="Verdana" w:cstheme="minorHAnsi"/>
                <w:sz w:val="20"/>
              </w:rPr>
              <w:t>revisione</w:t>
            </w:r>
            <w:proofErr w:type="gramEnd"/>
            <w:r>
              <w:rPr>
                <w:rFonts w:ascii="Verdana" w:hAnsi="Verdana" w:cstheme="minorHAnsi"/>
                <w:sz w:val="20"/>
              </w:rPr>
              <w:t xml:space="preserve"> e azioni correttive)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8.3. Reporting to Monitoring Committee and European Commission including management declaration and annual summary (CPR 125.4(e)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8.3. Attività di relazione al comitato di monitoraggio e alla Commissione europea, compresa la dichiarazione sulla gestione e la sintesi annuale [CPR 125.4</w:t>
            </w:r>
            <w:proofErr w:type="gramStart"/>
            <w:r>
              <w:rPr>
                <w:rFonts w:ascii="Verdana" w:hAnsi="Verdana" w:cstheme="minorHAnsi"/>
                <w:sz w:val="20"/>
              </w:rPr>
              <w:t>(</w:t>
            </w:r>
            <w:proofErr w:type="gramEnd"/>
            <w:r>
              <w:rPr>
                <w:rFonts w:ascii="Verdana" w:hAnsi="Verdana" w:cstheme="minorHAnsi"/>
                <w:sz w:val="20"/>
              </w:rPr>
              <w:t xml:space="preserve">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8.4. Development and amendment of financial management procedures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8.4. Sviluppo e modifica delle procedure di monitoraggio finanziario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8.5. Procurement of goods and services under Technical Assistance</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8.5. Acquisto di beni e servizi nell’ambito dell’assistenza tecnica</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r w:rsidRPr="00751B8C">
              <w:rPr>
                <w:rFonts w:ascii="Verdana" w:hAnsi="Verdana" w:cstheme="minorHAnsi"/>
                <w:sz w:val="20"/>
                <w:szCs w:val="20"/>
              </w:rPr>
              <w:t xml:space="preserve">9. </w:t>
            </w:r>
            <w:proofErr w:type="spellStart"/>
            <w:r w:rsidRPr="00751B8C">
              <w:rPr>
                <w:rFonts w:ascii="Verdana" w:hAnsi="Verdana" w:cstheme="minorHAnsi"/>
                <w:sz w:val="20"/>
                <w:szCs w:val="20"/>
              </w:rPr>
              <w:t>Communication</w:t>
            </w:r>
            <w:proofErr w:type="spellEnd"/>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9.1. Preparation of the communication plan and its implementation for different stakeholders </w:t>
            </w:r>
          </w:p>
        </w:tc>
        <w:tc>
          <w:tcPr>
            <w:tcW w:w="1145"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9. Comunicazione</w:t>
            </w: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9.1. Preparazione del piano di comunicazione e sua attuazione per diverse parti interessate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9.2. Building networks with different media </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 xml:space="preserve">9.2. Realizzazione di reti con diversi media </w:t>
            </w:r>
          </w:p>
        </w:tc>
      </w:tr>
      <w:tr w:rsidR="00AC3452" w:rsidRPr="00751B8C" w:rsidTr="00757D2E">
        <w:trPr>
          <w:trHeight w:val="318"/>
        </w:trPr>
        <w:tc>
          <w:tcPr>
            <w:tcW w:w="902" w:type="pct"/>
            <w:shd w:val="clear" w:color="000000" w:fill="FFFFFF"/>
            <w:vAlign w:val="center"/>
          </w:tcPr>
          <w:p w:rsidR="00AC3452" w:rsidRPr="00751B8C" w:rsidRDefault="00AC3452" w:rsidP="00906C2F">
            <w:pPr>
              <w:spacing w:after="0"/>
              <w:rPr>
                <w:rFonts w:ascii="Verdana" w:hAnsi="Verdana" w:cstheme="minorHAnsi"/>
                <w:sz w:val="20"/>
                <w:szCs w:val="20"/>
              </w:rPr>
            </w:pPr>
          </w:p>
        </w:tc>
        <w:tc>
          <w:tcPr>
            <w:tcW w:w="1702" w:type="pct"/>
            <w:shd w:val="clear" w:color="000000" w:fill="FFFFFF"/>
            <w:vAlign w:val="center"/>
          </w:tcPr>
          <w:p w:rsidR="00AC3452" w:rsidRPr="00F355E4" w:rsidRDefault="00AC3452" w:rsidP="00906C2F">
            <w:pPr>
              <w:spacing w:after="0"/>
              <w:rPr>
                <w:rFonts w:ascii="Verdana" w:hAnsi="Verdana" w:cstheme="minorHAnsi"/>
                <w:sz w:val="20"/>
                <w:szCs w:val="20"/>
                <w:lang w:val="en-GB"/>
              </w:rPr>
            </w:pPr>
            <w:r w:rsidRPr="00F355E4">
              <w:rPr>
                <w:rFonts w:ascii="Verdana" w:hAnsi="Verdana" w:cstheme="minorHAnsi"/>
                <w:sz w:val="20"/>
                <w:szCs w:val="20"/>
                <w:lang w:val="en-GB"/>
              </w:rPr>
              <w:t>9.3. Procurement of goods and services under Technical Assistance</w:t>
            </w:r>
          </w:p>
        </w:tc>
        <w:tc>
          <w:tcPr>
            <w:tcW w:w="1145" w:type="pct"/>
            <w:shd w:val="clear" w:color="000000" w:fill="FFFFFF"/>
            <w:vAlign w:val="center"/>
          </w:tcPr>
          <w:p w:rsidR="00AC3452" w:rsidRPr="00F355E4" w:rsidRDefault="00AC3452" w:rsidP="00906C2F">
            <w:pPr>
              <w:spacing w:after="0"/>
              <w:rPr>
                <w:rFonts w:ascii="Verdana" w:hAnsi="Verdana" w:cstheme="minorHAnsi"/>
                <w:sz w:val="20"/>
                <w:szCs w:val="20"/>
                <w:lang w:val="en-GB"/>
              </w:rPr>
            </w:pPr>
          </w:p>
        </w:tc>
        <w:tc>
          <w:tcPr>
            <w:tcW w:w="1251" w:type="pct"/>
            <w:shd w:val="clear" w:color="000000" w:fill="FFFFFF"/>
            <w:vAlign w:val="center"/>
          </w:tcPr>
          <w:p w:rsidR="00AC3452" w:rsidRPr="00751B8C" w:rsidRDefault="00AC3452" w:rsidP="00906C2F">
            <w:pPr>
              <w:spacing w:after="0"/>
              <w:rPr>
                <w:rFonts w:ascii="Verdana" w:hAnsi="Verdana" w:cstheme="minorHAnsi"/>
                <w:sz w:val="20"/>
                <w:szCs w:val="20"/>
              </w:rPr>
            </w:pPr>
            <w:r>
              <w:rPr>
                <w:rFonts w:ascii="Verdana" w:hAnsi="Verdana" w:cstheme="minorHAnsi"/>
                <w:sz w:val="20"/>
              </w:rPr>
              <w:t>9.3. Acquisto di beni e servizi nell’ambito dell’assistenza tecnica</w:t>
            </w:r>
          </w:p>
        </w:tc>
      </w:tr>
      <w:tr w:rsidR="00AC3452" w:rsidRPr="00751B8C" w:rsidTr="00B73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C3452" w:rsidRPr="00F355E4" w:rsidRDefault="00AC3452" w:rsidP="00906C2F">
            <w:pPr>
              <w:shd w:val="clear" w:color="auto" w:fill="FFFFFF" w:themeFill="background1"/>
              <w:ind w:left="175"/>
              <w:rPr>
                <w:rFonts w:ascii="Verdana" w:hAnsi="Verdana"/>
                <w:sz w:val="20"/>
                <w:szCs w:val="20"/>
                <w:lang w:val="en-GB"/>
              </w:rPr>
            </w:pPr>
            <w:r w:rsidRPr="00F355E4">
              <w:rPr>
                <w:rFonts w:ascii="Verdana" w:hAnsi="Verdana" w:cstheme="minorHAnsi"/>
                <w:sz w:val="20"/>
                <w:szCs w:val="20"/>
                <w:lang w:val="en-GB"/>
              </w:rPr>
              <w:t xml:space="preserve">10. Supervision of </w:t>
            </w:r>
            <w:r w:rsidRPr="00F355E4">
              <w:rPr>
                <w:rFonts w:ascii="Verdana" w:hAnsi="Verdana" w:cstheme="minorHAnsi"/>
                <w:sz w:val="20"/>
                <w:szCs w:val="20"/>
                <w:lang w:val="en-GB"/>
              </w:rPr>
              <w:lastRenderedPageBreak/>
              <w:t>Intermediate bodies (IBs)</w:t>
            </w: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F355E4" w:rsidRDefault="00AC3452" w:rsidP="00906C2F">
            <w:pPr>
              <w:spacing w:after="0"/>
              <w:ind w:left="180"/>
              <w:rPr>
                <w:rFonts w:ascii="Verdana" w:hAnsi="Verdana" w:cstheme="minorHAnsi"/>
                <w:sz w:val="20"/>
                <w:szCs w:val="20"/>
                <w:lang w:val="en-GB"/>
              </w:rPr>
            </w:pPr>
            <w:r w:rsidRPr="00F355E4">
              <w:rPr>
                <w:rFonts w:ascii="Verdana" w:hAnsi="Verdana" w:cstheme="minorHAnsi"/>
                <w:sz w:val="20"/>
                <w:szCs w:val="20"/>
                <w:lang w:val="en-GB"/>
              </w:rPr>
              <w:lastRenderedPageBreak/>
              <w:t xml:space="preserve">1. Supporting IBs in setting-up the </w:t>
            </w:r>
            <w:r w:rsidRPr="00F355E4">
              <w:rPr>
                <w:rFonts w:ascii="Verdana" w:hAnsi="Verdana" w:cstheme="minorHAnsi"/>
                <w:sz w:val="20"/>
                <w:szCs w:val="20"/>
                <w:lang w:val="en-GB"/>
              </w:rPr>
              <w:lastRenderedPageBreak/>
              <w:t>management and control system</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C3452" w:rsidRPr="00751B8C" w:rsidRDefault="00AC3452" w:rsidP="00906C2F">
            <w:pPr>
              <w:shd w:val="clear" w:color="auto" w:fill="FFFFFF" w:themeFill="background1"/>
              <w:ind w:left="175"/>
              <w:rPr>
                <w:rFonts w:ascii="Verdana" w:hAnsi="Verdana"/>
                <w:sz w:val="20"/>
                <w:szCs w:val="20"/>
              </w:rPr>
            </w:pPr>
            <w:r>
              <w:rPr>
                <w:rFonts w:ascii="Verdana" w:hAnsi="Verdana" w:cstheme="minorHAnsi"/>
                <w:sz w:val="20"/>
              </w:rPr>
              <w:lastRenderedPageBreak/>
              <w:t xml:space="preserve">10. Supervisione degli </w:t>
            </w:r>
            <w:r>
              <w:rPr>
                <w:rFonts w:ascii="Verdana" w:hAnsi="Verdana" w:cstheme="minorHAnsi"/>
                <w:sz w:val="20"/>
              </w:rPr>
              <w:lastRenderedPageBreak/>
              <w:t>organismi intermedi</w:t>
            </w: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751B8C" w:rsidRDefault="00AC3452" w:rsidP="00906C2F">
            <w:pPr>
              <w:spacing w:after="0"/>
              <w:ind w:left="180"/>
              <w:rPr>
                <w:rFonts w:ascii="Verdana" w:hAnsi="Verdana" w:cstheme="minorHAnsi"/>
                <w:sz w:val="20"/>
                <w:szCs w:val="20"/>
              </w:rPr>
            </w:pPr>
            <w:r>
              <w:rPr>
                <w:rFonts w:ascii="Verdana" w:hAnsi="Verdana" w:cstheme="minorHAnsi"/>
                <w:sz w:val="20"/>
              </w:rPr>
              <w:lastRenderedPageBreak/>
              <w:t xml:space="preserve">1. Sostegno agli organismi </w:t>
            </w:r>
            <w:r>
              <w:rPr>
                <w:rFonts w:ascii="Verdana" w:hAnsi="Verdana" w:cstheme="minorHAnsi"/>
                <w:sz w:val="20"/>
              </w:rPr>
              <w:lastRenderedPageBreak/>
              <w:t>intermedi nell’impostazione del sistema di gestione e di controllo</w:t>
            </w:r>
          </w:p>
        </w:tc>
      </w:tr>
      <w:tr w:rsidR="00AC3452" w:rsidRPr="00751B8C" w:rsidTr="00B73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C3452" w:rsidRPr="00751B8C" w:rsidRDefault="00AC3452" w:rsidP="00906C2F">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F355E4" w:rsidRDefault="00AC3452" w:rsidP="00906C2F">
            <w:pPr>
              <w:spacing w:after="0"/>
              <w:ind w:left="180"/>
              <w:rPr>
                <w:rFonts w:ascii="Verdana" w:hAnsi="Verdana" w:cstheme="minorHAnsi"/>
                <w:sz w:val="20"/>
                <w:szCs w:val="20"/>
                <w:lang w:val="en-GB"/>
              </w:rPr>
            </w:pPr>
            <w:r w:rsidRPr="00F355E4">
              <w:rPr>
                <w:rFonts w:ascii="Verdana" w:hAnsi="Verdana" w:cstheme="minorHAnsi"/>
                <w:sz w:val="20"/>
                <w:szCs w:val="20"/>
                <w:lang w:val="en-GB"/>
              </w:rPr>
              <w:t xml:space="preserve">2. Drafting of the delegation agreement </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C3452" w:rsidRPr="00F355E4" w:rsidRDefault="00AC3452" w:rsidP="00906C2F">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751B8C" w:rsidRDefault="00AC3452" w:rsidP="00906C2F">
            <w:pPr>
              <w:spacing w:after="0"/>
              <w:ind w:left="180"/>
              <w:rPr>
                <w:rFonts w:ascii="Verdana" w:hAnsi="Verdana" w:cstheme="minorHAnsi"/>
                <w:sz w:val="20"/>
                <w:szCs w:val="20"/>
              </w:rPr>
            </w:pPr>
            <w:r>
              <w:rPr>
                <w:rFonts w:ascii="Verdana" w:hAnsi="Verdana" w:cstheme="minorHAnsi"/>
                <w:sz w:val="20"/>
              </w:rPr>
              <w:t xml:space="preserve">2. Redazione dell’accordo di delega </w:t>
            </w:r>
          </w:p>
        </w:tc>
      </w:tr>
      <w:tr w:rsidR="00AC3452" w:rsidRPr="00751B8C" w:rsidTr="001F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C3452" w:rsidRPr="00751B8C" w:rsidRDefault="00AC3452" w:rsidP="00906C2F">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F355E4" w:rsidRDefault="00AC3452" w:rsidP="00906C2F">
            <w:pPr>
              <w:spacing w:after="0"/>
              <w:ind w:left="180"/>
              <w:rPr>
                <w:rFonts w:ascii="Verdana" w:hAnsi="Verdana" w:cstheme="minorHAnsi"/>
                <w:sz w:val="20"/>
                <w:szCs w:val="20"/>
                <w:lang w:val="en-GB"/>
              </w:rPr>
            </w:pPr>
            <w:r w:rsidRPr="00F355E4">
              <w:rPr>
                <w:rFonts w:ascii="Verdana" w:hAnsi="Verdana" w:cstheme="minorHAnsi"/>
                <w:sz w:val="20"/>
                <w:szCs w:val="20"/>
                <w:lang w:val="en-GB"/>
              </w:rPr>
              <w:t>3. Planning of the audit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C3452" w:rsidRPr="00F355E4" w:rsidRDefault="00AC3452" w:rsidP="00906C2F">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751B8C" w:rsidRDefault="00AC3452" w:rsidP="00906C2F">
            <w:pPr>
              <w:spacing w:after="0"/>
              <w:ind w:left="180"/>
              <w:rPr>
                <w:rFonts w:ascii="Verdana" w:hAnsi="Verdana" w:cstheme="minorHAnsi"/>
                <w:sz w:val="20"/>
                <w:szCs w:val="20"/>
              </w:rPr>
            </w:pPr>
            <w:r>
              <w:rPr>
                <w:rFonts w:ascii="Verdana" w:hAnsi="Verdana" w:cstheme="minorHAnsi"/>
                <w:sz w:val="20"/>
              </w:rPr>
              <w:t>3. Pianificazione dell’audit degli organismi intermedi</w:t>
            </w:r>
          </w:p>
        </w:tc>
      </w:tr>
      <w:tr w:rsidR="00AC3452" w:rsidRPr="00751B8C" w:rsidTr="001F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C3452" w:rsidRPr="00751B8C" w:rsidRDefault="00AC3452" w:rsidP="00906C2F">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F355E4" w:rsidRDefault="00AC3452" w:rsidP="00906C2F">
            <w:pPr>
              <w:spacing w:after="0"/>
              <w:ind w:left="180"/>
              <w:rPr>
                <w:rFonts w:ascii="Verdana" w:hAnsi="Verdana" w:cstheme="minorHAnsi"/>
                <w:sz w:val="20"/>
                <w:szCs w:val="20"/>
                <w:lang w:val="en-GB"/>
              </w:rPr>
            </w:pPr>
            <w:r w:rsidRPr="00F355E4">
              <w:rPr>
                <w:rFonts w:ascii="Verdana" w:hAnsi="Verdana" w:cstheme="minorHAnsi"/>
                <w:sz w:val="20"/>
                <w:szCs w:val="20"/>
                <w:lang w:val="en-GB"/>
              </w:rPr>
              <w:t>4. Audit of the management and control system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C3452" w:rsidRPr="00F355E4" w:rsidRDefault="00AC3452" w:rsidP="00906C2F">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751B8C" w:rsidRDefault="00AC3452" w:rsidP="00906C2F">
            <w:pPr>
              <w:spacing w:after="0"/>
              <w:ind w:left="180"/>
              <w:rPr>
                <w:rFonts w:ascii="Verdana" w:hAnsi="Verdana" w:cstheme="minorHAnsi"/>
                <w:sz w:val="20"/>
                <w:szCs w:val="20"/>
              </w:rPr>
            </w:pPr>
            <w:r>
              <w:rPr>
                <w:rFonts w:ascii="Verdana" w:hAnsi="Verdana" w:cstheme="minorHAnsi"/>
                <w:sz w:val="20"/>
              </w:rPr>
              <w:t>4. Audit del sistema di gestione e controllo degli organismi intermedi</w:t>
            </w:r>
          </w:p>
        </w:tc>
      </w:tr>
      <w:tr w:rsidR="00AC3452" w:rsidRPr="00751B8C" w:rsidTr="001F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C3452" w:rsidRPr="00751B8C" w:rsidRDefault="00AC3452" w:rsidP="00906C2F">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F355E4" w:rsidRDefault="00AC3452" w:rsidP="00906C2F">
            <w:pPr>
              <w:spacing w:after="0"/>
              <w:ind w:left="180"/>
              <w:rPr>
                <w:rFonts w:ascii="Verdana" w:hAnsi="Verdana" w:cstheme="minorHAnsi"/>
                <w:sz w:val="20"/>
                <w:szCs w:val="20"/>
                <w:lang w:val="en-GB"/>
              </w:rPr>
            </w:pPr>
            <w:r w:rsidRPr="00F355E4">
              <w:rPr>
                <w:rFonts w:ascii="Verdana" w:hAnsi="Verdana" w:cstheme="minorHAnsi"/>
                <w:sz w:val="20"/>
                <w:szCs w:val="20"/>
                <w:lang w:val="en-GB"/>
              </w:rPr>
              <w:t>5. Regular review of results reported by IB</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C3452" w:rsidRPr="00F355E4" w:rsidRDefault="00AC3452" w:rsidP="00906C2F">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751B8C" w:rsidRDefault="00AC3452" w:rsidP="00906C2F">
            <w:pPr>
              <w:spacing w:after="0"/>
              <w:ind w:left="180"/>
              <w:rPr>
                <w:rFonts w:ascii="Verdana" w:hAnsi="Verdana" w:cstheme="minorHAnsi"/>
                <w:sz w:val="20"/>
                <w:szCs w:val="20"/>
              </w:rPr>
            </w:pPr>
            <w:r>
              <w:rPr>
                <w:rFonts w:ascii="Verdana" w:hAnsi="Verdana" w:cstheme="minorHAnsi"/>
                <w:sz w:val="20"/>
              </w:rPr>
              <w:t xml:space="preserve">5. </w:t>
            </w:r>
            <w:proofErr w:type="gramStart"/>
            <w:r>
              <w:rPr>
                <w:rFonts w:ascii="Verdana" w:hAnsi="Verdana" w:cstheme="minorHAnsi"/>
                <w:sz w:val="20"/>
              </w:rPr>
              <w:t>Revisione</w:t>
            </w:r>
            <w:proofErr w:type="gramEnd"/>
            <w:r>
              <w:rPr>
                <w:rFonts w:ascii="Verdana" w:hAnsi="Verdana" w:cstheme="minorHAnsi"/>
                <w:sz w:val="20"/>
              </w:rPr>
              <w:t xml:space="preserve"> periodica delle relazioni trasmesse dall’organismo intermedio</w:t>
            </w:r>
          </w:p>
        </w:tc>
      </w:tr>
      <w:tr w:rsidR="00AC3452" w:rsidRPr="00751B8C" w:rsidTr="001F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C3452" w:rsidRPr="00751B8C" w:rsidRDefault="00AC3452" w:rsidP="00906C2F">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F355E4" w:rsidRDefault="00AC3452" w:rsidP="00906C2F">
            <w:pPr>
              <w:spacing w:after="0"/>
              <w:ind w:left="180"/>
              <w:rPr>
                <w:rFonts w:ascii="Verdana" w:hAnsi="Verdana" w:cstheme="minorHAnsi"/>
                <w:sz w:val="20"/>
                <w:szCs w:val="20"/>
                <w:lang w:val="en-GB"/>
              </w:rPr>
            </w:pPr>
            <w:r w:rsidRPr="00F355E4">
              <w:rPr>
                <w:rFonts w:ascii="Verdana" w:hAnsi="Verdana" w:cstheme="minorHAnsi"/>
                <w:sz w:val="20"/>
                <w:szCs w:val="20"/>
                <w:lang w:val="en-GB"/>
              </w:rPr>
              <w:t>6. Review of a sample of operations carried out under the responsibility of the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C3452" w:rsidRPr="00F355E4" w:rsidRDefault="00AC3452" w:rsidP="00906C2F">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751B8C" w:rsidRDefault="00AC3452" w:rsidP="00906C2F">
            <w:pPr>
              <w:spacing w:after="0"/>
              <w:ind w:left="180"/>
              <w:rPr>
                <w:rFonts w:ascii="Verdana" w:hAnsi="Verdana" w:cstheme="minorHAnsi"/>
                <w:sz w:val="20"/>
                <w:szCs w:val="20"/>
              </w:rPr>
            </w:pPr>
            <w:r>
              <w:rPr>
                <w:rFonts w:ascii="Verdana" w:hAnsi="Verdana" w:cstheme="minorHAnsi"/>
                <w:sz w:val="20"/>
              </w:rPr>
              <w:t xml:space="preserve">6. </w:t>
            </w:r>
            <w:proofErr w:type="gramStart"/>
            <w:r>
              <w:rPr>
                <w:rFonts w:ascii="Verdana" w:hAnsi="Verdana" w:cstheme="minorHAnsi"/>
                <w:sz w:val="20"/>
              </w:rPr>
              <w:t>Revisione</w:t>
            </w:r>
            <w:proofErr w:type="gramEnd"/>
            <w:r>
              <w:rPr>
                <w:rFonts w:ascii="Verdana" w:hAnsi="Verdana" w:cstheme="minorHAnsi"/>
                <w:sz w:val="20"/>
              </w:rPr>
              <w:t xml:space="preserve"> di un campione di operazioni svolte nell’ambito della responsabilità degli organismi intermedi</w:t>
            </w:r>
          </w:p>
        </w:tc>
      </w:tr>
      <w:tr w:rsidR="00AC3452" w:rsidRPr="00751B8C" w:rsidTr="001F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C3452" w:rsidRPr="00751B8C" w:rsidRDefault="00AC3452" w:rsidP="00906C2F">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F355E4" w:rsidRDefault="00AC3452" w:rsidP="00906C2F">
            <w:pPr>
              <w:spacing w:after="0"/>
              <w:ind w:left="180"/>
              <w:rPr>
                <w:rFonts w:ascii="Verdana" w:hAnsi="Verdana" w:cstheme="minorHAnsi"/>
                <w:sz w:val="20"/>
                <w:szCs w:val="20"/>
                <w:lang w:val="en-GB"/>
              </w:rPr>
            </w:pPr>
            <w:r w:rsidRPr="00F355E4">
              <w:rPr>
                <w:rFonts w:ascii="Verdana" w:hAnsi="Verdana" w:cstheme="minorHAnsi"/>
                <w:sz w:val="20"/>
                <w:szCs w:val="20"/>
                <w:lang w:val="en-GB"/>
              </w:rPr>
              <w:t>7. Drafting of procedures and guidelines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C3452" w:rsidRPr="00F355E4" w:rsidRDefault="00AC3452" w:rsidP="00906C2F">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751B8C" w:rsidRDefault="00AC3452" w:rsidP="00906C2F">
            <w:pPr>
              <w:spacing w:after="0"/>
              <w:ind w:left="180"/>
              <w:rPr>
                <w:rFonts w:ascii="Verdana" w:hAnsi="Verdana" w:cstheme="minorHAnsi"/>
                <w:sz w:val="20"/>
                <w:szCs w:val="20"/>
              </w:rPr>
            </w:pPr>
            <w:r>
              <w:rPr>
                <w:rFonts w:ascii="Verdana" w:hAnsi="Verdana" w:cstheme="minorHAnsi"/>
                <w:sz w:val="20"/>
              </w:rPr>
              <w:t>7. Redazione di procedure e orientamenti</w:t>
            </w:r>
          </w:p>
        </w:tc>
      </w:tr>
      <w:tr w:rsidR="00AC3452" w:rsidRPr="00751B8C" w:rsidTr="001F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C3452" w:rsidRPr="00751B8C" w:rsidRDefault="00AC3452" w:rsidP="00906C2F">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F355E4" w:rsidRDefault="00AC3452" w:rsidP="00906C2F">
            <w:pPr>
              <w:spacing w:after="0"/>
              <w:ind w:left="180"/>
              <w:rPr>
                <w:rFonts w:ascii="Verdana" w:hAnsi="Verdana" w:cstheme="minorHAnsi"/>
                <w:sz w:val="20"/>
                <w:szCs w:val="20"/>
                <w:lang w:val="en-GB"/>
              </w:rPr>
            </w:pPr>
            <w:r w:rsidRPr="00F355E4">
              <w:rPr>
                <w:rFonts w:ascii="Verdana" w:hAnsi="Verdana" w:cstheme="minorHAnsi"/>
                <w:sz w:val="20"/>
                <w:szCs w:val="20"/>
                <w:lang w:val="en-GB"/>
              </w:rPr>
              <w:t>8. Procurement of goods and services under Technical Assistance</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C3452" w:rsidRPr="00F355E4" w:rsidRDefault="00AC3452" w:rsidP="00906C2F">
            <w:pPr>
              <w:shd w:val="clear" w:color="auto" w:fill="FFFFFF" w:themeFill="background1"/>
              <w:rPr>
                <w:rFonts w:ascii="Verdana" w:hAnsi="Verdana"/>
                <w:sz w:val="20"/>
                <w:szCs w:val="20"/>
                <w:lang w:val="en-GB"/>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751B8C" w:rsidRDefault="00AC3452" w:rsidP="00906C2F">
            <w:pPr>
              <w:spacing w:after="0"/>
              <w:ind w:left="180"/>
              <w:rPr>
                <w:rFonts w:ascii="Verdana" w:hAnsi="Verdana" w:cstheme="minorHAnsi"/>
                <w:sz w:val="20"/>
                <w:szCs w:val="20"/>
              </w:rPr>
            </w:pPr>
            <w:r>
              <w:rPr>
                <w:rFonts w:ascii="Verdana" w:hAnsi="Verdana" w:cstheme="minorHAnsi"/>
                <w:sz w:val="20"/>
              </w:rPr>
              <w:t>8. Acquisto di beni e servizi nell’ambito dell’assistenza tecnica</w:t>
            </w:r>
          </w:p>
        </w:tc>
      </w:tr>
      <w:tr w:rsidR="00AC3452" w:rsidRPr="00751B8C" w:rsidTr="001F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AC3452" w:rsidRPr="00751B8C" w:rsidRDefault="00AC3452" w:rsidP="00906C2F">
            <w:pPr>
              <w:jc w:val="center"/>
              <w:rPr>
                <w:rFonts w:ascii="Verdana" w:hAnsi="Verdana"/>
                <w:color w:val="FF0000"/>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751B8C" w:rsidRDefault="00AC3452" w:rsidP="00906C2F">
            <w:pPr>
              <w:spacing w:after="0"/>
              <w:ind w:left="180"/>
              <w:rPr>
                <w:rFonts w:ascii="Verdana" w:hAnsi="Verdana" w:cstheme="minorHAnsi"/>
                <w:sz w:val="20"/>
                <w:szCs w:val="20"/>
              </w:rPr>
            </w:pPr>
            <w:r w:rsidRPr="00751B8C">
              <w:rPr>
                <w:rFonts w:ascii="Verdana" w:hAnsi="Verdana" w:cstheme="minorHAnsi"/>
                <w:sz w:val="20"/>
                <w:szCs w:val="20"/>
              </w:rPr>
              <w:t xml:space="preserve">9. </w:t>
            </w:r>
            <w:proofErr w:type="spellStart"/>
            <w:r w:rsidRPr="00751B8C">
              <w:rPr>
                <w:rFonts w:ascii="Verdana" w:hAnsi="Verdana" w:cstheme="minorHAnsi"/>
                <w:sz w:val="20"/>
                <w:szCs w:val="20"/>
              </w:rPr>
              <w:t>Ongoing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support</w:t>
            </w:r>
            <w:proofErr w:type="spellEnd"/>
            <w:r w:rsidRPr="00751B8C">
              <w:rPr>
                <w:rFonts w:ascii="Verdana" w:hAnsi="Verdana" w:cstheme="minorHAnsi"/>
                <w:sz w:val="20"/>
                <w:szCs w:val="20"/>
              </w:rPr>
              <w:t xml:space="preserve"> to </w:t>
            </w:r>
            <w:proofErr w:type="spellStart"/>
            <w:r w:rsidRPr="00751B8C">
              <w:rPr>
                <w:rFonts w:ascii="Verdana" w:hAnsi="Verdana" w:cstheme="minorHAnsi"/>
                <w:sz w:val="20"/>
                <w:szCs w:val="20"/>
              </w:rPr>
              <w:t>IBs</w:t>
            </w:r>
            <w:proofErr w:type="spellEnd"/>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AC3452" w:rsidRPr="00751B8C" w:rsidRDefault="00AC3452" w:rsidP="00906C2F">
            <w:pPr>
              <w:jc w:val="center"/>
              <w:rPr>
                <w:rFonts w:ascii="Verdana" w:hAnsi="Verdana"/>
                <w:color w:val="FF0000"/>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AC3452" w:rsidRPr="00751B8C" w:rsidRDefault="00AC3452" w:rsidP="00906C2F">
            <w:pPr>
              <w:spacing w:after="0"/>
              <w:ind w:left="180"/>
              <w:rPr>
                <w:rFonts w:ascii="Verdana" w:hAnsi="Verdana" w:cstheme="minorHAnsi"/>
                <w:sz w:val="20"/>
                <w:szCs w:val="20"/>
              </w:rPr>
            </w:pPr>
            <w:r>
              <w:rPr>
                <w:rFonts w:ascii="Verdana" w:hAnsi="Verdana" w:cstheme="minorHAnsi"/>
                <w:sz w:val="20"/>
              </w:rPr>
              <w:t>9. Sostegno costante agli organismi intermedi</w:t>
            </w:r>
          </w:p>
        </w:tc>
      </w:tr>
    </w:tbl>
    <w:p w:rsidR="000C44D2" w:rsidRDefault="000C44D2">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822B80" w:rsidRDefault="00822B80" w:rsidP="004D1BB8">
      <w:pPr>
        <w:pStyle w:val="Heading1"/>
      </w:pPr>
      <w:bookmarkStart w:id="6" w:name="_Toc494906120"/>
      <w:bookmarkStart w:id="7" w:name="_Toc508986545"/>
      <w:r>
        <w:lastRenderedPageBreak/>
        <w:t>Scala di competenze</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Inglese</w:t>
            </w:r>
          </w:p>
        </w:tc>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Lingua locale</w:t>
            </w:r>
          </w:p>
        </w:tc>
      </w:tr>
      <w:tr w:rsidR="00AC3452" w:rsidRPr="00751B8C" w:rsidTr="00F55E53">
        <w:trPr>
          <w:trHeight w:val="20"/>
          <w:tblHeader/>
        </w:trPr>
        <w:tc>
          <w:tcPr>
            <w:tcW w:w="658" w:type="pct"/>
            <w:shd w:val="clear" w:color="auto" w:fill="F2F2F2" w:themeFill="background1" w:themeFillShade="F2"/>
          </w:tcPr>
          <w:p w:rsidR="00AC3452" w:rsidRPr="00751B8C" w:rsidRDefault="00AC3452" w:rsidP="00906C2F">
            <w:pPr>
              <w:spacing w:after="0" w:line="240" w:lineRule="auto"/>
              <w:rPr>
                <w:rFonts w:ascii="Verdana" w:hAnsi="Verdana" w:cstheme="minorHAnsi"/>
                <w:sz w:val="20"/>
                <w:szCs w:val="18"/>
              </w:rPr>
            </w:pPr>
            <w:r w:rsidRPr="00751B8C">
              <w:rPr>
                <w:rFonts w:ascii="Verdana" w:hAnsi="Verdana" w:cstheme="minorHAnsi"/>
                <w:sz w:val="20"/>
                <w:szCs w:val="18"/>
              </w:rPr>
              <w:t xml:space="preserve">Scale </w:t>
            </w:r>
          </w:p>
        </w:tc>
        <w:tc>
          <w:tcPr>
            <w:tcW w:w="1738" w:type="pct"/>
            <w:shd w:val="clear" w:color="auto" w:fill="F2F2F2" w:themeFill="background1" w:themeFillShade="F2"/>
          </w:tcPr>
          <w:p w:rsidR="00AC3452" w:rsidRPr="00751B8C" w:rsidRDefault="00AC3452" w:rsidP="00906C2F">
            <w:pPr>
              <w:spacing w:after="0" w:line="240" w:lineRule="auto"/>
              <w:rPr>
                <w:rFonts w:ascii="Verdana" w:hAnsi="Verdana" w:cstheme="minorHAnsi"/>
                <w:sz w:val="20"/>
                <w:szCs w:val="18"/>
              </w:rPr>
            </w:pPr>
            <w:proofErr w:type="spellStart"/>
            <w:r w:rsidRPr="00751B8C">
              <w:rPr>
                <w:rFonts w:ascii="Verdana" w:hAnsi="Verdana" w:cstheme="minorHAnsi"/>
                <w:sz w:val="20"/>
                <w:szCs w:val="18"/>
              </w:rPr>
              <w:t>Description</w:t>
            </w:r>
            <w:proofErr w:type="spellEnd"/>
            <w:r w:rsidRPr="00751B8C">
              <w:rPr>
                <w:rFonts w:ascii="Verdana" w:hAnsi="Verdana" w:cstheme="minorHAnsi"/>
                <w:sz w:val="20"/>
                <w:szCs w:val="18"/>
              </w:rPr>
              <w:t xml:space="preserve"> </w:t>
            </w:r>
          </w:p>
        </w:tc>
        <w:tc>
          <w:tcPr>
            <w:tcW w:w="590" w:type="pct"/>
            <w:shd w:val="clear" w:color="auto" w:fill="F2F2F2" w:themeFill="background1" w:themeFillShade="F2"/>
          </w:tcPr>
          <w:p w:rsidR="00AC3452" w:rsidRPr="00751B8C" w:rsidRDefault="00AC3452" w:rsidP="00906C2F">
            <w:pPr>
              <w:spacing w:after="0" w:line="240" w:lineRule="auto"/>
              <w:rPr>
                <w:rFonts w:ascii="Verdana" w:hAnsi="Verdana" w:cstheme="minorHAnsi"/>
                <w:sz w:val="20"/>
                <w:szCs w:val="18"/>
              </w:rPr>
            </w:pPr>
            <w:r>
              <w:rPr>
                <w:rFonts w:ascii="Verdana" w:hAnsi="Verdana" w:cstheme="minorHAnsi"/>
                <w:sz w:val="20"/>
              </w:rPr>
              <w:t xml:space="preserve">Scala </w:t>
            </w:r>
          </w:p>
        </w:tc>
        <w:tc>
          <w:tcPr>
            <w:tcW w:w="2014" w:type="pct"/>
            <w:shd w:val="clear" w:color="auto" w:fill="F2F2F2" w:themeFill="background1" w:themeFillShade="F2"/>
          </w:tcPr>
          <w:p w:rsidR="00AC3452" w:rsidRPr="00751B8C" w:rsidRDefault="00AC3452" w:rsidP="00906C2F">
            <w:pPr>
              <w:spacing w:after="0" w:line="240" w:lineRule="auto"/>
              <w:rPr>
                <w:rFonts w:ascii="Verdana" w:hAnsi="Verdana" w:cstheme="minorHAnsi"/>
                <w:sz w:val="20"/>
                <w:szCs w:val="18"/>
              </w:rPr>
            </w:pPr>
            <w:r>
              <w:rPr>
                <w:rFonts w:ascii="Verdana" w:hAnsi="Verdana" w:cstheme="minorHAnsi"/>
                <w:sz w:val="20"/>
              </w:rPr>
              <w:t xml:space="preserve">Descrizione </w:t>
            </w:r>
          </w:p>
        </w:tc>
      </w:tr>
      <w:tr w:rsidR="00AC3452" w:rsidRPr="00751B8C" w:rsidTr="00F55E53">
        <w:trPr>
          <w:trHeight w:val="20"/>
        </w:trPr>
        <w:tc>
          <w:tcPr>
            <w:tcW w:w="658"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proofErr w:type="gramStart"/>
            <w:r w:rsidRPr="00751B8C">
              <w:rPr>
                <w:rFonts w:ascii="Verdana" w:hAnsi="Verdana" w:cstheme="minorHAnsi"/>
                <w:sz w:val="20"/>
                <w:szCs w:val="18"/>
              </w:rPr>
              <w:t>N.A.</w:t>
            </w:r>
            <w:proofErr w:type="gramEnd"/>
            <w:r w:rsidRPr="00751B8C">
              <w:rPr>
                <w:rFonts w:ascii="Verdana" w:hAnsi="Verdana" w:cstheme="minorHAnsi"/>
                <w:sz w:val="20"/>
                <w:szCs w:val="18"/>
              </w:rPr>
              <w:t xml:space="preserve"> - </w:t>
            </w:r>
            <w:proofErr w:type="spellStart"/>
            <w:r w:rsidRPr="00751B8C">
              <w:rPr>
                <w:rFonts w:ascii="Verdana" w:hAnsi="Verdana" w:cstheme="minorHAnsi"/>
                <w:sz w:val="20"/>
                <w:szCs w:val="18"/>
              </w:rPr>
              <w:t>Not</w:t>
            </w:r>
            <w:proofErr w:type="spellEnd"/>
            <w:r w:rsidRPr="00751B8C">
              <w:rPr>
                <w:rFonts w:ascii="Verdana" w:hAnsi="Verdana" w:cstheme="minorHAnsi"/>
                <w:sz w:val="20"/>
                <w:szCs w:val="18"/>
              </w:rPr>
              <w:t xml:space="preserve"> </w:t>
            </w:r>
            <w:proofErr w:type="spellStart"/>
            <w:r w:rsidRPr="00751B8C">
              <w:rPr>
                <w:rFonts w:ascii="Verdana" w:hAnsi="Verdana" w:cstheme="minorHAnsi"/>
                <w:sz w:val="20"/>
                <w:szCs w:val="18"/>
              </w:rPr>
              <w:t>Applicable</w:t>
            </w:r>
            <w:proofErr w:type="spellEnd"/>
          </w:p>
        </w:tc>
        <w:tc>
          <w:tcPr>
            <w:tcW w:w="1738" w:type="pct"/>
            <w:shd w:val="clear" w:color="000000" w:fill="FFFFFF"/>
            <w:hideMark/>
          </w:tcPr>
          <w:p w:rsidR="00AC3452" w:rsidRPr="00F355E4" w:rsidRDefault="00AC3452" w:rsidP="00906C2F">
            <w:pPr>
              <w:spacing w:before="60" w:after="120" w:line="240" w:lineRule="auto"/>
              <w:rPr>
                <w:rFonts w:ascii="Verdana" w:hAnsi="Verdana" w:cstheme="minorHAnsi"/>
                <w:sz w:val="20"/>
                <w:szCs w:val="18"/>
                <w:lang w:val="en-GB"/>
              </w:rPr>
            </w:pPr>
            <w:r w:rsidRPr="00F355E4">
              <w:rPr>
                <w:rFonts w:ascii="Verdana" w:hAnsi="Verdana" w:cstheme="minorHAnsi"/>
                <w:sz w:val="20"/>
                <w:szCs w:val="18"/>
                <w:lang w:val="en-GB"/>
              </w:rPr>
              <w:t xml:space="preserve">The competency is not applicable to the job role. </w:t>
            </w:r>
          </w:p>
        </w:tc>
        <w:tc>
          <w:tcPr>
            <w:tcW w:w="590"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proofErr w:type="gramStart"/>
            <w:r>
              <w:rPr>
                <w:rFonts w:ascii="Verdana" w:hAnsi="Verdana" w:cstheme="minorHAnsi"/>
                <w:sz w:val="20"/>
              </w:rPr>
              <w:t>N.A.</w:t>
            </w:r>
            <w:proofErr w:type="gramEnd"/>
            <w:r>
              <w:rPr>
                <w:rFonts w:ascii="Verdana" w:hAnsi="Verdana" w:cstheme="minorHAnsi"/>
                <w:sz w:val="20"/>
              </w:rPr>
              <w:t xml:space="preserve"> - Non applicabile</w:t>
            </w:r>
          </w:p>
        </w:tc>
        <w:tc>
          <w:tcPr>
            <w:tcW w:w="2014"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r>
              <w:rPr>
                <w:rFonts w:ascii="Verdana" w:hAnsi="Verdana" w:cstheme="minorHAnsi"/>
                <w:sz w:val="20"/>
              </w:rPr>
              <w:t xml:space="preserve">La competenza non è applicabile al profilo professionale. </w:t>
            </w:r>
          </w:p>
        </w:tc>
      </w:tr>
      <w:tr w:rsidR="00AC3452" w:rsidRPr="00751B8C" w:rsidTr="00F55E53">
        <w:trPr>
          <w:trHeight w:val="20"/>
        </w:trPr>
        <w:tc>
          <w:tcPr>
            <w:tcW w:w="658"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Level 0 – </w:t>
            </w:r>
          </w:p>
          <w:p w:rsidR="00AC3452" w:rsidRPr="00751B8C" w:rsidRDefault="00AC3452" w:rsidP="00906C2F">
            <w:pPr>
              <w:spacing w:before="60" w:after="120" w:line="240" w:lineRule="auto"/>
              <w:rPr>
                <w:rFonts w:ascii="Verdana" w:hAnsi="Verdana" w:cstheme="minorHAnsi"/>
                <w:sz w:val="20"/>
                <w:szCs w:val="18"/>
              </w:rPr>
            </w:pPr>
            <w:proofErr w:type="gramStart"/>
            <w:r w:rsidRPr="00751B8C">
              <w:rPr>
                <w:rFonts w:ascii="Verdana" w:hAnsi="Verdana" w:cstheme="minorHAnsi"/>
                <w:sz w:val="20"/>
                <w:szCs w:val="18"/>
              </w:rPr>
              <w:t>No</w:t>
            </w:r>
            <w:proofErr w:type="gramEnd"/>
            <w:r w:rsidRPr="00751B8C">
              <w:rPr>
                <w:rFonts w:ascii="Verdana" w:hAnsi="Verdana" w:cstheme="minorHAnsi"/>
                <w:sz w:val="20"/>
                <w:szCs w:val="18"/>
              </w:rPr>
              <w:t xml:space="preserve"> </w:t>
            </w:r>
            <w:proofErr w:type="spellStart"/>
            <w:r w:rsidRPr="00751B8C">
              <w:rPr>
                <w:rFonts w:ascii="Verdana" w:hAnsi="Verdana" w:cstheme="minorHAnsi"/>
                <w:sz w:val="20"/>
                <w:szCs w:val="18"/>
              </w:rPr>
              <w:t>knowledge</w:t>
            </w:r>
            <w:proofErr w:type="spellEnd"/>
          </w:p>
        </w:tc>
        <w:tc>
          <w:tcPr>
            <w:tcW w:w="1738" w:type="pct"/>
            <w:shd w:val="clear" w:color="000000" w:fill="FFFFFF"/>
          </w:tcPr>
          <w:p w:rsidR="00AC3452" w:rsidRPr="00F355E4" w:rsidRDefault="00AC3452" w:rsidP="00906C2F">
            <w:pPr>
              <w:spacing w:before="60" w:after="120" w:line="240" w:lineRule="auto"/>
              <w:rPr>
                <w:rFonts w:ascii="Verdana" w:hAnsi="Verdana" w:cstheme="minorHAnsi"/>
                <w:sz w:val="20"/>
                <w:szCs w:val="18"/>
                <w:lang w:val="en-GB"/>
              </w:rPr>
            </w:pPr>
            <w:r w:rsidRPr="00F355E4">
              <w:rPr>
                <w:rFonts w:ascii="Verdana" w:hAnsi="Verdana" w:cstheme="minorHAnsi"/>
                <w:sz w:val="20"/>
                <w:szCs w:val="18"/>
                <w:lang w:val="en-GB"/>
              </w:rPr>
              <w:t>No knowledge of the competency or no ability to apply it in real situations.</w:t>
            </w:r>
          </w:p>
        </w:tc>
        <w:tc>
          <w:tcPr>
            <w:tcW w:w="590"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r>
              <w:rPr>
                <w:rFonts w:ascii="Verdana" w:hAnsi="Verdana" w:cstheme="minorHAnsi"/>
                <w:sz w:val="20"/>
              </w:rPr>
              <w:t xml:space="preserve">Livello </w:t>
            </w:r>
            <w:proofErr w:type="gramStart"/>
            <w:r>
              <w:rPr>
                <w:rFonts w:ascii="Verdana" w:hAnsi="Verdana" w:cstheme="minorHAnsi"/>
                <w:sz w:val="20"/>
              </w:rPr>
              <w:t>0</w:t>
            </w:r>
            <w:proofErr w:type="gramEnd"/>
            <w:r>
              <w:rPr>
                <w:rFonts w:ascii="Verdana" w:hAnsi="Verdana" w:cstheme="minorHAnsi"/>
                <w:sz w:val="20"/>
              </w:rPr>
              <w:t xml:space="preserve"> – </w:t>
            </w:r>
          </w:p>
          <w:p w:rsidR="00AC3452" w:rsidRPr="00751B8C" w:rsidRDefault="00AC3452" w:rsidP="00906C2F">
            <w:pPr>
              <w:spacing w:before="60" w:after="120" w:line="240" w:lineRule="auto"/>
              <w:rPr>
                <w:rFonts w:ascii="Verdana" w:hAnsi="Verdana" w:cstheme="minorHAnsi"/>
                <w:sz w:val="20"/>
                <w:szCs w:val="18"/>
              </w:rPr>
            </w:pPr>
            <w:r>
              <w:rPr>
                <w:rFonts w:ascii="Verdana" w:hAnsi="Verdana" w:cstheme="minorHAnsi"/>
                <w:sz w:val="20"/>
              </w:rPr>
              <w:t>Nessuna conoscenza</w:t>
            </w:r>
          </w:p>
        </w:tc>
        <w:tc>
          <w:tcPr>
            <w:tcW w:w="2014"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proofErr w:type="gramStart"/>
            <w:r>
              <w:rPr>
                <w:rFonts w:ascii="Verdana" w:hAnsi="Verdana" w:cstheme="minorHAnsi"/>
                <w:sz w:val="20"/>
              </w:rPr>
              <w:t>Nessuna conoscenza della competenza o nessuna abilità ad applicare la conoscenza in situazioni reali.</w:t>
            </w:r>
            <w:proofErr w:type="gramEnd"/>
          </w:p>
        </w:tc>
      </w:tr>
      <w:tr w:rsidR="00AC3452" w:rsidRPr="00751B8C" w:rsidTr="00F55E53">
        <w:trPr>
          <w:trHeight w:val="20"/>
        </w:trPr>
        <w:tc>
          <w:tcPr>
            <w:tcW w:w="658"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Level 1 - </w:t>
            </w:r>
            <w:proofErr w:type="spellStart"/>
            <w:r w:rsidRPr="00751B8C">
              <w:rPr>
                <w:rFonts w:ascii="Verdana" w:hAnsi="Verdana" w:cstheme="minorHAnsi"/>
                <w:sz w:val="20"/>
                <w:szCs w:val="18"/>
              </w:rPr>
              <w:t>Awareness</w:t>
            </w:r>
            <w:proofErr w:type="spellEnd"/>
          </w:p>
        </w:tc>
        <w:tc>
          <w:tcPr>
            <w:tcW w:w="1738" w:type="pct"/>
            <w:shd w:val="clear" w:color="000000" w:fill="FFFFFF"/>
          </w:tcPr>
          <w:p w:rsidR="00AC3452" w:rsidRPr="00F355E4" w:rsidRDefault="00AC3452" w:rsidP="00906C2F">
            <w:pPr>
              <w:spacing w:before="60" w:after="120" w:line="240" w:lineRule="auto"/>
              <w:rPr>
                <w:rFonts w:ascii="Verdana" w:hAnsi="Verdana" w:cstheme="minorHAnsi"/>
                <w:sz w:val="20"/>
                <w:szCs w:val="18"/>
                <w:lang w:val="en-GB"/>
              </w:rPr>
            </w:pPr>
            <w:r w:rsidRPr="00F355E4">
              <w:rPr>
                <w:rFonts w:ascii="Verdana" w:hAnsi="Verdana" w:cstheme="minorHAnsi"/>
                <w:sz w:val="20"/>
                <w:szCs w:val="18"/>
                <w:lang w:val="en-GB"/>
              </w:rPr>
              <w:t>Basic knowledge of the competency (e.g. understands general concepts and processes, is familiar with related key terminology).</w:t>
            </w:r>
          </w:p>
          <w:p w:rsidR="00AC3452" w:rsidRPr="00F355E4" w:rsidRDefault="00AC3452" w:rsidP="00906C2F">
            <w:pPr>
              <w:spacing w:before="60" w:after="120" w:line="240" w:lineRule="auto"/>
              <w:rPr>
                <w:rFonts w:ascii="Verdana" w:hAnsi="Verdana" w:cstheme="minorHAnsi"/>
                <w:sz w:val="20"/>
                <w:szCs w:val="18"/>
                <w:lang w:val="en-GB"/>
              </w:rPr>
            </w:pPr>
            <w:r w:rsidRPr="00F355E4">
              <w:rPr>
                <w:rFonts w:ascii="Verdana" w:hAnsi="Verdana" w:cstheme="minorHAnsi"/>
                <w:sz w:val="20"/>
                <w:szCs w:val="18"/>
                <w:lang w:val="en-GB"/>
              </w:rPr>
              <w:t>Ability to demonstrate this competency after being given specific instructions and guidance.</w:t>
            </w:r>
          </w:p>
        </w:tc>
        <w:tc>
          <w:tcPr>
            <w:tcW w:w="590"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r>
              <w:rPr>
                <w:rFonts w:ascii="Verdana" w:hAnsi="Verdana" w:cstheme="minorHAnsi"/>
                <w:sz w:val="20"/>
              </w:rPr>
              <w:t>Livello 1 - Consapevolezza</w:t>
            </w:r>
          </w:p>
        </w:tc>
        <w:tc>
          <w:tcPr>
            <w:tcW w:w="2014"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r>
              <w:rPr>
                <w:rFonts w:ascii="Verdana" w:hAnsi="Verdana" w:cstheme="minorHAnsi"/>
                <w:sz w:val="20"/>
              </w:rPr>
              <w:t>Conoscenza di base della competenza (ad es., comprende concetti e processi generali, ha familiarità con la terminologia fondamentale correlata).</w:t>
            </w:r>
          </w:p>
          <w:p w:rsidR="00AC3452" w:rsidRPr="00751B8C" w:rsidRDefault="00AC3452" w:rsidP="00906C2F">
            <w:pPr>
              <w:spacing w:before="60" w:after="120" w:line="240" w:lineRule="auto"/>
              <w:rPr>
                <w:rFonts w:ascii="Verdana" w:hAnsi="Verdana" w:cstheme="minorHAnsi"/>
                <w:sz w:val="20"/>
                <w:szCs w:val="18"/>
              </w:rPr>
            </w:pPr>
            <w:proofErr w:type="gramStart"/>
            <w:r>
              <w:rPr>
                <w:rFonts w:ascii="Verdana" w:hAnsi="Verdana" w:cstheme="minorHAnsi"/>
                <w:sz w:val="20"/>
              </w:rPr>
              <w:t>Abilità a dimostrare tale competenza dopo aver ricevuto istruzioni e orientamenti specifici in merito.</w:t>
            </w:r>
            <w:proofErr w:type="gramEnd"/>
          </w:p>
        </w:tc>
      </w:tr>
      <w:tr w:rsidR="00AC3452" w:rsidRPr="00751B8C" w:rsidTr="00F55E53">
        <w:trPr>
          <w:trHeight w:val="20"/>
        </w:trPr>
        <w:tc>
          <w:tcPr>
            <w:tcW w:w="658"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Level 2 - </w:t>
            </w:r>
            <w:proofErr w:type="spellStart"/>
            <w:r w:rsidRPr="00751B8C">
              <w:rPr>
                <w:rFonts w:ascii="Verdana" w:hAnsi="Verdana" w:cstheme="minorHAnsi"/>
                <w:sz w:val="20"/>
                <w:szCs w:val="18"/>
              </w:rPr>
              <w:t>Trained</w:t>
            </w:r>
            <w:proofErr w:type="spellEnd"/>
          </w:p>
        </w:tc>
        <w:tc>
          <w:tcPr>
            <w:tcW w:w="1738" w:type="pct"/>
            <w:shd w:val="clear" w:color="000000" w:fill="FFFFFF"/>
          </w:tcPr>
          <w:p w:rsidR="00AC3452" w:rsidRPr="00F355E4" w:rsidRDefault="00AC3452" w:rsidP="00906C2F">
            <w:pPr>
              <w:spacing w:before="60" w:after="120" w:line="240" w:lineRule="auto"/>
              <w:rPr>
                <w:rFonts w:ascii="Verdana" w:hAnsi="Verdana" w:cstheme="minorHAnsi"/>
                <w:sz w:val="20"/>
                <w:szCs w:val="18"/>
                <w:lang w:val="en-GB"/>
              </w:rPr>
            </w:pPr>
            <w:r w:rsidRPr="00F355E4">
              <w:rPr>
                <w:rFonts w:ascii="Verdana" w:hAnsi="Verdana" w:cstheme="minorHAnsi"/>
                <w:sz w:val="20"/>
                <w:szCs w:val="18"/>
                <w:lang w:val="en-GB"/>
              </w:rPr>
              <w:t>Good working knowledge of the competency.</w:t>
            </w:r>
            <w:r w:rsidRPr="00F355E4">
              <w:rPr>
                <w:rFonts w:ascii="Verdana" w:hAnsi="Verdana" w:cstheme="minorHAnsi"/>
                <w:sz w:val="20"/>
                <w:szCs w:val="18"/>
                <w:lang w:val="en-GB"/>
              </w:rPr>
              <w:br/>
              <w:t>Ability to apply that knowledge in daily work.</w:t>
            </w:r>
          </w:p>
          <w:p w:rsidR="00AC3452" w:rsidRPr="00F355E4" w:rsidRDefault="00AC3452" w:rsidP="00906C2F">
            <w:pPr>
              <w:spacing w:before="60" w:after="120" w:line="240" w:lineRule="auto"/>
              <w:rPr>
                <w:rFonts w:ascii="Verdana" w:hAnsi="Verdana" w:cstheme="minorHAnsi"/>
                <w:sz w:val="20"/>
                <w:szCs w:val="18"/>
                <w:lang w:val="en-GB"/>
              </w:rPr>
            </w:pPr>
            <w:r w:rsidRPr="00F355E4">
              <w:rPr>
                <w:rFonts w:ascii="Verdana" w:hAnsi="Verdana" w:cstheme="minorHAnsi"/>
                <w:sz w:val="20"/>
                <w:szCs w:val="18"/>
                <w:lang w:val="en-GB"/>
              </w:rPr>
              <w:t>Ability to perform standard activities with regards to this competency in an independent manner</w:t>
            </w:r>
          </w:p>
        </w:tc>
        <w:tc>
          <w:tcPr>
            <w:tcW w:w="590"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r>
              <w:rPr>
                <w:rFonts w:ascii="Verdana" w:hAnsi="Verdana" w:cstheme="minorHAnsi"/>
                <w:sz w:val="20"/>
              </w:rPr>
              <w:t>Livello 2 - Formazione</w:t>
            </w:r>
          </w:p>
        </w:tc>
        <w:tc>
          <w:tcPr>
            <w:tcW w:w="2014"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r>
              <w:rPr>
                <w:rFonts w:ascii="Verdana" w:hAnsi="Verdana" w:cstheme="minorHAnsi"/>
                <w:sz w:val="20"/>
              </w:rPr>
              <w:t>Buone conoscenze pratiche della competenza.</w:t>
            </w:r>
            <w:r>
              <w:rPr>
                <w:rFonts w:ascii="Verdana" w:hAnsi="Verdana" w:cstheme="minorHAnsi"/>
                <w:sz w:val="20"/>
                <w:szCs w:val="18"/>
              </w:rPr>
              <w:br/>
            </w:r>
            <w:r>
              <w:rPr>
                <w:rFonts w:ascii="Verdana" w:hAnsi="Verdana" w:cstheme="minorHAnsi"/>
                <w:sz w:val="20"/>
              </w:rPr>
              <w:t>Abilità ad applicare tali conoscenze nelle attività quotidiane.</w:t>
            </w:r>
          </w:p>
          <w:p w:rsidR="00AC3452" w:rsidRPr="00751B8C" w:rsidRDefault="00AC3452" w:rsidP="00906C2F">
            <w:pPr>
              <w:spacing w:before="60" w:after="120" w:line="240" w:lineRule="auto"/>
              <w:rPr>
                <w:rFonts w:ascii="Verdana" w:hAnsi="Verdana" w:cstheme="minorHAnsi"/>
                <w:sz w:val="20"/>
                <w:szCs w:val="18"/>
              </w:rPr>
            </w:pPr>
            <w:r>
              <w:rPr>
                <w:rFonts w:ascii="Verdana" w:hAnsi="Verdana" w:cstheme="minorHAnsi"/>
                <w:sz w:val="20"/>
              </w:rPr>
              <w:t xml:space="preserve">Abilità a svolgere attività </w:t>
            </w:r>
            <w:proofErr w:type="gramStart"/>
            <w:r>
              <w:rPr>
                <w:rFonts w:ascii="Verdana" w:hAnsi="Verdana" w:cstheme="minorHAnsi"/>
                <w:sz w:val="20"/>
              </w:rPr>
              <w:t>standard relative</w:t>
            </w:r>
            <w:proofErr w:type="gramEnd"/>
            <w:r>
              <w:rPr>
                <w:rFonts w:ascii="Verdana" w:hAnsi="Verdana" w:cstheme="minorHAnsi"/>
                <w:sz w:val="20"/>
              </w:rPr>
              <w:t xml:space="preserve"> alla competenza in oggetto in modo indipendente.</w:t>
            </w:r>
          </w:p>
        </w:tc>
      </w:tr>
      <w:tr w:rsidR="00AC3452" w:rsidRPr="00751B8C" w:rsidTr="00BD39DE">
        <w:trPr>
          <w:trHeight w:val="20"/>
        </w:trPr>
        <w:tc>
          <w:tcPr>
            <w:tcW w:w="658" w:type="pct"/>
            <w:shd w:val="clear" w:color="000000" w:fill="FFFFFF"/>
            <w:vAlign w:val="center"/>
          </w:tcPr>
          <w:p w:rsidR="00AC3452" w:rsidRPr="00751B8C" w:rsidRDefault="00AC3452" w:rsidP="00906C2F">
            <w:pPr>
              <w:spacing w:before="60" w:after="120" w:line="240" w:lineRule="auto"/>
              <w:rPr>
                <w:rFonts w:ascii="Verdana" w:hAnsi="Verdana" w:cstheme="minorHAnsi"/>
                <w:sz w:val="20"/>
                <w:szCs w:val="18"/>
              </w:rPr>
            </w:pPr>
            <w:r w:rsidRPr="00751B8C">
              <w:rPr>
                <w:rFonts w:ascii="Verdana" w:hAnsi="Verdana" w:cstheme="minorHAnsi"/>
                <w:sz w:val="20"/>
                <w:szCs w:val="18"/>
              </w:rPr>
              <w:t>Level 3 - Intermediate</w:t>
            </w:r>
          </w:p>
        </w:tc>
        <w:tc>
          <w:tcPr>
            <w:tcW w:w="1738" w:type="pct"/>
            <w:shd w:val="clear" w:color="000000" w:fill="FFFFFF"/>
          </w:tcPr>
          <w:p w:rsidR="00AC3452" w:rsidRPr="00F355E4" w:rsidRDefault="00AC3452" w:rsidP="00906C2F">
            <w:pPr>
              <w:spacing w:before="60" w:after="120" w:line="240" w:lineRule="auto"/>
              <w:rPr>
                <w:rFonts w:ascii="Verdana" w:hAnsi="Verdana" w:cstheme="minorHAnsi"/>
                <w:sz w:val="20"/>
                <w:szCs w:val="18"/>
                <w:lang w:val="en-GB"/>
              </w:rPr>
            </w:pPr>
            <w:r w:rsidRPr="00F355E4">
              <w:rPr>
                <w:rFonts w:ascii="Verdana" w:hAnsi="Verdana" w:cstheme="minorHAnsi"/>
                <w:sz w:val="20"/>
                <w:szCs w:val="18"/>
                <w:lang w:val="en-GB"/>
              </w:rPr>
              <w:t>Broad and in-depth knowledge and skills with regards to the competency.</w:t>
            </w:r>
            <w:r w:rsidRPr="00F355E4">
              <w:rPr>
                <w:rFonts w:ascii="Verdana" w:hAnsi="Verdana" w:cstheme="minorHAnsi"/>
                <w:sz w:val="20"/>
                <w:szCs w:val="18"/>
                <w:lang w:val="en-GB"/>
              </w:rPr>
              <w:br/>
              <w:t>Ability to deal with a variety of exceptions and special cases related to the competency in an independent manner.</w:t>
            </w:r>
          </w:p>
          <w:p w:rsidR="00AC3452" w:rsidRPr="00F355E4" w:rsidRDefault="00AC3452" w:rsidP="00906C2F">
            <w:pPr>
              <w:spacing w:before="60" w:after="120" w:line="240" w:lineRule="auto"/>
              <w:rPr>
                <w:rFonts w:ascii="Verdana" w:hAnsi="Verdana" w:cstheme="minorHAnsi"/>
                <w:sz w:val="20"/>
                <w:szCs w:val="18"/>
                <w:lang w:val="en-GB"/>
              </w:rPr>
            </w:pPr>
            <w:r w:rsidRPr="00F355E4">
              <w:rPr>
                <w:rFonts w:ascii="Verdana" w:hAnsi="Verdana" w:cstheme="minorHAnsi"/>
                <w:sz w:val="20"/>
                <w:szCs w:val="18"/>
                <w:lang w:val="en-GB"/>
              </w:rPr>
              <w:t>Ability to effectively share knowledge and experience with more junior profiles.</w:t>
            </w:r>
            <w:r w:rsidRPr="00F355E4">
              <w:rPr>
                <w:rFonts w:ascii="Verdana" w:hAnsi="Verdana" w:cstheme="minorHAnsi"/>
                <w:sz w:val="20"/>
                <w:szCs w:val="18"/>
                <w:lang w:val="en-GB"/>
              </w:rPr>
              <w:br/>
              <w:t xml:space="preserve">Confidence in serving as an advisor and is sought out to provide insight in the </w:t>
            </w:r>
            <w:r w:rsidRPr="00F355E4">
              <w:rPr>
                <w:rFonts w:ascii="Verdana" w:hAnsi="Verdana" w:cstheme="minorHAnsi"/>
                <w:sz w:val="20"/>
                <w:szCs w:val="18"/>
                <w:lang w:val="en-GB"/>
              </w:rPr>
              <w:lastRenderedPageBreak/>
              <w:t>application of this competency.</w:t>
            </w:r>
          </w:p>
          <w:p w:rsidR="00AC3452" w:rsidRPr="00F355E4" w:rsidRDefault="00AC3452" w:rsidP="00906C2F">
            <w:pPr>
              <w:spacing w:before="60" w:after="120" w:line="240" w:lineRule="auto"/>
              <w:rPr>
                <w:rFonts w:ascii="Verdana" w:hAnsi="Verdana" w:cstheme="minorHAnsi"/>
                <w:sz w:val="20"/>
                <w:szCs w:val="18"/>
                <w:lang w:val="en-GB"/>
              </w:rPr>
            </w:pPr>
            <w:r w:rsidRPr="00F355E4">
              <w:rPr>
                <w:rFonts w:ascii="Verdana" w:hAnsi="Verdana" w:cstheme="minorHAnsi"/>
                <w:sz w:val="20"/>
                <w:szCs w:val="18"/>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AC3452" w:rsidRPr="00751B8C" w:rsidRDefault="00AC3452" w:rsidP="00906C2F">
            <w:pPr>
              <w:spacing w:before="60" w:after="120" w:line="240" w:lineRule="auto"/>
              <w:rPr>
                <w:rFonts w:ascii="Verdana" w:hAnsi="Verdana" w:cstheme="minorHAnsi"/>
                <w:sz w:val="20"/>
                <w:szCs w:val="18"/>
              </w:rPr>
            </w:pPr>
            <w:r>
              <w:rPr>
                <w:rFonts w:ascii="Verdana" w:hAnsi="Verdana" w:cstheme="minorHAnsi"/>
                <w:sz w:val="20"/>
              </w:rPr>
              <w:lastRenderedPageBreak/>
              <w:t>Livello 3 – Intermedio</w:t>
            </w:r>
          </w:p>
        </w:tc>
        <w:tc>
          <w:tcPr>
            <w:tcW w:w="2014"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r>
              <w:rPr>
                <w:rFonts w:ascii="Verdana" w:hAnsi="Verdana" w:cstheme="minorHAnsi"/>
                <w:sz w:val="20"/>
              </w:rPr>
              <w:t xml:space="preserve">Conoscenze e abilità ampie e approfondite </w:t>
            </w:r>
            <w:proofErr w:type="gramStart"/>
            <w:r>
              <w:rPr>
                <w:rFonts w:ascii="Verdana" w:hAnsi="Verdana" w:cstheme="minorHAnsi"/>
                <w:sz w:val="20"/>
              </w:rPr>
              <w:t>relativamente alla</w:t>
            </w:r>
            <w:proofErr w:type="gramEnd"/>
            <w:r>
              <w:rPr>
                <w:rFonts w:ascii="Verdana" w:hAnsi="Verdana" w:cstheme="minorHAnsi"/>
                <w:sz w:val="20"/>
              </w:rPr>
              <w:t xml:space="preserve"> competenza.</w:t>
            </w:r>
            <w:r>
              <w:rPr>
                <w:rFonts w:ascii="Verdana" w:hAnsi="Verdana" w:cstheme="minorHAnsi"/>
                <w:sz w:val="20"/>
                <w:szCs w:val="18"/>
              </w:rPr>
              <w:br/>
            </w:r>
            <w:proofErr w:type="gramStart"/>
            <w:r>
              <w:rPr>
                <w:rFonts w:ascii="Verdana" w:hAnsi="Verdana" w:cstheme="minorHAnsi"/>
                <w:sz w:val="20"/>
              </w:rPr>
              <w:t>Abilità a gestire una vasta gamma di eccezioni e casi speciali legati alla competenza in modo indipendente.</w:t>
            </w:r>
            <w:proofErr w:type="gramEnd"/>
          </w:p>
          <w:p w:rsidR="00AC3452" w:rsidRPr="00751B8C" w:rsidRDefault="00AC3452" w:rsidP="00906C2F">
            <w:pPr>
              <w:spacing w:before="60" w:after="120" w:line="240" w:lineRule="auto"/>
              <w:rPr>
                <w:rFonts w:ascii="Verdana" w:hAnsi="Verdana" w:cstheme="minorHAnsi"/>
                <w:sz w:val="20"/>
                <w:szCs w:val="18"/>
              </w:rPr>
            </w:pPr>
            <w:proofErr w:type="gramStart"/>
            <w:r>
              <w:rPr>
                <w:rFonts w:ascii="Verdana" w:hAnsi="Verdana" w:cstheme="minorHAnsi"/>
                <w:sz w:val="20"/>
              </w:rPr>
              <w:t>Abilità a condividere in modo efficace conoscenze ed esperienza con i profili meno esperti.</w:t>
            </w:r>
            <w:proofErr w:type="gramEnd"/>
            <w:r>
              <w:rPr>
                <w:rFonts w:ascii="Verdana" w:hAnsi="Verdana" w:cstheme="minorHAnsi"/>
                <w:sz w:val="20"/>
                <w:szCs w:val="18"/>
              </w:rPr>
              <w:br/>
            </w:r>
            <w:proofErr w:type="gramStart"/>
            <w:r>
              <w:rPr>
                <w:rFonts w:ascii="Verdana" w:hAnsi="Verdana" w:cstheme="minorHAnsi"/>
                <w:sz w:val="20"/>
              </w:rPr>
              <w:t xml:space="preserve">Dimestichezza nell’attività di consulente e condizione di figura professionale ricercata per </w:t>
            </w:r>
            <w:r>
              <w:rPr>
                <w:rFonts w:ascii="Verdana" w:hAnsi="Verdana" w:cstheme="minorHAnsi"/>
                <w:sz w:val="20"/>
              </w:rPr>
              <w:lastRenderedPageBreak/>
              <w:t xml:space="preserve">fornire indicazioni in merito all’applicazione </w:t>
            </w:r>
            <w:proofErr w:type="gramEnd"/>
            <w:r>
              <w:rPr>
                <w:rFonts w:ascii="Verdana" w:hAnsi="Verdana" w:cstheme="minorHAnsi"/>
                <w:sz w:val="20"/>
              </w:rPr>
              <w:t>della competenza in oggetto.</w:t>
            </w:r>
          </w:p>
          <w:p w:rsidR="00AC3452" w:rsidRPr="00751B8C" w:rsidRDefault="00AC3452" w:rsidP="00906C2F">
            <w:pPr>
              <w:spacing w:before="60" w:after="120" w:line="240" w:lineRule="auto"/>
              <w:rPr>
                <w:rFonts w:ascii="Verdana" w:hAnsi="Verdana" w:cstheme="minorHAnsi"/>
                <w:sz w:val="20"/>
                <w:szCs w:val="18"/>
              </w:rPr>
            </w:pPr>
            <w:proofErr w:type="gramStart"/>
            <w:r>
              <w:rPr>
                <w:rFonts w:ascii="Verdana" w:hAnsi="Verdana" w:cstheme="minorHAnsi"/>
                <w:sz w:val="20"/>
              </w:rPr>
              <w:t xml:space="preserve">Capacità di fornire servizi di </w:t>
            </w:r>
            <w:proofErr w:type="spellStart"/>
            <w:r>
              <w:rPr>
                <w:rFonts w:ascii="Verdana" w:hAnsi="Verdana" w:cstheme="minorHAnsi"/>
                <w:sz w:val="20"/>
              </w:rPr>
              <w:t>coaching</w:t>
            </w:r>
            <w:proofErr w:type="spellEnd"/>
            <w:r>
              <w:rPr>
                <w:rFonts w:ascii="Verdana" w:hAnsi="Verdana" w:cstheme="minorHAnsi"/>
                <w:sz w:val="20"/>
              </w:rPr>
              <w:t xml:space="preserve"> ad altri soggetti nell’applicazione della competenza in questione traducendo sfumature e questioni c</w:t>
            </w:r>
            <w:proofErr w:type="gramEnd"/>
            <w:r>
              <w:rPr>
                <w:rFonts w:ascii="Verdana" w:hAnsi="Verdana" w:cstheme="minorHAnsi"/>
                <w:sz w:val="20"/>
              </w:rPr>
              <w:t>omplesse associate alla competenza in termini facili da comprendere.</w:t>
            </w:r>
          </w:p>
        </w:tc>
      </w:tr>
      <w:tr w:rsidR="00AC3452" w:rsidRPr="00751B8C" w:rsidTr="00491DC9">
        <w:trPr>
          <w:trHeight w:val="20"/>
        </w:trPr>
        <w:tc>
          <w:tcPr>
            <w:tcW w:w="658" w:type="pct"/>
            <w:shd w:val="clear" w:color="000000" w:fill="FFFFFF"/>
            <w:vAlign w:val="center"/>
          </w:tcPr>
          <w:p w:rsidR="00AC3452" w:rsidRPr="00751B8C" w:rsidRDefault="00AC3452" w:rsidP="00906C2F">
            <w:pPr>
              <w:spacing w:before="60" w:after="120" w:line="240" w:lineRule="auto"/>
              <w:rPr>
                <w:rFonts w:ascii="Verdana" w:hAnsi="Verdana" w:cstheme="minorHAnsi"/>
                <w:sz w:val="20"/>
                <w:szCs w:val="18"/>
              </w:rPr>
            </w:pPr>
            <w:r w:rsidRPr="00751B8C">
              <w:rPr>
                <w:rFonts w:ascii="Verdana" w:hAnsi="Verdana" w:cstheme="minorHAnsi"/>
                <w:sz w:val="20"/>
                <w:szCs w:val="18"/>
              </w:rPr>
              <w:lastRenderedPageBreak/>
              <w:t>Level 4 - Expert</w:t>
            </w:r>
          </w:p>
        </w:tc>
        <w:tc>
          <w:tcPr>
            <w:tcW w:w="1738" w:type="pct"/>
            <w:shd w:val="clear" w:color="000000" w:fill="FFFFFF"/>
          </w:tcPr>
          <w:p w:rsidR="00AC3452" w:rsidRPr="00F355E4" w:rsidRDefault="00AC3452" w:rsidP="00906C2F">
            <w:pPr>
              <w:spacing w:before="60" w:after="120" w:line="240" w:lineRule="auto"/>
              <w:rPr>
                <w:rFonts w:ascii="Verdana" w:hAnsi="Verdana" w:cstheme="minorHAnsi"/>
                <w:sz w:val="20"/>
                <w:szCs w:val="18"/>
                <w:lang w:val="en-GB"/>
              </w:rPr>
            </w:pPr>
            <w:r w:rsidRPr="00F355E4">
              <w:rPr>
                <w:rFonts w:ascii="Verdana" w:hAnsi="Verdana" w:cstheme="minorHAnsi"/>
                <w:sz w:val="20"/>
                <w:szCs w:val="18"/>
                <w:lang w:val="en-GB"/>
              </w:rPr>
              <w:t>Extensive expert knowledge and skills with regards to the competency.</w:t>
            </w:r>
          </w:p>
          <w:p w:rsidR="00AC3452" w:rsidRPr="00F355E4" w:rsidRDefault="00AC3452" w:rsidP="00906C2F">
            <w:pPr>
              <w:spacing w:before="60" w:after="120" w:line="240" w:lineRule="auto"/>
              <w:rPr>
                <w:rFonts w:ascii="Verdana" w:hAnsi="Verdana" w:cstheme="minorHAnsi"/>
                <w:sz w:val="20"/>
                <w:szCs w:val="18"/>
                <w:lang w:val="en-GB"/>
              </w:rPr>
            </w:pPr>
            <w:r w:rsidRPr="00F355E4">
              <w:rPr>
                <w:rFonts w:ascii="Verdana" w:hAnsi="Verdana" w:cstheme="minorHAnsi"/>
                <w:sz w:val="20"/>
                <w:szCs w:val="18"/>
                <w:lang w:val="en-GB"/>
              </w:rPr>
              <w:t>Ability to highlight the (dis)advantages of each of the processes related to the competency whilst linking them to the bigger picture.</w:t>
            </w:r>
          </w:p>
          <w:p w:rsidR="00AC3452" w:rsidRPr="00F355E4" w:rsidRDefault="00AC3452" w:rsidP="00906C2F">
            <w:pPr>
              <w:spacing w:before="60" w:after="120" w:line="240" w:lineRule="auto"/>
              <w:rPr>
                <w:rFonts w:ascii="Verdana" w:hAnsi="Verdana" w:cstheme="minorHAnsi"/>
                <w:sz w:val="20"/>
                <w:szCs w:val="18"/>
                <w:lang w:val="en-GB"/>
              </w:rPr>
            </w:pPr>
            <w:r w:rsidRPr="00F355E4">
              <w:rPr>
                <w:rFonts w:ascii="Verdana" w:hAnsi="Verdana" w:cstheme="minorHAnsi"/>
                <w:sz w:val="20"/>
                <w:szCs w:val="18"/>
                <w:lang w:val="en-GB"/>
              </w:rPr>
              <w:t>Ability to provide tailored advice and to support the advice with relevant and context specific arguments when responding to internal and external queries.</w:t>
            </w:r>
          </w:p>
          <w:p w:rsidR="00AC3452" w:rsidRPr="00F355E4" w:rsidRDefault="00AC3452" w:rsidP="00906C2F">
            <w:pPr>
              <w:spacing w:before="60" w:after="120" w:line="240" w:lineRule="auto"/>
              <w:rPr>
                <w:rFonts w:ascii="Verdana" w:hAnsi="Verdana" w:cstheme="minorHAnsi"/>
                <w:sz w:val="20"/>
                <w:szCs w:val="18"/>
                <w:lang w:val="en-GB"/>
              </w:rPr>
            </w:pPr>
            <w:r w:rsidRPr="00F355E4">
              <w:rPr>
                <w:rFonts w:ascii="Verdana" w:hAnsi="Verdana" w:cstheme="minorHAnsi"/>
                <w:sz w:val="20"/>
                <w:szCs w:val="18"/>
                <w:lang w:val="en-GB"/>
              </w:rPr>
              <w:t>Viewed by others as a role model who is capable of leading or teaching others in the area of the competency.</w:t>
            </w:r>
          </w:p>
        </w:tc>
        <w:tc>
          <w:tcPr>
            <w:tcW w:w="590" w:type="pct"/>
            <w:shd w:val="clear" w:color="000000" w:fill="FFFFFF"/>
            <w:vAlign w:val="center"/>
          </w:tcPr>
          <w:p w:rsidR="00AC3452" w:rsidRPr="00751B8C" w:rsidRDefault="00AC3452" w:rsidP="00906C2F">
            <w:pPr>
              <w:spacing w:before="60" w:after="120" w:line="240" w:lineRule="auto"/>
              <w:rPr>
                <w:rFonts w:ascii="Verdana" w:hAnsi="Verdana" w:cstheme="minorHAnsi"/>
                <w:sz w:val="20"/>
                <w:szCs w:val="18"/>
              </w:rPr>
            </w:pPr>
            <w:r>
              <w:rPr>
                <w:rFonts w:ascii="Verdana" w:hAnsi="Verdana" w:cstheme="minorHAnsi"/>
                <w:sz w:val="20"/>
              </w:rPr>
              <w:t>Livello 4 - Esperto</w:t>
            </w:r>
          </w:p>
        </w:tc>
        <w:tc>
          <w:tcPr>
            <w:tcW w:w="2014" w:type="pct"/>
            <w:shd w:val="clear" w:color="000000" w:fill="FFFFFF"/>
          </w:tcPr>
          <w:p w:rsidR="00AC3452" w:rsidRPr="00751B8C" w:rsidRDefault="00AC3452" w:rsidP="00906C2F">
            <w:pPr>
              <w:spacing w:before="60" w:after="120" w:line="240" w:lineRule="auto"/>
              <w:rPr>
                <w:rFonts w:ascii="Verdana" w:hAnsi="Verdana" w:cstheme="minorHAnsi"/>
                <w:sz w:val="20"/>
                <w:szCs w:val="18"/>
              </w:rPr>
            </w:pPr>
            <w:r>
              <w:rPr>
                <w:rFonts w:ascii="Verdana" w:hAnsi="Verdana" w:cstheme="minorHAnsi"/>
                <w:sz w:val="20"/>
              </w:rPr>
              <w:t xml:space="preserve">Conoscenze e abilità specifiche </w:t>
            </w:r>
            <w:proofErr w:type="gramStart"/>
            <w:r>
              <w:rPr>
                <w:rFonts w:ascii="Verdana" w:hAnsi="Verdana" w:cstheme="minorHAnsi"/>
                <w:sz w:val="20"/>
              </w:rPr>
              <w:t>approfondite</w:t>
            </w:r>
            <w:proofErr w:type="gramEnd"/>
            <w:r>
              <w:rPr>
                <w:rFonts w:ascii="Verdana" w:hAnsi="Verdana" w:cstheme="minorHAnsi"/>
                <w:sz w:val="20"/>
              </w:rPr>
              <w:t xml:space="preserve"> relativamente alla competenza.</w:t>
            </w:r>
          </w:p>
          <w:p w:rsidR="00AC3452" w:rsidRPr="00751B8C" w:rsidRDefault="00AC3452" w:rsidP="00906C2F">
            <w:pPr>
              <w:spacing w:before="60" w:after="120" w:line="240" w:lineRule="auto"/>
              <w:rPr>
                <w:rFonts w:ascii="Verdana" w:hAnsi="Verdana" w:cstheme="minorHAnsi"/>
                <w:sz w:val="20"/>
                <w:szCs w:val="18"/>
              </w:rPr>
            </w:pPr>
            <w:proofErr w:type="gramStart"/>
            <w:r>
              <w:rPr>
                <w:rFonts w:ascii="Verdana" w:hAnsi="Verdana" w:cstheme="minorHAnsi"/>
                <w:sz w:val="20"/>
              </w:rPr>
              <w:t>Abilità a evidenziare i vantaggi/gli svantaggi di ciascuno dei processi correlati alla competenza, correlandoli al contempo al quadro più am</w:t>
            </w:r>
            <w:proofErr w:type="gramEnd"/>
            <w:r>
              <w:rPr>
                <w:rFonts w:ascii="Verdana" w:hAnsi="Verdana" w:cstheme="minorHAnsi"/>
                <w:sz w:val="20"/>
              </w:rPr>
              <w:t>pio.</w:t>
            </w:r>
          </w:p>
          <w:p w:rsidR="00AC3452" w:rsidRPr="00751B8C" w:rsidRDefault="00AC3452" w:rsidP="00906C2F">
            <w:pPr>
              <w:spacing w:before="60" w:after="120" w:line="240" w:lineRule="auto"/>
              <w:rPr>
                <w:rFonts w:ascii="Verdana" w:hAnsi="Verdana" w:cstheme="minorHAnsi"/>
                <w:sz w:val="20"/>
                <w:szCs w:val="18"/>
              </w:rPr>
            </w:pPr>
            <w:r>
              <w:rPr>
                <w:rFonts w:ascii="Verdana" w:hAnsi="Verdana" w:cstheme="minorHAnsi"/>
                <w:sz w:val="20"/>
              </w:rPr>
              <w:t xml:space="preserve">Abilità a fornire consulenza personalizzata e sostenere tale </w:t>
            </w:r>
            <w:proofErr w:type="gramStart"/>
            <w:r>
              <w:rPr>
                <w:rFonts w:ascii="Verdana" w:hAnsi="Verdana" w:cstheme="minorHAnsi"/>
                <w:sz w:val="20"/>
              </w:rPr>
              <w:t>consulenza</w:t>
            </w:r>
            <w:proofErr w:type="gramEnd"/>
            <w:r>
              <w:rPr>
                <w:rFonts w:ascii="Verdana" w:hAnsi="Verdana" w:cstheme="minorHAnsi"/>
                <w:sz w:val="20"/>
              </w:rPr>
              <w:t xml:space="preserve"> con argomentazioni pertinenti e contestualizzate nel rispondere a richieste interne ed esterne.</w:t>
            </w:r>
          </w:p>
          <w:p w:rsidR="00AC3452" w:rsidRPr="00751B8C" w:rsidRDefault="00AC3452" w:rsidP="00906C2F">
            <w:pPr>
              <w:spacing w:before="60" w:after="120" w:line="240" w:lineRule="auto"/>
              <w:rPr>
                <w:rFonts w:ascii="Verdana" w:hAnsi="Verdana" w:cstheme="minorHAnsi"/>
                <w:sz w:val="20"/>
                <w:szCs w:val="18"/>
              </w:rPr>
            </w:pPr>
            <w:proofErr w:type="gramStart"/>
            <w:r>
              <w:rPr>
                <w:rFonts w:ascii="Verdana" w:hAnsi="Verdana" w:cstheme="minorHAnsi"/>
                <w:sz w:val="20"/>
              </w:rPr>
              <w:t>Considerato dagli altri come un modello capace di guidare o insegnare ad altri nell’ambito specifico della competenza.</w:t>
            </w:r>
            <w:proofErr w:type="gramEnd"/>
          </w:p>
        </w:tc>
      </w:tr>
    </w:tbl>
    <w:p w:rsidR="0044373B" w:rsidRDefault="0044373B" w:rsidP="0044373B"/>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8" w:name="_Toc494906121"/>
      <w:bookmarkStart w:id="9" w:name="_Toc508986546"/>
      <w:r>
        <w:lastRenderedPageBreak/>
        <w:t>Competenze operative</w:t>
      </w:r>
      <w:bookmarkEnd w:id="8"/>
      <w:bookmarkEnd w:id="9"/>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Inglese</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Lingua locale</w:t>
            </w:r>
          </w:p>
        </w:tc>
      </w:tr>
      <w:tr w:rsidR="00F355E4" w:rsidRPr="00751B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F355E4" w:rsidRPr="00751B8C" w:rsidRDefault="00F355E4" w:rsidP="00F355E4">
            <w:pPr>
              <w:spacing w:after="0" w:line="240" w:lineRule="auto"/>
              <w:jc w:val="center"/>
              <w:rPr>
                <w:rFonts w:ascii="Verdana" w:eastAsia="Times New Roman" w:hAnsi="Verdana" w:cs="Times New Roman"/>
                <w:b/>
                <w:bCs/>
                <w:sz w:val="20"/>
                <w:szCs w:val="20"/>
              </w:rPr>
            </w:pPr>
            <w:r>
              <w:rPr>
                <w:rFonts w:ascii="Verdana" w:hAnsi="Verdana"/>
                <w:b/>
                <w:sz w:val="20"/>
              </w:rPr>
              <w:t>Code</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F355E4" w:rsidRPr="00751B8C" w:rsidRDefault="00F355E4" w:rsidP="00906C2F">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F355E4" w:rsidRPr="00751B8C" w:rsidRDefault="00F355E4" w:rsidP="00906C2F">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Competenza</w:t>
            </w:r>
          </w:p>
        </w:tc>
      </w:tr>
      <w:tr w:rsidR="00F355E4" w:rsidRPr="00751B8C" w:rsidTr="00342730">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MA.O.C1</w:t>
            </w:r>
            <w:proofErr w:type="gramEnd"/>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General provisions</w:t>
            </w:r>
            <w:r w:rsidRPr="00751B8C">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Disposizioni generali</w:t>
            </w:r>
            <w:r>
              <w:rPr>
                <w:rFonts w:ascii="Verdana" w:hAnsi="Verdana"/>
                <w:color w:val="000000"/>
                <w:sz w:val="20"/>
              </w:rPr>
              <w:t xml:space="preserve"> Fondi SIE UE/Atti giuridici nazionali</w:t>
            </w:r>
          </w:p>
        </w:tc>
      </w:tr>
      <w:tr w:rsidR="00F355E4" w:rsidRPr="00751B8C" w:rsidTr="0034273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Documenti strategici nazionali (</w:t>
            </w:r>
            <w:proofErr w:type="gramStart"/>
            <w:r>
              <w:rPr>
                <w:rFonts w:ascii="Verdana" w:hAnsi="Verdana"/>
                <w:sz w:val="20"/>
              </w:rPr>
              <w:t>ad</w:t>
            </w:r>
            <w:proofErr w:type="gramEnd"/>
            <w:r>
              <w:rPr>
                <w:rFonts w:ascii="Verdana" w:hAnsi="Verdana"/>
                <w:sz w:val="20"/>
              </w:rPr>
              <w:t xml:space="preserve"> es. strategie di sviluppo nazionale, politiche tematiche e settoriali pertinenti)</w:t>
            </w:r>
          </w:p>
        </w:tc>
      </w:tr>
      <w:tr w:rsidR="00F355E4" w:rsidRPr="00751B8C" w:rsidTr="0034273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Eligibility of expenditure provisions </w:t>
            </w:r>
            <w:r w:rsidRPr="00751B8C">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 xml:space="preserve">Disposizioni in materia di ammissibilità delle spese comprese nei Fondi SIE UE/negli atti giuridici nazionali (norme, orientamenti e metodologie, compreso </w:t>
            </w:r>
            <w:proofErr w:type="gramStart"/>
            <w:r>
              <w:rPr>
                <w:rFonts w:ascii="Verdana" w:hAnsi="Verdana"/>
                <w:sz w:val="20"/>
              </w:rPr>
              <w:t>l’</w:t>
            </w:r>
            <w:proofErr w:type="gramEnd"/>
            <w:r>
              <w:rPr>
                <w:rFonts w:ascii="Verdana" w:hAnsi="Verdana"/>
                <w:sz w:val="20"/>
              </w:rPr>
              <w:t>ambito di applicazione del sostegno)</w:t>
            </w:r>
          </w:p>
        </w:tc>
      </w:tr>
      <w:tr w:rsidR="00F355E4" w:rsidRPr="00751B8C" w:rsidTr="0034273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proofErr w:type="gramStart"/>
            <w:r>
              <w:rPr>
                <w:rFonts w:ascii="Verdana" w:hAnsi="Verdana"/>
                <w:sz w:val="20"/>
              </w:rPr>
              <w:t>Aspetti territoriali, quali investimenti territoriali integrati (ITI), sviluppo locale di tipo partecipativo (CLLD), sviluppo urbano sosteni</w:t>
            </w:r>
            <w:proofErr w:type="gramEnd"/>
            <w:r>
              <w:rPr>
                <w:rFonts w:ascii="Verdana" w:hAnsi="Verdana"/>
                <w:sz w:val="20"/>
              </w:rPr>
              <w:t>bile, strategie macro/regionali e pianificazione della cooperazione interregionale</w:t>
            </w:r>
          </w:p>
        </w:tc>
      </w:tr>
      <w:tr w:rsidR="00F355E4" w:rsidRPr="00751B8C" w:rsidTr="0034273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MA.O.C5</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Aiuti di Stato</w:t>
            </w:r>
          </w:p>
        </w:tc>
      </w:tr>
      <w:tr w:rsidR="00F355E4" w:rsidRPr="00751B8C" w:rsidTr="0034273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MA.O.C6</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 xml:space="preserve">Conoscenze </w:t>
            </w:r>
            <w:proofErr w:type="gramStart"/>
            <w:r>
              <w:rPr>
                <w:rFonts w:ascii="Verdana" w:hAnsi="Verdana"/>
                <w:sz w:val="20"/>
              </w:rPr>
              <w:t>tematiche</w:t>
            </w:r>
            <w:proofErr w:type="gramEnd"/>
            <w:r>
              <w:rPr>
                <w:rFonts w:ascii="Verdana" w:hAnsi="Verdana"/>
                <w:sz w:val="20"/>
              </w:rPr>
              <w:t xml:space="preserve"> pertinenti (legislazione in materia, costi, norme applicabili, tendenze)</w:t>
            </w:r>
          </w:p>
        </w:tc>
      </w:tr>
      <w:tr w:rsidR="00F355E4" w:rsidRPr="00751B8C" w:rsidTr="0034273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MA.O.C7</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 xml:space="preserve">Logica </w:t>
            </w:r>
            <w:proofErr w:type="gramStart"/>
            <w:r>
              <w:rPr>
                <w:rFonts w:ascii="Verdana" w:hAnsi="Verdana"/>
                <w:sz w:val="20"/>
              </w:rPr>
              <w:t xml:space="preserve">di </w:t>
            </w:r>
            <w:proofErr w:type="gramEnd"/>
            <w:r>
              <w:rPr>
                <w:rFonts w:ascii="Verdana" w:hAnsi="Verdana"/>
                <w:sz w:val="20"/>
              </w:rPr>
              <w:t>intervento</w:t>
            </w:r>
          </w:p>
        </w:tc>
      </w:tr>
      <w:tr w:rsidR="00F355E4" w:rsidRPr="00751B8C" w:rsidTr="0034273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MA.O.C8</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 xml:space="preserve">Indicatori </w:t>
            </w:r>
            <w:proofErr w:type="gramStart"/>
            <w:r>
              <w:rPr>
                <w:rFonts w:ascii="Verdana" w:hAnsi="Verdana"/>
                <w:sz w:val="20"/>
              </w:rPr>
              <w:t xml:space="preserve">di </w:t>
            </w:r>
            <w:proofErr w:type="gramEnd"/>
            <w:r>
              <w:rPr>
                <w:rFonts w:ascii="Verdana" w:hAnsi="Verdana"/>
                <w:sz w:val="20"/>
              </w:rPr>
              <w:t>input, output e risultato</w:t>
            </w:r>
          </w:p>
        </w:tc>
      </w:tr>
      <w:tr w:rsidR="00F355E4" w:rsidRPr="00751B8C" w:rsidTr="0034273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MA.O.C9</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Attività di bilancio e stime di costo</w:t>
            </w:r>
          </w:p>
        </w:tc>
      </w:tr>
      <w:tr w:rsidR="00F355E4" w:rsidRPr="00751B8C" w:rsidTr="0034273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MA.O.C10</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(ex</w:t>
            </w:r>
            <w:r w:rsidRPr="00751B8C">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proofErr w:type="gramStart"/>
            <w:r>
              <w:rPr>
                <w:rFonts w:ascii="Verdana" w:hAnsi="Verdana"/>
                <w:sz w:val="20"/>
              </w:rPr>
              <w:t>Progettazione degli strumenti finanziari (valutazione ex</w:t>
            </w:r>
            <w:r>
              <w:noBreakHyphen/>
            </w:r>
            <w:r>
              <w:rPr>
                <w:rFonts w:ascii="Verdana" w:hAnsi="Verdana"/>
                <w:sz w:val="20"/>
              </w:rPr>
              <w:t>ante, selezione degli strumenti finanziari e impostazione)</w:t>
            </w:r>
            <w:proofErr w:type="gramEnd"/>
          </w:p>
        </w:tc>
      </w:tr>
      <w:tr w:rsidR="00F355E4" w:rsidRPr="00751B8C" w:rsidTr="0034273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MA.O.C11</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Questioni orizzontali (</w:t>
            </w:r>
            <w:proofErr w:type="gramStart"/>
            <w:r>
              <w:rPr>
                <w:rFonts w:ascii="Verdana" w:hAnsi="Verdana"/>
                <w:sz w:val="20"/>
              </w:rPr>
              <w:t>quali sviluppo sostenibile</w:t>
            </w:r>
            <w:proofErr w:type="gramEnd"/>
            <w:r>
              <w:rPr>
                <w:rFonts w:ascii="Verdana" w:hAnsi="Verdana"/>
                <w:sz w:val="20"/>
              </w:rPr>
              <w:t>, parità, ecc.)</w:t>
            </w:r>
          </w:p>
        </w:tc>
      </w:tr>
      <w:tr w:rsidR="00F355E4" w:rsidRPr="00751B8C" w:rsidTr="0034273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MA.O.C12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proofErr w:type="gramStart"/>
            <w:r>
              <w:rPr>
                <w:rFonts w:ascii="Verdana" w:hAnsi="Verdana"/>
                <w:sz w:val="20"/>
              </w:rPr>
              <w:t>Procedure amministrative per l’acquisto di beni e servizi dall’assistenza tecnica</w:t>
            </w:r>
            <w:proofErr w:type="gramEnd"/>
          </w:p>
        </w:tc>
      </w:tr>
      <w:tr w:rsidR="00F355E4" w:rsidRPr="00751B8C" w:rsidTr="0034273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MA.O.C13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Cooperazione transfrontaliera, transnazionale e interregionale e gruppo europeo di cooperazione territoriale</w:t>
            </w:r>
          </w:p>
        </w:tc>
      </w:tr>
      <w:tr w:rsidR="00F355E4" w:rsidRPr="00751B8C" w:rsidTr="0034273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MA.O.C14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 xml:space="preserve">Gestione dell’esternalizzazione dell’attività </w:t>
            </w:r>
            <w:proofErr w:type="gramStart"/>
            <w:r>
              <w:rPr>
                <w:rFonts w:ascii="Verdana" w:hAnsi="Verdana"/>
                <w:sz w:val="20"/>
              </w:rPr>
              <w:t>di</w:t>
            </w:r>
            <w:proofErr w:type="gramEnd"/>
            <w:r>
              <w:rPr>
                <w:rFonts w:ascii="Verdana" w:hAnsi="Verdana"/>
                <w:sz w:val="20"/>
              </w:rPr>
              <w:t xml:space="preserve"> assistenza tecnica</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MA.O.C15</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Economic environment and reform processes (European Semester, National Reform </w:t>
            </w:r>
            <w:proofErr w:type="spellStart"/>
            <w:r w:rsidRPr="00751B8C">
              <w:rPr>
                <w:rFonts w:ascii="Verdana" w:eastAsia="Times New Roman" w:hAnsi="Verdana" w:cs="Times New Roman"/>
                <w:sz w:val="20"/>
                <w:szCs w:val="20"/>
                <w:lang w:val="en-US" w:bidi="he-IL"/>
              </w:rPr>
              <w:t>Programmes</w:t>
            </w:r>
            <w:proofErr w:type="spellEnd"/>
            <w:r w:rsidRPr="00751B8C">
              <w:rPr>
                <w:rFonts w:ascii="Verdana" w:eastAsia="Times New Roman" w:hAnsi="Verdana" w:cs="Times New Roman"/>
                <w:sz w:val="20"/>
                <w:szCs w:val="20"/>
                <w:lang w:val="en-US" w:bidi="he-IL"/>
              </w:rPr>
              <w:t xml:space="preserve">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proofErr w:type="gramStart"/>
            <w:r>
              <w:rPr>
                <w:rFonts w:ascii="Verdana" w:hAnsi="Verdana"/>
                <w:sz w:val="20"/>
              </w:rPr>
              <w:t>Ambiente economico e processi di riforma (semestre europeo, programmi nazionali di riforma e raccomandazioni specifiche per paese)</w:t>
            </w:r>
            <w:proofErr w:type="gramEnd"/>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lastRenderedPageBreak/>
              <w:t>MA.O.C16</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proofErr w:type="spellStart"/>
            <w:r w:rsidRPr="00751B8C">
              <w:rPr>
                <w:rFonts w:ascii="Verdana" w:eastAsia="Times New Roman" w:hAnsi="Verdana" w:cs="Times New Roman"/>
                <w:sz w:val="20"/>
                <w:szCs w:val="20"/>
                <w:lang w:val="en-US" w:bidi="he-IL"/>
              </w:rPr>
              <w:t>Programme</w:t>
            </w:r>
            <w:proofErr w:type="spellEnd"/>
            <w:r w:rsidRPr="00751B8C">
              <w:rPr>
                <w:rFonts w:ascii="Verdana" w:eastAsia="Times New Roman" w:hAnsi="Verdana" w:cs="Times New Roman"/>
                <w:sz w:val="20"/>
                <w:szCs w:val="20"/>
                <w:lang w:val="en-US" w:bidi="he-IL"/>
              </w:rPr>
              <w:t xml:space="preserv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 xml:space="preserve">Gestione del programma e </w:t>
            </w:r>
            <w:proofErr w:type="gramStart"/>
            <w:r>
              <w:rPr>
                <w:rFonts w:ascii="Verdana" w:hAnsi="Verdana"/>
                <w:sz w:val="20"/>
              </w:rPr>
              <w:t>gestione</w:t>
            </w:r>
            <w:proofErr w:type="gramEnd"/>
            <w:r>
              <w:rPr>
                <w:rFonts w:ascii="Verdana" w:hAnsi="Verdana"/>
                <w:sz w:val="20"/>
              </w:rPr>
              <w:t xml:space="preserve"> del ciclo di progetto</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MA.O.C17</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and implementation </w:t>
            </w:r>
            <w:r w:rsidRPr="00751B8C">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proofErr w:type="gramStart"/>
            <w:r>
              <w:rPr>
                <w:rFonts w:ascii="Verdana" w:hAnsi="Verdana"/>
                <w:sz w:val="20"/>
              </w:rPr>
              <w:t xml:space="preserve">Disposizioni in materia di gestione e attuazione </w:t>
            </w:r>
            <w:r>
              <w:rPr>
                <w:rFonts w:ascii="Verdana" w:hAnsi="Verdana"/>
                <w:color w:val="000000"/>
                <w:sz w:val="20"/>
              </w:rPr>
              <w:t>nei Fondi SIE UE/Atti giuridici nazionali (programmazione, selezione delle operazioni, moni</w:t>
            </w:r>
            <w:proofErr w:type="gramEnd"/>
            <w:r>
              <w:rPr>
                <w:rFonts w:ascii="Verdana" w:hAnsi="Verdana"/>
                <w:color w:val="000000"/>
                <w:sz w:val="20"/>
              </w:rPr>
              <w:t>toraggio, controlli e audit, valutazione, pubblicità)</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MA.O.C18</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Norme in materia di appalti pubblici</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MA.O.C19</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proofErr w:type="gramStart"/>
            <w:r>
              <w:rPr>
                <w:rFonts w:ascii="Verdana" w:hAnsi="Verdana"/>
                <w:sz w:val="20"/>
              </w:rPr>
              <w:t>Rischio di frode, gestione delle irregolarità (comprese misure di prevenzione, rilevamento e mitigazione)</w:t>
            </w:r>
            <w:proofErr w:type="gramEnd"/>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MA.O.C20</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 xml:space="preserve">Definizione e </w:t>
            </w:r>
            <w:proofErr w:type="gramStart"/>
            <w:r>
              <w:rPr>
                <w:rFonts w:ascii="Verdana" w:hAnsi="Verdana"/>
                <w:sz w:val="20"/>
              </w:rPr>
              <w:t>revisione</w:t>
            </w:r>
            <w:proofErr w:type="gramEnd"/>
            <w:r>
              <w:rPr>
                <w:rFonts w:ascii="Verdana" w:hAnsi="Verdana"/>
                <w:sz w:val="20"/>
              </w:rPr>
              <w:t xml:space="preserve"> dell’organizzazione amministrativa </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MA.O.C21</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Impostazione del sistema di gestione e di controllo</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MA.O.C22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Valutazione degli oneri amministrativi</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MA.O.C23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 xml:space="preserve">Valutazione dei risultati del sistema </w:t>
            </w:r>
            <w:proofErr w:type="gramStart"/>
            <w:r>
              <w:rPr>
                <w:rFonts w:ascii="Verdana" w:hAnsi="Verdana"/>
                <w:sz w:val="20"/>
              </w:rPr>
              <w:t>di</w:t>
            </w:r>
            <w:proofErr w:type="gramEnd"/>
            <w:r>
              <w:rPr>
                <w:rFonts w:ascii="Verdana" w:hAnsi="Verdana"/>
                <w:sz w:val="20"/>
              </w:rPr>
              <w:t xml:space="preserve"> Fondi SIE</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MA.O.C24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proofErr w:type="gramStart"/>
            <w:r>
              <w:rPr>
                <w:rFonts w:ascii="Verdana" w:hAnsi="Verdana"/>
                <w:sz w:val="20"/>
              </w:rPr>
              <w:t>Opzioni</w:t>
            </w:r>
            <w:proofErr w:type="gramEnd"/>
            <w:r>
              <w:rPr>
                <w:rFonts w:ascii="Verdana" w:hAnsi="Verdana"/>
                <w:sz w:val="20"/>
              </w:rPr>
              <w:t xml:space="preserve"> di costo semplificate</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MA.O.C25</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 xml:space="preserve">Analisi costi/benefici e studi di </w:t>
            </w:r>
            <w:proofErr w:type="gramStart"/>
            <w:r>
              <w:rPr>
                <w:rFonts w:ascii="Verdana" w:hAnsi="Verdana"/>
                <w:sz w:val="20"/>
              </w:rPr>
              <w:t>fattibilità</w:t>
            </w:r>
            <w:proofErr w:type="gramEnd"/>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MA.O.C26</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 xml:space="preserve">Valutazione dell’impatto ambientale (VIA) per grandi progetti e </w:t>
            </w:r>
            <w:proofErr w:type="gramStart"/>
            <w:r>
              <w:rPr>
                <w:rFonts w:ascii="Verdana" w:hAnsi="Verdana"/>
                <w:sz w:val="20"/>
              </w:rPr>
              <w:t>progetti</w:t>
            </w:r>
            <w:proofErr w:type="gramEnd"/>
            <w:r>
              <w:rPr>
                <w:rFonts w:ascii="Verdana" w:hAnsi="Verdana"/>
                <w:sz w:val="20"/>
              </w:rPr>
              <w:t xml:space="preserve"> infrastrutturali</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MA.O.C27</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Deficit di finanziamento e aumento delle entrate</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MA.O.C28</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Procedure / legislazione in materia di grandi progetti</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MA.O.C29</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 xml:space="preserve">Effetto </w:t>
            </w:r>
            <w:proofErr w:type="gramStart"/>
            <w:r>
              <w:rPr>
                <w:rFonts w:ascii="Verdana" w:hAnsi="Verdana"/>
                <w:sz w:val="20"/>
              </w:rPr>
              <w:t xml:space="preserve">di </w:t>
            </w:r>
            <w:proofErr w:type="gramEnd"/>
            <w:r>
              <w:rPr>
                <w:rFonts w:ascii="Verdana" w:hAnsi="Verdana"/>
                <w:sz w:val="20"/>
              </w:rPr>
              <w:t>incentivazione</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MA.O.C30</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Strumenti finanziari pertinenti per la funzione</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MA.O.C31</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Meccanismi di progettazione e attuazione degli strumenti finanziari</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MA.O.C32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 xml:space="preserve">Previsione e pianificazione degli obiettivi / del quadro di riferimento </w:t>
            </w:r>
            <w:proofErr w:type="gramStart"/>
            <w:r>
              <w:rPr>
                <w:rFonts w:ascii="Verdana" w:hAnsi="Verdana"/>
                <w:sz w:val="20"/>
              </w:rPr>
              <w:t>dei</w:t>
            </w:r>
            <w:proofErr w:type="gramEnd"/>
            <w:r>
              <w:rPr>
                <w:rFonts w:ascii="Verdana" w:hAnsi="Verdana"/>
                <w:sz w:val="20"/>
              </w:rPr>
              <w:t xml:space="preserve"> risultati</w:t>
            </w:r>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MA.O.C33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 xml:space="preserve">Gestione dei rischi associati ai grandi progetti e ai progetti </w:t>
            </w:r>
            <w:proofErr w:type="gramStart"/>
            <w:r>
              <w:rPr>
                <w:rFonts w:ascii="Verdana" w:hAnsi="Verdana"/>
                <w:sz w:val="20"/>
              </w:rPr>
              <w:t>infrastrutturali</w:t>
            </w:r>
            <w:proofErr w:type="gramEnd"/>
          </w:p>
        </w:tc>
      </w:tr>
      <w:tr w:rsidR="00F355E4" w:rsidRPr="00751B8C" w:rsidTr="00D072A3">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MA.O.C34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of </w:t>
            </w:r>
            <w:proofErr w:type="spellStart"/>
            <w:r w:rsidRPr="00751B8C">
              <w:rPr>
                <w:rFonts w:ascii="Verdana" w:eastAsia="Times New Roman" w:hAnsi="Verdana" w:cs="Times New Roman"/>
                <w:sz w:val="20"/>
                <w:szCs w:val="20"/>
                <w:lang w:val="en-US" w:bidi="he-IL"/>
              </w:rPr>
              <w:t>programme</w:t>
            </w:r>
            <w:proofErr w:type="spellEnd"/>
            <w:r w:rsidRPr="00751B8C">
              <w:rPr>
                <w:rFonts w:ascii="Verdana" w:eastAsia="Times New Roman" w:hAnsi="Verdana" w:cs="Times New Roman"/>
                <w:sz w:val="20"/>
                <w:szCs w:val="20"/>
                <w:lang w:val="en-US" w:bidi="he-IL"/>
              </w:rPr>
              <w:t>,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proofErr w:type="gramStart"/>
            <w:r>
              <w:rPr>
                <w:rFonts w:ascii="Verdana" w:hAnsi="Verdana"/>
                <w:sz w:val="20"/>
              </w:rPr>
              <w:t>Gestione del processo di valutazione del programma, della priorità o della misura</w:t>
            </w:r>
            <w:proofErr w:type="gramEnd"/>
          </w:p>
        </w:tc>
      </w:tr>
      <w:tr w:rsidR="00F355E4" w:rsidRPr="00751B8C" w:rsidTr="00880C5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MA.O.C35</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Principali criteri di valutazione (pertinenza, complementarietà, coerenza, efficienza ed efficacia)</w:t>
            </w:r>
          </w:p>
        </w:tc>
      </w:tr>
      <w:tr w:rsidR="00F355E4" w:rsidRPr="00751B8C" w:rsidTr="00880C5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MA.O.C36</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Data collection and analysis methods for evaluation of </w:t>
            </w:r>
            <w:proofErr w:type="spellStart"/>
            <w:r w:rsidRPr="00751B8C">
              <w:rPr>
                <w:rFonts w:ascii="Verdana" w:eastAsia="Times New Roman" w:hAnsi="Verdana" w:cs="Times New Roman"/>
                <w:sz w:val="20"/>
                <w:szCs w:val="20"/>
                <w:lang w:val="en-US" w:bidi="he-IL"/>
              </w:rPr>
              <w:t>programmes</w:t>
            </w:r>
            <w:proofErr w:type="spellEnd"/>
            <w:r w:rsidRPr="00751B8C">
              <w:rPr>
                <w:rFonts w:ascii="Verdana" w:eastAsia="Times New Roman" w:hAnsi="Verdana" w:cs="Times New Roman"/>
                <w:sz w:val="20"/>
                <w:szCs w:val="20"/>
                <w:lang w:val="en-US" w:bidi="he-IL"/>
              </w:rPr>
              <w:t>,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proofErr w:type="gramStart"/>
            <w:r>
              <w:rPr>
                <w:rFonts w:ascii="Verdana" w:hAnsi="Verdana"/>
                <w:sz w:val="20"/>
              </w:rPr>
              <w:t>Metodi di raccolta e analisi dei dati per la valutazione di programmi, priorità o misure</w:t>
            </w:r>
            <w:proofErr w:type="gramEnd"/>
          </w:p>
        </w:tc>
      </w:tr>
      <w:tr w:rsidR="00F355E4" w:rsidRPr="00751B8C" w:rsidTr="00880C5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MA.O.C37</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Pianificazione, gestione e previsione di bilancio</w:t>
            </w:r>
          </w:p>
        </w:tc>
      </w:tr>
      <w:tr w:rsidR="00F355E4" w:rsidRPr="00751B8C" w:rsidTr="00880C5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lastRenderedPageBreak/>
              <w:t>MA.O.C38</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Expenditure at project level</w:t>
            </w:r>
            <w:r w:rsidRPr="00751B8C">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Spesa a livello di progetto</w:t>
            </w:r>
            <w:r>
              <w:rPr>
                <w:rFonts w:ascii="Verdana" w:hAnsi="Verdana"/>
                <w:color w:val="000000"/>
                <w:sz w:val="20"/>
              </w:rPr>
              <w:t xml:space="preserve"> (</w:t>
            </w:r>
            <w:proofErr w:type="gramStart"/>
            <w:r>
              <w:rPr>
                <w:rFonts w:ascii="Verdana" w:hAnsi="Verdana"/>
                <w:color w:val="000000"/>
                <w:sz w:val="20"/>
              </w:rPr>
              <w:t>contratti,</w:t>
            </w:r>
            <w:proofErr w:type="gramEnd"/>
            <w:r>
              <w:rPr>
                <w:rFonts w:ascii="Verdana" w:hAnsi="Verdana"/>
                <w:color w:val="000000"/>
                <w:sz w:val="20"/>
              </w:rPr>
              <w:t xml:space="preserve"> fatture, estratti bancari)</w:t>
            </w:r>
          </w:p>
        </w:tc>
      </w:tr>
      <w:tr w:rsidR="00F355E4" w:rsidRPr="00751B8C" w:rsidTr="00880C5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MA.O.C39</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Communication provisions</w:t>
            </w:r>
            <w:r w:rsidRPr="00751B8C">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Disposizioni in materia di comunicazione</w:t>
            </w:r>
            <w:r>
              <w:rPr>
                <w:rFonts w:ascii="Verdana" w:hAnsi="Verdana"/>
                <w:color w:val="000000"/>
                <w:sz w:val="20"/>
              </w:rPr>
              <w:t xml:space="preserve"> comprese nei Fondi SIE UE/Atti giuridici </w:t>
            </w:r>
            <w:proofErr w:type="gramStart"/>
            <w:r>
              <w:rPr>
                <w:rFonts w:ascii="Verdana" w:hAnsi="Verdana"/>
                <w:color w:val="000000"/>
                <w:sz w:val="20"/>
              </w:rPr>
              <w:t>nazionali</w:t>
            </w:r>
            <w:proofErr w:type="gramEnd"/>
          </w:p>
        </w:tc>
      </w:tr>
      <w:tr w:rsidR="00F355E4" w:rsidRPr="00751B8C" w:rsidTr="00880C5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MA.O.C40</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Individuazione delle diverse parti coinvolte e delle loro esigenze informative</w:t>
            </w:r>
          </w:p>
        </w:tc>
      </w:tr>
      <w:tr w:rsidR="00F355E4" w:rsidRPr="00751B8C" w:rsidTr="00880C5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MA.O.C41</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Gestione dei media</w:t>
            </w:r>
          </w:p>
        </w:tc>
      </w:tr>
      <w:tr w:rsidR="00F355E4" w:rsidRPr="00751B8C" w:rsidTr="00880C5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MA.O.C42</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Comunicazione web</w:t>
            </w:r>
          </w:p>
        </w:tc>
      </w:tr>
      <w:tr w:rsidR="00F355E4" w:rsidRPr="00751B8C" w:rsidTr="00880C5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MA.O.C43</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Conoscenze ingegneristiche pertinenti per il settore</w:t>
            </w:r>
          </w:p>
        </w:tc>
      </w:tr>
      <w:tr w:rsidR="00F355E4" w:rsidRPr="00751B8C" w:rsidTr="00880C50">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355E4" w:rsidRPr="00751B8C" w:rsidRDefault="00F355E4" w:rsidP="00231B6E">
            <w:pPr>
              <w:spacing w:after="0" w:line="240" w:lineRule="auto"/>
              <w:rPr>
                <w:rFonts w:ascii="Verdana" w:eastAsia="Times New Roman" w:hAnsi="Verdana" w:cs="Times New Roman"/>
                <w:sz w:val="20"/>
                <w:szCs w:val="20"/>
              </w:rPr>
            </w:pPr>
            <w:proofErr w:type="gramStart"/>
            <w:r>
              <w:rPr>
                <w:rFonts w:ascii="Verdana" w:hAnsi="Verdana"/>
                <w:sz w:val="20"/>
              </w:rPr>
              <w:t>MA.O.C44</w:t>
            </w:r>
            <w:proofErr w:type="gramEnd"/>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355E4" w:rsidRPr="00751B8C" w:rsidRDefault="00F355E4" w:rsidP="00906C2F">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355E4" w:rsidRPr="00751B8C" w:rsidRDefault="00F355E4" w:rsidP="00906C2F">
            <w:pPr>
              <w:spacing w:after="0" w:line="240" w:lineRule="auto"/>
              <w:rPr>
                <w:rFonts w:ascii="Verdana" w:eastAsia="Times New Roman" w:hAnsi="Verdana" w:cs="Times New Roman"/>
                <w:sz w:val="20"/>
                <w:szCs w:val="20"/>
              </w:rPr>
            </w:pPr>
            <w:r>
              <w:rPr>
                <w:rFonts w:ascii="Verdana" w:hAnsi="Verdana"/>
                <w:sz w:val="20"/>
              </w:rPr>
              <w:t>Standard, procedure e metodologie di audit</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0" w:name="_Toc494906122"/>
    </w:p>
    <w:p w:rsidR="000E47BD" w:rsidRPr="003870A6" w:rsidRDefault="000E47BD" w:rsidP="004D1BB8">
      <w:pPr>
        <w:pStyle w:val="Heading1"/>
      </w:pPr>
      <w:bookmarkStart w:id="11" w:name="_Toc508986547"/>
      <w:r>
        <w:lastRenderedPageBreak/>
        <w:t xml:space="preserve">Competenze </w:t>
      </w:r>
      <w:proofErr w:type="gramStart"/>
      <w:r>
        <w:t>gestionali</w:t>
      </w:r>
      <w:bookmarkEnd w:id="10"/>
      <w:bookmarkEnd w:id="11"/>
      <w:proofErr w:type="gram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5405"/>
        <w:gridCol w:w="1813"/>
        <w:gridCol w:w="2851"/>
      </w:tblGrid>
      <w:tr w:rsidR="006931AA" w:rsidRPr="00751B8C" w:rsidTr="000A1ECD">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844"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Inglese</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Lingua locale</w:t>
            </w:r>
          </w:p>
        </w:tc>
      </w:tr>
      <w:tr w:rsidR="00F355E4" w:rsidRPr="00751B8C" w:rsidTr="003174E0">
        <w:trPr>
          <w:trHeight w:val="255"/>
          <w:tblHeader/>
        </w:trPr>
        <w:tc>
          <w:tcPr>
            <w:tcW w:w="386" w:type="pct"/>
            <w:shd w:val="clear" w:color="auto" w:fill="EDEDED" w:themeFill="accent3" w:themeFillTint="33"/>
          </w:tcPr>
          <w:p w:rsidR="00F355E4" w:rsidRPr="00751B8C" w:rsidRDefault="00F355E4" w:rsidP="00F355E4">
            <w:pPr>
              <w:spacing w:after="0" w:line="240" w:lineRule="auto"/>
              <w:rPr>
                <w:rFonts w:ascii="Verdana" w:eastAsia="Times New Roman" w:hAnsi="Verdana" w:cstheme="minorHAnsi"/>
                <w:b/>
                <w:bCs/>
                <w:sz w:val="20"/>
                <w:szCs w:val="20"/>
              </w:rPr>
            </w:pPr>
            <w:r>
              <w:rPr>
                <w:rFonts w:ascii="Verdana" w:hAnsi="Verdana" w:cstheme="minorHAnsi"/>
                <w:b/>
                <w:sz w:val="20"/>
              </w:rPr>
              <w:t>Code</w:t>
            </w:r>
          </w:p>
        </w:tc>
        <w:tc>
          <w:tcPr>
            <w:tcW w:w="793" w:type="pct"/>
            <w:shd w:val="clear" w:color="auto" w:fill="EDEDED" w:themeFill="accent3" w:themeFillTint="33"/>
            <w:noWrap/>
            <w:vAlign w:val="center"/>
            <w:hideMark/>
          </w:tcPr>
          <w:p w:rsidR="00F355E4" w:rsidRPr="00751B8C" w:rsidRDefault="00F355E4" w:rsidP="00906C2F">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hideMark/>
          </w:tcPr>
          <w:p w:rsidR="00F355E4" w:rsidRPr="00751B8C" w:rsidRDefault="00F355E4" w:rsidP="00906C2F">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688" w:type="pct"/>
            <w:shd w:val="clear" w:color="auto" w:fill="EDEDED" w:themeFill="accent3" w:themeFillTint="33"/>
            <w:vAlign w:val="center"/>
          </w:tcPr>
          <w:p w:rsidR="00F355E4" w:rsidRPr="00751B8C" w:rsidRDefault="00F355E4" w:rsidP="00906C2F">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Competenza</w:t>
            </w:r>
          </w:p>
        </w:tc>
        <w:tc>
          <w:tcPr>
            <w:tcW w:w="1082" w:type="pct"/>
            <w:shd w:val="clear" w:color="auto" w:fill="EDEDED" w:themeFill="accent3" w:themeFillTint="33"/>
            <w:vAlign w:val="center"/>
          </w:tcPr>
          <w:p w:rsidR="00F355E4" w:rsidRPr="00751B8C" w:rsidRDefault="00F355E4" w:rsidP="00906C2F">
            <w:pPr>
              <w:spacing w:after="0" w:line="240" w:lineRule="auto"/>
              <w:jc w:val="center"/>
              <w:rPr>
                <w:rFonts w:ascii="Verdana" w:eastAsia="Times New Roman" w:hAnsi="Verdana" w:cstheme="minorHAnsi"/>
                <w:b/>
                <w:bCs/>
                <w:sz w:val="20"/>
                <w:szCs w:val="20"/>
              </w:rPr>
            </w:pPr>
            <w:r>
              <w:rPr>
                <w:rFonts w:ascii="Verdana" w:hAnsi="Verdana" w:cstheme="minorHAnsi"/>
                <w:b/>
                <w:sz w:val="20"/>
              </w:rPr>
              <w:t>Descrizione</w:t>
            </w:r>
          </w:p>
        </w:tc>
      </w:tr>
      <w:tr w:rsidR="00F355E4" w:rsidRPr="00751B8C" w:rsidTr="00390240">
        <w:trPr>
          <w:trHeight w:val="1305"/>
        </w:trPr>
        <w:tc>
          <w:tcPr>
            <w:tcW w:w="386" w:type="pct"/>
            <w:shd w:val="clear" w:color="000000" w:fill="FFFFFF"/>
            <w:vAlign w:val="center"/>
          </w:tcPr>
          <w:p w:rsidR="00F355E4" w:rsidRPr="00751B8C" w:rsidRDefault="00F355E4" w:rsidP="00B579F3">
            <w:pPr>
              <w:spacing w:after="0"/>
              <w:rPr>
                <w:rFonts w:ascii="Verdana" w:hAnsi="Verdana" w:cstheme="minorHAnsi"/>
                <w:sz w:val="20"/>
                <w:szCs w:val="20"/>
              </w:rPr>
            </w:pPr>
            <w:proofErr w:type="gramStart"/>
            <w:r>
              <w:rPr>
                <w:rFonts w:ascii="Verdana" w:hAnsi="Verdana" w:cstheme="minorHAnsi"/>
                <w:sz w:val="20"/>
              </w:rPr>
              <w:t>M.C1</w:t>
            </w:r>
            <w:proofErr w:type="gramEnd"/>
          </w:p>
        </w:tc>
        <w:tc>
          <w:tcPr>
            <w:tcW w:w="793"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Developing others and people management</w:t>
            </w:r>
          </w:p>
        </w:tc>
        <w:tc>
          <w:tcPr>
            <w:tcW w:w="2051"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88"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Preparazione di altri membri del personale e gestione delle persone</w:t>
            </w:r>
          </w:p>
        </w:tc>
        <w:tc>
          <w:tcPr>
            <w:tcW w:w="1082"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 xml:space="preserve">Dimostrare abilità nel fornire orientamenti tempestivi, chiari e specifici, riscontro e sostegno ad altri nell’individuare esigenze e opportunità di sviluppo e formazione, nello sviluppare le conoscenze, competenze e abilità necessarie allo svolgimento dei compiti assegnati o alla risoluzione di problemi, </w:t>
            </w:r>
            <w:proofErr w:type="gramStart"/>
            <w:r>
              <w:rPr>
                <w:rFonts w:ascii="Verdana" w:hAnsi="Verdana" w:cstheme="minorHAnsi"/>
                <w:sz w:val="20"/>
              </w:rPr>
              <w:t>nonché</w:t>
            </w:r>
            <w:proofErr w:type="gramEnd"/>
            <w:r>
              <w:rPr>
                <w:rFonts w:ascii="Verdana" w:hAnsi="Verdana" w:cstheme="minorHAnsi"/>
                <w:sz w:val="20"/>
              </w:rPr>
              <w:t xml:space="preserve"> nel dimostrare la capacità di gestire le attività lavorative del personale, il loro sviluppo e i loro risultati al fine di massimizzare l’efficienza delle risorse umane.</w:t>
            </w:r>
          </w:p>
        </w:tc>
      </w:tr>
      <w:tr w:rsidR="00F355E4" w:rsidRPr="00751B8C" w:rsidTr="00390240">
        <w:trPr>
          <w:trHeight w:val="765"/>
        </w:trPr>
        <w:tc>
          <w:tcPr>
            <w:tcW w:w="386" w:type="pct"/>
            <w:shd w:val="clear" w:color="000000" w:fill="FFFFFF"/>
            <w:vAlign w:val="center"/>
          </w:tcPr>
          <w:p w:rsidR="00F355E4" w:rsidRPr="00751B8C" w:rsidRDefault="00F355E4" w:rsidP="00B579F3">
            <w:pPr>
              <w:spacing w:after="0"/>
              <w:rPr>
                <w:rFonts w:ascii="Verdana" w:hAnsi="Verdana" w:cstheme="minorHAnsi"/>
                <w:sz w:val="20"/>
                <w:szCs w:val="20"/>
              </w:rPr>
            </w:pPr>
            <w:proofErr w:type="gramStart"/>
            <w:r>
              <w:rPr>
                <w:rFonts w:ascii="Verdana" w:hAnsi="Verdana" w:cstheme="minorHAnsi"/>
                <w:sz w:val="20"/>
              </w:rPr>
              <w:t>M.C2</w:t>
            </w:r>
            <w:proofErr w:type="gramEnd"/>
          </w:p>
        </w:tc>
        <w:tc>
          <w:tcPr>
            <w:tcW w:w="793" w:type="pct"/>
            <w:shd w:val="clear" w:color="000000" w:fill="FFFFFF"/>
            <w:vAlign w:val="center"/>
            <w:hideMark/>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Decision</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making</w:t>
            </w:r>
            <w:proofErr w:type="spellEnd"/>
          </w:p>
        </w:tc>
        <w:tc>
          <w:tcPr>
            <w:tcW w:w="2051"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88"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Livello decisionale</w:t>
            </w:r>
          </w:p>
        </w:tc>
        <w:tc>
          <w:tcPr>
            <w:tcW w:w="1082" w:type="pct"/>
            <w:shd w:val="clear" w:color="000000" w:fill="FFFFFF"/>
            <w:vAlign w:val="center"/>
          </w:tcPr>
          <w:p w:rsidR="00F355E4" w:rsidRPr="00751B8C" w:rsidRDefault="00F355E4" w:rsidP="00906C2F">
            <w:pPr>
              <w:spacing w:after="0"/>
              <w:rPr>
                <w:rFonts w:ascii="Verdana" w:hAnsi="Verdana" w:cstheme="minorHAnsi"/>
                <w:sz w:val="20"/>
                <w:szCs w:val="20"/>
              </w:rPr>
            </w:pPr>
            <w:proofErr w:type="gramStart"/>
            <w:r>
              <w:rPr>
                <w:rFonts w:ascii="Verdana" w:hAnsi="Verdana" w:cstheme="minorHAnsi"/>
                <w:sz w:val="20"/>
              </w:rPr>
              <w:t>Dimostrare abilità nell’applicare approcci efficaci per trarre conclusioni o sviluppare soluzioni e adottare interventi tempestivi, in linea</w:t>
            </w:r>
            <w:proofErr w:type="gramEnd"/>
            <w:r>
              <w:rPr>
                <w:rFonts w:ascii="Verdana" w:hAnsi="Verdana" w:cstheme="minorHAnsi"/>
                <w:sz w:val="20"/>
              </w:rPr>
              <w:t xml:space="preserve"> con i dati e i fatti disponibili ottenuti da diverse fonti, limiti e </w:t>
            </w:r>
            <w:r>
              <w:rPr>
                <w:rFonts w:ascii="Verdana" w:hAnsi="Verdana" w:cstheme="minorHAnsi"/>
                <w:sz w:val="20"/>
              </w:rPr>
              <w:lastRenderedPageBreak/>
              <w:t>conseguenze potenziali.</w:t>
            </w:r>
          </w:p>
        </w:tc>
      </w:tr>
      <w:tr w:rsidR="00F355E4" w:rsidRPr="00751B8C" w:rsidTr="00390240">
        <w:trPr>
          <w:trHeight w:val="1020"/>
        </w:trPr>
        <w:tc>
          <w:tcPr>
            <w:tcW w:w="386" w:type="pct"/>
            <w:shd w:val="clear" w:color="000000" w:fill="FFFFFF"/>
            <w:vAlign w:val="center"/>
          </w:tcPr>
          <w:p w:rsidR="00F355E4" w:rsidRPr="00751B8C" w:rsidRDefault="00F355E4" w:rsidP="00B579F3">
            <w:pPr>
              <w:spacing w:after="0"/>
              <w:rPr>
                <w:rFonts w:ascii="Verdana" w:hAnsi="Verdana" w:cstheme="minorHAnsi"/>
                <w:sz w:val="20"/>
                <w:szCs w:val="20"/>
              </w:rPr>
            </w:pPr>
            <w:proofErr w:type="gramStart"/>
            <w:r>
              <w:rPr>
                <w:rFonts w:ascii="Verdana" w:hAnsi="Verdana" w:cstheme="minorHAnsi"/>
                <w:sz w:val="20"/>
              </w:rPr>
              <w:lastRenderedPageBreak/>
              <w:t>M.C3</w:t>
            </w:r>
            <w:proofErr w:type="gramEnd"/>
          </w:p>
        </w:tc>
        <w:tc>
          <w:tcPr>
            <w:tcW w:w="793" w:type="pct"/>
            <w:shd w:val="clear" w:color="000000" w:fill="FFFFFF"/>
            <w:vAlign w:val="center"/>
            <w:hideMark/>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Delegation</w:t>
            </w:r>
            <w:proofErr w:type="spellEnd"/>
          </w:p>
        </w:tc>
        <w:tc>
          <w:tcPr>
            <w:tcW w:w="2051"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688"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Delega</w:t>
            </w:r>
          </w:p>
        </w:tc>
        <w:tc>
          <w:tcPr>
            <w:tcW w:w="1082" w:type="pct"/>
            <w:shd w:val="clear" w:color="000000" w:fill="FFFFFF"/>
            <w:vAlign w:val="center"/>
          </w:tcPr>
          <w:p w:rsidR="00F355E4" w:rsidRPr="00751B8C" w:rsidRDefault="00F355E4" w:rsidP="00906C2F">
            <w:pPr>
              <w:spacing w:after="0"/>
              <w:rPr>
                <w:rFonts w:ascii="Verdana" w:hAnsi="Verdana" w:cstheme="minorHAnsi"/>
                <w:sz w:val="20"/>
                <w:szCs w:val="20"/>
              </w:rPr>
            </w:pPr>
            <w:proofErr w:type="gramStart"/>
            <w:r>
              <w:rPr>
                <w:rFonts w:ascii="Verdana" w:hAnsi="Verdana" w:cstheme="minorHAnsi"/>
                <w:sz w:val="20"/>
              </w:rPr>
              <w:t>Dimostrare abilità nell’assegnare responsabilità decisionali e/o legate a uno specifico compito ad altri, per garantire una comunicazione ch</w:t>
            </w:r>
            <w:proofErr w:type="gramEnd"/>
            <w:r>
              <w:rPr>
                <w:rFonts w:ascii="Verdana" w:hAnsi="Verdana" w:cstheme="minorHAnsi"/>
                <w:sz w:val="20"/>
              </w:rPr>
              <w:t>iara in merito all’assegnazione e al completamento delle responsabilità, e nel fornire sostegno adeguato in modo da massimizzare l’efficacia dell’organizzazione e dei singoli.</w:t>
            </w:r>
          </w:p>
        </w:tc>
      </w:tr>
      <w:tr w:rsidR="00F355E4" w:rsidRPr="00751B8C" w:rsidTr="00390240">
        <w:trPr>
          <w:trHeight w:val="765"/>
        </w:trPr>
        <w:tc>
          <w:tcPr>
            <w:tcW w:w="386" w:type="pct"/>
            <w:shd w:val="clear" w:color="000000" w:fill="FFFFFF"/>
            <w:vAlign w:val="center"/>
          </w:tcPr>
          <w:p w:rsidR="00F355E4" w:rsidRPr="00751B8C" w:rsidRDefault="00F355E4" w:rsidP="00B579F3">
            <w:pPr>
              <w:spacing w:after="0"/>
              <w:rPr>
                <w:rFonts w:ascii="Verdana" w:hAnsi="Verdana" w:cstheme="minorHAnsi"/>
                <w:sz w:val="20"/>
                <w:szCs w:val="20"/>
              </w:rPr>
            </w:pPr>
            <w:proofErr w:type="gramStart"/>
            <w:r>
              <w:rPr>
                <w:rFonts w:ascii="Verdana" w:hAnsi="Verdana" w:cstheme="minorHAnsi"/>
                <w:sz w:val="20"/>
              </w:rPr>
              <w:t>M.C4</w:t>
            </w:r>
            <w:proofErr w:type="gramEnd"/>
          </w:p>
        </w:tc>
        <w:tc>
          <w:tcPr>
            <w:tcW w:w="793" w:type="pct"/>
            <w:shd w:val="clear" w:color="000000" w:fill="FFFFFF"/>
            <w:vAlign w:val="center"/>
            <w:hideMark/>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Facilitation</w:t>
            </w:r>
            <w:proofErr w:type="spellEnd"/>
            <w:r w:rsidRPr="00751B8C">
              <w:rPr>
                <w:rFonts w:ascii="Verdana" w:hAnsi="Verdana" w:cstheme="minorHAnsi"/>
                <w:sz w:val="20"/>
                <w:szCs w:val="20"/>
              </w:rPr>
              <w:t xml:space="preserve"> and </w:t>
            </w:r>
            <w:proofErr w:type="spellStart"/>
            <w:r w:rsidRPr="00751B8C">
              <w:rPr>
                <w:rFonts w:ascii="Verdana" w:hAnsi="Verdana" w:cstheme="minorHAnsi"/>
                <w:sz w:val="20"/>
                <w:szCs w:val="20"/>
              </w:rPr>
              <w:t>communication</w:t>
            </w:r>
            <w:proofErr w:type="spellEnd"/>
          </w:p>
        </w:tc>
        <w:tc>
          <w:tcPr>
            <w:tcW w:w="2051"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688"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Facilitazione e comunicazione</w:t>
            </w:r>
          </w:p>
        </w:tc>
        <w:tc>
          <w:tcPr>
            <w:tcW w:w="1082"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Dimostrare abilità nel generare partecipazione e creatività negli altri, usare le capacità del gruppo affinché raggiunga il consenso, risolvere i problemi in modo efficace, realizzare compiti e obiettivi comuni.</w:t>
            </w:r>
          </w:p>
        </w:tc>
      </w:tr>
      <w:tr w:rsidR="00F355E4" w:rsidRPr="00751B8C" w:rsidTr="00390240">
        <w:trPr>
          <w:trHeight w:val="765"/>
        </w:trPr>
        <w:tc>
          <w:tcPr>
            <w:tcW w:w="386" w:type="pct"/>
            <w:shd w:val="clear" w:color="000000" w:fill="FFFFFF"/>
            <w:vAlign w:val="center"/>
          </w:tcPr>
          <w:p w:rsidR="00F355E4" w:rsidRPr="00751B8C" w:rsidRDefault="00F355E4" w:rsidP="00B579F3">
            <w:pPr>
              <w:spacing w:after="0"/>
              <w:rPr>
                <w:rFonts w:ascii="Verdana" w:hAnsi="Verdana" w:cstheme="minorHAnsi"/>
                <w:sz w:val="20"/>
                <w:szCs w:val="20"/>
              </w:rPr>
            </w:pPr>
            <w:proofErr w:type="gramStart"/>
            <w:r>
              <w:rPr>
                <w:rFonts w:ascii="Verdana" w:hAnsi="Verdana" w:cstheme="minorHAnsi"/>
                <w:sz w:val="20"/>
              </w:rPr>
              <w:t>M.C5</w:t>
            </w:r>
            <w:proofErr w:type="gramEnd"/>
          </w:p>
        </w:tc>
        <w:tc>
          <w:tcPr>
            <w:tcW w:w="793" w:type="pct"/>
            <w:shd w:val="clear" w:color="000000" w:fill="FFFFFF"/>
            <w:vAlign w:val="center"/>
            <w:hideMark/>
          </w:tcPr>
          <w:p w:rsidR="00F355E4" w:rsidRPr="00751B8C" w:rsidRDefault="00F355E4" w:rsidP="00906C2F">
            <w:pPr>
              <w:spacing w:after="0"/>
              <w:rPr>
                <w:rFonts w:ascii="Verdana" w:hAnsi="Verdana" w:cstheme="minorHAnsi"/>
                <w:sz w:val="20"/>
                <w:szCs w:val="20"/>
              </w:rPr>
            </w:pPr>
            <w:bookmarkStart w:id="12" w:name="RANGE!B8"/>
            <w:r w:rsidRPr="00751B8C">
              <w:rPr>
                <w:rFonts w:ascii="Verdana" w:hAnsi="Verdana" w:cstheme="minorHAnsi"/>
                <w:sz w:val="20"/>
                <w:szCs w:val="20"/>
              </w:rPr>
              <w:t>Leadership</w:t>
            </w:r>
            <w:bookmarkEnd w:id="12"/>
          </w:p>
        </w:tc>
        <w:tc>
          <w:tcPr>
            <w:tcW w:w="2051"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Demonstrating ability to energize and inspire individuals to strive towards the vision of the future, present clearly goals and objectives, create a sense of direction and purpose for employees </w:t>
            </w:r>
            <w:r w:rsidRPr="00F355E4">
              <w:rPr>
                <w:rFonts w:ascii="Verdana" w:hAnsi="Verdana" w:cstheme="minorHAnsi"/>
                <w:sz w:val="20"/>
                <w:szCs w:val="20"/>
                <w:lang w:val="en-GB"/>
              </w:rPr>
              <w:lastRenderedPageBreak/>
              <w:t>and act as a catalyst for action.</w:t>
            </w:r>
          </w:p>
        </w:tc>
        <w:tc>
          <w:tcPr>
            <w:tcW w:w="688"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lastRenderedPageBreak/>
              <w:t>Leadership</w:t>
            </w:r>
          </w:p>
        </w:tc>
        <w:tc>
          <w:tcPr>
            <w:tcW w:w="1082" w:type="pct"/>
            <w:shd w:val="clear" w:color="000000" w:fill="FFFFFF"/>
            <w:vAlign w:val="center"/>
          </w:tcPr>
          <w:p w:rsidR="00F355E4" w:rsidRPr="00751B8C" w:rsidRDefault="00F355E4" w:rsidP="00906C2F">
            <w:pPr>
              <w:spacing w:after="0"/>
              <w:rPr>
                <w:rFonts w:ascii="Verdana" w:hAnsi="Verdana" w:cstheme="minorHAnsi"/>
                <w:sz w:val="20"/>
                <w:szCs w:val="20"/>
              </w:rPr>
            </w:pPr>
            <w:proofErr w:type="gramStart"/>
            <w:r>
              <w:rPr>
                <w:rFonts w:ascii="Verdana" w:hAnsi="Verdana" w:cstheme="minorHAnsi"/>
                <w:sz w:val="20"/>
              </w:rPr>
              <w:t xml:space="preserve">Dimostrare abilità nello stimolare e ispirare le persone ad agire per il raggiungimento della </w:t>
            </w:r>
            <w:r>
              <w:rPr>
                <w:rFonts w:ascii="Verdana" w:hAnsi="Verdana" w:cstheme="minorHAnsi"/>
                <w:sz w:val="20"/>
              </w:rPr>
              <w:lastRenderedPageBreak/>
              <w:t>visione futura dell’istituzione, nel presentar</w:t>
            </w:r>
            <w:proofErr w:type="gramEnd"/>
            <w:r>
              <w:rPr>
                <w:rFonts w:ascii="Verdana" w:hAnsi="Verdana" w:cstheme="minorHAnsi"/>
                <w:sz w:val="20"/>
              </w:rPr>
              <w:t>e finalità e obiettivi in modo chiaro, nel creare un senso di orientamento e scopo per il personale e nell’avere un effetto catalizzatore per le azioni.</w:t>
            </w:r>
          </w:p>
        </w:tc>
      </w:tr>
      <w:tr w:rsidR="00F355E4" w:rsidRPr="00751B8C" w:rsidTr="00390240">
        <w:trPr>
          <w:trHeight w:val="765"/>
        </w:trPr>
        <w:tc>
          <w:tcPr>
            <w:tcW w:w="386" w:type="pct"/>
            <w:shd w:val="clear" w:color="000000" w:fill="FFFFFF"/>
            <w:vAlign w:val="center"/>
          </w:tcPr>
          <w:p w:rsidR="00F355E4" w:rsidRPr="00751B8C" w:rsidRDefault="00F355E4" w:rsidP="00B579F3">
            <w:pPr>
              <w:spacing w:after="0"/>
              <w:rPr>
                <w:rFonts w:ascii="Verdana" w:hAnsi="Verdana" w:cstheme="minorHAnsi"/>
                <w:sz w:val="20"/>
                <w:szCs w:val="20"/>
              </w:rPr>
            </w:pPr>
            <w:proofErr w:type="gramStart"/>
            <w:r>
              <w:rPr>
                <w:rFonts w:ascii="Verdana" w:hAnsi="Verdana" w:cstheme="minorHAnsi"/>
                <w:sz w:val="20"/>
              </w:rPr>
              <w:lastRenderedPageBreak/>
              <w:t>M.C6</w:t>
            </w:r>
            <w:proofErr w:type="gramEnd"/>
          </w:p>
        </w:tc>
        <w:tc>
          <w:tcPr>
            <w:tcW w:w="793" w:type="pct"/>
            <w:shd w:val="clear" w:color="000000" w:fill="FFFFFF"/>
            <w:vAlign w:val="center"/>
            <w:hideMark/>
          </w:tcPr>
          <w:p w:rsidR="00F355E4" w:rsidRPr="00751B8C" w:rsidRDefault="00F355E4" w:rsidP="00906C2F">
            <w:pPr>
              <w:spacing w:after="0"/>
              <w:rPr>
                <w:rFonts w:ascii="Verdana" w:hAnsi="Verdana" w:cstheme="minorHAnsi"/>
                <w:sz w:val="20"/>
                <w:szCs w:val="20"/>
              </w:rPr>
            </w:pPr>
            <w:r w:rsidRPr="00751B8C">
              <w:rPr>
                <w:rFonts w:ascii="Verdana" w:hAnsi="Verdana" w:cstheme="minorHAnsi"/>
                <w:sz w:val="20"/>
                <w:szCs w:val="20"/>
              </w:rPr>
              <w:t>Multi-</w:t>
            </w:r>
            <w:proofErr w:type="spellStart"/>
            <w:r w:rsidRPr="00751B8C">
              <w:rPr>
                <w:rFonts w:ascii="Verdana" w:hAnsi="Verdana" w:cstheme="minorHAnsi"/>
                <w:sz w:val="20"/>
                <w:szCs w:val="20"/>
              </w:rPr>
              <w:t>level</w:t>
            </w:r>
            <w:proofErr w:type="spellEnd"/>
            <w:r w:rsidRPr="00751B8C">
              <w:rPr>
                <w:rFonts w:ascii="Verdana" w:hAnsi="Verdana" w:cstheme="minorHAnsi"/>
                <w:sz w:val="20"/>
                <w:szCs w:val="20"/>
              </w:rPr>
              <w:t xml:space="preserve"> stakeholder management</w:t>
            </w:r>
          </w:p>
        </w:tc>
        <w:tc>
          <w:tcPr>
            <w:tcW w:w="2051"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88"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Gestione multilivello delle parti interessate</w:t>
            </w:r>
          </w:p>
        </w:tc>
        <w:tc>
          <w:tcPr>
            <w:tcW w:w="1082"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 xml:space="preserve">Dimostrare abilità nel comprendere le finalità e gli obiettivi dei vari soggetti interessati, nel garantire una cooperazione efficiente </w:t>
            </w:r>
            <w:proofErr w:type="gramStart"/>
            <w:r>
              <w:rPr>
                <w:rFonts w:ascii="Verdana" w:hAnsi="Verdana" w:cstheme="minorHAnsi"/>
                <w:sz w:val="20"/>
              </w:rPr>
              <w:t>nonché</w:t>
            </w:r>
            <w:proofErr w:type="gramEnd"/>
            <w:r>
              <w:rPr>
                <w:rFonts w:ascii="Verdana" w:hAnsi="Verdana" w:cstheme="minorHAnsi"/>
                <w:sz w:val="20"/>
              </w:rPr>
              <w:t xml:space="preserve"> il coinvolgimento dei soggetti interessati (anche attraverso un atteggiamento di apertura e stimolando lo scambio di buone pratiche tra diversi Stati membri).  </w:t>
            </w:r>
          </w:p>
        </w:tc>
      </w:tr>
      <w:tr w:rsidR="00F355E4" w:rsidRPr="00751B8C" w:rsidTr="00390240">
        <w:trPr>
          <w:trHeight w:val="765"/>
        </w:trPr>
        <w:tc>
          <w:tcPr>
            <w:tcW w:w="386" w:type="pct"/>
            <w:shd w:val="clear" w:color="000000" w:fill="FFFFFF"/>
            <w:vAlign w:val="center"/>
          </w:tcPr>
          <w:p w:rsidR="00F355E4" w:rsidRPr="00751B8C" w:rsidRDefault="00F355E4" w:rsidP="00B579F3">
            <w:pPr>
              <w:spacing w:after="0"/>
              <w:rPr>
                <w:rFonts w:ascii="Verdana" w:hAnsi="Verdana" w:cstheme="minorHAnsi"/>
                <w:sz w:val="20"/>
                <w:szCs w:val="20"/>
              </w:rPr>
            </w:pPr>
            <w:proofErr w:type="gramStart"/>
            <w:r>
              <w:rPr>
                <w:rFonts w:ascii="Verdana" w:hAnsi="Verdana" w:cstheme="minorHAnsi"/>
                <w:sz w:val="20"/>
              </w:rPr>
              <w:t>M.C7</w:t>
            </w:r>
            <w:proofErr w:type="gramEnd"/>
          </w:p>
        </w:tc>
        <w:tc>
          <w:tcPr>
            <w:tcW w:w="793" w:type="pct"/>
            <w:shd w:val="clear" w:color="000000" w:fill="FFFFFF"/>
            <w:vAlign w:val="center"/>
            <w:hideMark/>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Negotiating</w:t>
            </w:r>
            <w:proofErr w:type="spellEnd"/>
          </w:p>
        </w:tc>
        <w:tc>
          <w:tcPr>
            <w:tcW w:w="2051"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688"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Negoziazione</w:t>
            </w:r>
          </w:p>
        </w:tc>
        <w:tc>
          <w:tcPr>
            <w:tcW w:w="1082"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 xml:space="preserve">Dimostrare abilità nell’esaminare in modo efficace (vale a dire, facilitando la discussione, ponendo domande, rispondendo </w:t>
            </w:r>
            <w:proofErr w:type="gramStart"/>
            <w:r>
              <w:rPr>
                <w:rFonts w:ascii="Verdana" w:hAnsi="Verdana" w:cstheme="minorHAnsi"/>
                <w:sz w:val="20"/>
              </w:rPr>
              <w:t>ad</w:t>
            </w:r>
            <w:proofErr w:type="gramEnd"/>
            <w:r>
              <w:rPr>
                <w:rFonts w:ascii="Verdana" w:hAnsi="Verdana" w:cstheme="minorHAnsi"/>
                <w:sz w:val="20"/>
              </w:rPr>
              <w:t xml:space="preserve"> obiezioni, ecc.) alternative e posizioni di altri soggetti per il raggiungimento di </w:t>
            </w:r>
            <w:r>
              <w:rPr>
                <w:rFonts w:ascii="Verdana" w:hAnsi="Verdana" w:cstheme="minorHAnsi"/>
                <w:sz w:val="20"/>
              </w:rPr>
              <w:lastRenderedPageBreak/>
              <w:t>risultati unanimemente accettati (ovvero, individuando una soluzione ottimale per tutte le parti interessate).</w:t>
            </w:r>
          </w:p>
        </w:tc>
      </w:tr>
      <w:tr w:rsidR="00F355E4" w:rsidRPr="00751B8C" w:rsidTr="00390240">
        <w:trPr>
          <w:trHeight w:val="510"/>
        </w:trPr>
        <w:tc>
          <w:tcPr>
            <w:tcW w:w="386" w:type="pct"/>
            <w:shd w:val="clear" w:color="000000" w:fill="FFFFFF"/>
            <w:vAlign w:val="center"/>
          </w:tcPr>
          <w:p w:rsidR="00F355E4" w:rsidRPr="00751B8C" w:rsidRDefault="00F355E4" w:rsidP="00B579F3">
            <w:pPr>
              <w:spacing w:after="0"/>
              <w:rPr>
                <w:rFonts w:ascii="Verdana" w:hAnsi="Verdana" w:cstheme="minorHAnsi"/>
                <w:sz w:val="20"/>
                <w:szCs w:val="20"/>
              </w:rPr>
            </w:pPr>
            <w:proofErr w:type="gramStart"/>
            <w:r>
              <w:rPr>
                <w:rFonts w:ascii="Verdana" w:hAnsi="Verdana" w:cstheme="minorHAnsi"/>
                <w:sz w:val="20"/>
              </w:rPr>
              <w:lastRenderedPageBreak/>
              <w:t>M.C8</w:t>
            </w:r>
            <w:proofErr w:type="gramEnd"/>
          </w:p>
        </w:tc>
        <w:tc>
          <w:tcPr>
            <w:tcW w:w="793" w:type="pct"/>
            <w:shd w:val="clear" w:color="000000" w:fill="FFFFFF"/>
            <w:vAlign w:val="center"/>
            <w:hideMark/>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Result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orientation</w:t>
            </w:r>
            <w:proofErr w:type="spellEnd"/>
          </w:p>
        </w:tc>
        <w:tc>
          <w:tcPr>
            <w:tcW w:w="2051"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688"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Orientamento ai risultati</w:t>
            </w:r>
          </w:p>
        </w:tc>
        <w:tc>
          <w:tcPr>
            <w:tcW w:w="1082" w:type="pct"/>
            <w:shd w:val="clear" w:color="000000" w:fill="FFFFFF"/>
            <w:vAlign w:val="center"/>
          </w:tcPr>
          <w:p w:rsidR="00F355E4" w:rsidRPr="00751B8C" w:rsidRDefault="00F355E4" w:rsidP="00906C2F">
            <w:pPr>
              <w:spacing w:after="0"/>
              <w:rPr>
                <w:rFonts w:ascii="Verdana" w:hAnsi="Verdana" w:cstheme="minorHAnsi"/>
                <w:sz w:val="20"/>
                <w:szCs w:val="20"/>
              </w:rPr>
            </w:pPr>
            <w:proofErr w:type="gramStart"/>
            <w:r>
              <w:rPr>
                <w:rFonts w:ascii="Verdana" w:hAnsi="Verdana" w:cstheme="minorHAnsi"/>
                <w:sz w:val="20"/>
              </w:rPr>
              <w:t>Dimostrare abilità nel fissare obiettivi ambiziosi, mantenere concentrazione e perseveranza e raggiungere costantemente obiettivi o produrre</w:t>
            </w:r>
            <w:proofErr w:type="gramEnd"/>
            <w:r>
              <w:rPr>
                <w:rFonts w:ascii="Verdana" w:hAnsi="Verdana" w:cstheme="minorHAnsi"/>
                <w:sz w:val="20"/>
              </w:rPr>
              <w:t xml:space="preserve"> i risultati richiesti anche in caso di difficoltà.</w:t>
            </w:r>
          </w:p>
        </w:tc>
      </w:tr>
      <w:tr w:rsidR="00F355E4" w:rsidRPr="00751B8C" w:rsidTr="00390240">
        <w:trPr>
          <w:trHeight w:val="765"/>
        </w:trPr>
        <w:tc>
          <w:tcPr>
            <w:tcW w:w="386" w:type="pct"/>
            <w:shd w:val="clear" w:color="000000" w:fill="FFFFFF"/>
            <w:vAlign w:val="center"/>
          </w:tcPr>
          <w:p w:rsidR="00F355E4" w:rsidRPr="00751B8C" w:rsidRDefault="00F355E4" w:rsidP="00B579F3">
            <w:pPr>
              <w:spacing w:after="0"/>
              <w:rPr>
                <w:rFonts w:ascii="Verdana" w:hAnsi="Verdana" w:cstheme="minorHAnsi"/>
                <w:sz w:val="20"/>
                <w:szCs w:val="20"/>
              </w:rPr>
            </w:pPr>
            <w:proofErr w:type="gramStart"/>
            <w:r>
              <w:rPr>
                <w:rFonts w:ascii="Verdana" w:hAnsi="Verdana" w:cstheme="minorHAnsi"/>
                <w:sz w:val="20"/>
              </w:rPr>
              <w:t>M.C9</w:t>
            </w:r>
            <w:proofErr w:type="gramEnd"/>
          </w:p>
        </w:tc>
        <w:tc>
          <w:tcPr>
            <w:tcW w:w="793" w:type="pct"/>
            <w:shd w:val="clear" w:color="000000" w:fill="FFFFFF"/>
            <w:vAlign w:val="center"/>
            <w:hideMark/>
          </w:tcPr>
          <w:p w:rsidR="00F355E4" w:rsidRPr="00751B8C" w:rsidRDefault="00F355E4" w:rsidP="00906C2F">
            <w:pPr>
              <w:spacing w:after="0"/>
              <w:rPr>
                <w:rFonts w:ascii="Verdana" w:hAnsi="Verdana" w:cstheme="minorHAnsi"/>
                <w:sz w:val="20"/>
                <w:szCs w:val="20"/>
              </w:rPr>
            </w:pPr>
            <w:r w:rsidRPr="00751B8C">
              <w:rPr>
                <w:rFonts w:ascii="Verdana" w:hAnsi="Verdana" w:cstheme="minorHAnsi"/>
                <w:sz w:val="20"/>
                <w:szCs w:val="20"/>
              </w:rPr>
              <w:t>Strategic management</w:t>
            </w:r>
          </w:p>
        </w:tc>
        <w:tc>
          <w:tcPr>
            <w:tcW w:w="2051"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688"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Gestione strategica</w:t>
            </w:r>
          </w:p>
        </w:tc>
        <w:tc>
          <w:tcPr>
            <w:tcW w:w="1082" w:type="pct"/>
            <w:shd w:val="clear" w:color="000000" w:fill="FFFFFF"/>
            <w:vAlign w:val="center"/>
          </w:tcPr>
          <w:p w:rsidR="00F355E4" w:rsidRPr="00751B8C" w:rsidRDefault="00F355E4" w:rsidP="00906C2F">
            <w:pPr>
              <w:spacing w:after="0"/>
              <w:rPr>
                <w:rFonts w:ascii="Verdana" w:hAnsi="Verdana" w:cstheme="minorHAnsi"/>
                <w:sz w:val="20"/>
                <w:szCs w:val="20"/>
              </w:rPr>
            </w:pPr>
            <w:proofErr w:type="gramStart"/>
            <w:r>
              <w:rPr>
                <w:rFonts w:ascii="Verdana" w:hAnsi="Verdana" w:cstheme="minorHAnsi"/>
                <w:sz w:val="20"/>
              </w:rPr>
              <w:t>Dimostrare abilità nel prendere decisioni e adottare azioni volte allo sviluppo e all’attuazione di strategie in linea con l’orientamento st</w:t>
            </w:r>
            <w:proofErr w:type="gramEnd"/>
            <w:r>
              <w:rPr>
                <w:rFonts w:ascii="Verdana" w:hAnsi="Verdana" w:cstheme="minorHAnsi"/>
                <w:sz w:val="20"/>
              </w:rPr>
              <w:t>rategico dell’organizzazione e il raggiungimento degli obiettivi.</w:t>
            </w:r>
          </w:p>
        </w:tc>
      </w:tr>
      <w:tr w:rsidR="00F355E4" w:rsidRPr="00751B8C" w:rsidTr="00390240">
        <w:trPr>
          <w:trHeight w:val="765"/>
        </w:trPr>
        <w:tc>
          <w:tcPr>
            <w:tcW w:w="386" w:type="pct"/>
            <w:shd w:val="clear" w:color="000000" w:fill="FFFFFF"/>
            <w:vAlign w:val="center"/>
          </w:tcPr>
          <w:p w:rsidR="00F355E4" w:rsidRPr="00751B8C" w:rsidRDefault="00F355E4" w:rsidP="00B579F3">
            <w:pPr>
              <w:spacing w:after="0"/>
              <w:rPr>
                <w:rFonts w:ascii="Verdana" w:hAnsi="Verdana" w:cstheme="minorHAnsi"/>
                <w:sz w:val="20"/>
                <w:szCs w:val="20"/>
              </w:rPr>
            </w:pPr>
            <w:proofErr w:type="gramStart"/>
            <w:r>
              <w:rPr>
                <w:rFonts w:ascii="Verdana" w:hAnsi="Verdana" w:cstheme="minorHAnsi"/>
                <w:sz w:val="20"/>
              </w:rPr>
              <w:t>M.C10</w:t>
            </w:r>
            <w:proofErr w:type="gramEnd"/>
          </w:p>
        </w:tc>
        <w:tc>
          <w:tcPr>
            <w:tcW w:w="793" w:type="pct"/>
            <w:shd w:val="clear" w:color="000000" w:fill="FFFFFF"/>
            <w:vAlign w:val="center"/>
            <w:hideMark/>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Risk</w:t>
            </w:r>
            <w:proofErr w:type="spellEnd"/>
            <w:r w:rsidRPr="00751B8C">
              <w:rPr>
                <w:rFonts w:ascii="Verdana" w:hAnsi="Verdana" w:cstheme="minorHAnsi"/>
                <w:sz w:val="20"/>
                <w:szCs w:val="20"/>
              </w:rPr>
              <w:t xml:space="preserve"> management</w:t>
            </w:r>
          </w:p>
        </w:tc>
        <w:tc>
          <w:tcPr>
            <w:tcW w:w="2051"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Demonstrating ability to identify, analyse, assess and prioritize risks and to minimize, </w:t>
            </w:r>
            <w:proofErr w:type="gramStart"/>
            <w:r w:rsidRPr="00F355E4">
              <w:rPr>
                <w:rFonts w:ascii="Verdana" w:hAnsi="Verdana" w:cstheme="minorHAnsi"/>
                <w:sz w:val="20"/>
                <w:szCs w:val="20"/>
                <w:lang w:val="en-GB"/>
              </w:rPr>
              <w:t>monitor</w:t>
            </w:r>
            <w:proofErr w:type="gramEnd"/>
            <w:r w:rsidRPr="00F355E4">
              <w:rPr>
                <w:rFonts w:ascii="Verdana" w:hAnsi="Verdana" w:cstheme="minorHAnsi"/>
                <w:sz w:val="20"/>
                <w:szCs w:val="20"/>
                <w:lang w:val="en-GB"/>
              </w:rPr>
              <w:t>, and control the probability and/or impact of unfortunate events or to maximize the realization of opportunities.</w:t>
            </w:r>
          </w:p>
        </w:tc>
        <w:tc>
          <w:tcPr>
            <w:tcW w:w="688"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Gestione del rischio</w:t>
            </w:r>
          </w:p>
        </w:tc>
        <w:tc>
          <w:tcPr>
            <w:tcW w:w="1082"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 xml:space="preserve">Dimostrare abilità nell’individuare, analizzare, valutare rischi e definire priorità tra questi, </w:t>
            </w:r>
            <w:proofErr w:type="gramStart"/>
            <w:r>
              <w:rPr>
                <w:rFonts w:ascii="Verdana" w:hAnsi="Verdana" w:cstheme="minorHAnsi"/>
                <w:sz w:val="20"/>
              </w:rPr>
              <w:t>nonché</w:t>
            </w:r>
            <w:proofErr w:type="gramEnd"/>
            <w:r>
              <w:rPr>
                <w:rFonts w:ascii="Verdana" w:hAnsi="Verdana" w:cstheme="minorHAnsi"/>
                <w:sz w:val="20"/>
              </w:rPr>
              <w:t xml:space="preserve"> minimizzare, monitorare e controllare la probabilità e/o gli effetti </w:t>
            </w:r>
            <w:r>
              <w:rPr>
                <w:rFonts w:ascii="Verdana" w:hAnsi="Verdana" w:cstheme="minorHAnsi"/>
                <w:sz w:val="20"/>
              </w:rPr>
              <w:lastRenderedPageBreak/>
              <w:t>di eventi avversi ovvero massimizzare le opportunità.</w:t>
            </w:r>
          </w:p>
        </w:tc>
      </w:tr>
      <w:tr w:rsidR="00F355E4" w:rsidRPr="00751B8C" w:rsidTr="00390240">
        <w:trPr>
          <w:trHeight w:val="765"/>
        </w:trPr>
        <w:tc>
          <w:tcPr>
            <w:tcW w:w="386" w:type="pct"/>
            <w:shd w:val="clear" w:color="000000" w:fill="FFFFFF"/>
            <w:vAlign w:val="center"/>
          </w:tcPr>
          <w:p w:rsidR="00F355E4" w:rsidRPr="00751B8C" w:rsidRDefault="00F355E4" w:rsidP="00B579F3">
            <w:pPr>
              <w:spacing w:after="0"/>
              <w:rPr>
                <w:rFonts w:ascii="Verdana" w:hAnsi="Verdana" w:cstheme="minorHAnsi"/>
                <w:sz w:val="20"/>
                <w:szCs w:val="20"/>
              </w:rPr>
            </w:pPr>
            <w:proofErr w:type="gramStart"/>
            <w:r>
              <w:rPr>
                <w:rFonts w:ascii="Verdana" w:hAnsi="Verdana" w:cstheme="minorHAnsi"/>
                <w:sz w:val="20"/>
              </w:rPr>
              <w:lastRenderedPageBreak/>
              <w:t>M.C11</w:t>
            </w:r>
            <w:proofErr w:type="gramEnd"/>
          </w:p>
        </w:tc>
        <w:tc>
          <w:tcPr>
            <w:tcW w:w="793" w:type="pct"/>
            <w:shd w:val="clear" w:color="000000" w:fill="FFFFFF"/>
            <w:vAlign w:val="center"/>
            <w:hideMark/>
          </w:tcPr>
          <w:p w:rsidR="00F355E4" w:rsidRPr="00751B8C" w:rsidRDefault="00F355E4" w:rsidP="00906C2F">
            <w:pPr>
              <w:spacing w:after="0"/>
              <w:rPr>
                <w:rFonts w:ascii="Verdana" w:hAnsi="Verdana" w:cstheme="minorHAnsi"/>
                <w:sz w:val="20"/>
                <w:szCs w:val="20"/>
              </w:rPr>
            </w:pPr>
            <w:r w:rsidRPr="00751B8C">
              <w:rPr>
                <w:rFonts w:ascii="Verdana" w:hAnsi="Verdana" w:cstheme="minorHAnsi"/>
                <w:sz w:val="20"/>
                <w:szCs w:val="20"/>
              </w:rPr>
              <w:t xml:space="preserve">Planning of </w:t>
            </w:r>
            <w:proofErr w:type="spellStart"/>
            <w:r w:rsidRPr="00751B8C">
              <w:rPr>
                <w:rFonts w:ascii="Verdana" w:hAnsi="Verdana" w:cstheme="minorHAnsi"/>
                <w:sz w:val="20"/>
                <w:szCs w:val="20"/>
              </w:rPr>
              <w:t>resources</w:t>
            </w:r>
            <w:proofErr w:type="spellEnd"/>
          </w:p>
        </w:tc>
        <w:tc>
          <w:tcPr>
            <w:tcW w:w="2051"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688"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Pianificazione delle risorse</w:t>
            </w:r>
          </w:p>
        </w:tc>
        <w:tc>
          <w:tcPr>
            <w:tcW w:w="1082"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 xml:space="preserve">Dimostrare abilità nel gestire le risorse dell’organizzazione, ivi comprese le </w:t>
            </w:r>
            <w:proofErr w:type="gramStart"/>
            <w:r>
              <w:rPr>
                <w:rFonts w:ascii="Verdana" w:hAnsi="Verdana" w:cstheme="minorHAnsi"/>
                <w:sz w:val="20"/>
              </w:rPr>
              <w:t>risorse</w:t>
            </w:r>
            <w:proofErr w:type="gramEnd"/>
            <w:r>
              <w:rPr>
                <w:rFonts w:ascii="Verdana" w:hAnsi="Verdana" w:cstheme="minorHAnsi"/>
                <w:sz w:val="20"/>
              </w:rPr>
              <w:t xml:space="preserve"> finanziarie, l’inventario, le competenze umane, le risorse produttive e l’informatica (IT) in modo efficace ed efficiente, ma non limitatamente a tali fattori.</w:t>
            </w:r>
          </w:p>
        </w:tc>
      </w:tr>
      <w:tr w:rsidR="00F355E4" w:rsidRPr="00751B8C" w:rsidTr="00390240">
        <w:trPr>
          <w:trHeight w:val="765"/>
        </w:trPr>
        <w:tc>
          <w:tcPr>
            <w:tcW w:w="386" w:type="pct"/>
            <w:shd w:val="clear" w:color="000000" w:fill="FFFFFF"/>
            <w:vAlign w:val="center"/>
          </w:tcPr>
          <w:p w:rsidR="00F355E4" w:rsidRPr="00751B8C" w:rsidRDefault="00F355E4" w:rsidP="00B579F3">
            <w:pPr>
              <w:spacing w:after="0"/>
              <w:rPr>
                <w:rFonts w:ascii="Verdana" w:hAnsi="Verdana" w:cstheme="minorHAnsi"/>
                <w:sz w:val="20"/>
                <w:szCs w:val="20"/>
              </w:rPr>
            </w:pPr>
            <w:proofErr w:type="gramStart"/>
            <w:r>
              <w:rPr>
                <w:rFonts w:ascii="Verdana" w:hAnsi="Verdana" w:cstheme="minorHAnsi"/>
                <w:sz w:val="20"/>
              </w:rPr>
              <w:t>M.C12</w:t>
            </w:r>
            <w:proofErr w:type="gramEnd"/>
          </w:p>
        </w:tc>
        <w:tc>
          <w:tcPr>
            <w:tcW w:w="793"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HR Strategy development and implementation</w:t>
            </w:r>
          </w:p>
        </w:tc>
        <w:tc>
          <w:tcPr>
            <w:tcW w:w="2051" w:type="pct"/>
            <w:shd w:val="clear" w:color="000000" w:fill="FFFFFF"/>
            <w:vAlign w:val="center"/>
            <w:hideMark/>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688"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Sviluppo e attuazione della strategia delle risorse umane</w:t>
            </w:r>
          </w:p>
        </w:tc>
        <w:tc>
          <w:tcPr>
            <w:tcW w:w="1082" w:type="pct"/>
            <w:shd w:val="clear" w:color="000000" w:fill="FFFFFF"/>
            <w:vAlign w:val="center"/>
          </w:tcPr>
          <w:p w:rsidR="00F355E4" w:rsidRPr="00751B8C" w:rsidRDefault="00F355E4" w:rsidP="00906C2F">
            <w:pPr>
              <w:spacing w:after="0"/>
              <w:rPr>
                <w:rFonts w:ascii="Verdana" w:hAnsi="Verdana" w:cstheme="minorHAnsi"/>
                <w:sz w:val="20"/>
                <w:szCs w:val="20"/>
              </w:rPr>
            </w:pPr>
            <w:proofErr w:type="gramStart"/>
            <w:r>
              <w:rPr>
                <w:rFonts w:ascii="Verdana" w:hAnsi="Verdana" w:cstheme="minorHAnsi"/>
                <w:sz w:val="20"/>
              </w:rPr>
              <w:t>Dimostrare abilità nel prendere decisioni e adottare azioni volte allo sviluppo e all’attuazione di strategie in linea con l’orientamento st</w:t>
            </w:r>
            <w:proofErr w:type="gramEnd"/>
            <w:r>
              <w:rPr>
                <w:rFonts w:ascii="Verdana" w:hAnsi="Verdana" w:cstheme="minorHAnsi"/>
                <w:sz w:val="20"/>
              </w:rPr>
              <w:t>rategico dell’organizzazione e il raggiungimento degli obiettivi.</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3" w:name="_Toc494906123"/>
      <w:bookmarkStart w:id="14" w:name="_Toc508986548"/>
      <w:r>
        <w:lastRenderedPageBreak/>
        <w:t>Competenze professionali</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6931AA" w:rsidRPr="00751B8C" w:rsidTr="006931AA">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Inglese</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Lingua locale</w:t>
            </w:r>
          </w:p>
        </w:tc>
      </w:tr>
      <w:tr w:rsidR="00F355E4" w:rsidRPr="00751B8C" w:rsidTr="00846E51">
        <w:trPr>
          <w:trHeight w:val="219"/>
          <w:tblHeader/>
        </w:trPr>
        <w:tc>
          <w:tcPr>
            <w:tcW w:w="453" w:type="pct"/>
            <w:shd w:val="clear" w:color="auto" w:fill="EDEDED" w:themeFill="accent3" w:themeFillTint="33"/>
            <w:vAlign w:val="center"/>
          </w:tcPr>
          <w:p w:rsidR="00F355E4" w:rsidRPr="00751B8C" w:rsidRDefault="00F355E4" w:rsidP="00906C2F">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Code</w:t>
            </w:r>
          </w:p>
        </w:tc>
        <w:tc>
          <w:tcPr>
            <w:tcW w:w="726" w:type="pct"/>
            <w:shd w:val="clear" w:color="auto" w:fill="EDEDED" w:themeFill="accent3" w:themeFillTint="33"/>
            <w:noWrap/>
            <w:vAlign w:val="center"/>
            <w:hideMark/>
          </w:tcPr>
          <w:p w:rsidR="00F355E4" w:rsidRPr="00751B8C" w:rsidRDefault="00F355E4" w:rsidP="00906C2F">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hideMark/>
          </w:tcPr>
          <w:p w:rsidR="00F355E4" w:rsidRPr="00751B8C" w:rsidRDefault="00F355E4" w:rsidP="00906C2F">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761" w:type="pct"/>
            <w:shd w:val="clear" w:color="auto" w:fill="EDEDED" w:themeFill="accent3" w:themeFillTint="33"/>
            <w:vAlign w:val="center"/>
          </w:tcPr>
          <w:p w:rsidR="00F355E4" w:rsidRPr="00751B8C" w:rsidRDefault="00F355E4" w:rsidP="00906C2F">
            <w:pPr>
              <w:spacing w:after="0" w:line="240" w:lineRule="auto"/>
              <w:jc w:val="center"/>
              <w:rPr>
                <w:rFonts w:ascii="Verdana" w:eastAsia="Times New Roman" w:hAnsi="Verdana" w:cstheme="minorHAnsi"/>
                <w:b/>
                <w:bCs/>
                <w:sz w:val="20"/>
                <w:szCs w:val="20"/>
              </w:rPr>
            </w:pPr>
            <w:r>
              <w:rPr>
                <w:rFonts w:ascii="Verdana" w:hAnsi="Verdana" w:cstheme="minorHAnsi"/>
                <w:b/>
                <w:sz w:val="20"/>
              </w:rPr>
              <w:t>Competenza</w:t>
            </w:r>
          </w:p>
        </w:tc>
        <w:tc>
          <w:tcPr>
            <w:tcW w:w="1009" w:type="pct"/>
            <w:shd w:val="clear" w:color="auto" w:fill="EDEDED" w:themeFill="accent3" w:themeFillTint="33"/>
            <w:vAlign w:val="center"/>
          </w:tcPr>
          <w:p w:rsidR="00F355E4" w:rsidRPr="00751B8C" w:rsidRDefault="00F355E4" w:rsidP="00906C2F">
            <w:pPr>
              <w:spacing w:after="0" w:line="240" w:lineRule="auto"/>
              <w:jc w:val="center"/>
              <w:rPr>
                <w:rFonts w:ascii="Verdana" w:eastAsia="Times New Roman" w:hAnsi="Verdana" w:cstheme="minorHAnsi"/>
                <w:b/>
                <w:bCs/>
                <w:sz w:val="20"/>
                <w:szCs w:val="20"/>
              </w:rPr>
            </w:pPr>
            <w:r>
              <w:rPr>
                <w:rFonts w:ascii="Verdana" w:hAnsi="Verdana" w:cstheme="minorHAnsi"/>
                <w:b/>
                <w:sz w:val="20"/>
              </w:rPr>
              <w:t>Descrizione</w:t>
            </w:r>
          </w:p>
        </w:tc>
      </w:tr>
      <w:tr w:rsidR="00F355E4" w:rsidRPr="00751B8C" w:rsidTr="00390240">
        <w:trPr>
          <w:trHeight w:val="421"/>
        </w:trPr>
        <w:tc>
          <w:tcPr>
            <w:tcW w:w="453" w:type="pct"/>
            <w:shd w:val="clear" w:color="000000" w:fill="FFFFFF"/>
            <w:vAlign w:val="center"/>
          </w:tcPr>
          <w:p w:rsidR="00F355E4" w:rsidRPr="00751B8C" w:rsidRDefault="00F355E4" w:rsidP="003F0065">
            <w:pPr>
              <w:spacing w:after="0"/>
              <w:rPr>
                <w:rFonts w:ascii="Verdana" w:hAnsi="Verdana" w:cstheme="minorHAnsi"/>
                <w:sz w:val="20"/>
                <w:szCs w:val="20"/>
              </w:rPr>
            </w:pPr>
            <w:proofErr w:type="gramStart"/>
            <w:r>
              <w:rPr>
                <w:rFonts w:ascii="Verdana" w:hAnsi="Verdana" w:cstheme="minorHAnsi"/>
                <w:sz w:val="20"/>
              </w:rPr>
              <w:t>P.C1</w:t>
            </w:r>
            <w:proofErr w:type="gramEnd"/>
          </w:p>
        </w:tc>
        <w:tc>
          <w:tcPr>
            <w:tcW w:w="726" w:type="pct"/>
            <w:shd w:val="clear" w:color="000000" w:fill="FFFFFF"/>
            <w:vAlign w:val="center"/>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Analytical</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skills</w:t>
            </w:r>
            <w:proofErr w:type="spellEnd"/>
          </w:p>
        </w:tc>
        <w:tc>
          <w:tcPr>
            <w:tcW w:w="2051"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F355E4">
              <w:rPr>
                <w:rFonts w:ascii="Verdana" w:hAnsi="Verdana" w:cstheme="minorHAnsi"/>
                <w:sz w:val="20"/>
                <w:szCs w:val="20"/>
                <w:lang w:val="en-GB"/>
              </w:rPr>
              <w:t>effect</w:t>
            </w:r>
            <w:proofErr w:type="gramEnd"/>
            <w:r w:rsidRPr="00F355E4">
              <w:rPr>
                <w:rFonts w:ascii="Verdana" w:hAnsi="Verdana" w:cstheme="minorHAnsi"/>
                <w:sz w:val="20"/>
                <w:szCs w:val="20"/>
                <w:lang w:val="en-GB"/>
              </w:rPr>
              <w:t xml:space="preserve"> relationships and arrive at conclusions or decisions.</w:t>
            </w:r>
          </w:p>
        </w:tc>
        <w:tc>
          <w:tcPr>
            <w:tcW w:w="761"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Competenze analitiche</w:t>
            </w:r>
          </w:p>
        </w:tc>
        <w:tc>
          <w:tcPr>
            <w:tcW w:w="1009"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 xml:space="preserve">Adottare un approccio logico per affrontare problemi complessi </w:t>
            </w:r>
            <w:proofErr w:type="gramStart"/>
            <w:r>
              <w:rPr>
                <w:rFonts w:ascii="Verdana" w:hAnsi="Verdana" w:cstheme="minorHAnsi"/>
                <w:sz w:val="20"/>
              </w:rPr>
              <w:t>od</w:t>
            </w:r>
            <w:proofErr w:type="gramEnd"/>
            <w:r>
              <w:rPr>
                <w:rFonts w:ascii="Verdana" w:hAnsi="Verdana" w:cstheme="minorHAnsi"/>
                <w:sz w:val="20"/>
              </w:rPr>
              <w:t xml:space="preserve"> opportunità, suddividendoli in elementi costitutivi che identifichino le questioni di base, determinare nessi di causa-effetto e giungere a conclusioni o decisioni.</w:t>
            </w:r>
          </w:p>
        </w:tc>
      </w:tr>
      <w:tr w:rsidR="00F355E4" w:rsidRPr="00751B8C" w:rsidTr="00390240">
        <w:trPr>
          <w:trHeight w:val="659"/>
        </w:trPr>
        <w:tc>
          <w:tcPr>
            <w:tcW w:w="453" w:type="pct"/>
            <w:shd w:val="clear" w:color="000000" w:fill="FFFFFF"/>
            <w:vAlign w:val="center"/>
          </w:tcPr>
          <w:p w:rsidR="00F355E4" w:rsidRPr="00751B8C" w:rsidRDefault="00F355E4" w:rsidP="003F0065">
            <w:pPr>
              <w:spacing w:after="0"/>
              <w:rPr>
                <w:rFonts w:ascii="Verdana" w:hAnsi="Verdana" w:cstheme="minorHAnsi"/>
                <w:sz w:val="20"/>
                <w:szCs w:val="20"/>
              </w:rPr>
            </w:pPr>
            <w:proofErr w:type="gramStart"/>
            <w:r>
              <w:rPr>
                <w:rFonts w:ascii="Verdana" w:hAnsi="Verdana" w:cstheme="minorHAnsi"/>
                <w:sz w:val="20"/>
              </w:rPr>
              <w:t>P.C2</w:t>
            </w:r>
            <w:proofErr w:type="gramEnd"/>
          </w:p>
        </w:tc>
        <w:tc>
          <w:tcPr>
            <w:tcW w:w="726" w:type="pct"/>
            <w:shd w:val="clear" w:color="000000" w:fill="FFFFFF"/>
            <w:vAlign w:val="center"/>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Communicating</w:t>
            </w:r>
            <w:proofErr w:type="spellEnd"/>
            <w:r w:rsidRPr="00751B8C">
              <w:rPr>
                <w:rFonts w:ascii="Verdana" w:hAnsi="Verdana" w:cstheme="minorHAnsi"/>
                <w:sz w:val="20"/>
                <w:szCs w:val="20"/>
              </w:rPr>
              <w:t xml:space="preserve"> in </w:t>
            </w:r>
            <w:proofErr w:type="spellStart"/>
            <w:r w:rsidRPr="00751B8C">
              <w:rPr>
                <w:rFonts w:ascii="Verdana" w:hAnsi="Verdana" w:cstheme="minorHAnsi"/>
                <w:sz w:val="20"/>
                <w:szCs w:val="20"/>
              </w:rPr>
              <w:t>writing</w:t>
            </w:r>
            <w:proofErr w:type="spellEnd"/>
          </w:p>
        </w:tc>
        <w:tc>
          <w:tcPr>
            <w:tcW w:w="2051"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Comunicazione scritta</w:t>
            </w:r>
          </w:p>
        </w:tc>
        <w:tc>
          <w:tcPr>
            <w:tcW w:w="1009"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 xml:space="preserve">Dimostrare abilità nel presentare informazioni e idee per iscritto in modo chiaro e convincente, scegliendo </w:t>
            </w:r>
            <w:proofErr w:type="gramStart"/>
            <w:r>
              <w:rPr>
                <w:rFonts w:ascii="Verdana" w:hAnsi="Verdana" w:cstheme="minorHAnsi"/>
                <w:sz w:val="20"/>
              </w:rPr>
              <w:t>appositi</w:t>
            </w:r>
            <w:proofErr w:type="gramEnd"/>
            <w:r>
              <w:rPr>
                <w:rFonts w:ascii="Verdana" w:hAnsi="Verdana" w:cstheme="minorHAnsi"/>
                <w:sz w:val="20"/>
              </w:rPr>
              <w:t xml:space="preserve"> mezzi di comunicazione scritta e uno stile di scrittura in grado di raggiungere il pubblico, usando ortografia, grammatica e punteggiatura corrette, e dimostrare abilità nella comunicazione interculturale.</w:t>
            </w:r>
          </w:p>
        </w:tc>
      </w:tr>
      <w:tr w:rsidR="00F355E4" w:rsidRPr="00751B8C" w:rsidTr="00390240">
        <w:trPr>
          <w:trHeight w:val="878"/>
        </w:trPr>
        <w:tc>
          <w:tcPr>
            <w:tcW w:w="453" w:type="pct"/>
            <w:shd w:val="clear" w:color="000000" w:fill="FFFFFF"/>
            <w:vAlign w:val="center"/>
          </w:tcPr>
          <w:p w:rsidR="00F355E4" w:rsidRPr="00751B8C" w:rsidRDefault="00F355E4" w:rsidP="003F0065">
            <w:pPr>
              <w:spacing w:after="0"/>
              <w:rPr>
                <w:rFonts w:ascii="Verdana" w:hAnsi="Verdana" w:cstheme="minorHAnsi"/>
                <w:sz w:val="20"/>
                <w:szCs w:val="20"/>
              </w:rPr>
            </w:pPr>
            <w:proofErr w:type="gramStart"/>
            <w:r>
              <w:rPr>
                <w:rFonts w:ascii="Verdana" w:hAnsi="Verdana" w:cstheme="minorHAnsi"/>
                <w:sz w:val="20"/>
              </w:rPr>
              <w:lastRenderedPageBreak/>
              <w:t>P.C3</w:t>
            </w:r>
            <w:proofErr w:type="gramEnd"/>
          </w:p>
        </w:tc>
        <w:tc>
          <w:tcPr>
            <w:tcW w:w="726" w:type="pct"/>
            <w:shd w:val="clear" w:color="000000" w:fill="FFFFFF"/>
            <w:vAlign w:val="center"/>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Communicating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verbally</w:t>
            </w:r>
            <w:proofErr w:type="spellEnd"/>
          </w:p>
        </w:tc>
        <w:tc>
          <w:tcPr>
            <w:tcW w:w="2051"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F355E4">
              <w:rPr>
                <w:rFonts w:ascii="Verdana" w:hAnsi="Verdana" w:cstheme="minorHAnsi"/>
                <w:sz w:val="20"/>
                <w:szCs w:val="20"/>
                <w:lang w:val="en-GB"/>
              </w:rPr>
              <w:t>audience,</w:t>
            </w:r>
            <w:proofErr w:type="gramEnd"/>
            <w:r w:rsidRPr="00F355E4">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761"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Comunicazione orale</w:t>
            </w:r>
          </w:p>
        </w:tc>
        <w:tc>
          <w:tcPr>
            <w:tcW w:w="1009" w:type="pct"/>
            <w:shd w:val="clear" w:color="000000" w:fill="FFFFFF"/>
            <w:vAlign w:val="center"/>
          </w:tcPr>
          <w:p w:rsidR="00F355E4" w:rsidRPr="00751B8C" w:rsidRDefault="00F355E4" w:rsidP="00906C2F">
            <w:pPr>
              <w:spacing w:after="0"/>
              <w:rPr>
                <w:rFonts w:ascii="Verdana" w:hAnsi="Verdana" w:cstheme="minorHAnsi"/>
                <w:sz w:val="20"/>
                <w:szCs w:val="20"/>
              </w:rPr>
            </w:pPr>
            <w:proofErr w:type="gramStart"/>
            <w:r>
              <w:rPr>
                <w:rFonts w:ascii="Verdana" w:hAnsi="Verdana" w:cstheme="minorHAnsi"/>
                <w:sz w:val="20"/>
              </w:rPr>
              <w:t>Dimostrare abilità nell’esprimere pensieri e idee in modo chiaro a persone o gruppi attraverso il discorso orale, incoraggiando una comunica</w:t>
            </w:r>
            <w:proofErr w:type="gramEnd"/>
            <w:r>
              <w:rPr>
                <w:rFonts w:ascii="Verdana" w:hAnsi="Verdana" w:cstheme="minorHAnsi"/>
                <w:sz w:val="20"/>
              </w:rPr>
              <w:t>zione bidirezionale e aiutandoli a comprendere e a trattenere il messaggio, e dimostrando altresì abilità nella comunicazione interculturale.</w:t>
            </w:r>
          </w:p>
        </w:tc>
      </w:tr>
      <w:tr w:rsidR="00F355E4" w:rsidRPr="00751B8C" w:rsidTr="00390240">
        <w:trPr>
          <w:trHeight w:val="659"/>
        </w:trPr>
        <w:tc>
          <w:tcPr>
            <w:tcW w:w="453" w:type="pct"/>
            <w:shd w:val="clear" w:color="000000" w:fill="FFFFFF"/>
            <w:vAlign w:val="center"/>
          </w:tcPr>
          <w:p w:rsidR="00F355E4" w:rsidRPr="00751B8C" w:rsidRDefault="00F355E4" w:rsidP="003F0065">
            <w:pPr>
              <w:spacing w:after="0"/>
              <w:rPr>
                <w:rFonts w:ascii="Verdana" w:hAnsi="Verdana" w:cstheme="minorHAnsi"/>
                <w:sz w:val="20"/>
                <w:szCs w:val="20"/>
              </w:rPr>
            </w:pPr>
            <w:proofErr w:type="gramStart"/>
            <w:r>
              <w:rPr>
                <w:rFonts w:ascii="Verdana" w:hAnsi="Verdana" w:cstheme="minorHAnsi"/>
                <w:sz w:val="20"/>
              </w:rPr>
              <w:t>P.C4</w:t>
            </w:r>
            <w:proofErr w:type="gramEnd"/>
          </w:p>
        </w:tc>
        <w:tc>
          <w:tcPr>
            <w:tcW w:w="726" w:type="pct"/>
            <w:shd w:val="clear" w:color="000000" w:fill="FFFFFF"/>
            <w:vAlign w:val="center"/>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Conflict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handling</w:t>
            </w:r>
            <w:proofErr w:type="spellEnd"/>
          </w:p>
        </w:tc>
        <w:tc>
          <w:tcPr>
            <w:tcW w:w="2051"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Gestione dei conflitti</w:t>
            </w:r>
          </w:p>
        </w:tc>
        <w:tc>
          <w:tcPr>
            <w:tcW w:w="1009"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 xml:space="preserve">Dimostrare abilità a rapportarsi con gli altri in una situazione antagonistica riconoscendo le opinioni diverse, facendone l’oggetto di una discussione aperta e usando stili e </w:t>
            </w:r>
            <w:proofErr w:type="gramStart"/>
            <w:r>
              <w:rPr>
                <w:rFonts w:ascii="Verdana" w:hAnsi="Verdana" w:cstheme="minorHAnsi"/>
                <w:sz w:val="20"/>
              </w:rPr>
              <w:t>tecniche interpersonali appropriati</w:t>
            </w:r>
            <w:proofErr w:type="gramEnd"/>
            <w:r>
              <w:rPr>
                <w:rFonts w:ascii="Verdana" w:hAnsi="Verdana" w:cstheme="minorHAnsi"/>
                <w:sz w:val="20"/>
              </w:rPr>
              <w:t xml:space="preserve"> per individuare una soluzione ottimale per tutte le parti in conflitto che vede coinvolte due o più persone.</w:t>
            </w:r>
          </w:p>
        </w:tc>
      </w:tr>
      <w:tr w:rsidR="00F355E4" w:rsidRPr="00751B8C" w:rsidTr="00390240">
        <w:trPr>
          <w:trHeight w:val="659"/>
        </w:trPr>
        <w:tc>
          <w:tcPr>
            <w:tcW w:w="453" w:type="pct"/>
            <w:shd w:val="clear" w:color="000000" w:fill="FFFFFF"/>
            <w:vAlign w:val="center"/>
          </w:tcPr>
          <w:p w:rsidR="00F355E4" w:rsidRPr="00751B8C" w:rsidRDefault="00F355E4" w:rsidP="003F0065">
            <w:pPr>
              <w:spacing w:after="0"/>
              <w:rPr>
                <w:rFonts w:ascii="Verdana" w:hAnsi="Verdana" w:cstheme="minorHAnsi"/>
                <w:sz w:val="20"/>
                <w:szCs w:val="20"/>
              </w:rPr>
            </w:pPr>
            <w:proofErr w:type="gramStart"/>
            <w:r>
              <w:rPr>
                <w:rFonts w:ascii="Verdana" w:hAnsi="Verdana" w:cstheme="minorHAnsi"/>
                <w:sz w:val="20"/>
              </w:rPr>
              <w:lastRenderedPageBreak/>
              <w:t>P.C5</w:t>
            </w:r>
            <w:proofErr w:type="gramEnd"/>
          </w:p>
        </w:tc>
        <w:tc>
          <w:tcPr>
            <w:tcW w:w="726"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Flexibility and adaptability to change </w:t>
            </w:r>
          </w:p>
        </w:tc>
        <w:tc>
          <w:tcPr>
            <w:tcW w:w="2051"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761"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Flessibilità e adattabilità ai cambiamenti </w:t>
            </w:r>
          </w:p>
        </w:tc>
        <w:tc>
          <w:tcPr>
            <w:tcW w:w="1009" w:type="pct"/>
            <w:shd w:val="clear" w:color="000000" w:fill="FFFFFF"/>
            <w:vAlign w:val="center"/>
          </w:tcPr>
          <w:p w:rsidR="00F355E4" w:rsidRPr="00751B8C" w:rsidRDefault="00F355E4" w:rsidP="00906C2F">
            <w:pPr>
              <w:spacing w:after="0"/>
              <w:rPr>
                <w:rFonts w:ascii="Verdana" w:hAnsi="Verdana" w:cstheme="minorHAnsi"/>
                <w:sz w:val="20"/>
                <w:szCs w:val="20"/>
              </w:rPr>
            </w:pPr>
            <w:proofErr w:type="gramStart"/>
            <w:r>
              <w:rPr>
                <w:rFonts w:ascii="Verdana" w:hAnsi="Verdana" w:cstheme="minorHAnsi"/>
                <w:sz w:val="20"/>
              </w:rPr>
              <w:t>Dimostrare abilità nell’adeguarsi e mantenere un elevato livello di efficacia nel gestire cambiamenti importanti a mansioni lavorative, ambi</w:t>
            </w:r>
            <w:proofErr w:type="gramEnd"/>
            <w:r>
              <w:rPr>
                <w:rFonts w:ascii="Verdana" w:hAnsi="Verdana" w:cstheme="minorHAnsi"/>
                <w:sz w:val="20"/>
              </w:rPr>
              <w:t xml:space="preserve">ente di lavoro, struttura e cultura organizzativa, processi, requisiti e altri aspetti lavorativi. </w:t>
            </w:r>
          </w:p>
        </w:tc>
      </w:tr>
      <w:tr w:rsidR="00F355E4" w:rsidRPr="00751B8C" w:rsidTr="00390240">
        <w:trPr>
          <w:trHeight w:val="659"/>
        </w:trPr>
        <w:tc>
          <w:tcPr>
            <w:tcW w:w="453" w:type="pct"/>
            <w:shd w:val="clear" w:color="000000" w:fill="FFFFFF"/>
            <w:vAlign w:val="center"/>
          </w:tcPr>
          <w:p w:rsidR="00F355E4" w:rsidRPr="00751B8C" w:rsidRDefault="00F355E4" w:rsidP="003F0065">
            <w:pPr>
              <w:spacing w:after="0"/>
              <w:rPr>
                <w:rFonts w:ascii="Verdana" w:hAnsi="Verdana" w:cstheme="minorHAnsi"/>
                <w:sz w:val="20"/>
                <w:szCs w:val="20"/>
              </w:rPr>
            </w:pPr>
            <w:proofErr w:type="gramStart"/>
            <w:r>
              <w:rPr>
                <w:rFonts w:ascii="Verdana" w:hAnsi="Verdana" w:cstheme="minorHAnsi"/>
                <w:sz w:val="20"/>
              </w:rPr>
              <w:t>P.C6</w:t>
            </w:r>
            <w:proofErr w:type="gramEnd"/>
          </w:p>
        </w:tc>
        <w:tc>
          <w:tcPr>
            <w:tcW w:w="726" w:type="pct"/>
            <w:shd w:val="clear" w:color="000000" w:fill="FFFFFF"/>
            <w:vAlign w:val="center"/>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Problem</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solving</w:t>
            </w:r>
            <w:proofErr w:type="spellEnd"/>
          </w:p>
        </w:tc>
        <w:tc>
          <w:tcPr>
            <w:tcW w:w="2051"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Risoluzione di problemi</w:t>
            </w:r>
          </w:p>
        </w:tc>
        <w:tc>
          <w:tcPr>
            <w:tcW w:w="1009"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 xml:space="preserve">Dimostrare abilità nell’individuare problemi </w:t>
            </w:r>
            <w:proofErr w:type="gramStart"/>
            <w:r>
              <w:rPr>
                <w:rFonts w:ascii="Verdana" w:hAnsi="Verdana" w:cstheme="minorHAnsi"/>
                <w:sz w:val="20"/>
              </w:rPr>
              <w:t>sulla base di</w:t>
            </w:r>
            <w:proofErr w:type="gramEnd"/>
            <w:r>
              <w:rPr>
                <w:rFonts w:ascii="Verdana" w:hAnsi="Verdana" w:cstheme="minorHAnsi"/>
                <w:sz w:val="20"/>
              </w:rPr>
              <w:t xml:space="preserve"> fattori, quali logica, intuizione, dati, svolgimento di analisi appropriate, ricerche, e coinvolgendo gli altri (ove necessario) per giungere a soluzioni o decisioni.</w:t>
            </w:r>
          </w:p>
        </w:tc>
      </w:tr>
      <w:tr w:rsidR="00F355E4" w:rsidRPr="00751B8C" w:rsidTr="00390240">
        <w:trPr>
          <w:trHeight w:val="659"/>
        </w:trPr>
        <w:tc>
          <w:tcPr>
            <w:tcW w:w="453" w:type="pct"/>
            <w:shd w:val="clear" w:color="000000" w:fill="FFFFFF"/>
            <w:vAlign w:val="center"/>
          </w:tcPr>
          <w:p w:rsidR="00F355E4" w:rsidRPr="00751B8C" w:rsidRDefault="00F355E4" w:rsidP="003F0065">
            <w:pPr>
              <w:spacing w:after="0"/>
              <w:rPr>
                <w:rFonts w:ascii="Verdana" w:hAnsi="Verdana" w:cstheme="minorHAnsi"/>
                <w:sz w:val="20"/>
                <w:szCs w:val="20"/>
              </w:rPr>
            </w:pPr>
            <w:proofErr w:type="gramStart"/>
            <w:r>
              <w:rPr>
                <w:rFonts w:ascii="Verdana" w:hAnsi="Verdana" w:cstheme="minorHAnsi"/>
                <w:sz w:val="20"/>
              </w:rPr>
              <w:t>P.C7</w:t>
            </w:r>
            <w:proofErr w:type="gramEnd"/>
          </w:p>
        </w:tc>
        <w:tc>
          <w:tcPr>
            <w:tcW w:w="726" w:type="pct"/>
            <w:shd w:val="clear" w:color="000000" w:fill="FFFFFF"/>
            <w:vAlign w:val="center"/>
          </w:tcPr>
          <w:p w:rsidR="00F355E4" w:rsidRPr="00751B8C" w:rsidRDefault="00F355E4" w:rsidP="00906C2F">
            <w:pPr>
              <w:spacing w:after="0"/>
              <w:rPr>
                <w:rFonts w:ascii="Verdana" w:hAnsi="Verdana" w:cstheme="minorHAnsi"/>
                <w:sz w:val="20"/>
                <w:szCs w:val="20"/>
              </w:rPr>
            </w:pPr>
            <w:r w:rsidRPr="00751B8C">
              <w:rPr>
                <w:rFonts w:ascii="Verdana" w:hAnsi="Verdana" w:cstheme="minorHAnsi"/>
                <w:sz w:val="20"/>
                <w:szCs w:val="20"/>
              </w:rPr>
              <w:t>Team work</w:t>
            </w:r>
          </w:p>
        </w:tc>
        <w:tc>
          <w:tcPr>
            <w:tcW w:w="2051"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Lavoro di squadra</w:t>
            </w:r>
          </w:p>
        </w:tc>
        <w:tc>
          <w:tcPr>
            <w:tcW w:w="1009" w:type="pct"/>
            <w:shd w:val="clear" w:color="000000" w:fill="FFFFFF"/>
            <w:vAlign w:val="center"/>
          </w:tcPr>
          <w:p w:rsidR="00F355E4" w:rsidRPr="00751B8C" w:rsidRDefault="00F355E4" w:rsidP="00906C2F">
            <w:pPr>
              <w:spacing w:after="0"/>
              <w:rPr>
                <w:rFonts w:ascii="Verdana" w:hAnsi="Verdana" w:cstheme="minorHAnsi"/>
                <w:sz w:val="20"/>
                <w:szCs w:val="20"/>
              </w:rPr>
            </w:pPr>
            <w:proofErr w:type="gramStart"/>
            <w:r>
              <w:rPr>
                <w:rFonts w:ascii="Verdana" w:hAnsi="Verdana" w:cstheme="minorHAnsi"/>
                <w:sz w:val="20"/>
              </w:rPr>
              <w:t xml:space="preserve">Dimostrare abilità nel lavorare in modo collaborativo e cooperativo con altri colleghi di diverse unità strutturali e grado per raggiungere </w:t>
            </w:r>
            <w:proofErr w:type="gramEnd"/>
            <w:r>
              <w:rPr>
                <w:rFonts w:ascii="Verdana" w:hAnsi="Verdana" w:cstheme="minorHAnsi"/>
                <w:sz w:val="20"/>
              </w:rPr>
              <w:t>obiettivi comuni.</w:t>
            </w:r>
          </w:p>
        </w:tc>
      </w:tr>
      <w:tr w:rsidR="00F355E4" w:rsidRPr="00751B8C" w:rsidTr="00390240">
        <w:trPr>
          <w:trHeight w:val="439"/>
        </w:trPr>
        <w:tc>
          <w:tcPr>
            <w:tcW w:w="453" w:type="pct"/>
            <w:shd w:val="clear" w:color="000000" w:fill="FFFFFF"/>
            <w:vAlign w:val="center"/>
          </w:tcPr>
          <w:p w:rsidR="00F355E4" w:rsidRPr="00751B8C" w:rsidRDefault="00F355E4" w:rsidP="003F0065">
            <w:pPr>
              <w:spacing w:after="0"/>
              <w:rPr>
                <w:rFonts w:ascii="Verdana" w:hAnsi="Verdana" w:cstheme="minorHAnsi"/>
                <w:sz w:val="20"/>
                <w:szCs w:val="20"/>
              </w:rPr>
            </w:pPr>
            <w:proofErr w:type="gramStart"/>
            <w:r>
              <w:rPr>
                <w:rFonts w:ascii="Verdana" w:hAnsi="Verdana" w:cstheme="minorHAnsi"/>
                <w:sz w:val="20"/>
              </w:rPr>
              <w:t>P.C8</w:t>
            </w:r>
            <w:proofErr w:type="gramEnd"/>
          </w:p>
        </w:tc>
        <w:tc>
          <w:tcPr>
            <w:tcW w:w="726" w:type="pct"/>
            <w:shd w:val="clear" w:color="000000" w:fill="FFFFFF"/>
            <w:vAlign w:val="center"/>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Technological</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ability</w:t>
            </w:r>
            <w:proofErr w:type="spellEnd"/>
          </w:p>
        </w:tc>
        <w:tc>
          <w:tcPr>
            <w:tcW w:w="2051"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 xml:space="preserve">Demonstrating ability to use appropriate personal computer software, information systems and other </w:t>
            </w:r>
            <w:r w:rsidRPr="00F355E4">
              <w:rPr>
                <w:rFonts w:ascii="Verdana" w:hAnsi="Verdana" w:cstheme="minorHAnsi"/>
                <w:sz w:val="20"/>
                <w:szCs w:val="20"/>
                <w:lang w:val="en-GB"/>
              </w:rPr>
              <w:lastRenderedPageBreak/>
              <w:t>IT tools (e.g. Microsoft Office programs) that are required to accomplish work goals.</w:t>
            </w:r>
          </w:p>
        </w:tc>
        <w:tc>
          <w:tcPr>
            <w:tcW w:w="761"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lastRenderedPageBreak/>
              <w:t>Abilità tecnologica</w:t>
            </w:r>
          </w:p>
        </w:tc>
        <w:tc>
          <w:tcPr>
            <w:tcW w:w="1009"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 xml:space="preserve">Dimostrare abilità nell’impiego di software </w:t>
            </w:r>
            <w:r>
              <w:rPr>
                <w:rFonts w:ascii="Verdana" w:hAnsi="Verdana" w:cstheme="minorHAnsi"/>
                <w:sz w:val="20"/>
              </w:rPr>
              <w:lastRenderedPageBreak/>
              <w:t>informatici, sistemi informativi e altri strumenti IT (ad es., programmi Microsoft Office) richiesti per raggiungere gli obiettivi lavorativi.</w:t>
            </w:r>
          </w:p>
        </w:tc>
      </w:tr>
      <w:tr w:rsidR="00F355E4" w:rsidRPr="00751B8C" w:rsidTr="00390240">
        <w:trPr>
          <w:trHeight w:val="659"/>
        </w:trPr>
        <w:tc>
          <w:tcPr>
            <w:tcW w:w="453" w:type="pct"/>
            <w:shd w:val="clear" w:color="000000" w:fill="FFFFFF"/>
            <w:vAlign w:val="center"/>
          </w:tcPr>
          <w:p w:rsidR="00F355E4" w:rsidRPr="00751B8C" w:rsidRDefault="00F355E4" w:rsidP="003F0065">
            <w:pPr>
              <w:spacing w:after="0"/>
              <w:rPr>
                <w:rFonts w:ascii="Verdana" w:hAnsi="Verdana" w:cstheme="minorHAnsi"/>
                <w:sz w:val="20"/>
                <w:szCs w:val="20"/>
              </w:rPr>
            </w:pPr>
            <w:proofErr w:type="gramStart"/>
            <w:r>
              <w:rPr>
                <w:rFonts w:ascii="Verdana" w:hAnsi="Verdana" w:cstheme="minorHAnsi"/>
                <w:sz w:val="20"/>
              </w:rPr>
              <w:lastRenderedPageBreak/>
              <w:t>P.C9</w:t>
            </w:r>
            <w:proofErr w:type="gramEnd"/>
          </w:p>
        </w:tc>
        <w:tc>
          <w:tcPr>
            <w:tcW w:w="726"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Usage of monitoring and information system</w:t>
            </w:r>
          </w:p>
        </w:tc>
        <w:tc>
          <w:tcPr>
            <w:tcW w:w="2051"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761"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Utilizzo del sistema di monitoraggio e informazione</w:t>
            </w:r>
          </w:p>
        </w:tc>
        <w:tc>
          <w:tcPr>
            <w:tcW w:w="1009"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Dimostrare abilità nell’usare i sistemi di monitoraggio e informativi finanziati con risorse dell’UE (sia esterni, sia interni, se disponibili) per raggiungere gli obiettivi lavorativi.</w:t>
            </w:r>
          </w:p>
        </w:tc>
      </w:tr>
      <w:tr w:rsidR="00F355E4" w:rsidRPr="00751B8C" w:rsidTr="00390240">
        <w:trPr>
          <w:trHeight w:val="398"/>
        </w:trPr>
        <w:tc>
          <w:tcPr>
            <w:tcW w:w="453" w:type="pct"/>
            <w:shd w:val="clear" w:color="000000" w:fill="FFFFFF"/>
            <w:vAlign w:val="center"/>
          </w:tcPr>
          <w:p w:rsidR="00F355E4" w:rsidRPr="00751B8C" w:rsidRDefault="00F355E4" w:rsidP="003F0065">
            <w:pPr>
              <w:spacing w:after="0"/>
              <w:rPr>
                <w:rFonts w:ascii="Verdana" w:hAnsi="Verdana" w:cstheme="minorHAnsi"/>
                <w:sz w:val="20"/>
                <w:szCs w:val="20"/>
              </w:rPr>
            </w:pPr>
            <w:proofErr w:type="gramStart"/>
            <w:r>
              <w:rPr>
                <w:rFonts w:ascii="Verdana" w:hAnsi="Verdana" w:cstheme="minorHAnsi"/>
                <w:sz w:val="20"/>
              </w:rPr>
              <w:t>P.C10</w:t>
            </w:r>
            <w:proofErr w:type="gramEnd"/>
          </w:p>
        </w:tc>
        <w:tc>
          <w:tcPr>
            <w:tcW w:w="726"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Representation to the outside world</w:t>
            </w:r>
          </w:p>
        </w:tc>
        <w:tc>
          <w:tcPr>
            <w:tcW w:w="2051"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act or speak for institution in an efficient way and appropriate manner.</w:t>
            </w:r>
          </w:p>
        </w:tc>
        <w:tc>
          <w:tcPr>
            <w:tcW w:w="761"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Rappresentazione verso il mondo esterno</w:t>
            </w:r>
          </w:p>
        </w:tc>
        <w:tc>
          <w:tcPr>
            <w:tcW w:w="1009"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 xml:space="preserve">Dimostrare abilità nell’agire o parlare </w:t>
            </w:r>
            <w:proofErr w:type="gramStart"/>
            <w:r>
              <w:rPr>
                <w:rFonts w:ascii="Verdana" w:hAnsi="Verdana" w:cstheme="minorHAnsi"/>
                <w:sz w:val="20"/>
              </w:rPr>
              <w:t>a</w:t>
            </w:r>
            <w:proofErr w:type="gramEnd"/>
            <w:r>
              <w:rPr>
                <w:rFonts w:ascii="Verdana" w:hAnsi="Verdana" w:cstheme="minorHAnsi"/>
                <w:sz w:val="20"/>
              </w:rPr>
              <w:t xml:space="preserve"> nome dell’istituzione in modo efficiente ed adeguato.</w:t>
            </w:r>
          </w:p>
        </w:tc>
      </w:tr>
      <w:tr w:rsidR="00F355E4" w:rsidRPr="00751B8C" w:rsidTr="00390240">
        <w:trPr>
          <w:trHeight w:val="659"/>
        </w:trPr>
        <w:tc>
          <w:tcPr>
            <w:tcW w:w="453" w:type="pct"/>
            <w:shd w:val="clear" w:color="000000" w:fill="FFFFFF"/>
            <w:vAlign w:val="center"/>
          </w:tcPr>
          <w:p w:rsidR="00F355E4" w:rsidRPr="00751B8C" w:rsidRDefault="00F355E4" w:rsidP="003F0065">
            <w:pPr>
              <w:spacing w:after="0"/>
              <w:rPr>
                <w:rFonts w:ascii="Verdana" w:hAnsi="Verdana" w:cstheme="minorHAnsi"/>
                <w:sz w:val="20"/>
                <w:szCs w:val="20"/>
              </w:rPr>
            </w:pPr>
            <w:proofErr w:type="gramStart"/>
            <w:r>
              <w:rPr>
                <w:rFonts w:ascii="Verdana" w:hAnsi="Verdana" w:cstheme="minorHAnsi"/>
                <w:sz w:val="20"/>
              </w:rPr>
              <w:t>P.C11</w:t>
            </w:r>
            <w:proofErr w:type="gramEnd"/>
          </w:p>
        </w:tc>
        <w:tc>
          <w:tcPr>
            <w:tcW w:w="726" w:type="pct"/>
            <w:shd w:val="clear" w:color="000000" w:fill="FFFFFF"/>
            <w:vAlign w:val="center"/>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Relevant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language</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skills</w:t>
            </w:r>
            <w:proofErr w:type="spellEnd"/>
          </w:p>
        </w:tc>
        <w:tc>
          <w:tcPr>
            <w:tcW w:w="2051"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apply relevant foreign language skills in order to carry out the assigned functions and accomplish work goals.</w:t>
            </w:r>
          </w:p>
        </w:tc>
        <w:tc>
          <w:tcPr>
            <w:tcW w:w="761"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Competenze linguistiche pertinenti</w:t>
            </w:r>
          </w:p>
        </w:tc>
        <w:tc>
          <w:tcPr>
            <w:tcW w:w="1009" w:type="pct"/>
            <w:shd w:val="clear" w:color="000000" w:fill="FFFFFF"/>
            <w:vAlign w:val="center"/>
          </w:tcPr>
          <w:p w:rsidR="00F355E4" w:rsidRPr="00751B8C" w:rsidRDefault="00F355E4" w:rsidP="00906C2F">
            <w:pPr>
              <w:spacing w:after="0"/>
              <w:rPr>
                <w:rFonts w:ascii="Verdana" w:hAnsi="Verdana" w:cstheme="minorHAnsi"/>
                <w:sz w:val="20"/>
                <w:szCs w:val="20"/>
              </w:rPr>
            </w:pPr>
            <w:proofErr w:type="gramStart"/>
            <w:r>
              <w:rPr>
                <w:rFonts w:ascii="Verdana" w:hAnsi="Verdana" w:cstheme="minorHAnsi"/>
                <w:sz w:val="20"/>
              </w:rPr>
              <w:t>Dimostrare abilità nell’attuare competenze in lingua straniera pertinenti per svolgere le funzioni assegnate e raggiungere gli obiettivi lav</w:t>
            </w:r>
            <w:proofErr w:type="gramEnd"/>
            <w:r>
              <w:rPr>
                <w:rFonts w:ascii="Verdana" w:hAnsi="Verdana" w:cstheme="minorHAnsi"/>
                <w:sz w:val="20"/>
              </w:rPr>
              <w:t>orativi.</w:t>
            </w:r>
          </w:p>
        </w:tc>
      </w:tr>
      <w:tr w:rsidR="00F355E4" w:rsidRPr="00751B8C" w:rsidTr="00390240">
        <w:trPr>
          <w:trHeight w:val="659"/>
        </w:trPr>
        <w:tc>
          <w:tcPr>
            <w:tcW w:w="453" w:type="pct"/>
            <w:shd w:val="clear" w:color="000000" w:fill="FFFFFF"/>
            <w:vAlign w:val="center"/>
          </w:tcPr>
          <w:p w:rsidR="00F355E4" w:rsidRPr="00751B8C" w:rsidRDefault="00F355E4" w:rsidP="003F0065">
            <w:pPr>
              <w:spacing w:after="0"/>
              <w:rPr>
                <w:rFonts w:ascii="Verdana" w:hAnsi="Verdana" w:cstheme="minorHAnsi"/>
                <w:sz w:val="20"/>
                <w:szCs w:val="20"/>
              </w:rPr>
            </w:pPr>
            <w:proofErr w:type="gramStart"/>
            <w:r>
              <w:rPr>
                <w:rFonts w:ascii="Verdana" w:hAnsi="Verdana" w:cstheme="minorHAnsi"/>
                <w:sz w:val="20"/>
              </w:rPr>
              <w:t>P.C12</w:t>
            </w:r>
            <w:proofErr w:type="gramEnd"/>
          </w:p>
        </w:tc>
        <w:tc>
          <w:tcPr>
            <w:tcW w:w="726" w:type="pct"/>
            <w:shd w:val="clear" w:color="000000" w:fill="FFFFFF"/>
            <w:vAlign w:val="center"/>
          </w:tcPr>
          <w:p w:rsidR="00F355E4" w:rsidRPr="00751B8C" w:rsidRDefault="00F355E4" w:rsidP="00906C2F">
            <w:pPr>
              <w:spacing w:after="0"/>
              <w:rPr>
                <w:rFonts w:ascii="Verdana" w:hAnsi="Verdana" w:cstheme="minorHAnsi"/>
                <w:sz w:val="20"/>
                <w:szCs w:val="20"/>
              </w:rPr>
            </w:pPr>
            <w:proofErr w:type="spellStart"/>
            <w:r w:rsidRPr="00751B8C">
              <w:rPr>
                <w:rFonts w:ascii="Verdana" w:hAnsi="Verdana" w:cstheme="minorHAnsi"/>
                <w:sz w:val="20"/>
                <w:szCs w:val="20"/>
              </w:rPr>
              <w:t>Intercultural</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skills</w:t>
            </w:r>
            <w:proofErr w:type="spellEnd"/>
          </w:p>
        </w:tc>
        <w:tc>
          <w:tcPr>
            <w:tcW w:w="2051" w:type="pct"/>
            <w:shd w:val="clear" w:color="000000" w:fill="FFFFFF"/>
            <w:vAlign w:val="center"/>
          </w:tcPr>
          <w:p w:rsidR="00F355E4" w:rsidRPr="00F355E4" w:rsidRDefault="00F355E4" w:rsidP="00906C2F">
            <w:pPr>
              <w:spacing w:after="0"/>
              <w:rPr>
                <w:rFonts w:ascii="Verdana" w:hAnsi="Verdana" w:cstheme="minorHAnsi"/>
                <w:sz w:val="20"/>
                <w:szCs w:val="20"/>
                <w:lang w:val="en-GB"/>
              </w:rPr>
            </w:pPr>
            <w:r w:rsidRPr="00F355E4">
              <w:rPr>
                <w:rFonts w:ascii="Verdana" w:hAnsi="Verdana" w:cstheme="minorHAnsi"/>
                <w:sz w:val="20"/>
                <w:szCs w:val="20"/>
                <w:lang w:val="en-GB"/>
              </w:rPr>
              <w:t>Demonstrating ability to work in multi-cultural environment, efficiently dealing with stakeholders in EU institutions and other member states.</w:t>
            </w:r>
          </w:p>
        </w:tc>
        <w:tc>
          <w:tcPr>
            <w:tcW w:w="761" w:type="pct"/>
            <w:shd w:val="clear" w:color="000000" w:fill="FFFFFF"/>
            <w:vAlign w:val="center"/>
          </w:tcPr>
          <w:p w:rsidR="00F355E4" w:rsidRPr="00751B8C" w:rsidRDefault="00F355E4" w:rsidP="00906C2F">
            <w:pPr>
              <w:spacing w:after="0"/>
              <w:rPr>
                <w:rFonts w:ascii="Verdana" w:hAnsi="Verdana" w:cstheme="minorHAnsi"/>
                <w:sz w:val="20"/>
                <w:szCs w:val="20"/>
              </w:rPr>
            </w:pPr>
            <w:r>
              <w:rPr>
                <w:rFonts w:ascii="Verdana" w:hAnsi="Verdana" w:cstheme="minorHAnsi"/>
                <w:sz w:val="20"/>
              </w:rPr>
              <w:t>Competenze interculturali</w:t>
            </w:r>
          </w:p>
        </w:tc>
        <w:tc>
          <w:tcPr>
            <w:tcW w:w="1009" w:type="pct"/>
            <w:shd w:val="clear" w:color="000000" w:fill="FFFFFF"/>
            <w:vAlign w:val="center"/>
          </w:tcPr>
          <w:p w:rsidR="00F355E4" w:rsidRPr="00751B8C" w:rsidRDefault="00F355E4" w:rsidP="00906C2F">
            <w:pPr>
              <w:spacing w:after="0"/>
              <w:rPr>
                <w:rFonts w:ascii="Verdana" w:hAnsi="Verdana" w:cstheme="minorHAnsi"/>
                <w:sz w:val="20"/>
                <w:szCs w:val="20"/>
              </w:rPr>
            </w:pPr>
            <w:proofErr w:type="gramStart"/>
            <w:r>
              <w:rPr>
                <w:rFonts w:ascii="Verdana" w:hAnsi="Verdana" w:cstheme="minorHAnsi"/>
                <w:sz w:val="20"/>
              </w:rPr>
              <w:t xml:space="preserve">Dimostrare abilità nel lavorare in un ambiente multiculturale, rapportandosi in modo </w:t>
            </w:r>
            <w:r>
              <w:rPr>
                <w:rFonts w:ascii="Verdana" w:hAnsi="Verdana" w:cstheme="minorHAnsi"/>
                <w:sz w:val="20"/>
              </w:rPr>
              <w:lastRenderedPageBreak/>
              <w:t>efficiente con i soggetti interessati all’interno delle</w:t>
            </w:r>
            <w:proofErr w:type="gramEnd"/>
            <w:r>
              <w:rPr>
                <w:rFonts w:ascii="Verdana" w:hAnsi="Verdana" w:cstheme="minorHAnsi"/>
                <w:sz w:val="20"/>
              </w:rPr>
              <w:t xml:space="preserve"> istituzioni dell’UE e degli altri Stati membri.</w:t>
            </w:r>
          </w:p>
        </w:tc>
      </w:tr>
    </w:tbl>
    <w:p w:rsidR="00A30ABC" w:rsidRPr="003870A6" w:rsidRDefault="00A30ABC" w:rsidP="004D1BB8">
      <w:pPr>
        <w:pStyle w:val="Heading1"/>
        <w:numPr>
          <w:ilvl w:val="0"/>
          <w:numId w:val="0"/>
        </w:numPr>
      </w:pPr>
    </w:p>
    <w:p w:rsidR="00A30ABC" w:rsidRPr="003870A6" w:rsidRDefault="00A30ABC" w:rsidP="000E47BD">
      <w:pPr>
        <w:rPr>
          <w:rFonts w:ascii="Verdana" w:hAnsi="Verdana" w:cstheme="minorHAnsi"/>
          <w:b/>
          <w:i/>
          <w:sz w:val="18"/>
          <w:szCs w:val="20"/>
        </w:rPr>
      </w:pPr>
    </w:p>
    <w:sectPr w:rsidR="00A30ABC" w:rsidRPr="003870A6"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69" w:rsidRDefault="00B14669" w:rsidP="0008776A">
      <w:pPr>
        <w:spacing w:after="0" w:line="240" w:lineRule="auto"/>
      </w:pPr>
      <w:r>
        <w:separator/>
      </w:r>
    </w:p>
  </w:endnote>
  <w:endnote w:type="continuationSeparator" w:id="0">
    <w:p w:rsidR="00B14669" w:rsidRDefault="00B14669"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0949"/>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811CDE">
          <w:rPr>
            <w:rFonts w:asciiTheme="minorHAnsi" w:hAnsiTheme="minorHAnsi" w:cstheme="minorHAnsi"/>
            <w:noProof/>
          </w:rPr>
          <w:t>25</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69" w:rsidRDefault="00B14669" w:rsidP="0008776A">
      <w:pPr>
        <w:spacing w:after="0" w:line="240" w:lineRule="auto"/>
      </w:pPr>
      <w:r>
        <w:separator/>
      </w:r>
    </w:p>
  </w:footnote>
  <w:footnote w:type="continuationSeparator" w:id="0">
    <w:p w:rsidR="00B14669" w:rsidRDefault="00B14669"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92" w:rsidRPr="00313892" w:rsidRDefault="00313892"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 xml:space="preserve">Quadro UE delle competenze – Glossario dei termini usati nello strumento di </w:t>
    </w:r>
    <w:proofErr w:type="gramStart"/>
    <w:r>
      <w:rPr>
        <w:rFonts w:ascii="Verdana" w:hAnsi="Verdana"/>
        <w:color w:val="808080" w:themeColor="background1" w:themeShade="80"/>
      </w:rPr>
      <w:t>autovalutazione</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760F2"/>
    <w:rsid w:val="0008776A"/>
    <w:rsid w:val="000950D5"/>
    <w:rsid w:val="000A1ECD"/>
    <w:rsid w:val="000C44D2"/>
    <w:rsid w:val="000E47BD"/>
    <w:rsid w:val="000E49C3"/>
    <w:rsid w:val="00123EE5"/>
    <w:rsid w:val="001319E4"/>
    <w:rsid w:val="001A5137"/>
    <w:rsid w:val="001B5122"/>
    <w:rsid w:val="001C491D"/>
    <w:rsid w:val="001D4E04"/>
    <w:rsid w:val="001D7CC2"/>
    <w:rsid w:val="001F0D1D"/>
    <w:rsid w:val="00206F86"/>
    <w:rsid w:val="00231B6E"/>
    <w:rsid w:val="0024769A"/>
    <w:rsid w:val="002717F0"/>
    <w:rsid w:val="00272779"/>
    <w:rsid w:val="002A4AB7"/>
    <w:rsid w:val="002D1A61"/>
    <w:rsid w:val="00306B4F"/>
    <w:rsid w:val="00313892"/>
    <w:rsid w:val="00366D75"/>
    <w:rsid w:val="003839D5"/>
    <w:rsid w:val="003870A6"/>
    <w:rsid w:val="00390240"/>
    <w:rsid w:val="003928BC"/>
    <w:rsid w:val="003958B1"/>
    <w:rsid w:val="003966E7"/>
    <w:rsid w:val="003F0065"/>
    <w:rsid w:val="003F072E"/>
    <w:rsid w:val="00416AA7"/>
    <w:rsid w:val="0044373B"/>
    <w:rsid w:val="00476CF8"/>
    <w:rsid w:val="004B0758"/>
    <w:rsid w:val="004B76F3"/>
    <w:rsid w:val="004D1BB8"/>
    <w:rsid w:val="004F71B4"/>
    <w:rsid w:val="00536145"/>
    <w:rsid w:val="00554E39"/>
    <w:rsid w:val="00584C64"/>
    <w:rsid w:val="005C3880"/>
    <w:rsid w:val="005D6AFD"/>
    <w:rsid w:val="005F5DB2"/>
    <w:rsid w:val="006029E1"/>
    <w:rsid w:val="00614B9B"/>
    <w:rsid w:val="0062042A"/>
    <w:rsid w:val="006645FC"/>
    <w:rsid w:val="006744F9"/>
    <w:rsid w:val="006931AA"/>
    <w:rsid w:val="006C1E04"/>
    <w:rsid w:val="006C2D1C"/>
    <w:rsid w:val="006E738D"/>
    <w:rsid w:val="00716D09"/>
    <w:rsid w:val="007320E2"/>
    <w:rsid w:val="00751B8C"/>
    <w:rsid w:val="00757D2E"/>
    <w:rsid w:val="00787821"/>
    <w:rsid w:val="007D60DC"/>
    <w:rsid w:val="00811CDE"/>
    <w:rsid w:val="00822B80"/>
    <w:rsid w:val="008339CD"/>
    <w:rsid w:val="00834E93"/>
    <w:rsid w:val="0084461D"/>
    <w:rsid w:val="0086065D"/>
    <w:rsid w:val="008806DD"/>
    <w:rsid w:val="008E21AD"/>
    <w:rsid w:val="008F4A1B"/>
    <w:rsid w:val="00910BED"/>
    <w:rsid w:val="009248AB"/>
    <w:rsid w:val="009259B3"/>
    <w:rsid w:val="00927761"/>
    <w:rsid w:val="009A279A"/>
    <w:rsid w:val="00A30ABC"/>
    <w:rsid w:val="00A564CD"/>
    <w:rsid w:val="00A97695"/>
    <w:rsid w:val="00AB64E3"/>
    <w:rsid w:val="00AC3452"/>
    <w:rsid w:val="00AD2B31"/>
    <w:rsid w:val="00AD341D"/>
    <w:rsid w:val="00B14669"/>
    <w:rsid w:val="00B579F3"/>
    <w:rsid w:val="00B967FA"/>
    <w:rsid w:val="00C35824"/>
    <w:rsid w:val="00C971E1"/>
    <w:rsid w:val="00CC3497"/>
    <w:rsid w:val="00CD1306"/>
    <w:rsid w:val="00CE608F"/>
    <w:rsid w:val="00CF51E8"/>
    <w:rsid w:val="00CF661F"/>
    <w:rsid w:val="00CF6967"/>
    <w:rsid w:val="00D02119"/>
    <w:rsid w:val="00D27017"/>
    <w:rsid w:val="00D42D77"/>
    <w:rsid w:val="00D92F59"/>
    <w:rsid w:val="00D97BC9"/>
    <w:rsid w:val="00DE6C01"/>
    <w:rsid w:val="00E44B41"/>
    <w:rsid w:val="00E87A35"/>
    <w:rsid w:val="00EB6450"/>
    <w:rsid w:val="00F15E49"/>
    <w:rsid w:val="00F355E4"/>
    <w:rsid w:val="00F40B43"/>
    <w:rsid w:val="00F50847"/>
    <w:rsid w:val="00F55E53"/>
    <w:rsid w:val="00F74AE6"/>
    <w:rsid w:val="00F863CF"/>
    <w:rsid w:val="00F93A46"/>
    <w:rsid w:val="00F95499"/>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it-IT"/>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it-I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it-I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it-I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it-I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811CDE"/>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it-IT"/>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it-I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it-I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it-I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it-I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NormalWeb">
    <w:name w:val="Normal (Web)"/>
    <w:basedOn w:val="Normal"/>
    <w:uiPriority w:val="99"/>
    <w:semiHidden/>
    <w:unhideWhenUsed/>
    <w:rsid w:val="00811CDE"/>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7718725">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E35B-2374-4DA7-9E38-2D0F4F6D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5112</Words>
  <Characters>29141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SURDEANU Raluca (REGIO)</cp:lastModifiedBy>
  <cp:revision>22</cp:revision>
  <cp:lastPrinted>2017-03-22T18:35:00Z</cp:lastPrinted>
  <dcterms:created xsi:type="dcterms:W3CDTF">2017-10-04T12:00:00Z</dcterms:created>
  <dcterms:modified xsi:type="dcterms:W3CDTF">2018-04-13T09:54:00Z</dcterms:modified>
</cp:coreProperties>
</file>