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B8" w:rsidRDefault="00F46179" w:rsidP="000D355F">
      <w:pPr>
        <w:ind w:left="-426"/>
        <w:jc w:val="center"/>
        <w:rPr>
          <w:rFonts w:ascii="Verdana" w:hAnsi="Verdana" w:cstheme="minorHAnsi"/>
          <w:b/>
          <w:color w:val="003399"/>
          <w:kern w:val="12"/>
          <w:sz w:val="40"/>
          <w:szCs w:val="40"/>
        </w:rPr>
      </w:pPr>
      <w:r w:rsidRPr="00F46179">
        <w:rPr>
          <w:noProof/>
          <w:lang w:val="en-GB" w:eastAsia="en-GB" w:bidi="ar-SA"/>
        </w:rPr>
        <w:drawing>
          <wp:inline distT="0" distB="0" distL="0" distR="0" wp14:anchorId="7BF994CD" wp14:editId="30CE855E">
            <wp:extent cx="9066629" cy="638596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65502" cy="6385175"/>
                    </a:xfrm>
                    <a:prstGeom prst="rect">
                      <a:avLst/>
                    </a:prstGeom>
                  </pic:spPr>
                </pic:pic>
              </a:graphicData>
            </a:graphic>
          </wp:inline>
        </w:drawing>
      </w:r>
    </w:p>
    <w:p w:rsidR="004D1BB8" w:rsidRDefault="004D1BB8" w:rsidP="000A1ECD">
      <w:pPr>
        <w:jc w:val="center"/>
        <w:rPr>
          <w:rFonts w:ascii="Verdana" w:hAnsi="Verdana" w:cstheme="minorHAnsi"/>
          <w:b/>
          <w:color w:val="003399"/>
          <w:kern w:val="12"/>
          <w:sz w:val="40"/>
          <w:szCs w:val="40"/>
        </w:rPr>
        <w:sectPr w:rsidR="004D1BB8" w:rsidSect="000D355F">
          <w:headerReference w:type="default" r:id="rId10"/>
          <w:footerReference w:type="default" r:id="rId11"/>
          <w:pgSz w:w="15840" w:h="12240" w:orient="landscape"/>
          <w:pgMar w:top="1440" w:right="1440" w:bottom="567" w:left="1440" w:header="720" w:footer="720" w:gutter="0"/>
          <w:cols w:space="720"/>
          <w:titlePg/>
          <w:docGrid w:linePitch="360"/>
        </w:sectPr>
      </w:pPr>
    </w:p>
    <w:p w:rsidR="004D1BB8" w:rsidRPr="00385389" w:rsidRDefault="004D1BB8" w:rsidP="004D1BB8">
      <w:pPr>
        <w:rPr>
          <w:rFonts w:ascii="Verdana" w:hAnsi="Verdana" w:cstheme="minorHAnsi"/>
          <w:b/>
          <w:color w:val="003399"/>
          <w:kern w:val="12"/>
          <w:sz w:val="32"/>
          <w:szCs w:val="40"/>
        </w:rPr>
      </w:pPr>
      <w:r>
        <w:rPr>
          <w:rFonts w:ascii="Verdana" w:hAnsi="Verdana" w:cstheme="minorHAnsi"/>
          <w:b/>
          <w:color w:val="003399"/>
          <w:kern w:val="12"/>
          <w:sz w:val="32"/>
        </w:rPr>
        <w:lastRenderedPageBreak/>
        <w:t>A dokumentum verziói</w:t>
      </w:r>
    </w:p>
    <w:tbl>
      <w:tblPr>
        <w:tblStyle w:val="TableGrid"/>
        <w:tblW w:w="5000" w:type="pct"/>
        <w:tblLook w:val="04A0" w:firstRow="1" w:lastRow="0" w:firstColumn="1" w:lastColumn="0" w:noHBand="0" w:noVBand="1"/>
      </w:tblPr>
      <w:tblGrid>
        <w:gridCol w:w="6588"/>
        <w:gridCol w:w="6588"/>
      </w:tblGrid>
      <w:tr w:rsidR="004D1BB8" w:rsidRPr="00751B8C" w:rsidTr="0059089E">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4D1BB8" w:rsidRPr="00751B8C" w:rsidRDefault="004D1BB8" w:rsidP="0059089E">
            <w:pPr>
              <w:rPr>
                <w:rFonts w:cstheme="minorHAnsi"/>
                <w:sz w:val="20"/>
                <w:szCs w:val="56"/>
              </w:rPr>
            </w:pPr>
            <w:r>
              <w:rPr>
                <w:rFonts w:cstheme="minorHAnsi"/>
                <w:sz w:val="20"/>
              </w:rPr>
              <w:t>Verzió</w:t>
            </w:r>
          </w:p>
        </w:tc>
        <w:tc>
          <w:tcPr>
            <w:tcW w:w="2500" w:type="pct"/>
            <w:shd w:val="clear" w:color="auto" w:fill="44546A" w:themeFill="text2"/>
          </w:tcPr>
          <w:p w:rsidR="004D1BB8" w:rsidRPr="00751B8C" w:rsidRDefault="004D1BB8" w:rsidP="0059089E">
            <w:pPr>
              <w:rPr>
                <w:rFonts w:cstheme="minorHAnsi"/>
                <w:sz w:val="20"/>
                <w:szCs w:val="56"/>
              </w:rPr>
            </w:pPr>
            <w:r>
              <w:rPr>
                <w:rFonts w:cstheme="minorHAnsi"/>
                <w:sz w:val="20"/>
              </w:rPr>
              <w:t>Dátum</w:t>
            </w:r>
          </w:p>
        </w:tc>
      </w:tr>
      <w:tr w:rsidR="004D1BB8" w:rsidRPr="00751B8C" w:rsidTr="0059089E">
        <w:trPr>
          <w:trHeight w:val="265"/>
        </w:trPr>
        <w:tc>
          <w:tcPr>
            <w:tcW w:w="2500" w:type="pct"/>
          </w:tcPr>
          <w:p w:rsidR="004D1BB8" w:rsidRPr="00751B8C" w:rsidRDefault="004D1BB8" w:rsidP="0059089E">
            <w:pPr>
              <w:rPr>
                <w:rFonts w:cstheme="minorHAnsi"/>
                <w:sz w:val="20"/>
                <w:szCs w:val="56"/>
              </w:rPr>
            </w:pPr>
            <w:r>
              <w:rPr>
                <w:rFonts w:cstheme="minorHAnsi"/>
                <w:sz w:val="20"/>
              </w:rPr>
              <w:t>V1</w:t>
            </w:r>
          </w:p>
        </w:tc>
        <w:tc>
          <w:tcPr>
            <w:tcW w:w="2500" w:type="pct"/>
          </w:tcPr>
          <w:p w:rsidR="004D1BB8" w:rsidRPr="00751B8C" w:rsidRDefault="003F072E" w:rsidP="0059089E">
            <w:pPr>
              <w:rPr>
                <w:rFonts w:cstheme="minorHAnsi"/>
                <w:sz w:val="20"/>
                <w:szCs w:val="56"/>
              </w:rPr>
            </w:pPr>
            <w:r>
              <w:rPr>
                <w:rFonts w:cstheme="minorHAnsi"/>
                <w:sz w:val="20"/>
              </w:rPr>
              <w:t>2017. november 3.</w:t>
            </w: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65"/>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65"/>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65"/>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r w:rsidR="004D1BB8" w:rsidRPr="00751B8C" w:rsidTr="0059089E">
        <w:trPr>
          <w:trHeight w:val="254"/>
        </w:trPr>
        <w:tc>
          <w:tcPr>
            <w:tcW w:w="2500" w:type="pct"/>
          </w:tcPr>
          <w:p w:rsidR="004D1BB8" w:rsidRPr="00751B8C" w:rsidRDefault="004D1BB8" w:rsidP="0059089E">
            <w:pPr>
              <w:rPr>
                <w:rFonts w:cstheme="minorHAnsi"/>
                <w:sz w:val="20"/>
                <w:szCs w:val="56"/>
              </w:rPr>
            </w:pPr>
          </w:p>
        </w:tc>
        <w:tc>
          <w:tcPr>
            <w:tcW w:w="2500" w:type="pct"/>
          </w:tcPr>
          <w:p w:rsidR="004D1BB8" w:rsidRPr="00751B8C" w:rsidRDefault="004D1BB8" w:rsidP="0059089E">
            <w:pPr>
              <w:rPr>
                <w:rFonts w:cstheme="minorHAnsi"/>
                <w:sz w:val="20"/>
                <w:szCs w:val="56"/>
              </w:rPr>
            </w:pPr>
          </w:p>
        </w:tc>
      </w:tr>
    </w:tbl>
    <w:p w:rsidR="004D1BB8" w:rsidRPr="003870A6" w:rsidRDefault="004D1BB8" w:rsidP="004D1BB8">
      <w:pPr>
        <w:pStyle w:val="Heading1"/>
        <w:sectPr w:rsidR="004D1BB8" w:rsidRPr="003870A6" w:rsidSect="00CD1306">
          <w:pgSz w:w="15840" w:h="12240" w:orient="landscape"/>
          <w:pgMar w:top="1440" w:right="1440" w:bottom="1440" w:left="1440" w:header="720" w:footer="720" w:gutter="0"/>
          <w:cols w:space="720"/>
          <w:docGrid w:linePitch="360"/>
        </w:sectPr>
      </w:pPr>
    </w:p>
    <w:bookmarkStart w:id="0" w:name="_Toc508881316" w:displacedByCustomXml="next"/>
    <w:sdt>
      <w:sdtPr>
        <w:rPr>
          <w:rFonts w:asciiTheme="minorHAnsi" w:eastAsiaTheme="minorHAnsi" w:hAnsiTheme="minorHAnsi" w:cstheme="minorBidi"/>
          <w:b w:val="0"/>
          <w:color w:val="auto"/>
          <w:kern w:val="0"/>
          <w:sz w:val="22"/>
          <w:szCs w:val="22"/>
        </w:rPr>
        <w:id w:val="1811126915"/>
        <w:docPartObj>
          <w:docPartGallery w:val="Table of Contents"/>
          <w:docPartUnique/>
        </w:docPartObj>
      </w:sdtPr>
      <w:sdtEndPr>
        <w:rPr>
          <w:bCs/>
          <w:noProof/>
        </w:rPr>
      </w:sdtEndPr>
      <w:sdtContent>
        <w:p w:rsidR="004D1BB8" w:rsidRPr="004D1BB8" w:rsidRDefault="004D1BB8" w:rsidP="004D1BB8">
          <w:pPr>
            <w:pStyle w:val="Heading1"/>
            <w:numPr>
              <w:ilvl w:val="0"/>
              <w:numId w:val="0"/>
            </w:numPr>
          </w:pPr>
          <w:r>
            <w:t>Tartalomjegyzék</w:t>
          </w:r>
          <w:bookmarkEnd w:id="0"/>
        </w:p>
        <w:p w:rsidR="00306B4F" w:rsidRPr="004D1BB8" w:rsidRDefault="00306B4F" w:rsidP="004D1BB8">
          <w:pPr>
            <w:pStyle w:val="Heading1"/>
            <w:numPr>
              <w:ilvl w:val="0"/>
              <w:numId w:val="0"/>
            </w:numPr>
            <w:ind w:left="547" w:hanging="547"/>
          </w:pPr>
        </w:p>
        <w:p w:rsidR="0059089E" w:rsidRPr="0059089E" w:rsidRDefault="00CF51E8">
          <w:pPr>
            <w:pStyle w:val="TOC1"/>
            <w:tabs>
              <w:tab w:val="right" w:leader="dot" w:pos="12950"/>
            </w:tabs>
            <w:rPr>
              <w:rFonts w:ascii="Verdana" w:eastAsiaTheme="minorEastAsia" w:hAnsi="Verdana"/>
              <w:noProof/>
              <w:sz w:val="32"/>
              <w:szCs w:val="32"/>
              <w:lang w:val="en-GB" w:eastAsia="en-GB" w:bidi="ar-SA"/>
            </w:rPr>
          </w:pPr>
          <w:r w:rsidRPr="004D1BB8">
            <w:rPr>
              <w:rFonts w:ascii="Verdana" w:hAnsi="Verdana"/>
              <w:sz w:val="32"/>
              <w:szCs w:val="32"/>
            </w:rPr>
            <w:fldChar w:fldCharType="begin"/>
          </w:r>
          <w:r w:rsidRPr="004D1BB8">
            <w:rPr>
              <w:rFonts w:ascii="Verdana" w:hAnsi="Verdana"/>
              <w:sz w:val="32"/>
              <w:szCs w:val="32"/>
            </w:rPr>
            <w:instrText xml:space="preserve"> TOC \o "1-3" \h \z \u </w:instrText>
          </w:r>
          <w:r w:rsidRPr="004D1BB8">
            <w:rPr>
              <w:rFonts w:ascii="Verdana" w:hAnsi="Verdana"/>
              <w:sz w:val="32"/>
              <w:szCs w:val="32"/>
            </w:rPr>
            <w:fldChar w:fldCharType="separate"/>
          </w:r>
          <w:hyperlink w:anchor="_Toc508881316" w:history="1">
            <w:r w:rsidR="0059089E" w:rsidRPr="0059089E">
              <w:rPr>
                <w:rStyle w:val="Hyperlink"/>
                <w:rFonts w:ascii="Verdana" w:hAnsi="Verdana"/>
                <w:noProof/>
                <w:sz w:val="32"/>
                <w:szCs w:val="32"/>
              </w:rPr>
              <w:t>Tartalomjegyzék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_Toc508881316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3</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17" w:history="1">
            <w:r w:rsidR="0059089E" w:rsidRPr="0059089E">
              <w:rPr>
                <w:rStyle w:val="Hyperlink"/>
                <w:rFonts w:ascii="Verdana" w:hAnsi="Verdana"/>
                <w:noProof/>
                <w:sz w:val="32"/>
                <w:szCs w:val="32"/>
              </w:rPr>
              <w:t>1.</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Munkakörök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_Toc508881317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4</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18" w:history="1">
            <w:r w:rsidR="0059089E" w:rsidRPr="0059089E">
              <w:rPr>
                <w:rStyle w:val="Hyperlink"/>
                <w:rFonts w:ascii="Verdana" w:hAnsi="Verdana"/>
                <w:noProof/>
                <w:sz w:val="32"/>
                <w:szCs w:val="32"/>
              </w:rPr>
              <w:t>2.</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Feladatok és részfeladatok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_Toc508881318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5</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19" w:history="1">
            <w:r w:rsidR="0059089E" w:rsidRPr="0059089E">
              <w:rPr>
                <w:rStyle w:val="Hyperlink"/>
                <w:rFonts w:ascii="Verdana" w:hAnsi="Verdana"/>
                <w:noProof/>
                <w:sz w:val="32"/>
                <w:szCs w:val="32"/>
              </w:rPr>
              <w:t>3.</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Felkészültségi skála</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_Toc508881319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10</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20" w:history="1">
            <w:r w:rsidR="0059089E" w:rsidRPr="0059089E">
              <w:rPr>
                <w:rStyle w:val="Hyperlink"/>
                <w:rFonts w:ascii="Verdana" w:hAnsi="Verdana"/>
                <w:noProof/>
                <w:sz w:val="32"/>
                <w:szCs w:val="32"/>
              </w:rPr>
              <w:t>4.</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Működtetési kompetenciák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_Toc508881320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12</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21" w:history="1">
            <w:r w:rsidR="0059089E" w:rsidRPr="0059089E">
              <w:rPr>
                <w:rStyle w:val="Hyperlink"/>
                <w:rFonts w:ascii="Verdana" w:hAnsi="Verdana"/>
                <w:noProof/>
                <w:sz w:val="32"/>
                <w:szCs w:val="32"/>
              </w:rPr>
              <w:t>5.</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Vezetői kompetenciák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_Toc508881321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15</w:t>
            </w:r>
            <w:r w:rsidR="0059089E" w:rsidRPr="0059089E">
              <w:rPr>
                <w:rFonts w:ascii="Verdana" w:hAnsi="Verdana"/>
                <w:noProof/>
                <w:webHidden/>
                <w:sz w:val="32"/>
                <w:szCs w:val="32"/>
              </w:rPr>
              <w:fldChar w:fldCharType="end"/>
            </w:r>
          </w:hyperlink>
        </w:p>
        <w:p w:rsidR="0059089E" w:rsidRPr="0059089E" w:rsidRDefault="005E1B8C">
          <w:pPr>
            <w:pStyle w:val="TOC1"/>
            <w:tabs>
              <w:tab w:val="left" w:pos="440"/>
              <w:tab w:val="right" w:leader="dot" w:pos="12950"/>
            </w:tabs>
            <w:rPr>
              <w:rFonts w:ascii="Verdana" w:eastAsiaTheme="minorEastAsia" w:hAnsi="Verdana"/>
              <w:noProof/>
              <w:sz w:val="32"/>
              <w:szCs w:val="32"/>
              <w:lang w:val="en-GB" w:eastAsia="en-GB" w:bidi="ar-SA"/>
            </w:rPr>
          </w:pPr>
          <w:hyperlink w:anchor="_Toc508881322" w:history="1">
            <w:r w:rsidR="0059089E" w:rsidRPr="0059089E">
              <w:rPr>
                <w:rStyle w:val="Hyperlink"/>
                <w:rFonts w:ascii="Verdana" w:hAnsi="Verdana"/>
                <w:noProof/>
                <w:sz w:val="32"/>
                <w:szCs w:val="32"/>
              </w:rPr>
              <w:t>6.</w:t>
            </w:r>
            <w:r w:rsidR="0059089E" w:rsidRPr="0059089E">
              <w:rPr>
                <w:rFonts w:ascii="Verdana" w:eastAsiaTheme="minorEastAsia" w:hAnsi="Verdana"/>
                <w:noProof/>
                <w:sz w:val="32"/>
                <w:szCs w:val="32"/>
                <w:lang w:val="en-GB" w:eastAsia="en-GB" w:bidi="ar-SA"/>
              </w:rPr>
              <w:tab/>
            </w:r>
            <w:r w:rsidR="0059089E" w:rsidRPr="0059089E">
              <w:rPr>
                <w:rStyle w:val="Hyperlink"/>
                <w:rFonts w:ascii="Verdana" w:hAnsi="Verdana"/>
                <w:noProof/>
                <w:sz w:val="32"/>
                <w:szCs w:val="32"/>
              </w:rPr>
              <w:t>Szakmai kompetenciák</w:t>
            </w:r>
            <w:r w:rsidR="0059089E" w:rsidRPr="0059089E">
              <w:rPr>
                <w:rFonts w:ascii="Verdana" w:hAnsi="Verdana"/>
                <w:noProof/>
                <w:webHidden/>
                <w:sz w:val="32"/>
                <w:szCs w:val="32"/>
              </w:rPr>
              <w:tab/>
            </w:r>
            <w:r w:rsidR="0059089E" w:rsidRPr="0059089E">
              <w:rPr>
                <w:rFonts w:ascii="Verdana" w:hAnsi="Verdana"/>
                <w:noProof/>
                <w:webHidden/>
                <w:sz w:val="32"/>
                <w:szCs w:val="32"/>
              </w:rPr>
              <w:fldChar w:fldCharType="begin"/>
            </w:r>
            <w:r w:rsidR="0059089E" w:rsidRPr="0059089E">
              <w:rPr>
                <w:rFonts w:ascii="Verdana" w:hAnsi="Verdana"/>
                <w:noProof/>
                <w:webHidden/>
                <w:sz w:val="32"/>
                <w:szCs w:val="32"/>
              </w:rPr>
              <w:instrText xml:space="preserve"> PAGEREF _Toc508881322 \h </w:instrText>
            </w:r>
            <w:r w:rsidR="0059089E" w:rsidRPr="0059089E">
              <w:rPr>
                <w:rFonts w:ascii="Verdana" w:hAnsi="Verdana"/>
                <w:noProof/>
                <w:webHidden/>
                <w:sz w:val="32"/>
                <w:szCs w:val="32"/>
              </w:rPr>
            </w:r>
            <w:r w:rsidR="0059089E" w:rsidRPr="0059089E">
              <w:rPr>
                <w:rFonts w:ascii="Verdana" w:hAnsi="Verdana"/>
                <w:noProof/>
                <w:webHidden/>
                <w:sz w:val="32"/>
                <w:szCs w:val="32"/>
              </w:rPr>
              <w:fldChar w:fldCharType="separate"/>
            </w:r>
            <w:r w:rsidR="0059089E" w:rsidRPr="0059089E">
              <w:rPr>
                <w:rFonts w:ascii="Verdana" w:hAnsi="Verdana"/>
                <w:noProof/>
                <w:webHidden/>
                <w:sz w:val="32"/>
                <w:szCs w:val="32"/>
              </w:rPr>
              <w:t>18</w:t>
            </w:r>
            <w:r w:rsidR="0059089E" w:rsidRPr="0059089E">
              <w:rPr>
                <w:rFonts w:ascii="Verdana" w:hAnsi="Verdana"/>
                <w:noProof/>
                <w:webHidden/>
                <w:sz w:val="32"/>
                <w:szCs w:val="32"/>
              </w:rPr>
              <w:fldChar w:fldCharType="end"/>
            </w:r>
          </w:hyperlink>
        </w:p>
        <w:p w:rsidR="00F55E53" w:rsidRPr="004D1BB8" w:rsidRDefault="00CF51E8">
          <w:pPr>
            <w:pStyle w:val="TOC1"/>
            <w:tabs>
              <w:tab w:val="left" w:pos="660"/>
              <w:tab w:val="right" w:leader="dot" w:pos="12950"/>
            </w:tabs>
            <w:rPr>
              <w:rFonts w:ascii="Verdana" w:eastAsiaTheme="minorEastAsia" w:hAnsi="Verdana"/>
              <w:noProof/>
              <w:sz w:val="32"/>
              <w:szCs w:val="32"/>
            </w:rPr>
          </w:pPr>
          <w:r w:rsidRPr="004D1BB8">
            <w:rPr>
              <w:rFonts w:ascii="Verdana" w:hAnsi="Verdana"/>
              <w:bCs/>
              <w:noProof/>
              <w:sz w:val="32"/>
              <w:szCs w:val="32"/>
            </w:rPr>
            <w:fldChar w:fldCharType="end"/>
          </w:r>
        </w:p>
      </w:sdtContent>
    </w:sdt>
    <w:p w:rsidR="00CF51E8" w:rsidRPr="003870A6" w:rsidRDefault="00CF51E8" w:rsidP="004D1BB8">
      <w:pPr>
        <w:pStyle w:val="Heading1"/>
        <w:sectPr w:rsidR="00CF51E8" w:rsidRPr="003870A6" w:rsidSect="00CD1306">
          <w:pgSz w:w="15840" w:h="12240" w:orient="landscape"/>
          <w:pgMar w:top="1440" w:right="1440" w:bottom="1440" w:left="1440" w:header="720" w:footer="720" w:gutter="0"/>
          <w:cols w:space="720"/>
          <w:docGrid w:linePitch="360"/>
        </w:sectPr>
      </w:pPr>
    </w:p>
    <w:p w:rsidR="00CD1306" w:rsidRPr="004D1BB8" w:rsidRDefault="000C44D2" w:rsidP="004D1BB8">
      <w:pPr>
        <w:pStyle w:val="Heading1"/>
      </w:pPr>
      <w:bookmarkStart w:id="1" w:name="_Toc494906118"/>
      <w:bookmarkStart w:id="2" w:name="_Toc508881317"/>
      <w:r>
        <w:lastRenderedPageBreak/>
        <w:t>Munkakörök</w:t>
      </w:r>
      <w:bookmarkEnd w:id="1"/>
      <w:bookmarkEnd w:id="2"/>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1"/>
        <w:gridCol w:w="3283"/>
        <w:gridCol w:w="1703"/>
        <w:gridCol w:w="7082"/>
      </w:tblGrid>
      <w:tr w:rsidR="006931AA" w:rsidRPr="0062042A" w:rsidTr="0059089E">
        <w:trPr>
          <w:trHeight w:val="467"/>
        </w:trPr>
        <w:tc>
          <w:tcPr>
            <w:tcW w:w="1719" w:type="pct"/>
            <w:gridSpan w:val="2"/>
            <w:shd w:val="clear" w:color="auto" w:fill="1F4E79" w:themeFill="accent1" w:themeFillShade="80"/>
            <w:vAlign w:val="center"/>
          </w:tcPr>
          <w:p w:rsidR="006931AA" w:rsidRPr="0062042A"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3281" w:type="pct"/>
            <w:gridSpan w:val="2"/>
            <w:shd w:val="clear" w:color="auto" w:fill="1F4E79" w:themeFill="accent1" w:themeFillShade="80"/>
            <w:vAlign w:val="center"/>
          </w:tcPr>
          <w:p w:rsidR="006931AA" w:rsidRPr="00AD2B31" w:rsidRDefault="0059089E"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59089E" w:rsidRPr="0062042A" w:rsidTr="0059089E">
        <w:trPr>
          <w:trHeight w:val="440"/>
        </w:trPr>
        <w:tc>
          <w:tcPr>
            <w:tcW w:w="490" w:type="pct"/>
            <w:shd w:val="clear" w:color="auto" w:fill="F2F2F2" w:themeFill="background1" w:themeFillShade="F2"/>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Job Role</w:t>
            </w:r>
          </w:p>
        </w:tc>
        <w:tc>
          <w:tcPr>
            <w:tcW w:w="1228" w:type="pct"/>
            <w:shd w:val="clear" w:color="auto" w:fill="F2F2F2" w:themeFill="background1" w:themeFillShade="F2"/>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szCs w:val="20"/>
              </w:rPr>
              <w:t>Description</w:t>
            </w:r>
          </w:p>
        </w:tc>
        <w:tc>
          <w:tcPr>
            <w:tcW w:w="632" w:type="pct"/>
            <w:shd w:val="clear" w:color="auto" w:fill="F2F2F2" w:themeFill="background1" w:themeFillShade="F2"/>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Munkakör</w:t>
            </w:r>
          </w:p>
        </w:tc>
        <w:tc>
          <w:tcPr>
            <w:tcW w:w="2650" w:type="pct"/>
            <w:shd w:val="clear" w:color="auto" w:fill="F2F2F2" w:themeFill="background1" w:themeFillShade="F2"/>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Leírás</w:t>
            </w:r>
          </w:p>
        </w:tc>
      </w:tr>
      <w:tr w:rsidR="0059089E" w:rsidRPr="0062042A" w:rsidTr="0059089E">
        <w:trPr>
          <w:trHeight w:val="1250"/>
        </w:trPr>
        <w:tc>
          <w:tcPr>
            <w:tcW w:w="490"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Decision-making level</w:t>
            </w:r>
          </w:p>
        </w:tc>
        <w:tc>
          <w:tcPr>
            <w:tcW w:w="1228"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This is the head of the organization or persons that act on relatively high strategic management levels</w:t>
            </w:r>
          </w:p>
        </w:tc>
        <w:tc>
          <w:tcPr>
            <w:tcW w:w="632"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Döntéshozatali szint</w:t>
            </w:r>
          </w:p>
        </w:tc>
        <w:tc>
          <w:tcPr>
            <w:tcW w:w="2650"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Ez a szervezet vezetősége vagy olyan személyek, akik viszonylag magas stratégiai vezetőségi szinten tevékenykednek</w:t>
            </w:r>
          </w:p>
        </w:tc>
      </w:tr>
      <w:tr w:rsidR="0059089E" w:rsidRPr="0062042A" w:rsidTr="0059089E">
        <w:trPr>
          <w:trHeight w:val="1871"/>
        </w:trPr>
        <w:tc>
          <w:tcPr>
            <w:tcW w:w="490"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Supervisory level</w:t>
            </w:r>
          </w:p>
        </w:tc>
        <w:tc>
          <w:tcPr>
            <w:tcW w:w="1228"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This is the middle management level, responsible for a group of people and not directly involved in operational implementation of the programme</w:t>
            </w:r>
            <w:r>
              <w:rPr>
                <w:rFonts w:ascii="Verdana" w:hAnsi="Verdana" w:cstheme="minorHAnsi"/>
                <w:sz w:val="20"/>
                <w:szCs w:val="20"/>
              </w:rPr>
              <w:t>, for instance heads of organizational units.</w:t>
            </w:r>
          </w:p>
        </w:tc>
        <w:tc>
          <w:tcPr>
            <w:tcW w:w="632"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Felügyeleti szint</w:t>
            </w:r>
          </w:p>
        </w:tc>
        <w:tc>
          <w:tcPr>
            <w:tcW w:w="2650"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Ez a középvezetői szint, amely egy csoportért felelős, és amely nem vesz részt közvetlenül a program operatív végrehajtásában; például szervezeti egységek vezetői.</w:t>
            </w:r>
          </w:p>
        </w:tc>
      </w:tr>
      <w:tr w:rsidR="0059089E" w:rsidRPr="0062042A" w:rsidTr="0059089E">
        <w:trPr>
          <w:trHeight w:val="1439"/>
        </w:trPr>
        <w:tc>
          <w:tcPr>
            <w:tcW w:w="490"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Operational level</w:t>
            </w:r>
          </w:p>
        </w:tc>
        <w:tc>
          <w:tcPr>
            <w:tcW w:w="1228" w:type="pct"/>
            <w:shd w:val="clear" w:color="000000" w:fill="FFFFFF"/>
            <w:vAlign w:val="center"/>
          </w:tcPr>
          <w:p w:rsidR="0059089E" w:rsidRPr="0062042A" w:rsidRDefault="0059089E" w:rsidP="0059089E">
            <w:pPr>
              <w:spacing w:after="0"/>
              <w:rPr>
                <w:rFonts w:ascii="Verdana" w:hAnsi="Verdana" w:cstheme="minorHAnsi"/>
                <w:sz w:val="20"/>
                <w:szCs w:val="20"/>
              </w:rPr>
            </w:pPr>
            <w:r w:rsidRPr="0062042A">
              <w:rPr>
                <w:rFonts w:ascii="Verdana" w:hAnsi="Verdana" w:cstheme="minorHAnsi"/>
                <w:sz w:val="20"/>
                <w:szCs w:val="20"/>
              </w:rPr>
              <w:t>These are the experts that are directly working on the different tasks and sub-tasks within the organization</w:t>
            </w:r>
          </w:p>
        </w:tc>
        <w:tc>
          <w:tcPr>
            <w:tcW w:w="632"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Működtetési szint</w:t>
            </w:r>
          </w:p>
        </w:tc>
        <w:tc>
          <w:tcPr>
            <w:tcW w:w="2650" w:type="pct"/>
            <w:shd w:val="clear" w:color="000000" w:fill="FFFFFF"/>
            <w:vAlign w:val="center"/>
          </w:tcPr>
          <w:p w:rsidR="0059089E" w:rsidRPr="0062042A" w:rsidRDefault="0059089E" w:rsidP="0059089E">
            <w:pPr>
              <w:spacing w:after="0"/>
              <w:rPr>
                <w:rFonts w:ascii="Verdana" w:hAnsi="Verdana" w:cstheme="minorHAnsi"/>
                <w:sz w:val="20"/>
                <w:szCs w:val="20"/>
              </w:rPr>
            </w:pPr>
            <w:r>
              <w:rPr>
                <w:rFonts w:ascii="Verdana" w:hAnsi="Verdana" w:cstheme="minorHAnsi"/>
                <w:sz w:val="20"/>
              </w:rPr>
              <w:t>Azok a szakértők, akik a szervezeten belül közvetlenül dolgoznak a különféle feladatokon és részfeladatokon</w:t>
            </w:r>
          </w:p>
        </w:tc>
      </w:tr>
    </w:tbl>
    <w:p w:rsidR="003928BC" w:rsidRPr="003870A6" w:rsidRDefault="003928BC">
      <w:pPr>
        <w:rPr>
          <w:rFonts w:ascii="Verdana" w:hAnsi="Verdana" w:cstheme="minorHAnsi"/>
          <w:i/>
          <w:sz w:val="18"/>
          <w:szCs w:val="20"/>
        </w:rPr>
      </w:pPr>
    </w:p>
    <w:p w:rsidR="0062042A" w:rsidRDefault="0062042A" w:rsidP="004D1BB8">
      <w:pPr>
        <w:pStyle w:val="Heading1"/>
        <w:sectPr w:rsidR="0062042A" w:rsidSect="00CD1306">
          <w:pgSz w:w="15840" w:h="12240" w:orient="landscape"/>
          <w:pgMar w:top="1440" w:right="1440" w:bottom="1440" w:left="1440" w:header="720" w:footer="720" w:gutter="0"/>
          <w:cols w:space="720"/>
          <w:docGrid w:linePitch="360"/>
        </w:sectPr>
      </w:pPr>
    </w:p>
    <w:p w:rsidR="00CF6967" w:rsidRDefault="000C44D2" w:rsidP="004D1BB8">
      <w:pPr>
        <w:pStyle w:val="Heading1"/>
      </w:pPr>
      <w:bookmarkStart w:id="3" w:name="_Toc494906119"/>
      <w:bookmarkStart w:id="4" w:name="_Toc508881318"/>
      <w:r>
        <w:lastRenderedPageBreak/>
        <w:t>Feladatok és részfeladatok</w:t>
      </w:r>
      <w:bookmarkEnd w:id="3"/>
      <w:bookmarkEnd w:id="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7"/>
        <w:gridCol w:w="4485"/>
        <w:gridCol w:w="3017"/>
        <w:gridCol w:w="3297"/>
      </w:tblGrid>
      <w:tr w:rsidR="006931AA" w:rsidRPr="00751B8C" w:rsidTr="006645FC">
        <w:trPr>
          <w:trHeight w:val="318"/>
          <w:tblHeader/>
        </w:trPr>
        <w:tc>
          <w:tcPr>
            <w:tcW w:w="2604" w:type="pct"/>
            <w:gridSpan w:val="2"/>
            <w:shd w:val="clear" w:color="auto" w:fill="44546A" w:themeFill="text2"/>
            <w:vAlign w:val="center"/>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2396" w:type="pct"/>
            <w:gridSpan w:val="2"/>
            <w:shd w:val="clear" w:color="auto" w:fill="44546A" w:themeFill="text2"/>
            <w:vAlign w:val="center"/>
          </w:tcPr>
          <w:p w:rsidR="006931AA" w:rsidRPr="00751B8C" w:rsidRDefault="0059089E"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59089E" w:rsidRPr="00751B8C" w:rsidTr="006645FC">
        <w:trPr>
          <w:trHeight w:val="318"/>
          <w:tblHeader/>
        </w:trPr>
        <w:tc>
          <w:tcPr>
            <w:tcW w:w="902" w:type="pct"/>
            <w:shd w:val="clear" w:color="auto" w:fill="F2F2F2" w:themeFill="background1" w:themeFillShade="F2"/>
            <w:vAlign w:val="center"/>
          </w:tcPr>
          <w:p w:rsidR="0059089E" w:rsidRPr="00751B8C" w:rsidRDefault="0059089E" w:rsidP="0059089E">
            <w:pPr>
              <w:spacing w:after="0" w:line="240" w:lineRule="auto"/>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Tasks</w:t>
            </w:r>
          </w:p>
        </w:tc>
        <w:tc>
          <w:tcPr>
            <w:tcW w:w="1702" w:type="pct"/>
            <w:shd w:val="clear" w:color="auto" w:fill="F2F2F2" w:themeFill="background1" w:themeFillShade="F2"/>
            <w:vAlign w:val="center"/>
          </w:tcPr>
          <w:p w:rsidR="0059089E" w:rsidRPr="00751B8C" w:rsidRDefault="0059089E" w:rsidP="0059089E">
            <w:pPr>
              <w:spacing w:after="0" w:line="240" w:lineRule="auto"/>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Sub-task</w:t>
            </w:r>
          </w:p>
        </w:tc>
        <w:tc>
          <w:tcPr>
            <w:tcW w:w="1145" w:type="pct"/>
            <w:shd w:val="clear" w:color="auto" w:fill="F2F2F2" w:themeFill="background1" w:themeFillShade="F2"/>
            <w:vAlign w:val="center"/>
          </w:tcPr>
          <w:p w:rsidR="0059089E" w:rsidRPr="00751B8C" w:rsidRDefault="0059089E" w:rsidP="0059089E">
            <w:pPr>
              <w:spacing w:after="0" w:line="240" w:lineRule="auto"/>
              <w:rPr>
                <w:rFonts w:ascii="Verdana" w:eastAsia="Times New Roman" w:hAnsi="Verdana" w:cstheme="minorHAnsi"/>
                <w:b/>
                <w:bCs/>
                <w:sz w:val="20"/>
                <w:szCs w:val="20"/>
              </w:rPr>
            </w:pPr>
            <w:r>
              <w:rPr>
                <w:rFonts w:ascii="Verdana" w:hAnsi="Verdana" w:cstheme="minorHAnsi"/>
                <w:b/>
                <w:sz w:val="20"/>
              </w:rPr>
              <w:t>Feladatok</w:t>
            </w:r>
          </w:p>
        </w:tc>
        <w:tc>
          <w:tcPr>
            <w:tcW w:w="1251" w:type="pct"/>
            <w:shd w:val="clear" w:color="auto" w:fill="F2F2F2" w:themeFill="background1" w:themeFillShade="F2"/>
            <w:vAlign w:val="center"/>
          </w:tcPr>
          <w:p w:rsidR="0059089E" w:rsidRPr="00751B8C" w:rsidRDefault="0059089E" w:rsidP="0059089E">
            <w:pPr>
              <w:spacing w:after="0" w:line="240" w:lineRule="auto"/>
              <w:rPr>
                <w:rFonts w:ascii="Verdana" w:eastAsia="Times New Roman" w:hAnsi="Verdana" w:cstheme="minorHAnsi"/>
                <w:b/>
                <w:bCs/>
                <w:sz w:val="20"/>
                <w:szCs w:val="20"/>
              </w:rPr>
            </w:pPr>
            <w:r>
              <w:rPr>
                <w:rFonts w:ascii="Verdana" w:hAnsi="Verdana" w:cstheme="minorHAnsi"/>
                <w:b/>
                <w:sz w:val="20"/>
              </w:rPr>
              <w:t>Részfeladat</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1. Programming   </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1.1. Inter-institutional coordination and stakeholder involvement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1. Programozás   </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1.1. Intézményközi együttműködés és érdekelt felek bevonása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1.2.  Preparation of the Programme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1.2.  A program előkészítése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1.3. Management of the evaluation process (ex-ante)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1.3. Az értékelési folyamat irányítása (előzetesen)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1.4. Negotiation with the EC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1.4. Az Európai Bizottsággal való tárgyalás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1.5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1.5.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1.6 Definition of the guiding principles for selection of operations</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1.6. A műveletek kiválasztása irányelveinek meghatározása</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2. System set-up, development of procedures and tools</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2.1. Development of the description of management and control systems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2. Rendszerfelállítás, folyamatok és eszközök kidolgozása</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2.1. Az irányítási és ellenőrzési rendszerek leírásának kidolgozása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2.2. Development of the procedures and tools for Programme implementation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2.2. A program végrehajtásához szükséges folyamatok és eszközök kidolgozása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2.3 Legal system set-up</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2.3. Jogi rendszer felállítása</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2.4. Development and maintenance of monitoring and information systems and e-cohesion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2.4. Nyomonkövetési és információs rendszerek és az e-kohézió kidolgozása és karbantartása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2.5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2.5.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2.6. Development of institutional and administrative capacity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2.6. Intézményi és adminisztratív kapacitásépítés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lastRenderedPageBreak/>
              <w:t>3. Project generation, preparation of calls for proposals, project selection and contracting</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3.1 Supporting applicants in relation to technical and financial aspects of project requirements, including capacity building at beneficiary level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3. Projektek létrehozása, pályázati felhívások előkészítése, projektkiválasztás és szerződéskötés</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3.1. A kérelmezők támogatása a projektkövetelmények technikai és pénzügyi szempontjaival kapcsolatban, ideértve a kapacitásépítést is kedvezményezetti szinten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3.2. Preparation of proposals for selection criteria and selection procedures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3.2. A kiválasztási kritériumokra és eljárásokra vonatkozó javaslatok előkészítése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3.3. Preparation / modification of guidelines for applicants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3.3. A pályázóknak szánt iránymutatások kidolgozása / módosítása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3.4. Administrative and eligibility check (completeness of the package and compliance with relevant laws and regulations)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3.4. Adminisztratív és elszámolhatósági ellenőrzés (a csomag teljessége és a releváns törvényeknek és rendeleteknek való megfelelés)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3.5. Appraisal (scoring of applications, management of appeals, drawing up list of projects, communicating results to decision makers and applicants)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3.5. Értékelés (pályázatok pontozása, fellebbezések kezelése, projektlisták készítése, eredmények kommunikációja a döntéshozók és a pályázók felé)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3.6. Development and amendment of procedures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3.6. Eljárások kidolgozása és módosítása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3.7.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3.7.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3.8. Awareness and support activities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3.8. Tájékoztatási és támogatási tevékenységek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3.9. Collecting documentation from successful applicants, preparation of contracting documentation and contract modifications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3.9. Nyertes pályázóktól dokumentumok begyűjtése, szerződések dokumentációjának és szerződésmódosítások előkészítése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4. Monitoring on project level</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4.1. Technical monitoring and on the spot verifications at project level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4. Projektszintű nyomon követés</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4.1. Technikai nyomon követés és helyszíni ellenőrzések projektszinten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4.2. Providing advice to beneficiaries on project implementation issues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4.2. Kedvezményezetteknek való tanácsadás a projekt megvalósításával kapcsolatos kérdésekben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4.3. Finding and reporting irregularities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4.3. Szabálytalanságok felderítése és jelentése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4.4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4.4.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5. Monitoring on programme level</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5.1. Measurement of the performance of the PA/Measure (planning, monitoring, forecasting, revising)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5. Programszintű nyomon követés</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5.1. </w:t>
            </w:r>
            <w:r w:rsidR="005E1B8C" w:rsidRPr="005E1B8C">
              <w:rPr>
                <w:rFonts w:ascii="Verdana" w:hAnsi="Verdana" w:cstheme="minorHAnsi"/>
                <w:sz w:val="20"/>
              </w:rPr>
              <w:t>A prioritási tengely</w:t>
            </w:r>
            <w:r>
              <w:rPr>
                <w:rFonts w:ascii="Verdana" w:hAnsi="Verdana" w:cstheme="minorHAnsi"/>
                <w:sz w:val="20"/>
              </w:rPr>
              <w:t xml:space="preserve">/intézkedés teljesítményének mérése (tervezés, nyomon követés, előrejelzés, felülvizsgálat)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5.2. Measurement of the performance of the Operational Programme (planning, monitoring, forecasting, revising and corrective actions)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5.2. Az operatív program teljesítményének mérése (tervezés, nyomon követés, előrejelzés, felülvizsgálat és korrekciós intézkedések)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5.3 Monitoring the progress of implementation of the partnership </w:t>
            </w:r>
            <w:r w:rsidRPr="00751B8C">
              <w:rPr>
                <w:rFonts w:ascii="Verdana" w:hAnsi="Verdana" w:cstheme="minorHAnsi"/>
                <w:sz w:val="20"/>
                <w:szCs w:val="20"/>
              </w:rPr>
              <w:lastRenderedPageBreak/>
              <w:t>agreement</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5.3. A partnerségi megállapodás végrehajtása </w:t>
            </w:r>
            <w:r>
              <w:rPr>
                <w:rFonts w:ascii="Verdana" w:hAnsi="Verdana" w:cstheme="minorHAnsi"/>
                <w:sz w:val="20"/>
              </w:rPr>
              <w:lastRenderedPageBreak/>
              <w:t>folyamatának nyomon követése</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5.4. Reporting to the Monitoring Committee and European Commission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5.4. Jelentés a monitoringbizottságnak és az Európai Bizottságnak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5.5. Development and amendment of monitoring procedures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5.5. Nyomonkövetési eljárások kidolgozása és módosítása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5.6. Supporting the Monitoring Committee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5.6. A monitoringbizottság támogatása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5.7.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5.7.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6. Evaluation</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6.1. Preparing and guiding the evaluation process (outsourced)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6. Értékelés</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6.1. Az értékelési folyamat (kiszervezett) előkészítése és irányítása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6.2. Carrying out evaluation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6.2. Az értékelés lefolytatása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6.3. Usage of results: involved in the identification and implementation of follow up actions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6.3. Az eredmények felhasználása a következő intézkedések azonosításában és végrehajtásában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6.4.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6.4.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6.5. Ex-ante conditionalities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6.5. Előzetes feltételrendszer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7. Financial management on project level</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7.1. Verification of payment claims and first level control reports at project level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7. Pénzügyi irányítás projektszinten</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7.1. Kifizetési kérelmek és első szintű ellenőrzési jelentések vizsgálata projektszinten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7.2. Financial monitoring and on the spot verifications at project level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7.2. Pénzügyi nyomon követés és helyszíni ellenőrzések projektszinten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7.3.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7.3.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8. Financial management on programme level</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8.1. Measurement of the financial performance of PA/Measure (planning, monitoring, forecasting, revising)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8. Pénzügyi irányítás programszinten</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8.1. </w:t>
            </w:r>
            <w:r w:rsidR="005E1B8C" w:rsidRPr="005E1B8C">
              <w:rPr>
                <w:rFonts w:ascii="Verdana" w:hAnsi="Verdana" w:cstheme="minorHAnsi"/>
                <w:sz w:val="20"/>
              </w:rPr>
              <w:t xml:space="preserve">A prioritási tengely </w:t>
            </w:r>
            <w:bookmarkStart w:id="5" w:name="_GoBack"/>
            <w:bookmarkEnd w:id="5"/>
            <w:r>
              <w:rPr>
                <w:rFonts w:ascii="Verdana" w:hAnsi="Verdana" w:cstheme="minorHAnsi"/>
                <w:sz w:val="20"/>
              </w:rPr>
              <w:t xml:space="preserve">/intézkedés pénzügyi teljesítményének mérése (tervezés, nyomon követés, előrejelzés, felülvizsgálat) </w:t>
            </w:r>
          </w:p>
        </w:tc>
      </w:tr>
      <w:tr w:rsidR="0059089E" w:rsidRPr="00751B8C" w:rsidTr="00757D2E">
        <w:trPr>
          <w:trHeight w:val="683"/>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8.2. Financial management of Operational Programme (planning, monitoring, forecasting, revising and corrective actions)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8.2. Az operatív program pénzügyi irányítása (tervezés, nyomon követés, előrejelzés, felülvizsgálat és korrekciós intézkedések)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8.3. Reporting to Monitoring Committee and European Commission including management declaration and annual summary (CPR 125.</w:t>
            </w:r>
            <w:proofErr w:type="gramStart"/>
            <w:r w:rsidRPr="00751B8C">
              <w:rPr>
                <w:rFonts w:ascii="Verdana" w:hAnsi="Verdana" w:cstheme="minorHAnsi"/>
                <w:sz w:val="20"/>
                <w:szCs w:val="20"/>
              </w:rPr>
              <w:t>4(</w:t>
            </w:r>
            <w:proofErr w:type="gramEnd"/>
            <w:r w:rsidRPr="00751B8C">
              <w:rPr>
                <w:rFonts w:ascii="Verdana" w:hAnsi="Verdana" w:cstheme="minorHAnsi"/>
                <w:sz w:val="20"/>
                <w:szCs w:val="20"/>
              </w:rPr>
              <w:t xml:space="preserve">e)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8.3. Jelentés a monitoringbizottságnak és az Európai Bizottságnak, ideértve a vezetői nyilatkozatot és az éves összefoglalót is (a CPR 125. cikke (4) bekezdésének e) pontja)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8.4. Development and amendment of financial management procedures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8.4. Pénzügyi irányítási eljárások kidolgozása és módosítása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8.5.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8.5. Áruk és szolgáltatások beszerzése a technikai segítségnyújtás keretében</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9. Communication</w:t>
            </w: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9.1. Preparation of the communication plan and its implementation for different stakeholders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9. Kommunikáció</w:t>
            </w: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9.1. A kommunikációs terv elkészítése és végrehajtása különböző érdekelt felek tekintetében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 xml:space="preserve">9.2. Building networks with different </w:t>
            </w:r>
            <w:r w:rsidRPr="00751B8C">
              <w:rPr>
                <w:rFonts w:ascii="Verdana" w:hAnsi="Verdana" w:cstheme="minorHAnsi"/>
                <w:sz w:val="20"/>
                <w:szCs w:val="20"/>
              </w:rPr>
              <w:lastRenderedPageBreak/>
              <w:t xml:space="preserve">media </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 xml:space="preserve">9.2. Hálózatépítés különböző </w:t>
            </w:r>
            <w:r>
              <w:rPr>
                <w:rFonts w:ascii="Verdana" w:hAnsi="Verdana" w:cstheme="minorHAnsi"/>
                <w:sz w:val="20"/>
              </w:rPr>
              <w:lastRenderedPageBreak/>
              <w:t xml:space="preserve">médiumokkal </w:t>
            </w:r>
          </w:p>
        </w:tc>
      </w:tr>
      <w:tr w:rsidR="0059089E" w:rsidRPr="00751B8C" w:rsidTr="00757D2E">
        <w:trPr>
          <w:trHeight w:val="318"/>
        </w:trPr>
        <w:tc>
          <w:tcPr>
            <w:tcW w:w="902"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702" w:type="pct"/>
            <w:shd w:val="clear" w:color="000000" w:fill="FFFFFF"/>
            <w:vAlign w:val="center"/>
          </w:tcPr>
          <w:p w:rsidR="0059089E" w:rsidRPr="00751B8C" w:rsidRDefault="0059089E" w:rsidP="0059089E">
            <w:pPr>
              <w:spacing w:after="0"/>
              <w:rPr>
                <w:rFonts w:ascii="Verdana" w:hAnsi="Verdana" w:cstheme="minorHAnsi"/>
                <w:sz w:val="20"/>
                <w:szCs w:val="20"/>
              </w:rPr>
            </w:pPr>
            <w:r w:rsidRPr="00751B8C">
              <w:rPr>
                <w:rFonts w:ascii="Verdana" w:hAnsi="Verdana" w:cstheme="minorHAnsi"/>
                <w:sz w:val="20"/>
                <w:szCs w:val="20"/>
              </w:rPr>
              <w:t>9.3. Procurement of goods and services under Technical Assistance</w:t>
            </w:r>
          </w:p>
        </w:tc>
        <w:tc>
          <w:tcPr>
            <w:tcW w:w="1145" w:type="pct"/>
            <w:shd w:val="clear" w:color="000000" w:fill="FFFFFF"/>
            <w:vAlign w:val="center"/>
          </w:tcPr>
          <w:p w:rsidR="0059089E" w:rsidRPr="00751B8C" w:rsidRDefault="0059089E" w:rsidP="0059089E">
            <w:pPr>
              <w:spacing w:after="0"/>
              <w:rPr>
                <w:rFonts w:ascii="Verdana" w:hAnsi="Verdana" w:cstheme="minorHAnsi"/>
                <w:sz w:val="20"/>
                <w:szCs w:val="20"/>
              </w:rPr>
            </w:pPr>
          </w:p>
        </w:tc>
        <w:tc>
          <w:tcPr>
            <w:tcW w:w="1251" w:type="pct"/>
            <w:shd w:val="clear" w:color="000000" w:fill="FFFFFF"/>
            <w:vAlign w:val="center"/>
          </w:tcPr>
          <w:p w:rsidR="0059089E" w:rsidRPr="00751B8C" w:rsidRDefault="0059089E" w:rsidP="0059089E">
            <w:pPr>
              <w:spacing w:after="0"/>
              <w:rPr>
                <w:rFonts w:ascii="Verdana" w:hAnsi="Verdana" w:cstheme="minorHAnsi"/>
                <w:sz w:val="20"/>
                <w:szCs w:val="20"/>
              </w:rPr>
            </w:pPr>
            <w:r>
              <w:rPr>
                <w:rFonts w:ascii="Verdana" w:hAnsi="Verdana" w:cstheme="minorHAnsi"/>
                <w:sz w:val="20"/>
              </w:rPr>
              <w:t>9.3. Áruk és szolgáltatások beszerzése a technikai segítségnyújtás keretében</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9"/>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ind w:left="175"/>
              <w:rPr>
                <w:rFonts w:ascii="Verdana" w:hAnsi="Verdana"/>
                <w:sz w:val="20"/>
                <w:szCs w:val="20"/>
              </w:rPr>
            </w:pPr>
            <w:r w:rsidRPr="00751B8C">
              <w:rPr>
                <w:rFonts w:ascii="Verdana" w:hAnsi="Verdana" w:cstheme="minorHAnsi"/>
                <w:sz w:val="20"/>
                <w:szCs w:val="20"/>
              </w:rPr>
              <w:t>10. Supervision of Intermediate bodies (IBs)</w:t>
            </w: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1. Supporting IBs in setting-up the management and control system</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ind w:left="175"/>
              <w:rPr>
                <w:rFonts w:ascii="Verdana" w:hAnsi="Verdana"/>
                <w:sz w:val="20"/>
                <w:szCs w:val="20"/>
              </w:rPr>
            </w:pPr>
            <w:r>
              <w:rPr>
                <w:rFonts w:ascii="Verdana" w:hAnsi="Verdana" w:cstheme="minorHAnsi"/>
                <w:sz w:val="20"/>
              </w:rPr>
              <w:t>10. Közreműködő szervezetek felügyelete</w:t>
            </w: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1. Közreműködő szervezetek támogatása az irányítási és ellenőrzési rendszer létrehozásában</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 xml:space="preserve">2. Drafting of the delegation agreement </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 xml:space="preserve">2. Feladatátruházási megállapodás előkészítése </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3. Planning of the audit of IBs</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3. A közreműködő szervezetek ellenőrzésének megtervezése</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4. Audit of the management and control system of IBs</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4. A közreműködő szervezetek irányítási és ellenőrzési rendszerének ellenőrzése</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5. Regular review of results reported by IB</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5. A közreműködő szervezet által jelentett eredmények rendszeres felülvizsgálata</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6. Review of a sample of operations carried out under the responsibility of the IBs</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6. A közreműködő szervezetek felelősségi körében lefolytatott műveletek egy mintájának megvizsgálása</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7. Drafting of procedures and guidelines</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7. Folyamatok és iránymutatások kidolgozása</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8. Procurement of goods and services under Technical Assistance</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shd w:val="clear" w:color="auto" w:fill="FFFFFF" w:themeFill="background1"/>
              <w:rPr>
                <w:rFonts w:ascii="Verdana" w:hAnsi="Verdana"/>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8. Áruk és szolgáltatások beszerzése a technikai segítségnyújtás keretében</w:t>
            </w:r>
          </w:p>
        </w:tc>
      </w:tr>
      <w:tr w:rsidR="0059089E" w:rsidRPr="00751B8C" w:rsidTr="0059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02"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jc w:val="center"/>
              <w:rPr>
                <w:rFonts w:ascii="Verdana" w:hAnsi="Verdana"/>
                <w:color w:val="FF0000"/>
                <w:sz w:val="20"/>
                <w:szCs w:val="20"/>
              </w:rPr>
            </w:pPr>
          </w:p>
        </w:tc>
        <w:tc>
          <w:tcPr>
            <w:tcW w:w="1702"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sidRPr="00751B8C">
              <w:rPr>
                <w:rFonts w:ascii="Verdana" w:hAnsi="Verdana" w:cstheme="minorHAnsi"/>
                <w:sz w:val="20"/>
                <w:szCs w:val="20"/>
              </w:rPr>
              <w:t>9. Ongoing support to IBs</w:t>
            </w:r>
          </w:p>
        </w:tc>
        <w:tc>
          <w:tcPr>
            <w:tcW w:w="1145" w:type="pct"/>
            <w:tcBorders>
              <w:top w:val="nil"/>
              <w:left w:val="single" w:sz="4" w:space="0" w:color="808080"/>
              <w:bottom w:val="single" w:sz="4" w:space="0" w:color="808080"/>
              <w:right w:val="single" w:sz="4" w:space="0" w:color="808080"/>
            </w:tcBorders>
            <w:shd w:val="clear" w:color="auto" w:fill="FFFFFF" w:themeFill="background1"/>
          </w:tcPr>
          <w:p w:rsidR="0059089E" w:rsidRPr="00751B8C" w:rsidRDefault="0059089E" w:rsidP="0059089E">
            <w:pPr>
              <w:jc w:val="center"/>
              <w:rPr>
                <w:rFonts w:ascii="Verdana" w:hAnsi="Verdana"/>
                <w:color w:val="FF0000"/>
                <w:sz w:val="20"/>
                <w:szCs w:val="20"/>
              </w:rPr>
            </w:pPr>
          </w:p>
        </w:tc>
        <w:tc>
          <w:tcPr>
            <w:tcW w:w="1251" w:type="pct"/>
            <w:tcBorders>
              <w:top w:val="nil"/>
              <w:left w:val="single" w:sz="4" w:space="0" w:color="808080"/>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ind w:left="180"/>
              <w:rPr>
                <w:rFonts w:ascii="Verdana" w:hAnsi="Verdana" w:cstheme="minorHAnsi"/>
                <w:sz w:val="20"/>
                <w:szCs w:val="20"/>
              </w:rPr>
            </w:pPr>
            <w:r>
              <w:rPr>
                <w:rFonts w:ascii="Verdana" w:hAnsi="Verdana" w:cstheme="minorHAnsi"/>
                <w:sz w:val="20"/>
              </w:rPr>
              <w:t>9. Folyamatos támogatás a közreműködő szervezeteknek</w:t>
            </w:r>
          </w:p>
        </w:tc>
      </w:tr>
    </w:tbl>
    <w:p w:rsidR="000C44D2" w:rsidRDefault="000C44D2">
      <w:pPr>
        <w:rPr>
          <w:rFonts w:ascii="Verdana" w:hAnsi="Verdana" w:cstheme="minorHAnsi"/>
          <w:i/>
          <w:sz w:val="18"/>
          <w:szCs w:val="20"/>
        </w:rPr>
      </w:pPr>
    </w:p>
    <w:p w:rsidR="0062042A" w:rsidRDefault="0062042A" w:rsidP="004D1BB8">
      <w:pPr>
        <w:pStyle w:val="Heading1"/>
        <w:sectPr w:rsidR="0062042A" w:rsidSect="00CD1306">
          <w:pgSz w:w="15840" w:h="12240" w:orient="landscape"/>
          <w:pgMar w:top="1440" w:right="1440" w:bottom="1440" w:left="1440" w:header="720" w:footer="720" w:gutter="0"/>
          <w:cols w:space="720"/>
          <w:docGrid w:linePitch="360"/>
        </w:sectPr>
      </w:pPr>
    </w:p>
    <w:p w:rsidR="00822B80" w:rsidRDefault="00822B80" w:rsidP="004D1BB8">
      <w:pPr>
        <w:pStyle w:val="Heading1"/>
      </w:pPr>
      <w:bookmarkStart w:id="6" w:name="_Toc494906120"/>
      <w:bookmarkStart w:id="7" w:name="_Toc508881319"/>
      <w:r>
        <w:lastRenderedPageBreak/>
        <w:t>Felkészültségi skála</w:t>
      </w:r>
      <w:bookmarkEnd w:id="6"/>
      <w:bookmarkEnd w:id="7"/>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6931AA" w:rsidRPr="00751B8C" w:rsidTr="00F55E53">
        <w:trPr>
          <w:trHeight w:val="20"/>
          <w:tblHeader/>
        </w:trPr>
        <w:tc>
          <w:tcPr>
            <w:tcW w:w="2396" w:type="pct"/>
            <w:gridSpan w:val="2"/>
            <w:shd w:val="clear" w:color="auto" w:fill="44546A" w:themeFill="text2"/>
            <w:vAlign w:val="center"/>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18"/>
              </w:rPr>
            </w:pPr>
            <w:r>
              <w:rPr>
                <w:rFonts w:ascii="Verdana" w:hAnsi="Verdana" w:cstheme="minorHAnsi"/>
                <w:b/>
                <w:color w:val="FFFFFF" w:themeColor="background1"/>
                <w:sz w:val="20"/>
              </w:rPr>
              <w:t>Angol</w:t>
            </w:r>
          </w:p>
        </w:tc>
        <w:tc>
          <w:tcPr>
            <w:tcW w:w="2604" w:type="pct"/>
            <w:gridSpan w:val="2"/>
            <w:shd w:val="clear" w:color="auto" w:fill="44546A" w:themeFill="text2"/>
            <w:vAlign w:val="center"/>
          </w:tcPr>
          <w:p w:rsidR="006931AA" w:rsidRPr="00751B8C" w:rsidRDefault="0059089E" w:rsidP="006931AA">
            <w:pPr>
              <w:spacing w:after="0" w:line="240" w:lineRule="auto"/>
              <w:jc w:val="center"/>
              <w:rPr>
                <w:rFonts w:ascii="Verdana" w:hAnsi="Verdana" w:cstheme="minorHAnsi"/>
                <w:b/>
                <w:color w:val="FFFFFF" w:themeColor="background1"/>
                <w:sz w:val="20"/>
                <w:szCs w:val="18"/>
              </w:rPr>
            </w:pPr>
            <w:r>
              <w:rPr>
                <w:rFonts w:ascii="Verdana" w:hAnsi="Verdana" w:cstheme="minorHAnsi"/>
                <w:b/>
                <w:color w:val="FFFFFF" w:themeColor="background1"/>
                <w:sz w:val="20"/>
              </w:rPr>
              <w:t>Magyar</w:t>
            </w:r>
          </w:p>
        </w:tc>
      </w:tr>
      <w:tr w:rsidR="0059089E" w:rsidRPr="00751B8C" w:rsidTr="00F55E53">
        <w:trPr>
          <w:trHeight w:val="20"/>
          <w:tblHeader/>
        </w:trPr>
        <w:tc>
          <w:tcPr>
            <w:tcW w:w="658" w:type="pct"/>
            <w:shd w:val="clear" w:color="auto" w:fill="F2F2F2" w:themeFill="background1" w:themeFillShade="F2"/>
          </w:tcPr>
          <w:p w:rsidR="0059089E" w:rsidRPr="00751B8C" w:rsidRDefault="0059089E" w:rsidP="0059089E">
            <w:pPr>
              <w:spacing w:after="0" w:line="240" w:lineRule="auto"/>
              <w:rPr>
                <w:rFonts w:ascii="Verdana" w:hAnsi="Verdana" w:cstheme="minorHAnsi"/>
                <w:sz w:val="20"/>
                <w:szCs w:val="18"/>
              </w:rPr>
            </w:pPr>
            <w:r w:rsidRPr="00751B8C">
              <w:rPr>
                <w:rFonts w:ascii="Verdana" w:hAnsi="Verdana" w:cstheme="minorHAnsi"/>
                <w:sz w:val="20"/>
                <w:szCs w:val="18"/>
              </w:rPr>
              <w:t xml:space="preserve">Scale </w:t>
            </w:r>
          </w:p>
        </w:tc>
        <w:tc>
          <w:tcPr>
            <w:tcW w:w="1738" w:type="pct"/>
            <w:shd w:val="clear" w:color="auto" w:fill="F2F2F2" w:themeFill="background1" w:themeFillShade="F2"/>
          </w:tcPr>
          <w:p w:rsidR="0059089E" w:rsidRPr="00751B8C" w:rsidRDefault="0059089E" w:rsidP="0059089E">
            <w:pPr>
              <w:spacing w:after="0" w:line="240" w:lineRule="auto"/>
              <w:rPr>
                <w:rFonts w:ascii="Verdana" w:hAnsi="Verdana" w:cstheme="minorHAnsi"/>
                <w:sz w:val="20"/>
                <w:szCs w:val="18"/>
              </w:rPr>
            </w:pPr>
            <w:r w:rsidRPr="00751B8C">
              <w:rPr>
                <w:rFonts w:ascii="Verdana" w:hAnsi="Verdana" w:cstheme="minorHAnsi"/>
                <w:sz w:val="20"/>
                <w:szCs w:val="18"/>
              </w:rPr>
              <w:t xml:space="preserve">Description </w:t>
            </w:r>
          </w:p>
        </w:tc>
        <w:tc>
          <w:tcPr>
            <w:tcW w:w="590" w:type="pct"/>
            <w:shd w:val="clear" w:color="auto" w:fill="F2F2F2" w:themeFill="background1" w:themeFillShade="F2"/>
          </w:tcPr>
          <w:p w:rsidR="0059089E" w:rsidRPr="00751B8C" w:rsidRDefault="0059089E" w:rsidP="0059089E">
            <w:pPr>
              <w:spacing w:after="0" w:line="240" w:lineRule="auto"/>
              <w:rPr>
                <w:rFonts w:ascii="Verdana" w:hAnsi="Verdana" w:cstheme="minorHAnsi"/>
                <w:sz w:val="20"/>
                <w:szCs w:val="18"/>
              </w:rPr>
            </w:pPr>
            <w:r>
              <w:rPr>
                <w:rFonts w:ascii="Verdana" w:hAnsi="Verdana" w:cstheme="minorHAnsi"/>
                <w:sz w:val="20"/>
              </w:rPr>
              <w:t xml:space="preserve">Skála </w:t>
            </w:r>
          </w:p>
        </w:tc>
        <w:tc>
          <w:tcPr>
            <w:tcW w:w="2014" w:type="pct"/>
            <w:shd w:val="clear" w:color="auto" w:fill="F2F2F2" w:themeFill="background1" w:themeFillShade="F2"/>
          </w:tcPr>
          <w:p w:rsidR="0059089E" w:rsidRPr="00751B8C" w:rsidRDefault="0059089E" w:rsidP="0059089E">
            <w:pPr>
              <w:spacing w:after="0" w:line="240" w:lineRule="auto"/>
              <w:rPr>
                <w:rFonts w:ascii="Verdana" w:hAnsi="Verdana" w:cstheme="minorHAnsi"/>
                <w:sz w:val="20"/>
                <w:szCs w:val="18"/>
              </w:rPr>
            </w:pPr>
            <w:r>
              <w:rPr>
                <w:rFonts w:ascii="Verdana" w:hAnsi="Verdana" w:cstheme="minorHAnsi"/>
                <w:sz w:val="20"/>
              </w:rPr>
              <w:t xml:space="preserve">Leírás </w:t>
            </w:r>
          </w:p>
        </w:tc>
      </w:tr>
      <w:tr w:rsidR="0059089E" w:rsidRPr="00751B8C" w:rsidTr="0059089E">
        <w:trPr>
          <w:trHeight w:val="20"/>
        </w:trPr>
        <w:tc>
          <w:tcPr>
            <w:tcW w:w="65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N.</w:t>
            </w:r>
            <w:proofErr w:type="gramStart"/>
            <w:r w:rsidRPr="00751B8C">
              <w:rPr>
                <w:rFonts w:ascii="Verdana" w:hAnsi="Verdana" w:cstheme="minorHAnsi"/>
                <w:sz w:val="20"/>
                <w:szCs w:val="18"/>
              </w:rPr>
              <w:t>A</w:t>
            </w:r>
            <w:proofErr w:type="gramEnd"/>
            <w:r w:rsidRPr="00751B8C">
              <w:rPr>
                <w:rFonts w:ascii="Verdana" w:hAnsi="Verdana" w:cstheme="minorHAnsi"/>
                <w:sz w:val="20"/>
                <w:szCs w:val="18"/>
              </w:rPr>
              <w:t>. - Not Applicable</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 xml:space="preserve">The competency is not applicable to the job role. </w:t>
            </w:r>
          </w:p>
        </w:tc>
        <w:tc>
          <w:tcPr>
            <w:tcW w:w="590"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N.</w:t>
            </w:r>
            <w:proofErr w:type="gramStart"/>
            <w:r>
              <w:rPr>
                <w:rFonts w:ascii="Verdana" w:hAnsi="Verdana" w:cstheme="minorHAnsi"/>
                <w:sz w:val="20"/>
              </w:rPr>
              <w:t>A</w:t>
            </w:r>
            <w:proofErr w:type="gramEnd"/>
            <w:r>
              <w:rPr>
                <w:rFonts w:ascii="Verdana" w:hAnsi="Verdana" w:cstheme="minorHAnsi"/>
                <w:sz w:val="20"/>
              </w:rPr>
              <w:t>. – Nem alkalmazandó</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 xml:space="preserve">A kompetencia nem alkalmazandó a munkakörre. </w:t>
            </w:r>
          </w:p>
        </w:tc>
      </w:tr>
      <w:tr w:rsidR="0059089E" w:rsidRPr="00751B8C" w:rsidTr="00F55E53">
        <w:trPr>
          <w:trHeight w:val="20"/>
        </w:trPr>
        <w:tc>
          <w:tcPr>
            <w:tcW w:w="65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 xml:space="preserve">Level 0 – </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No knowledge</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No knowledge of the competency or no ability to apply it in real situations.</w:t>
            </w:r>
          </w:p>
        </w:tc>
        <w:tc>
          <w:tcPr>
            <w:tcW w:w="590"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 xml:space="preserve">0. szint – </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Nincs tudás</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Nem rendelkezik tudással a kompetenciáról vagy annak alkalmazásának képességével valós helyzetekben.</w:t>
            </w:r>
          </w:p>
        </w:tc>
      </w:tr>
      <w:tr w:rsidR="0059089E" w:rsidRPr="00751B8C" w:rsidTr="00F55E53">
        <w:trPr>
          <w:trHeight w:val="20"/>
        </w:trPr>
        <w:tc>
          <w:tcPr>
            <w:tcW w:w="65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Level 1 - Awareness</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Basic knowledge of the competency (e.g. understands general concepts and processes, is familiar with related key terminology).</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Ability to demonstrate this competency after being given specific instructions and guidance.</w:t>
            </w:r>
          </w:p>
        </w:tc>
        <w:tc>
          <w:tcPr>
            <w:tcW w:w="590"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1. szint – Tudatosság</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A kompetencia alapfokú ismerete (pl. megérti az alapvető fogalmakat és folyamatokat, ismeri a kapcsolódó kulcsfontosságú terminológiát).</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Képes bemutatni ezt a kompetenciát konkrét utasításokat és iránymutatást követően.</w:t>
            </w:r>
          </w:p>
        </w:tc>
      </w:tr>
      <w:tr w:rsidR="0059089E" w:rsidRPr="00751B8C" w:rsidTr="00F55E53">
        <w:trPr>
          <w:trHeight w:val="20"/>
        </w:trPr>
        <w:tc>
          <w:tcPr>
            <w:tcW w:w="65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Level 2 - Trained</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Good working knowledge of the competency.</w:t>
            </w:r>
            <w:r w:rsidRPr="00751B8C">
              <w:rPr>
                <w:rFonts w:ascii="Verdana" w:hAnsi="Verdana" w:cstheme="minorHAnsi"/>
                <w:sz w:val="20"/>
                <w:szCs w:val="18"/>
              </w:rPr>
              <w:br/>
              <w:t>Ability to apply that knowledge in daily work.</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Ability to perform standard activities with regards to this competency in an independent manner</w:t>
            </w:r>
          </w:p>
        </w:tc>
        <w:tc>
          <w:tcPr>
            <w:tcW w:w="590"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2. szint – Képzett</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A kompetencia megfelelő munkavégzésre alkalmas ismerete.</w:t>
            </w:r>
            <w:r>
              <w:rPr>
                <w:rFonts w:ascii="Verdana" w:hAnsi="Verdana" w:cstheme="minorHAnsi"/>
                <w:sz w:val="20"/>
                <w:szCs w:val="18"/>
              </w:rPr>
              <w:br/>
            </w:r>
            <w:r>
              <w:rPr>
                <w:rFonts w:ascii="Verdana" w:hAnsi="Verdana" w:cstheme="minorHAnsi"/>
                <w:sz w:val="20"/>
              </w:rPr>
              <w:t>Képes alkalmazni ezt a tudást a mindennapi munka során.</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Képes standard tevékenységek önálló elvégzésére e kompetenciát illetően</w:t>
            </w:r>
          </w:p>
        </w:tc>
      </w:tr>
      <w:tr w:rsidR="0059089E" w:rsidRPr="00751B8C" w:rsidTr="0059089E">
        <w:trPr>
          <w:trHeight w:val="20"/>
        </w:trPr>
        <w:tc>
          <w:tcPr>
            <w:tcW w:w="658" w:type="pct"/>
            <w:shd w:val="clear" w:color="000000" w:fill="FFFFFF"/>
            <w:vAlign w:val="center"/>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Level 3 - Intermediate</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Broad and in-depth knowledge and skills with regards to the competency.</w:t>
            </w:r>
            <w:r w:rsidRPr="00751B8C">
              <w:rPr>
                <w:rFonts w:ascii="Verdana" w:hAnsi="Verdana" w:cstheme="minorHAnsi"/>
                <w:sz w:val="20"/>
                <w:szCs w:val="18"/>
              </w:rPr>
              <w:br/>
              <w:t>Ability to deal with a variety of exceptions and special cases related to the competency in an independent manner.</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Ability to effectively share knowledge and experience with more junior profiles.</w:t>
            </w:r>
            <w:r w:rsidRPr="00751B8C">
              <w:rPr>
                <w:rFonts w:ascii="Verdana" w:hAnsi="Verdana" w:cstheme="minorHAnsi"/>
                <w:sz w:val="20"/>
                <w:szCs w:val="18"/>
              </w:rPr>
              <w:br/>
              <w:t xml:space="preserve">Confidence in serving as an advisor and is sought out to provide insight in the </w:t>
            </w:r>
            <w:r w:rsidRPr="00751B8C">
              <w:rPr>
                <w:rFonts w:ascii="Verdana" w:hAnsi="Verdana" w:cstheme="minorHAnsi"/>
                <w:sz w:val="20"/>
                <w:szCs w:val="18"/>
              </w:rPr>
              <w:lastRenderedPageBreak/>
              <w:t>application of this competency.</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lastRenderedPageBreak/>
              <w:t>3. szint – Közepes</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Széles körű és alapos tudás és készségek a kompetencia tekintetében.</w:t>
            </w:r>
            <w:r>
              <w:rPr>
                <w:rFonts w:ascii="Verdana" w:hAnsi="Verdana" w:cstheme="minorHAnsi"/>
                <w:sz w:val="20"/>
                <w:szCs w:val="18"/>
              </w:rPr>
              <w:br/>
            </w:r>
            <w:r>
              <w:rPr>
                <w:rFonts w:ascii="Verdana" w:hAnsi="Verdana" w:cstheme="minorHAnsi"/>
                <w:sz w:val="20"/>
              </w:rPr>
              <w:t>Képes különféle kivételes és különleges esetekkel megbirkózni önálló módon a kompetenciával kapcsolatban.</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Képes eredményesen megosztani a tudását és tapasztalatát nála tapasztalatlanabb személyekkel.</w:t>
            </w:r>
            <w:r>
              <w:rPr>
                <w:rFonts w:ascii="Verdana" w:hAnsi="Verdana" w:cstheme="minorHAnsi"/>
                <w:sz w:val="20"/>
                <w:szCs w:val="18"/>
              </w:rPr>
              <w:br/>
            </w:r>
            <w:r>
              <w:rPr>
                <w:rFonts w:ascii="Verdana" w:hAnsi="Verdana" w:cstheme="minorHAnsi"/>
                <w:sz w:val="20"/>
              </w:rPr>
              <w:t xml:space="preserve">Magabiztosan tud tanácsadóként fellépni, és </w:t>
            </w:r>
            <w:r>
              <w:rPr>
                <w:rFonts w:ascii="Verdana" w:hAnsi="Verdana" w:cstheme="minorHAnsi"/>
                <w:sz w:val="20"/>
              </w:rPr>
              <w:lastRenderedPageBreak/>
              <w:t>meglátásait mások is igénybe kívánják venni e kompetencia alkalmazását illetően.</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Képes másokat oktatni e kompetencia alkalmazása keretében e kompetenciával kapcsolatban összetett árnyalatok és problémák könnyen érthető formában történő megfogalmazása révén.</w:t>
            </w:r>
          </w:p>
        </w:tc>
      </w:tr>
      <w:tr w:rsidR="0059089E" w:rsidRPr="00751B8C" w:rsidTr="0059089E">
        <w:trPr>
          <w:trHeight w:val="20"/>
        </w:trPr>
        <w:tc>
          <w:tcPr>
            <w:tcW w:w="658" w:type="pct"/>
            <w:shd w:val="clear" w:color="000000" w:fill="FFFFFF"/>
            <w:vAlign w:val="center"/>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lastRenderedPageBreak/>
              <w:t>Level 4 - Expert</w:t>
            </w:r>
          </w:p>
        </w:tc>
        <w:tc>
          <w:tcPr>
            <w:tcW w:w="1738"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Extensive expert knowledge and skills with regards to the competency.</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Ability to highlight the (dis</w:t>
            </w:r>
            <w:proofErr w:type="gramStart"/>
            <w:r w:rsidRPr="00751B8C">
              <w:rPr>
                <w:rFonts w:ascii="Verdana" w:hAnsi="Verdana" w:cstheme="minorHAnsi"/>
                <w:sz w:val="20"/>
                <w:szCs w:val="18"/>
              </w:rPr>
              <w:t>)advantages</w:t>
            </w:r>
            <w:proofErr w:type="gramEnd"/>
            <w:r w:rsidRPr="00751B8C">
              <w:rPr>
                <w:rFonts w:ascii="Verdana" w:hAnsi="Verdana" w:cstheme="minorHAnsi"/>
                <w:sz w:val="20"/>
                <w:szCs w:val="18"/>
              </w:rPr>
              <w:t xml:space="preserve"> of each of the processes related to the competency whilst linking them to the bigger picture.</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Ability to provide tailored advice and to support the advice with relevant and context specific arguments when responding to internal and external queries.</w:t>
            </w:r>
          </w:p>
          <w:p w:rsidR="0059089E" w:rsidRPr="00751B8C" w:rsidRDefault="0059089E" w:rsidP="0059089E">
            <w:pPr>
              <w:spacing w:before="60" w:after="120" w:line="240" w:lineRule="auto"/>
              <w:rPr>
                <w:rFonts w:ascii="Verdana" w:hAnsi="Verdana" w:cstheme="minorHAnsi"/>
                <w:sz w:val="20"/>
                <w:szCs w:val="18"/>
              </w:rPr>
            </w:pPr>
            <w:r w:rsidRPr="00751B8C">
              <w:rPr>
                <w:rFonts w:ascii="Verdana" w:hAnsi="Verdana" w:cstheme="minorHAnsi"/>
                <w:sz w:val="20"/>
                <w:szCs w:val="18"/>
              </w:rPr>
              <w:t>Viewed by others as a role model who is capable of leading or teaching others in the area of the competency.</w:t>
            </w:r>
          </w:p>
        </w:tc>
        <w:tc>
          <w:tcPr>
            <w:tcW w:w="590" w:type="pct"/>
            <w:shd w:val="clear" w:color="000000" w:fill="FFFFFF"/>
            <w:vAlign w:val="center"/>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4. szint – Szakértő</w:t>
            </w:r>
          </w:p>
        </w:tc>
        <w:tc>
          <w:tcPr>
            <w:tcW w:w="2014" w:type="pct"/>
            <w:shd w:val="clear" w:color="000000" w:fill="FFFFFF"/>
          </w:tcPr>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Széles körű szakértői tudás és készségek a kompetencia tekintetében.</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A kompetenciához kapcsolódó folyamatok előnyeinek és hátrányainak kihangsúlyozásra és ezek tágabb összefüggéseinek átlátására való képesség.</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Testreszabott, releváns és kontextusfüggő érvekkel alátámasztott tanácsadásra való képesség belső és külső kérdések megválaszolásakor.</w:t>
            </w:r>
          </w:p>
          <w:p w:rsidR="0059089E" w:rsidRPr="00751B8C" w:rsidRDefault="0059089E" w:rsidP="0059089E">
            <w:pPr>
              <w:spacing w:before="60" w:after="120" w:line="240" w:lineRule="auto"/>
              <w:rPr>
                <w:rFonts w:ascii="Verdana" w:hAnsi="Verdana" w:cstheme="minorHAnsi"/>
                <w:sz w:val="20"/>
                <w:szCs w:val="18"/>
              </w:rPr>
            </w:pPr>
            <w:r>
              <w:rPr>
                <w:rFonts w:ascii="Verdana" w:hAnsi="Verdana" w:cstheme="minorHAnsi"/>
                <w:sz w:val="20"/>
              </w:rPr>
              <w:t>Mások példaképnek tekintik, aki képes a kompetencia területén másokat vezetni és tanítani.</w:t>
            </w:r>
          </w:p>
        </w:tc>
      </w:tr>
    </w:tbl>
    <w:p w:rsidR="0044373B" w:rsidRDefault="0044373B" w:rsidP="0044373B"/>
    <w:p w:rsidR="0044373B" w:rsidRDefault="0044373B" w:rsidP="0044373B"/>
    <w:p w:rsidR="006645FC" w:rsidRDefault="006645FC" w:rsidP="004D1BB8">
      <w:pPr>
        <w:pStyle w:val="Heading1"/>
        <w:sectPr w:rsidR="006645FC" w:rsidSect="00CD1306">
          <w:pgSz w:w="15840" w:h="12240" w:orient="landscape"/>
          <w:pgMar w:top="1440" w:right="1440" w:bottom="1440" w:left="1440" w:header="720" w:footer="720" w:gutter="0"/>
          <w:cols w:space="720"/>
          <w:docGrid w:linePitch="360"/>
        </w:sectPr>
      </w:pPr>
    </w:p>
    <w:p w:rsidR="00CD1306" w:rsidRPr="003870A6" w:rsidRDefault="00CD1306" w:rsidP="004D1BB8">
      <w:pPr>
        <w:pStyle w:val="Heading1"/>
      </w:pPr>
      <w:bookmarkStart w:id="8" w:name="_Toc494906121"/>
      <w:bookmarkStart w:id="9" w:name="_Toc508881320"/>
      <w:r>
        <w:lastRenderedPageBreak/>
        <w:t>Működtetési kompetenciák</w:t>
      </w:r>
      <w:bookmarkEnd w:id="8"/>
      <w:bookmarkEnd w:id="9"/>
    </w:p>
    <w:tbl>
      <w:tblPr>
        <w:tblW w:w="13378" w:type="dxa"/>
        <w:tblLook w:val="04A0" w:firstRow="1" w:lastRow="0" w:firstColumn="1" w:lastColumn="0" w:noHBand="0" w:noVBand="1"/>
      </w:tblPr>
      <w:tblGrid>
        <w:gridCol w:w="1424"/>
        <w:gridCol w:w="5634"/>
        <w:gridCol w:w="6320"/>
      </w:tblGrid>
      <w:tr w:rsidR="006931AA" w:rsidRPr="00751B8C" w:rsidTr="004D1BB8">
        <w:trPr>
          <w:trHeight w:val="350"/>
          <w:tblHeader/>
        </w:trPr>
        <w:tc>
          <w:tcPr>
            <w:tcW w:w="1424" w:type="dxa"/>
            <w:tcBorders>
              <w:top w:val="single" w:sz="4" w:space="0" w:color="808080"/>
              <w:left w:val="single" w:sz="4" w:space="0" w:color="808080"/>
              <w:bottom w:val="single" w:sz="4" w:space="0" w:color="808080"/>
              <w:right w:val="single" w:sz="4" w:space="0" w:color="808080"/>
            </w:tcBorders>
            <w:shd w:val="clear" w:color="auto" w:fill="44546A" w:themeFill="text2"/>
            <w:vAlign w:val="center"/>
          </w:tcPr>
          <w:p w:rsidR="006931AA" w:rsidRPr="00751B8C" w:rsidRDefault="006931AA" w:rsidP="006931AA">
            <w:pPr>
              <w:spacing w:after="0" w:line="240" w:lineRule="auto"/>
              <w:jc w:val="center"/>
              <w:rPr>
                <w:rFonts w:ascii="Verdana" w:eastAsia="Times New Roman" w:hAnsi="Verdana" w:cs="Times New Roman"/>
                <w:b/>
                <w:bCs/>
                <w:color w:val="FFFFFF" w:themeColor="background1"/>
                <w:sz w:val="20"/>
                <w:szCs w:val="20"/>
              </w:rPr>
            </w:pPr>
          </w:p>
        </w:tc>
        <w:tc>
          <w:tcPr>
            <w:tcW w:w="5634" w:type="dxa"/>
            <w:tcBorders>
              <w:top w:val="single" w:sz="4" w:space="0" w:color="808080"/>
              <w:left w:val="nil"/>
              <w:bottom w:val="single" w:sz="4" w:space="0" w:color="808080"/>
              <w:right w:val="single" w:sz="4" w:space="0" w:color="808080"/>
            </w:tcBorders>
            <w:shd w:val="clear" w:color="auto" w:fill="44546A" w:themeFill="text2"/>
            <w:vAlign w:val="center"/>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6320" w:type="dxa"/>
            <w:tcBorders>
              <w:top w:val="single" w:sz="4" w:space="0" w:color="808080"/>
              <w:left w:val="nil"/>
              <w:bottom w:val="single" w:sz="4" w:space="0" w:color="808080"/>
              <w:right w:val="single" w:sz="4" w:space="0" w:color="808080"/>
            </w:tcBorders>
            <w:shd w:val="clear" w:color="auto" w:fill="44546A" w:themeFill="text2"/>
            <w:vAlign w:val="center"/>
          </w:tcPr>
          <w:p w:rsidR="006931AA" w:rsidRPr="00751B8C" w:rsidRDefault="0059089E"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59089E" w:rsidRPr="00751B8C" w:rsidTr="004D1BB8">
        <w:trPr>
          <w:trHeight w:val="323"/>
          <w:tblHeader/>
        </w:trPr>
        <w:tc>
          <w:tcPr>
            <w:tcW w:w="142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59089E" w:rsidRPr="00751B8C" w:rsidRDefault="0059089E" w:rsidP="006931AA">
            <w:pPr>
              <w:spacing w:after="0" w:line="240" w:lineRule="auto"/>
              <w:jc w:val="center"/>
              <w:rPr>
                <w:rFonts w:ascii="Verdana" w:eastAsia="Times New Roman" w:hAnsi="Verdana" w:cs="Times New Roman"/>
                <w:b/>
                <w:bCs/>
                <w:sz w:val="20"/>
                <w:szCs w:val="20"/>
              </w:rPr>
            </w:pPr>
            <w:r>
              <w:rPr>
                <w:rFonts w:ascii="Verdana" w:hAnsi="Verdana"/>
                <w:b/>
                <w:sz w:val="20"/>
              </w:rPr>
              <w:t>Kód</w:t>
            </w:r>
          </w:p>
        </w:tc>
        <w:tc>
          <w:tcPr>
            <w:tcW w:w="5634"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59089E" w:rsidRPr="00751B8C" w:rsidRDefault="0059089E" w:rsidP="0059089E">
            <w:pPr>
              <w:spacing w:after="0" w:line="240" w:lineRule="auto"/>
              <w:jc w:val="center"/>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Competency</w:t>
            </w:r>
          </w:p>
        </w:tc>
        <w:tc>
          <w:tcPr>
            <w:tcW w:w="632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59089E" w:rsidRPr="00751B8C" w:rsidRDefault="0059089E" w:rsidP="0059089E">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Kompetencia</w:t>
            </w:r>
          </w:p>
        </w:tc>
      </w:tr>
      <w:tr w:rsidR="0059089E" w:rsidRPr="00751B8C" w:rsidTr="0059089E">
        <w:trPr>
          <w:trHeight w:val="20"/>
        </w:trPr>
        <w:tc>
          <w:tcPr>
            <w:tcW w:w="142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w:t>
            </w:r>
          </w:p>
        </w:tc>
        <w:tc>
          <w:tcPr>
            <w:tcW w:w="5634" w:type="dxa"/>
            <w:tcBorders>
              <w:top w:val="single" w:sz="4" w:space="0" w:color="808080"/>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General provisions</w:t>
            </w:r>
            <w:r w:rsidRPr="00751B8C">
              <w:rPr>
                <w:rFonts w:ascii="Verdana" w:eastAsia="Times New Roman" w:hAnsi="Verdana" w:cs="Times New Roman"/>
                <w:color w:val="000000"/>
                <w:sz w:val="20"/>
                <w:szCs w:val="20"/>
                <w:lang w:val="en-US" w:bidi="he-IL"/>
              </w:rPr>
              <w:t xml:space="preserve"> of ESIF EU / National legal acts</w:t>
            </w:r>
          </w:p>
        </w:tc>
        <w:tc>
          <w:tcPr>
            <w:tcW w:w="6320" w:type="dxa"/>
            <w:tcBorders>
              <w:top w:val="single" w:sz="4" w:space="0" w:color="808080"/>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Az esb-alapokra vonatkozó uniós / nemzeti jogi aktusok általános rendelkezései</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National strategic documents (e.g. National Development Strategies, relevant thematic and sectoral policies)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Nemzeti stratégiai dokumentumok (pl. nemzeti fejlesztési stratégiák, releváns tematikus és ágazati szakpolitikák)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 xml:space="preserve">Eligibility of expenditure provisions </w:t>
            </w:r>
            <w:r w:rsidRPr="00751B8C">
              <w:rPr>
                <w:rFonts w:ascii="Verdana" w:eastAsia="Times New Roman" w:hAnsi="Verdana" w:cs="Times New Roman"/>
                <w:color w:val="000000"/>
                <w:sz w:val="20"/>
                <w:szCs w:val="20"/>
                <w:lang w:val="en-US" w:bidi="he-IL"/>
              </w:rPr>
              <w:t>included in ESIF EU / National legal acts (rules, guidelines and methodologies, including the scope of support)</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Az esb-alapokra vonatkozó uniós / nemzeti jogi aktusokban foglalt, a kiadások elszámolhatóságára vonatkozó rendelkezések (szabályok, iránymutatások és módszertanok, beleértve a támogatás hatályát is)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Territorial issues, such as ITI, CLLD, Sustainable urban development, macro/regional strategies and interregional cooperation planning</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Területi problémák, úgymint ITB, közösségvezérelt helyi fejlesztés, fenntartható városfejlesztés, makro/regionális stratégiák és interregionális együttműködés-tervezés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MA.O.C5</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State Aid</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Állami támogatás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MA.O.C6</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Relevant thematic knowledge (thematic legislation, costs, applicable standards, trends)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Releváns tematikus tudás (tematikus jogalkotás, költségek, alkalmazandó standardok, trendek)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MA.O.C7</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Intervention logic</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Beavatkozási logika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MA.O.C8</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Input, output, results indicators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Bemeneti, kimeneti, eredménymutatók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MA.O.C9</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Budgeting and cost estimation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Költségvetési tervezés és költségbecslés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MA.O.C10</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Financial instruments design (ex</w:t>
            </w:r>
            <w:r w:rsidRPr="00751B8C">
              <w:rPr>
                <w:rFonts w:ascii="Verdana" w:eastAsia="Times New Roman" w:hAnsi="Verdana" w:cs="Times New Roman"/>
                <w:sz w:val="20"/>
                <w:szCs w:val="20"/>
                <w:lang w:val="en-US" w:bidi="he-IL"/>
              </w:rPr>
              <w:noBreakHyphen/>
              <w:t>ante assessment, selection of FIs and set-up)</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Pénzügyieszköz</w:t>
            </w:r>
            <w:r>
              <w:noBreakHyphen/>
            </w:r>
            <w:r>
              <w:rPr>
                <w:rFonts w:ascii="Verdana" w:hAnsi="Verdana"/>
                <w:sz w:val="20"/>
              </w:rPr>
              <w:t>tervezés (előzetes értékelés, pénzügyi eszközök kiválasztása és felállítása)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MA.O.C11</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Horizontal issues (such as sustainable development, equality, etc.)</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Horizontális kérdések (úgymint fenntartható fejlődés, egyenlőség stb.)</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MA.O.C12</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Administrative procedures for procurement of goods and services from Technical Assistance</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Adminisztratív eljárások áruk és szolgáltatások beszerzésére a technikai segítségnyújtásból</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MA.O.C13</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Cross-border, transnational and interregional cooperation and European Grouping of Territorial Cooperation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Határokon átnyúló, transznacionális és interregionális együttműködés és az európai területi együttműködési csoportosulás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MA.O.C14</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Management of the outsourcing of TA activities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Technikai segítségnyújtási tevékenységek kiszervezésének irányítása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MA.O.C15</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Economic environment and reform processes (European Semester, National Reform Programmes and Country Specific Recommendations)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Gazdasági környezet és reformfolyamatok (európai szemeszter, nemzeti reformprogramok és országspecifikus ajánlások)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lastRenderedPageBreak/>
              <w:t>MA.O.C16</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Programme management and project cycle management</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Programirányítás és projektciklus-irányítás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MA.O.C17</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 xml:space="preserve">Management and implementation </w:t>
            </w:r>
            <w:r w:rsidRPr="00751B8C">
              <w:rPr>
                <w:rFonts w:ascii="Verdana" w:eastAsia="Times New Roman" w:hAnsi="Verdana" w:cs="Times New Roman"/>
                <w:color w:val="000000"/>
                <w:sz w:val="20"/>
                <w:szCs w:val="20"/>
                <w:lang w:val="en-US" w:bidi="he-IL"/>
              </w:rPr>
              <w:t>provisions included in ESIF EU / National legal acts (programming, selection of operations, monitoring, controls and audits, evaluation, publicity)</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Az esb-alapokra vonatkozó uniós / nemzeti jogi aktusokban foglalt irányítási és végrehajtási rendelkezések (programozás, műveletek kiválasztása, nyomon követés, vizsgálat és ellenőrzés, értékelés, nyilvánosság)</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MA.O.C18</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Public procurement rules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Közbeszerzési szabályok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MA.O.C19</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Fraud risk, irregularities management (incl. prevention, detection and mitigation measures)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Csaláskockázat-kezelés és szabálytalanságok kezelése (beleértve a megelőzést, a felderítést és a mérséklő intézkedéseket)</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MA.O.C20</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 xml:space="preserve">Administrative organization definition and revision </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 xml:space="preserve">Adminisztratív szervezetmeghatározás és -felülvizsgálat </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MA.O.C21</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Management and control system set-up</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Irányítási és ellenőrzési rendszer felállítása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MA.O.C22</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Administrative burden assessment</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Adminisztratív terhek értékelése</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MA.O.C23</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Assessment of ESIF system performance</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Az esb-alapok rendszere teljesítményének értékelése</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MA.O.C24</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Simplified Cost Options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Egyszerűsített költségelszámolás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MA.O.C25</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Cost-Benefit Analysis and Feasibility Studies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proofErr w:type="gramStart"/>
            <w:r>
              <w:rPr>
                <w:rFonts w:ascii="Verdana" w:hAnsi="Verdana"/>
                <w:sz w:val="20"/>
              </w:rPr>
              <w:t>Költség-haszon elemzés</w:t>
            </w:r>
            <w:proofErr w:type="gramEnd"/>
            <w:r>
              <w:rPr>
                <w:rFonts w:ascii="Verdana" w:hAnsi="Verdana"/>
                <w:sz w:val="20"/>
              </w:rPr>
              <w:t xml:space="preserve"> és megvalósíthatósági tanulmányok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MA.O.C26</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Environmental Impact Assessment (EIA) for major and infrastructure projects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Környezeti hatásvizsgálat (KHV) nagy- és infrastrukturális projektek esetében</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MA.O.C27</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Funding gap and revenue generation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Finanszírozási hiány és bevétel termelése</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MA.O.C28</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Major projects procedures / legislation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Nagyprojektekkel kapcsolatos eljárások / jogalkotás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MA.O.C29</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Incentive effect</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Ösztönző hatás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MA.O.C30</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Financial instruments relevant for the function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 funkció szempontjából releváns pénzügyi eszközök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MA.O.C31</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Financial instruments design and implementation mechanisms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Pénzügyi eszközök tervezése és végrehajtási mechanizmusok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MA.O.C32</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Forecasting and planning of performance targets / performance framework</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Teljesítménycélok / teljesítmény-keretrendszer előrejelzése és tervezése</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MA.O.C33</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Risk management related to the major and infrastructure projects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Nagy- és infrastrukturális projektekkel kapcsolatos kockázatkezelés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MA.O.C34</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Management of programme, priority or measure evaluation process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Programok, prioritások vagy intézkedések értékelési folyamatának irányítása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MA.O.C35</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Main evaluation criteria (relevance, complementarity, consistency, efficiency and effectiveness)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Fő értékelési szempontok (relevancia, kiegészítő jelleg, összhang, hatékonyság és eredményesség)</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MA.O.C36</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 xml:space="preserve">Data collection and analysis methods for evaluation </w:t>
            </w:r>
            <w:r w:rsidRPr="00751B8C">
              <w:rPr>
                <w:rFonts w:ascii="Verdana" w:eastAsia="Times New Roman" w:hAnsi="Verdana" w:cs="Times New Roman"/>
                <w:sz w:val="20"/>
                <w:szCs w:val="20"/>
                <w:lang w:val="en-US" w:bidi="he-IL"/>
              </w:rPr>
              <w:lastRenderedPageBreak/>
              <w:t>of programmes, priorities or measures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lastRenderedPageBreak/>
              <w:t xml:space="preserve">Adatgyűjtés és elemzési módszerek programok, prioritások </w:t>
            </w:r>
            <w:r>
              <w:rPr>
                <w:rFonts w:ascii="Verdana" w:hAnsi="Verdana"/>
                <w:sz w:val="20"/>
              </w:rPr>
              <w:lastRenderedPageBreak/>
              <w:t>vagy intézkedések értékeléséhez</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lastRenderedPageBreak/>
              <w:t>MA.O.C37</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Budget planning, management and forecasting</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Költségvetés-tervezés, irányítás és előrejelzés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MA.O.C38</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Expenditure at project level</w:t>
            </w:r>
            <w:r w:rsidRPr="00751B8C">
              <w:rPr>
                <w:rFonts w:ascii="Verdana" w:eastAsia="Times New Roman" w:hAnsi="Verdana" w:cs="Times New Roman"/>
                <w:color w:val="000000"/>
                <w:sz w:val="20"/>
                <w:szCs w:val="20"/>
                <w:lang w:val="en-US" w:bidi="he-IL"/>
              </w:rPr>
              <w:t xml:space="preserve"> (contracts invoices, bank statements)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Projektszintű kiadások (szerződések számlái, bankszámlakivonatok)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MA.O.C39</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Communication provisions</w:t>
            </w:r>
            <w:r w:rsidRPr="00751B8C">
              <w:rPr>
                <w:rFonts w:ascii="Verdana" w:eastAsia="Times New Roman" w:hAnsi="Verdana" w:cs="Times New Roman"/>
                <w:color w:val="000000"/>
                <w:sz w:val="20"/>
                <w:szCs w:val="20"/>
                <w:lang w:val="en-US" w:bidi="he-IL"/>
              </w:rPr>
              <w:t xml:space="preserve"> included in ESIF EU / National legal acts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Az esb-alapokra vonatkozó uniós / nemzeti jogi aktusokban foglalt, a tájékoztatásra vonatkozó rendelkezések</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MA.O.C40</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Identification of different stakeholders and their information needs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Különböző érdekelt felek és információs igényeik azonosítása</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MA.O.C41</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Management of relevant media</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Releváns média kezelése</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MA.O.C42</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Web communication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Internetes kommunikáció</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MA.O.C43</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Knowledge of Engineering relevant for the sector</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Ágazatilag releváns mérnöki tudás</w:t>
            </w:r>
          </w:p>
        </w:tc>
      </w:tr>
      <w:tr w:rsidR="0059089E" w:rsidRPr="00751B8C" w:rsidTr="0059089E">
        <w:trPr>
          <w:trHeight w:val="20"/>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59089E" w:rsidRPr="00751B8C" w:rsidRDefault="0059089E" w:rsidP="00231B6E">
            <w:pPr>
              <w:spacing w:after="0" w:line="240" w:lineRule="auto"/>
              <w:rPr>
                <w:rFonts w:ascii="Verdana" w:eastAsia="Times New Roman" w:hAnsi="Verdana" w:cs="Times New Roman"/>
                <w:sz w:val="20"/>
                <w:szCs w:val="20"/>
              </w:rPr>
            </w:pPr>
            <w:r>
              <w:rPr>
                <w:rFonts w:ascii="Verdana" w:hAnsi="Verdana"/>
                <w:sz w:val="20"/>
              </w:rPr>
              <w:t>MA.O.C44</w:t>
            </w:r>
          </w:p>
        </w:tc>
        <w:tc>
          <w:tcPr>
            <w:tcW w:w="5634"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lang w:val="en-US" w:bidi="he-IL"/>
              </w:rPr>
            </w:pPr>
            <w:r w:rsidRPr="00751B8C">
              <w:rPr>
                <w:rFonts w:ascii="Verdana" w:eastAsia="Times New Roman" w:hAnsi="Verdana" w:cs="Times New Roman"/>
                <w:sz w:val="20"/>
                <w:szCs w:val="20"/>
                <w:lang w:val="en-US" w:bidi="he-IL"/>
              </w:rPr>
              <w:t>Audit standards, procedures and methodologies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59089E" w:rsidRPr="00751B8C" w:rsidRDefault="0059089E" w:rsidP="0059089E">
            <w:pPr>
              <w:spacing w:after="0" w:line="240" w:lineRule="auto"/>
              <w:rPr>
                <w:rFonts w:ascii="Verdana" w:eastAsia="Times New Roman" w:hAnsi="Verdana" w:cs="Times New Roman"/>
                <w:sz w:val="20"/>
                <w:szCs w:val="20"/>
              </w:rPr>
            </w:pPr>
            <w:r>
              <w:rPr>
                <w:rFonts w:ascii="Verdana" w:hAnsi="Verdana"/>
                <w:sz w:val="20"/>
              </w:rPr>
              <w:t>Ellenőrzési standardok, folyamatok és módszertanok</w:t>
            </w:r>
          </w:p>
        </w:tc>
      </w:tr>
    </w:tbl>
    <w:p w:rsidR="00751B8C" w:rsidRDefault="00751B8C" w:rsidP="004D1BB8">
      <w:pPr>
        <w:pStyle w:val="Heading1"/>
        <w:sectPr w:rsidR="00751B8C" w:rsidSect="00CD1306">
          <w:pgSz w:w="15840" w:h="12240" w:orient="landscape"/>
          <w:pgMar w:top="1440" w:right="1440" w:bottom="1440" w:left="1440" w:header="720" w:footer="720" w:gutter="0"/>
          <w:cols w:space="720"/>
          <w:docGrid w:linePitch="360"/>
        </w:sectPr>
      </w:pPr>
      <w:bookmarkStart w:id="10" w:name="_Toc494906122"/>
    </w:p>
    <w:p w:rsidR="000E47BD" w:rsidRPr="003870A6" w:rsidRDefault="000E47BD" w:rsidP="004D1BB8">
      <w:pPr>
        <w:pStyle w:val="Heading1"/>
      </w:pPr>
      <w:bookmarkStart w:id="11" w:name="_Toc508881321"/>
      <w:r>
        <w:lastRenderedPageBreak/>
        <w:t>Vezetői kompetenciák</w:t>
      </w:r>
      <w:bookmarkEnd w:id="10"/>
      <w:bookmarkEnd w:id="1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5405"/>
        <w:gridCol w:w="1813"/>
        <w:gridCol w:w="2851"/>
      </w:tblGrid>
      <w:tr w:rsidR="006931AA" w:rsidRPr="00751B8C" w:rsidTr="000A1ECD">
        <w:trPr>
          <w:trHeight w:val="485"/>
          <w:tblHeader/>
        </w:trPr>
        <w:tc>
          <w:tcPr>
            <w:tcW w:w="386" w:type="pct"/>
            <w:shd w:val="clear" w:color="auto" w:fill="1F3864" w:themeFill="accent5" w:themeFillShade="80"/>
          </w:tcPr>
          <w:p w:rsidR="006931AA" w:rsidRPr="00751B8C" w:rsidRDefault="006931AA" w:rsidP="006931AA">
            <w:pPr>
              <w:spacing w:after="0" w:line="240" w:lineRule="auto"/>
              <w:rPr>
                <w:rFonts w:ascii="Verdana" w:eastAsia="Times New Roman" w:hAnsi="Verdana" w:cs="Times New Roman"/>
                <w:b/>
                <w:bCs/>
                <w:color w:val="FFFFFF" w:themeColor="background1"/>
                <w:sz w:val="20"/>
                <w:szCs w:val="20"/>
              </w:rPr>
            </w:pPr>
          </w:p>
        </w:tc>
        <w:tc>
          <w:tcPr>
            <w:tcW w:w="2844" w:type="pct"/>
            <w:gridSpan w:val="2"/>
            <w:shd w:val="clear" w:color="auto" w:fill="1F3864" w:themeFill="accent5" w:themeFillShade="80"/>
            <w:noWrap/>
            <w:vAlign w:val="center"/>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1770" w:type="pct"/>
            <w:gridSpan w:val="2"/>
            <w:shd w:val="clear" w:color="auto" w:fill="1F3864" w:themeFill="accent5" w:themeFillShade="80"/>
            <w:vAlign w:val="center"/>
          </w:tcPr>
          <w:p w:rsidR="006931AA" w:rsidRPr="00751B8C" w:rsidRDefault="0059089E"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420285" w:rsidRPr="00751B8C" w:rsidTr="001914DC">
        <w:trPr>
          <w:trHeight w:val="255"/>
          <w:tblHeader/>
        </w:trPr>
        <w:tc>
          <w:tcPr>
            <w:tcW w:w="386" w:type="pct"/>
            <w:shd w:val="clear" w:color="auto" w:fill="EDEDED" w:themeFill="accent3" w:themeFillTint="33"/>
          </w:tcPr>
          <w:p w:rsidR="00420285" w:rsidRPr="00751B8C" w:rsidRDefault="00420285" w:rsidP="00AD2B31">
            <w:pPr>
              <w:spacing w:after="0" w:line="240" w:lineRule="auto"/>
              <w:rPr>
                <w:rFonts w:ascii="Verdana" w:eastAsia="Times New Roman" w:hAnsi="Verdana" w:cstheme="minorHAnsi"/>
                <w:b/>
                <w:bCs/>
                <w:sz w:val="20"/>
                <w:szCs w:val="20"/>
              </w:rPr>
            </w:pPr>
            <w:r>
              <w:rPr>
                <w:rFonts w:ascii="Verdana" w:hAnsi="Verdana" w:cstheme="minorHAnsi"/>
                <w:b/>
                <w:sz w:val="20"/>
              </w:rPr>
              <w:t>Kód</w:t>
            </w:r>
          </w:p>
        </w:tc>
        <w:tc>
          <w:tcPr>
            <w:tcW w:w="793" w:type="pct"/>
            <w:shd w:val="clear" w:color="auto" w:fill="EDEDED" w:themeFill="accent3" w:themeFillTint="33"/>
            <w:noWrap/>
            <w:vAlign w:val="center"/>
          </w:tcPr>
          <w:p w:rsidR="00420285" w:rsidRPr="00751B8C" w:rsidRDefault="00420285" w:rsidP="00797CB6">
            <w:pPr>
              <w:spacing w:after="0" w:line="240" w:lineRule="auto"/>
              <w:jc w:val="center"/>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Competency</w:t>
            </w:r>
          </w:p>
        </w:tc>
        <w:tc>
          <w:tcPr>
            <w:tcW w:w="2051" w:type="pct"/>
            <w:shd w:val="clear" w:color="auto" w:fill="EDEDED" w:themeFill="accent3" w:themeFillTint="33"/>
            <w:noWrap/>
            <w:vAlign w:val="center"/>
          </w:tcPr>
          <w:p w:rsidR="00420285" w:rsidRPr="00751B8C" w:rsidRDefault="00420285" w:rsidP="00797CB6">
            <w:pPr>
              <w:spacing w:after="0" w:line="240" w:lineRule="auto"/>
              <w:jc w:val="center"/>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Description</w:t>
            </w:r>
          </w:p>
        </w:tc>
        <w:tc>
          <w:tcPr>
            <w:tcW w:w="688" w:type="pct"/>
            <w:shd w:val="clear" w:color="auto" w:fill="EDEDED" w:themeFill="accent3" w:themeFillTint="33"/>
            <w:vAlign w:val="center"/>
          </w:tcPr>
          <w:p w:rsidR="00420285" w:rsidRPr="00751B8C" w:rsidRDefault="00420285" w:rsidP="00797CB6">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Kompetencia</w:t>
            </w:r>
          </w:p>
        </w:tc>
        <w:tc>
          <w:tcPr>
            <w:tcW w:w="1082" w:type="pct"/>
            <w:shd w:val="clear" w:color="auto" w:fill="EDEDED" w:themeFill="accent3" w:themeFillTint="33"/>
            <w:vAlign w:val="center"/>
          </w:tcPr>
          <w:p w:rsidR="00420285" w:rsidRPr="00751B8C" w:rsidRDefault="00420285" w:rsidP="00797CB6">
            <w:pPr>
              <w:spacing w:after="0" w:line="240" w:lineRule="auto"/>
              <w:jc w:val="center"/>
              <w:rPr>
                <w:rFonts w:ascii="Verdana" w:eastAsia="Times New Roman" w:hAnsi="Verdana" w:cstheme="minorHAnsi"/>
                <w:b/>
                <w:bCs/>
                <w:sz w:val="20"/>
                <w:szCs w:val="20"/>
              </w:rPr>
            </w:pPr>
            <w:r>
              <w:rPr>
                <w:rFonts w:ascii="Verdana" w:hAnsi="Verdana" w:cstheme="minorHAnsi"/>
                <w:b/>
                <w:sz w:val="20"/>
              </w:rPr>
              <w:t>Leírás</w:t>
            </w:r>
          </w:p>
        </w:tc>
      </w:tr>
      <w:tr w:rsidR="00420285" w:rsidRPr="00751B8C" w:rsidTr="00420285">
        <w:trPr>
          <w:trHeight w:val="130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M.C1</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Developing others and people management</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maximise the efficiency of human resources.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Mások fejlesztése és munkatárs-menedzsment</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 xml:space="preserve">Azon képesség bizonyítása, hogy képes pontos, világos és specifikus iránymutatást, visszajelzést és támogatást nyújtani másoknak a fejlődési és képzési szükségletek és lehetőségek azonosításakor, mások azon tudását, készségeit és képességeit, amelyek szükségesek a kiosztott feladatok elvégzéséhez vagy problémák megoldásához, fejleszteni, továbbá azon képesség bizonyítása, hogy képes az alkalmazottak munkatevékenységeit, fejlődésüket és teljesítményüket menedzselni olyan módon, hogy </w:t>
            </w:r>
            <w:proofErr w:type="gramStart"/>
            <w:r>
              <w:rPr>
                <w:rFonts w:ascii="Verdana" w:hAnsi="Verdana" w:cstheme="minorHAnsi"/>
                <w:sz w:val="20"/>
              </w:rPr>
              <w:t>ezáltal</w:t>
            </w:r>
            <w:proofErr w:type="gramEnd"/>
            <w:r>
              <w:rPr>
                <w:rFonts w:ascii="Verdana" w:hAnsi="Verdana" w:cstheme="minorHAnsi"/>
                <w:sz w:val="20"/>
              </w:rPr>
              <w:t xml:space="preserve"> maximalizálja az emberi erőforrások hatékonyságát.</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lastRenderedPageBreak/>
              <w:t>M.C2</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Decision making</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Döntéshozatal</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hatékony megközelítéseket tud alkalmazni végkövetkeztetések levonásakor vagy megoldások kifejlesztésekor, és időben alkalmaz olyan intézkedéseket, amelyek összhangban állnak a rendelkezésre álló, különböző forrásokból származó adatokkal és tényekkel, a korlátokkal és a potenciális következményekkel.</w:t>
            </w:r>
          </w:p>
        </w:tc>
      </w:tr>
      <w:tr w:rsidR="00420285" w:rsidRPr="00751B8C" w:rsidTr="00420285">
        <w:trPr>
          <w:trHeight w:val="1020"/>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M.C3</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Delegation</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allocate decision-making and/or task responsibility to others, to ensure clear communication about the allocation and completion of responsibilities, and to provide appropriate support in a manner to maximise the organisational and individuals effectiveness.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Feladatátruházás</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át tudja ruházni másokra a döntéshozatalt és/vagy a felelősséget, világos kommunikációt biztosítva a feladatok kiosztásáról és elvégzéséről, és megfelelő támogatást tud nyújtani olyan módon, hogy maximalizálja a szervezeti és egyéni hatékonyságot.</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lastRenderedPageBreak/>
              <w:t>M.C4</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Facilitation and communication</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evoke engagement and creativity from others, use group capabilities to lead the group to consensus, effectively solve issues, accomplish tasks and mutual goals.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Ösztönzés és kommunikáció</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másokat aktív részvételre és kreativitásra tud ösztönözni, a csoport képességeit ki tudja használni a konszenzus megteremtésének érdekében, eredményesen tud problémákat megoldani, feladatokat elvégezni és közös célokat megvalósítani.</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M.C5</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Leadership</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energize and inspire individuals to strive towards the vision of the future, present clearly goals and objectives, create a sense of direction and purpose for employees and act as a catalyst for action.</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bookmarkStart w:id="12" w:name="RANGE!B8"/>
            <w:r>
              <w:rPr>
                <w:rFonts w:ascii="Verdana" w:hAnsi="Verdana" w:cstheme="minorHAnsi"/>
                <w:sz w:val="20"/>
              </w:rPr>
              <w:t>Vezetés</w:t>
            </w:r>
            <w:bookmarkEnd w:id="12"/>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másokat ösztönözni és inspirálni tud a jövőbeli célkitűzések felé való törekvésre, célokat és célkitűzéseket tisztán tud bemutatni, meg tudja teremteni egy követendő irányvonal és cél tudatát az alkalmazottakban, és a cselekvés katalizátoraként tud fellépni.</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M.C6</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Multi-level stakeholder management</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 xml:space="preserve">Demonstrating ability to understand the goals and objectives of various stakeholders, ensure efficient cooperation and stakeholders engagement (incl. being open and stimulating exchange of good </w:t>
            </w:r>
            <w:r w:rsidRPr="00751B8C">
              <w:rPr>
                <w:rFonts w:ascii="Verdana" w:hAnsi="Verdana" w:cstheme="minorHAnsi"/>
                <w:sz w:val="20"/>
                <w:szCs w:val="20"/>
              </w:rPr>
              <w:lastRenderedPageBreak/>
              <w:t xml:space="preserve">practices between different Member States).  </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lastRenderedPageBreak/>
              <w:t>Az érdekelt felek többszintű kezelése</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 xml:space="preserve">Azon képesség bizonyítása, hogy megérti a különféle érdekelt felek céljait és célkitűzéseit, </w:t>
            </w:r>
            <w:r>
              <w:rPr>
                <w:rFonts w:ascii="Verdana" w:hAnsi="Verdana" w:cstheme="minorHAnsi"/>
                <w:sz w:val="20"/>
              </w:rPr>
              <w:lastRenderedPageBreak/>
              <w:t xml:space="preserve">biztosítja a hatékony együttműködést és az érdekelt felek részvételét (beleértve a nyitottságot és a bevált gyakorlatok különböző tagállamok közötti cseréjének ösztönzését).  </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lastRenderedPageBreak/>
              <w:t>M.C7</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Negotiating</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effectively explore (facilitating discussion, asking questions, responding to objections, etc.) alternatives and positions of others to reach outcomes that are accepted by all parties (a win-win solution).</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Tárgyalás</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eredményesen meg tudja vizsgálni (párbeszéd előmozdítása, kérdezés, ellenvetésekre való reagálás stb.) a különböző lehetőségeket és mások álláspontjait olyan eredmények elérése érdekében, amelyeket mindegyik fél elfogad („win-win” megoldás).</w:t>
            </w:r>
          </w:p>
        </w:tc>
      </w:tr>
      <w:tr w:rsidR="00420285" w:rsidRPr="00751B8C" w:rsidTr="00420285">
        <w:trPr>
          <w:trHeight w:val="510"/>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M.C8</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Result orientation</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set challenging goals, maintain focus and persistence and constantly achieve goals or deliver required results even in the case of adversity.</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Eredményorientáltság</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 xml:space="preserve">Azon képesség bizonyítása, hogy kihívást jelentő célokat tud felállítani, miközben megőrzi összpontosítottságát és kitartását, és folyamatosan megvalósítja a célokat, vagy eléri a kívánt </w:t>
            </w:r>
            <w:r>
              <w:rPr>
                <w:rFonts w:ascii="Verdana" w:hAnsi="Verdana" w:cstheme="minorHAnsi"/>
                <w:sz w:val="20"/>
              </w:rPr>
              <w:lastRenderedPageBreak/>
              <w:t>eredményeket még nehézségek ellenére is.</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lastRenderedPageBreak/>
              <w:t>M.C9</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Strategic management</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make decisions and take actions that lead to development and implementation of strategies aligned with the strategic direction of the organisation and achievement of objectives.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Stratégiai irányítás</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olyan döntéseket hoz és intézkedéseket tesz, amelyek a szervezet stratégiai irányához és célkitűzéseinek megvalósításához igazodó stratégiák kifejlesztéséhez és végrehajtásához vezetnek.</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M.C10</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Risk management</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identify, analyse, assess and prioritize risks and to minimize, monitor, and control the probability and/or impact of unfortunate events or to maximize the realization of opportunities.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Kockázatkezelés</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 xml:space="preserve">Azon képesség bizonyítása, hogy azonosítja, elemzi, </w:t>
            </w:r>
            <w:proofErr w:type="gramStart"/>
            <w:r>
              <w:rPr>
                <w:rFonts w:ascii="Verdana" w:hAnsi="Verdana" w:cstheme="minorHAnsi"/>
                <w:sz w:val="20"/>
              </w:rPr>
              <w:t>értékeli</w:t>
            </w:r>
            <w:proofErr w:type="gramEnd"/>
            <w:r>
              <w:rPr>
                <w:rFonts w:ascii="Verdana" w:hAnsi="Verdana" w:cstheme="minorHAnsi"/>
                <w:sz w:val="20"/>
              </w:rPr>
              <w:t xml:space="preserve"> és fontossági sorrendbe állítja a kockázatokat, és minimalizálja, ellenőrzi és irányítja a kedvezőtlen események valószínűségét és/vagy hatását, vagy maximalizálja a lehetőségek kihasználását.</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t>M.C11</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Planning of resources</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 xml:space="preserve">Demonstrating ability to manage organization's resources including but not limited to financial resources, inventory, human skills, production resources, information technology (IT) in an </w:t>
            </w:r>
            <w:r w:rsidRPr="00751B8C">
              <w:rPr>
                <w:rFonts w:ascii="Verdana" w:hAnsi="Verdana" w:cstheme="minorHAnsi"/>
                <w:sz w:val="20"/>
                <w:szCs w:val="20"/>
              </w:rPr>
              <w:lastRenderedPageBreak/>
              <w:t>efficient and effective way.</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lastRenderedPageBreak/>
              <w:t>Erőforrás-tervezés</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 xml:space="preserve">Azon képesség bizonyítása, hogy hatékonyan és eredményesen kezeli a </w:t>
            </w:r>
            <w:r>
              <w:rPr>
                <w:rFonts w:ascii="Verdana" w:hAnsi="Verdana" w:cstheme="minorHAnsi"/>
                <w:sz w:val="20"/>
              </w:rPr>
              <w:lastRenderedPageBreak/>
              <w:t>szervezet erőforrásait, beleértve, de nem kizárólag, a pénzügyi forrásokat, készleteket, emberi készségeket, termelési erőforrásokat, információs technológiát (IT).</w:t>
            </w:r>
          </w:p>
        </w:tc>
      </w:tr>
      <w:tr w:rsidR="00420285" w:rsidRPr="00751B8C" w:rsidTr="00420285">
        <w:trPr>
          <w:trHeight w:val="765"/>
        </w:trPr>
        <w:tc>
          <w:tcPr>
            <w:tcW w:w="386" w:type="pct"/>
            <w:shd w:val="clear" w:color="000000" w:fill="FFFFFF"/>
            <w:vAlign w:val="center"/>
          </w:tcPr>
          <w:p w:rsidR="00420285" w:rsidRPr="00751B8C" w:rsidRDefault="00420285" w:rsidP="00B579F3">
            <w:pPr>
              <w:spacing w:after="0"/>
              <w:rPr>
                <w:rFonts w:ascii="Verdana" w:hAnsi="Verdana" w:cstheme="minorHAnsi"/>
                <w:sz w:val="20"/>
                <w:szCs w:val="20"/>
              </w:rPr>
            </w:pPr>
            <w:r>
              <w:rPr>
                <w:rFonts w:ascii="Verdana" w:hAnsi="Verdana" w:cstheme="minorHAnsi"/>
                <w:sz w:val="20"/>
              </w:rPr>
              <w:lastRenderedPageBreak/>
              <w:t>M.C12</w:t>
            </w:r>
          </w:p>
        </w:tc>
        <w:tc>
          <w:tcPr>
            <w:tcW w:w="793"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HR Strategy development and implementation</w:t>
            </w:r>
          </w:p>
        </w:tc>
        <w:tc>
          <w:tcPr>
            <w:tcW w:w="2051" w:type="pct"/>
            <w:shd w:val="clear" w:color="000000" w:fill="FFFFFF"/>
            <w:vAlign w:val="center"/>
          </w:tcPr>
          <w:p w:rsidR="00420285" w:rsidRPr="00751B8C" w:rsidRDefault="00420285" w:rsidP="00797CB6">
            <w:pPr>
              <w:spacing w:after="0"/>
              <w:rPr>
                <w:rFonts w:ascii="Verdana" w:hAnsi="Verdana" w:cstheme="minorHAnsi"/>
                <w:sz w:val="20"/>
                <w:szCs w:val="20"/>
              </w:rPr>
            </w:pPr>
            <w:r w:rsidRPr="00751B8C">
              <w:rPr>
                <w:rFonts w:ascii="Verdana" w:hAnsi="Verdana" w:cstheme="minorHAnsi"/>
                <w:sz w:val="20"/>
                <w:szCs w:val="20"/>
              </w:rPr>
              <w:t>Demonstrating ability to make decisions and take actions that lead to development and implementation of HR strategies aligned with the strategic direction of the organisation and achievement of objectives.</w:t>
            </w:r>
          </w:p>
        </w:tc>
        <w:tc>
          <w:tcPr>
            <w:tcW w:w="688"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Emberierőforrás-stratégia kidolgozása és végrehajtása</w:t>
            </w:r>
          </w:p>
        </w:tc>
        <w:tc>
          <w:tcPr>
            <w:tcW w:w="1082" w:type="pct"/>
            <w:shd w:val="clear" w:color="000000" w:fill="FFFFFF"/>
            <w:vAlign w:val="center"/>
          </w:tcPr>
          <w:p w:rsidR="00420285" w:rsidRPr="00751B8C" w:rsidRDefault="00420285" w:rsidP="00797CB6">
            <w:pPr>
              <w:spacing w:after="0"/>
              <w:rPr>
                <w:rFonts w:ascii="Verdana" w:hAnsi="Verdana" w:cstheme="minorHAnsi"/>
                <w:sz w:val="20"/>
                <w:szCs w:val="20"/>
              </w:rPr>
            </w:pPr>
            <w:r>
              <w:rPr>
                <w:rFonts w:ascii="Verdana" w:hAnsi="Verdana" w:cstheme="minorHAnsi"/>
                <w:sz w:val="20"/>
              </w:rPr>
              <w:t>Azon képesség bizonyítása, hogy olyan döntéseket hoz és intézkedéseket tesz, amelyek a szervezet stratégiai irányához és célkitűzéseinek megvalósításához igazodó emberierőforrás-stratégiák kifejlesztéséhez és végrehajtásához vezetnek.</w:t>
            </w:r>
          </w:p>
        </w:tc>
      </w:tr>
    </w:tbl>
    <w:p w:rsidR="000E47BD" w:rsidRPr="003870A6" w:rsidRDefault="000E47BD" w:rsidP="000E47BD">
      <w:pPr>
        <w:spacing w:after="0"/>
        <w:rPr>
          <w:rFonts w:ascii="Verdana" w:hAnsi="Verdana" w:cstheme="minorHAnsi"/>
          <w:sz w:val="18"/>
          <w:szCs w:val="20"/>
        </w:rPr>
      </w:pPr>
    </w:p>
    <w:p w:rsidR="00306B4F" w:rsidRPr="003870A6" w:rsidRDefault="00306B4F" w:rsidP="004D1BB8">
      <w:pPr>
        <w:pStyle w:val="Heading1"/>
        <w:sectPr w:rsidR="00306B4F" w:rsidRPr="003870A6" w:rsidSect="00CD1306">
          <w:pgSz w:w="15840" w:h="12240" w:orient="landscape"/>
          <w:pgMar w:top="1440" w:right="1440" w:bottom="1440" w:left="1440" w:header="720" w:footer="720" w:gutter="0"/>
          <w:cols w:space="720"/>
          <w:docGrid w:linePitch="360"/>
        </w:sectPr>
      </w:pPr>
    </w:p>
    <w:p w:rsidR="000E47BD" w:rsidRPr="003870A6" w:rsidRDefault="000E47BD" w:rsidP="004D1BB8">
      <w:pPr>
        <w:pStyle w:val="Heading1"/>
      </w:pPr>
      <w:bookmarkStart w:id="13" w:name="_Toc494906123"/>
      <w:bookmarkStart w:id="14" w:name="_Toc508881322"/>
      <w:r>
        <w:lastRenderedPageBreak/>
        <w:t>Szakmai kompetenciák</w:t>
      </w:r>
      <w:bookmarkEnd w:id="13"/>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4"/>
        <w:gridCol w:w="1913"/>
        <w:gridCol w:w="5405"/>
        <w:gridCol w:w="2005"/>
        <w:gridCol w:w="2659"/>
      </w:tblGrid>
      <w:tr w:rsidR="006931AA" w:rsidRPr="00751B8C" w:rsidTr="006931AA">
        <w:trPr>
          <w:trHeight w:val="377"/>
          <w:tblHeader/>
        </w:trPr>
        <w:tc>
          <w:tcPr>
            <w:tcW w:w="453" w:type="pct"/>
            <w:shd w:val="clear" w:color="auto" w:fill="1F3864" w:themeFill="accent5" w:themeFillShade="80"/>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20"/>
              </w:rPr>
            </w:pPr>
          </w:p>
        </w:tc>
        <w:tc>
          <w:tcPr>
            <w:tcW w:w="2777" w:type="pct"/>
            <w:gridSpan w:val="2"/>
            <w:shd w:val="clear" w:color="auto" w:fill="1F3864" w:themeFill="accent5" w:themeFillShade="80"/>
            <w:noWrap/>
            <w:vAlign w:val="center"/>
          </w:tcPr>
          <w:p w:rsidR="006931AA" w:rsidRPr="00751B8C"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1770" w:type="pct"/>
            <w:gridSpan w:val="2"/>
            <w:shd w:val="clear" w:color="auto" w:fill="1F3864" w:themeFill="accent5" w:themeFillShade="80"/>
            <w:vAlign w:val="center"/>
          </w:tcPr>
          <w:p w:rsidR="006931AA" w:rsidRPr="00751B8C" w:rsidRDefault="00F46179"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F46179" w:rsidRPr="00751B8C" w:rsidTr="003C6E61">
        <w:trPr>
          <w:trHeight w:val="219"/>
          <w:tblHeader/>
        </w:trPr>
        <w:tc>
          <w:tcPr>
            <w:tcW w:w="453" w:type="pct"/>
            <w:shd w:val="clear" w:color="auto" w:fill="EDEDED" w:themeFill="accent3" w:themeFillTint="33"/>
            <w:vAlign w:val="center"/>
          </w:tcPr>
          <w:p w:rsidR="00F46179" w:rsidRPr="00751B8C" w:rsidRDefault="00F46179"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Kód</w:t>
            </w:r>
          </w:p>
        </w:tc>
        <w:tc>
          <w:tcPr>
            <w:tcW w:w="726" w:type="pct"/>
            <w:shd w:val="clear" w:color="auto" w:fill="EDEDED" w:themeFill="accent3" w:themeFillTint="33"/>
            <w:noWrap/>
            <w:vAlign w:val="center"/>
          </w:tcPr>
          <w:p w:rsidR="00F46179" w:rsidRPr="00751B8C" w:rsidRDefault="00F46179" w:rsidP="00797CB6">
            <w:pPr>
              <w:spacing w:after="0" w:line="240" w:lineRule="auto"/>
              <w:jc w:val="center"/>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Competency</w:t>
            </w:r>
          </w:p>
        </w:tc>
        <w:tc>
          <w:tcPr>
            <w:tcW w:w="2051" w:type="pct"/>
            <w:shd w:val="clear" w:color="auto" w:fill="EDEDED" w:themeFill="accent3" w:themeFillTint="33"/>
            <w:noWrap/>
            <w:vAlign w:val="center"/>
          </w:tcPr>
          <w:p w:rsidR="00F46179" w:rsidRPr="00751B8C" w:rsidRDefault="00F46179" w:rsidP="00797CB6">
            <w:pPr>
              <w:spacing w:after="0" w:line="240" w:lineRule="auto"/>
              <w:jc w:val="center"/>
              <w:rPr>
                <w:rFonts w:ascii="Verdana" w:eastAsia="Times New Roman" w:hAnsi="Verdana" w:cstheme="minorHAnsi"/>
                <w:b/>
                <w:bCs/>
                <w:sz w:val="20"/>
                <w:szCs w:val="20"/>
                <w:lang w:val="en-US"/>
              </w:rPr>
            </w:pPr>
            <w:r w:rsidRPr="00751B8C">
              <w:rPr>
                <w:rFonts w:ascii="Verdana" w:eastAsia="Times New Roman" w:hAnsi="Verdana" w:cstheme="minorHAnsi"/>
                <w:b/>
                <w:bCs/>
                <w:sz w:val="20"/>
                <w:szCs w:val="20"/>
                <w:lang w:val="en-US"/>
              </w:rPr>
              <w:t>Description</w:t>
            </w:r>
          </w:p>
        </w:tc>
        <w:tc>
          <w:tcPr>
            <w:tcW w:w="761" w:type="pct"/>
            <w:shd w:val="clear" w:color="auto" w:fill="EDEDED" w:themeFill="accent3" w:themeFillTint="33"/>
            <w:vAlign w:val="center"/>
          </w:tcPr>
          <w:p w:rsidR="00F46179" w:rsidRPr="00751B8C" w:rsidRDefault="00F46179" w:rsidP="00797CB6">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Kompetencia</w:t>
            </w:r>
          </w:p>
        </w:tc>
        <w:tc>
          <w:tcPr>
            <w:tcW w:w="1009" w:type="pct"/>
            <w:shd w:val="clear" w:color="auto" w:fill="EDEDED" w:themeFill="accent3" w:themeFillTint="33"/>
            <w:vAlign w:val="center"/>
          </w:tcPr>
          <w:p w:rsidR="00F46179" w:rsidRPr="00751B8C" w:rsidRDefault="00F46179" w:rsidP="00797CB6">
            <w:pPr>
              <w:spacing w:after="0" w:line="240" w:lineRule="auto"/>
              <w:jc w:val="center"/>
              <w:rPr>
                <w:rFonts w:ascii="Verdana" w:eastAsia="Times New Roman" w:hAnsi="Verdana" w:cstheme="minorHAnsi"/>
                <w:b/>
                <w:bCs/>
                <w:sz w:val="20"/>
                <w:szCs w:val="20"/>
              </w:rPr>
            </w:pPr>
            <w:r>
              <w:rPr>
                <w:rFonts w:ascii="Verdana" w:hAnsi="Verdana" w:cstheme="minorHAnsi"/>
                <w:b/>
                <w:sz w:val="20"/>
              </w:rPr>
              <w:t>Leírás</w:t>
            </w:r>
          </w:p>
        </w:tc>
      </w:tr>
      <w:tr w:rsidR="00F46179" w:rsidRPr="00751B8C" w:rsidTr="00390240">
        <w:trPr>
          <w:trHeight w:val="421"/>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P.C1</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Analytical skills</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Building a logical approach to address complex problems or opportunities by splitting them into constituent parts to identify underlying issues, determine cause and effect relationships and arrive at conclusions or decisions.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Elemző készségek</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Egy logikus megközelítés felépítése összetett problémák vagy lehetőségek kezelésére, azok alkotóelemeikre való bontása révén, a mögöttes kérdések azonosítása, ok-okozati kapcsolatok meghatározása és következtetések levonása vagy döntések meghozatala érdekében.</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P.C2</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Communicating in writing</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Írásbeli kommunikáció</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 xml:space="preserve">Azon képesség bizonyítása, hogy információt és ötleteket tud világos és meggyőző formában, írásban bemutatni, kiválasztva az írásos kommunikációnak a közönség megszólításához megfelelő formáját és stílusát, miközben helyesen ír, és használja a nyelvtani eszközöket és írásjeleket, továbbá </w:t>
            </w:r>
            <w:r>
              <w:rPr>
                <w:rFonts w:ascii="Verdana" w:hAnsi="Verdana" w:cstheme="minorHAnsi"/>
                <w:sz w:val="20"/>
              </w:rPr>
              <w:lastRenderedPageBreak/>
              <w:t>azon képesség bizonyítása, hogy képes kultúrákon átívelően kommunikálni.</w:t>
            </w:r>
          </w:p>
        </w:tc>
      </w:tr>
      <w:tr w:rsidR="00F46179" w:rsidRPr="00751B8C" w:rsidTr="00390240">
        <w:trPr>
          <w:trHeight w:val="878"/>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lastRenderedPageBreak/>
              <w:t>P.C3</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Communicating verbally</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clearly express thoughts and ideas to individuals or groups using speech in a way that engages the audience, encourages two-way communication and helps them understand and retain the message, as well as demonstrating ability to communicate across cultures.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Szóbeli kommunikáció</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gondolatokat és ötleteket világosan tud egyének vagy csoportok felé kommunikálni a beszédet olyan módon használva, amely aktivizálja a hallgatóságot, kétirányú kommunikációra bátorít, és segíti a hallgatóságot az üzenet megértésében és megőrzésében, továbbá azon képesség bizonyítása, hogy képes kultúrákon átívelően kommunikálni.</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P.C4</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Conflict handling</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deal effectively with others in an antagonistic situation by recognising different opinions, bringing them for open discussion and using appropriate interpersonal styles and techniques in order to find a win-win solution in a conflict between two or more people.</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Konfliktuskezelés</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 xml:space="preserve">Azon képesség bizonyítása, hogy eredményesen kezel másokat ellentmondásos helyzetekben azáltal, hogy felismeri a különböző véleményeket, ezeket </w:t>
            </w:r>
            <w:r>
              <w:rPr>
                <w:rFonts w:ascii="Verdana" w:hAnsi="Verdana" w:cstheme="minorHAnsi"/>
                <w:sz w:val="20"/>
              </w:rPr>
              <w:lastRenderedPageBreak/>
              <w:t>nyílt párbeszédre bocsátja, és megfelelő interperszonális stílusokat és technikákat alkalmaz a célból, hogy win-win megoldást találjon két vagy több személy között fennálló konfliktus esetén.</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lastRenderedPageBreak/>
              <w:t>P.C5</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Flexibility and adaptability to change </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 xml:space="preserve">Demonstrating ability to adjust and retain effectiveness when experiencing major changes in work tasks, work environment, organisational structure and culture, processes, requirements, and other work related aspects. </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Rugalmasság és a változásokhoz való alkalmazkodás </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 xml:space="preserve">Azon képesség bizonyítása, hogy a munkafeladatokban, munkakörnyezetben, szervezeti struktúrában és kultúrában, folyamatokban, követelményekben vagy egyéb, munkával kapcsolatos szempontokban beálló jelentős változások esetén is alkalmazkodik, és megőrzi a hatékonyságot. </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P.C6</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Problem solving</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identify problems by using logic, intuition, data, conducting appropriate analyses, searches and involving others (if needed) in order to arrive at solutions or decisions.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Problémamegoldás</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 xml:space="preserve">Azon képesség bizonyítása, hogy logika, intuíció, adatok, megfelelő elemzések elvégzése, kutatások és (szükség esetén) mások bevonása révén </w:t>
            </w:r>
            <w:r>
              <w:rPr>
                <w:rFonts w:ascii="Verdana" w:hAnsi="Verdana" w:cstheme="minorHAnsi"/>
                <w:sz w:val="20"/>
              </w:rPr>
              <w:lastRenderedPageBreak/>
              <w:t>azonosítja a problémákat annak érdekében, hogy megoldásokra vagy döntésekre jusson.</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lastRenderedPageBreak/>
              <w:t>P.C7</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Team work</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work cooperatively and collaboratively with other colleagues from different structural units and ranks in order to accomplish collective goals.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Csapatmunka</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közös célok megvalósítása érdekében együttműködve és segítőkészen tud más munkatársakkal dolgozni, akik különböző szervezeti egységekből és beosztásból érkeznek.</w:t>
            </w:r>
          </w:p>
        </w:tc>
      </w:tr>
      <w:tr w:rsidR="00F46179" w:rsidRPr="00751B8C" w:rsidTr="00390240">
        <w:trPr>
          <w:trHeight w:val="43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P.C8</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Technological ability</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use appropriate personal computer software, information systems and other IT tools (e.g. Microsoft Office programs) that are required to accomplish work goals.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Technológiai képesség</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használni tudja azokat a megfelelő személyi számítógépes szoftvereket, információs rendszereket és egyéb IT eszközöket (pl. Microsoft Office programok), amelyek szükségesek munkahelyi céljainak eléréséhez.</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P.C9</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 xml:space="preserve">Usage of monitoring and </w:t>
            </w:r>
            <w:r w:rsidRPr="00751B8C">
              <w:rPr>
                <w:rFonts w:ascii="Verdana" w:hAnsi="Verdana" w:cstheme="minorHAnsi"/>
                <w:sz w:val="20"/>
                <w:szCs w:val="20"/>
              </w:rPr>
              <w:lastRenderedPageBreak/>
              <w:t>information system</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lastRenderedPageBreak/>
              <w:t xml:space="preserve">Demonstrating ability to use EU funds monitoring and information systems (both external and </w:t>
            </w:r>
            <w:r w:rsidRPr="00751B8C">
              <w:rPr>
                <w:rFonts w:ascii="Verdana" w:hAnsi="Verdana" w:cstheme="minorHAnsi"/>
                <w:sz w:val="20"/>
                <w:szCs w:val="20"/>
              </w:rPr>
              <w:lastRenderedPageBreak/>
              <w:t>internal if available) in order to accomplish work goals.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lastRenderedPageBreak/>
              <w:t xml:space="preserve">Nyomonkövetési és információs </w:t>
            </w:r>
            <w:r>
              <w:rPr>
                <w:rFonts w:ascii="Verdana" w:hAnsi="Verdana" w:cstheme="minorHAnsi"/>
                <w:sz w:val="20"/>
              </w:rPr>
              <w:lastRenderedPageBreak/>
              <w:t>rendszer használata</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lastRenderedPageBreak/>
              <w:t xml:space="preserve">Azon képesség bizonyítása, hogy az </w:t>
            </w:r>
            <w:r>
              <w:rPr>
                <w:rFonts w:ascii="Verdana" w:hAnsi="Verdana" w:cstheme="minorHAnsi"/>
                <w:sz w:val="20"/>
              </w:rPr>
              <w:lastRenderedPageBreak/>
              <w:t>uniós támogatások nyomonkövetési és információs rendszereit (mind külső, mind belső, amennyiben elérhető) tudja használni munkahelyi céljainak eléréséhez.</w:t>
            </w:r>
          </w:p>
        </w:tc>
      </w:tr>
      <w:tr w:rsidR="00F46179" w:rsidRPr="00751B8C" w:rsidTr="00390240">
        <w:trPr>
          <w:trHeight w:val="398"/>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lastRenderedPageBreak/>
              <w:t>P.C10</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Representation to the outside world</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act or speak for institution in an efficient way and appropriate manner.</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Külvilág felé való képviselet</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hatékonyan és helyénvaló módon tud fellépni és beszélni az intézmény érdekében.</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P.C11</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Relevant language skills</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apply relevant foreign language skills in order to carry out the assigned functions and accomplish work goals.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Releváns nyelvi készségek</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releváns idegennyelvi készségeket tud alkalmazni a kiosztott feladatok ellátása és munkahelyi céljainak megvalósítása érdekében.</w:t>
            </w:r>
          </w:p>
        </w:tc>
      </w:tr>
      <w:tr w:rsidR="00F46179" w:rsidRPr="00751B8C" w:rsidTr="00390240">
        <w:trPr>
          <w:trHeight w:val="659"/>
        </w:trPr>
        <w:tc>
          <w:tcPr>
            <w:tcW w:w="453" w:type="pct"/>
            <w:shd w:val="clear" w:color="000000" w:fill="FFFFFF"/>
            <w:vAlign w:val="center"/>
          </w:tcPr>
          <w:p w:rsidR="00F46179" w:rsidRPr="00751B8C" w:rsidRDefault="00F46179" w:rsidP="003F0065">
            <w:pPr>
              <w:spacing w:after="0"/>
              <w:rPr>
                <w:rFonts w:ascii="Verdana" w:hAnsi="Verdana" w:cstheme="minorHAnsi"/>
                <w:sz w:val="20"/>
                <w:szCs w:val="20"/>
              </w:rPr>
            </w:pPr>
            <w:r>
              <w:rPr>
                <w:rFonts w:ascii="Verdana" w:hAnsi="Verdana" w:cstheme="minorHAnsi"/>
                <w:sz w:val="20"/>
              </w:rPr>
              <w:t>P.C12</w:t>
            </w:r>
          </w:p>
        </w:tc>
        <w:tc>
          <w:tcPr>
            <w:tcW w:w="726"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Intercultural skills</w:t>
            </w:r>
          </w:p>
        </w:tc>
        <w:tc>
          <w:tcPr>
            <w:tcW w:w="2051" w:type="pct"/>
            <w:shd w:val="clear" w:color="000000" w:fill="FFFFFF"/>
            <w:vAlign w:val="center"/>
          </w:tcPr>
          <w:p w:rsidR="00F46179" w:rsidRPr="00751B8C" w:rsidRDefault="00F46179" w:rsidP="00797CB6">
            <w:pPr>
              <w:spacing w:after="0"/>
              <w:rPr>
                <w:rFonts w:ascii="Verdana" w:hAnsi="Verdana" w:cstheme="minorHAnsi"/>
                <w:sz w:val="20"/>
                <w:szCs w:val="20"/>
              </w:rPr>
            </w:pPr>
            <w:r w:rsidRPr="00751B8C">
              <w:rPr>
                <w:rFonts w:ascii="Verdana" w:hAnsi="Verdana" w:cstheme="minorHAnsi"/>
                <w:sz w:val="20"/>
                <w:szCs w:val="20"/>
              </w:rPr>
              <w:t>Demonstrating ability to work in multi-cultural environment, efficiently dealing with stakeholders in EU institutions and other member states.</w:t>
            </w:r>
          </w:p>
        </w:tc>
        <w:tc>
          <w:tcPr>
            <w:tcW w:w="761"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Interkulturális készségek</w:t>
            </w:r>
          </w:p>
        </w:tc>
        <w:tc>
          <w:tcPr>
            <w:tcW w:w="1009" w:type="pct"/>
            <w:shd w:val="clear" w:color="000000" w:fill="FFFFFF"/>
            <w:vAlign w:val="center"/>
          </w:tcPr>
          <w:p w:rsidR="00F46179" w:rsidRPr="00751B8C" w:rsidRDefault="00F46179" w:rsidP="00797CB6">
            <w:pPr>
              <w:spacing w:after="0"/>
              <w:rPr>
                <w:rFonts w:ascii="Verdana" w:hAnsi="Verdana" w:cstheme="minorHAnsi"/>
                <w:sz w:val="20"/>
                <w:szCs w:val="20"/>
              </w:rPr>
            </w:pPr>
            <w:r>
              <w:rPr>
                <w:rFonts w:ascii="Verdana" w:hAnsi="Verdana" w:cstheme="minorHAnsi"/>
                <w:sz w:val="20"/>
              </w:rPr>
              <w:t>Azon képesség bizonyítása, hogy multikulturális környezetben is képes dolgozni, hatékonyan kezelve az uniós intézmények és más tagállamok érdekelt feleit.</w:t>
            </w:r>
          </w:p>
        </w:tc>
      </w:tr>
    </w:tbl>
    <w:p w:rsidR="00A30ABC" w:rsidRPr="003870A6" w:rsidRDefault="00A30ABC" w:rsidP="004D1BB8">
      <w:pPr>
        <w:pStyle w:val="Heading1"/>
        <w:numPr>
          <w:ilvl w:val="0"/>
          <w:numId w:val="0"/>
        </w:numPr>
      </w:pPr>
    </w:p>
    <w:p w:rsidR="00A30ABC" w:rsidRPr="003870A6" w:rsidRDefault="00A30ABC" w:rsidP="000E47BD">
      <w:pPr>
        <w:rPr>
          <w:rFonts w:ascii="Verdana" w:hAnsi="Verdana" w:cstheme="minorHAnsi"/>
          <w:b/>
          <w:i/>
          <w:sz w:val="18"/>
          <w:szCs w:val="20"/>
        </w:rPr>
      </w:pPr>
    </w:p>
    <w:sectPr w:rsidR="00A30ABC" w:rsidRPr="003870A6"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9E" w:rsidRDefault="0059089E" w:rsidP="0008776A">
      <w:pPr>
        <w:spacing w:after="0" w:line="240" w:lineRule="auto"/>
      </w:pPr>
      <w:r>
        <w:separator/>
      </w:r>
    </w:p>
  </w:endnote>
  <w:endnote w:type="continuationSeparator" w:id="0">
    <w:p w:rsidR="0059089E" w:rsidRDefault="0059089E"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570949"/>
      <w:docPartObj>
        <w:docPartGallery w:val="Page Numbers (Bottom of Page)"/>
        <w:docPartUnique/>
      </w:docPartObj>
    </w:sdtPr>
    <w:sdtEndPr>
      <w:rPr>
        <w:rFonts w:asciiTheme="minorHAnsi" w:hAnsiTheme="minorHAnsi" w:cstheme="minorHAnsi"/>
        <w:noProof/>
      </w:rPr>
    </w:sdtEndPr>
    <w:sdtContent>
      <w:p w:rsidR="0059089E" w:rsidRPr="0008776A" w:rsidRDefault="0059089E"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5E1B8C">
          <w:rPr>
            <w:rFonts w:asciiTheme="minorHAnsi" w:hAnsiTheme="minorHAnsi" w:cstheme="minorHAnsi"/>
            <w:noProof/>
          </w:rPr>
          <w:t>10</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9E" w:rsidRDefault="0059089E" w:rsidP="0008776A">
      <w:pPr>
        <w:spacing w:after="0" w:line="240" w:lineRule="auto"/>
      </w:pPr>
      <w:r>
        <w:separator/>
      </w:r>
    </w:p>
  </w:footnote>
  <w:footnote w:type="continuationSeparator" w:id="0">
    <w:p w:rsidR="0059089E" w:rsidRDefault="0059089E"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9E" w:rsidRPr="00313892" w:rsidRDefault="0059089E" w:rsidP="00313892">
    <w:pPr>
      <w:pStyle w:val="Header"/>
      <w:pBdr>
        <w:bottom w:val="single" w:sz="4" w:space="1" w:color="808080" w:themeColor="background1" w:themeShade="80"/>
      </w:pBdr>
      <w:spacing w:line="276" w:lineRule="auto"/>
      <w:jc w:val="center"/>
      <w:rPr>
        <w:rFonts w:ascii="Verdana" w:hAnsi="Verdana"/>
        <w:color w:val="808080" w:themeColor="background1" w:themeShade="80"/>
      </w:rPr>
    </w:pPr>
    <w:r>
      <w:tab/>
    </w:r>
    <w:r>
      <w:rPr>
        <w:rFonts w:ascii="Verdana" w:hAnsi="Verdana"/>
        <w:color w:val="808080" w:themeColor="background1" w:themeShade="80"/>
      </w:rPr>
      <w:t>Uniós kompetenciakeret – Szójegyzék az önértékelési eszközben használt kifejezésekhez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0698"/>
    <w:multiLevelType w:val="multilevel"/>
    <w:tmpl w:val="215AF706"/>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47CBE"/>
    <w:rsid w:val="0008776A"/>
    <w:rsid w:val="000950D5"/>
    <w:rsid w:val="000A1ECD"/>
    <w:rsid w:val="000C44D2"/>
    <w:rsid w:val="000D355F"/>
    <w:rsid w:val="000E47BD"/>
    <w:rsid w:val="000E49C3"/>
    <w:rsid w:val="00123EE5"/>
    <w:rsid w:val="001319E4"/>
    <w:rsid w:val="001A5137"/>
    <w:rsid w:val="001B5122"/>
    <w:rsid w:val="001C491D"/>
    <w:rsid w:val="001D4E04"/>
    <w:rsid w:val="001D7CC2"/>
    <w:rsid w:val="001F0D1D"/>
    <w:rsid w:val="00206F86"/>
    <w:rsid w:val="00231B6E"/>
    <w:rsid w:val="0024769A"/>
    <w:rsid w:val="002717F0"/>
    <w:rsid w:val="00272779"/>
    <w:rsid w:val="002A4AB7"/>
    <w:rsid w:val="002D1A61"/>
    <w:rsid w:val="00306B4F"/>
    <w:rsid w:val="00313892"/>
    <w:rsid w:val="00366D75"/>
    <w:rsid w:val="003839D5"/>
    <w:rsid w:val="003870A6"/>
    <w:rsid w:val="00390240"/>
    <w:rsid w:val="003928BC"/>
    <w:rsid w:val="003958B1"/>
    <w:rsid w:val="003966E7"/>
    <w:rsid w:val="003F0065"/>
    <w:rsid w:val="003F072E"/>
    <w:rsid w:val="00416AA7"/>
    <w:rsid w:val="00420285"/>
    <w:rsid w:val="0044373B"/>
    <w:rsid w:val="00476CF8"/>
    <w:rsid w:val="004B0758"/>
    <w:rsid w:val="004D1BB8"/>
    <w:rsid w:val="004F71B4"/>
    <w:rsid w:val="00536145"/>
    <w:rsid w:val="00554E39"/>
    <w:rsid w:val="00584C64"/>
    <w:rsid w:val="0059089E"/>
    <w:rsid w:val="005C3880"/>
    <w:rsid w:val="005D6AFD"/>
    <w:rsid w:val="005E1B8C"/>
    <w:rsid w:val="005F5DB2"/>
    <w:rsid w:val="006029E1"/>
    <w:rsid w:val="00614B9B"/>
    <w:rsid w:val="0062042A"/>
    <w:rsid w:val="006645FC"/>
    <w:rsid w:val="006744F9"/>
    <w:rsid w:val="006931AA"/>
    <w:rsid w:val="006C1E04"/>
    <w:rsid w:val="006C2D1C"/>
    <w:rsid w:val="006E738D"/>
    <w:rsid w:val="00716D09"/>
    <w:rsid w:val="007320E2"/>
    <w:rsid w:val="00751B8C"/>
    <w:rsid w:val="00757D2E"/>
    <w:rsid w:val="00787821"/>
    <w:rsid w:val="007D60DC"/>
    <w:rsid w:val="00822B80"/>
    <w:rsid w:val="008339CD"/>
    <w:rsid w:val="00834E93"/>
    <w:rsid w:val="0084461D"/>
    <w:rsid w:val="008806DD"/>
    <w:rsid w:val="008E21AD"/>
    <w:rsid w:val="008F4A1B"/>
    <w:rsid w:val="00910BED"/>
    <w:rsid w:val="009248AB"/>
    <w:rsid w:val="009259B3"/>
    <w:rsid w:val="00927761"/>
    <w:rsid w:val="009A279A"/>
    <w:rsid w:val="00A30ABC"/>
    <w:rsid w:val="00A564CD"/>
    <w:rsid w:val="00A97695"/>
    <w:rsid w:val="00AB64E3"/>
    <w:rsid w:val="00AD2B31"/>
    <w:rsid w:val="00AD341D"/>
    <w:rsid w:val="00B14669"/>
    <w:rsid w:val="00B579F3"/>
    <w:rsid w:val="00B967FA"/>
    <w:rsid w:val="00C35824"/>
    <w:rsid w:val="00C971E1"/>
    <w:rsid w:val="00CC3497"/>
    <w:rsid w:val="00CD1306"/>
    <w:rsid w:val="00CE608F"/>
    <w:rsid w:val="00CF51E8"/>
    <w:rsid w:val="00CF661F"/>
    <w:rsid w:val="00CF6967"/>
    <w:rsid w:val="00D02119"/>
    <w:rsid w:val="00D27017"/>
    <w:rsid w:val="00D42D77"/>
    <w:rsid w:val="00D92F59"/>
    <w:rsid w:val="00D97BC9"/>
    <w:rsid w:val="00DE6C01"/>
    <w:rsid w:val="00E315E1"/>
    <w:rsid w:val="00E44B41"/>
    <w:rsid w:val="00E87A35"/>
    <w:rsid w:val="00E95861"/>
    <w:rsid w:val="00EB6450"/>
    <w:rsid w:val="00F15E49"/>
    <w:rsid w:val="00F40B43"/>
    <w:rsid w:val="00F46179"/>
    <w:rsid w:val="00F50847"/>
    <w:rsid w:val="00F55E53"/>
    <w:rsid w:val="00F74AE6"/>
    <w:rsid w:val="00F863CF"/>
    <w:rsid w:val="00F93A46"/>
    <w:rsid w:val="00FC0AA0"/>
    <w:rsid w:val="00FD6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BB8"/>
    <w:pPr>
      <w:keepNext/>
      <w:keepLines/>
      <w:numPr>
        <w:numId w:val="2"/>
      </w:numPr>
      <w:spacing w:after="120"/>
      <w:ind w:left="547" w:hanging="547"/>
      <w:outlineLvl w:val="0"/>
    </w:pPr>
    <w:rPr>
      <w:rFonts w:ascii="Verdana" w:eastAsiaTheme="majorEastAsia" w:hAnsi="Verdana" w:cstheme="minorHAnsi"/>
      <w:b/>
      <w:color w:val="003399"/>
      <w:kern w:val="12"/>
      <w:sz w:val="32"/>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B8"/>
    <w:rPr>
      <w:rFonts w:ascii="Verdana" w:eastAsiaTheme="majorEastAsia" w:hAnsi="Verdana" w:cstheme="minorHAnsi"/>
      <w:b/>
      <w:color w:val="003399"/>
      <w:kern w:val="12"/>
      <w:sz w:val="32"/>
      <w:szCs w:val="40"/>
      <w:lang w:val="hu-HU"/>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u-HU"/>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u-HU"/>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u-HU"/>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u-HU"/>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4D1BB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BB8"/>
    <w:pPr>
      <w:keepNext/>
      <w:keepLines/>
      <w:numPr>
        <w:numId w:val="2"/>
      </w:numPr>
      <w:spacing w:after="120"/>
      <w:ind w:left="547" w:hanging="547"/>
      <w:outlineLvl w:val="0"/>
    </w:pPr>
    <w:rPr>
      <w:rFonts w:ascii="Verdana" w:eastAsiaTheme="majorEastAsia" w:hAnsi="Verdana" w:cstheme="minorHAnsi"/>
      <w:b/>
      <w:color w:val="003399"/>
      <w:kern w:val="12"/>
      <w:sz w:val="32"/>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B8"/>
    <w:rPr>
      <w:rFonts w:ascii="Verdana" w:eastAsiaTheme="majorEastAsia" w:hAnsi="Verdana" w:cstheme="minorHAnsi"/>
      <w:b/>
      <w:color w:val="003399"/>
      <w:kern w:val="12"/>
      <w:sz w:val="32"/>
      <w:szCs w:val="40"/>
      <w:lang w:val="hu-HU"/>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u-HU"/>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u-HU"/>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u-HU"/>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u-HU"/>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4D1BB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E73F-23A7-4CAE-9514-4F81A81D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Scataglini</dc:creator>
  <cp:lastModifiedBy>SURDEANU Raluca (REGIO)</cp:lastModifiedBy>
  <cp:revision>5</cp:revision>
  <cp:lastPrinted>2017-03-22T18:35:00Z</cp:lastPrinted>
  <dcterms:created xsi:type="dcterms:W3CDTF">2018-03-12T15:19:00Z</dcterms:created>
  <dcterms:modified xsi:type="dcterms:W3CDTF">2018-04-13T09:57:00Z</dcterms:modified>
</cp:coreProperties>
</file>