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A20A73" w:rsidP="00BF3F75">
      <w:pPr>
        <w:jc w:val="both"/>
        <w:rPr>
          <w:rFonts w:ascii="Verdana" w:hAnsi="Verdana" w:cstheme="minorHAnsi"/>
          <w:b/>
          <w:color w:val="003399"/>
          <w:kern w:val="12"/>
          <w:sz w:val="40"/>
          <w:szCs w:val="40"/>
        </w:rPr>
      </w:pPr>
      <w:r>
        <w:rPr>
          <w:noProof/>
          <w:lang w:val="en-GB" w:eastAsia="en-GB" w:bidi="ar-SA"/>
        </w:rPr>
        <mc:AlternateContent>
          <mc:Choice Requires="wps">
            <w:drawing>
              <wp:anchor distT="0" distB="0" distL="114300" distR="114300" simplePos="0" relativeHeight="251661312" behindDoc="0" locked="0" layoutInCell="1" allowOverlap="1" wp14:anchorId="08C3B900" wp14:editId="579CDFEF">
                <wp:simplePos x="0" y="0"/>
                <wp:positionH relativeFrom="column">
                  <wp:posOffset>4579620</wp:posOffset>
                </wp:positionH>
                <wp:positionV relativeFrom="paragraph">
                  <wp:posOffset>6915785</wp:posOffset>
                </wp:positionV>
                <wp:extent cx="1289050" cy="386080"/>
                <wp:effectExtent l="0" t="0" r="6350" b="0"/>
                <wp:wrapNone/>
                <wp:docPr id="11" name="TextBox 10"/>
                <wp:cNvGraphicFramePr/>
                <a:graphic xmlns:a="http://schemas.openxmlformats.org/drawingml/2006/main">
                  <a:graphicData uri="http://schemas.microsoft.com/office/word/2010/wordprocessingShape">
                    <wps:wsp>
                      <wps:cNvSpPr txBox="1"/>
                      <wps:spPr>
                        <a:xfrm>
                          <a:off x="0" y="0"/>
                          <a:ext cx="1289050" cy="386080"/>
                        </a:xfrm>
                        <a:prstGeom prst="rect">
                          <a:avLst/>
                        </a:prstGeom>
                        <a:solidFill>
                          <a:srgbClr val="6DAC59"/>
                        </a:solidFill>
                      </wps:spPr>
                      <wps:txbx>
                        <w:txbxContent>
                          <w:p w:rsidR="00A20A73" w:rsidRDefault="00A20A73" w:rsidP="00A20A73">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wps:txbx>
                      <wps:bodyPr wrap="square" lIns="43200" tIns="36000" rIns="3600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60.6pt;margin-top:544.55pt;width:101.5pt;height:3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" fillcolor="#6dac59" stroked="f">
                <v:textbox inset="1.2mm,1mm,1mm">
                  <w:txbxContent>
                    <w:p w:rsidR="00A20A73" w:rsidRDefault="00A20A73" w:rsidP="00A20A73">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v:textbox>
              </v:shape>
            </w:pict>
          </mc:Fallback>
        </mc:AlternateContent>
      </w:r>
      <w:r w:rsidR="00BF3F75" w:rsidRPr="00BF3F75">
        <w:rPr>
          <w:rFonts w:ascii="Verdana" w:hAnsi="Verdana" w:cstheme="minorHAnsi"/>
          <w:b/>
          <w:noProof/>
          <w:color w:val="003399"/>
          <w:kern w:val="12"/>
          <w:sz w:val="40"/>
          <w:szCs w:val="40"/>
          <w:lang w:val="en-GB" w:eastAsia="en-GB" w:bidi="ar-SA"/>
        </w:rPr>
        <mc:AlternateContent>
          <mc:Choice Requires="wps">
            <w:drawing>
              <wp:anchor distT="0" distB="0" distL="114300" distR="114300" simplePos="0" relativeHeight="251659264" behindDoc="0" locked="0" layoutInCell="1" allowOverlap="1" wp14:anchorId="0BD01697" wp14:editId="48FF649D">
                <wp:simplePos x="0" y="0"/>
                <wp:positionH relativeFrom="column">
                  <wp:posOffset>2134415</wp:posOffset>
                </wp:positionH>
                <wp:positionV relativeFrom="paragraph">
                  <wp:posOffset>5835404</wp:posOffset>
                </wp:positionV>
                <wp:extent cx="5649586" cy="818268"/>
                <wp:effectExtent l="0" t="0" r="279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86" cy="818268"/>
                        </a:xfrm>
                        <a:prstGeom prst="rect">
                          <a:avLst/>
                        </a:prstGeom>
                        <a:solidFill>
                          <a:srgbClr val="FFFFFF"/>
                        </a:solidFill>
                        <a:ln w="9525">
                          <a:solidFill>
                            <a:srgbClr val="000000"/>
                          </a:solidFill>
                          <a:miter lim="800000"/>
                          <a:headEnd/>
                          <a:tailEnd/>
                        </a:ln>
                      </wps:spPr>
                      <wps:txbx>
                        <w:txbxContent>
                          <w:p w:rsidR="00BF3F75" w:rsidRPr="00BF3F75" w:rsidRDefault="00BF3F75" w:rsidP="00BF3F75">
                            <w:pPr>
                              <w:jc w:val="both"/>
                            </w:pPr>
                            <w:r>
                              <w:rPr>
                                <w:rFonts w:eastAsiaTheme="minorEastAsia" w:hAnsi="Calibri"/>
                                <w:color w:val="286AA6"/>
                                <w:kern w:val="24"/>
                                <w:sz w:val="21"/>
                                <w:szCs w:val="21"/>
                              </w:rPr>
                              <w:t>Το πλαίσιο ικανοτήτων της ΕΕ και το εργαλείο αυτοαξιολόγησης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8.05pt;margin-top:459.5pt;width:444.8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s6JAIAAEY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">
                <v:textbox>
                  <w:txbxContent>
                    <w:p w:rsidR="00BF3F75" w:rsidRPr="00BF3F75" w:rsidRDefault="00BF3F75" w:rsidP="00BF3F75">
                      <w:pPr>
                        <w:jc w:val="both"/>
                      </w:pPr>
                      <w:r>
                        <w:rPr>
                          <w:rFonts w:eastAsiaTheme="minorEastAsia" w:hAnsi="Calibri"/>
                          <w:color w:val="286AA6"/>
                          <w:kern w:val="24"/>
                          <w:sz w:val="21"/>
                          <w:szCs w:val="21"/>
                        </w:rPr>
                        <w:t>Το πλαίσιο ικανοτήτων της ΕΕ και το εργαλείο αυτοαξιολόγησης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txbxContent>
                </v:textbox>
              </v:shape>
            </w:pict>
          </mc:Fallback>
        </mc:AlternateContent>
      </w:r>
      <w:r w:rsidR="00BF3F75">
        <w:rPr>
          <w:rFonts w:ascii="Verdana" w:hAnsi="Verdana" w:cstheme="minorHAnsi"/>
          <w:b/>
          <w:noProof/>
          <w:color w:val="003399"/>
          <w:kern w:val="12"/>
          <w:sz w:val="40"/>
          <w:szCs w:val="40"/>
          <w:lang w:val="en-GB" w:eastAsia="en-GB" w:bidi="ar-SA"/>
        </w:rPr>
        <w:drawing>
          <wp:inline distT="0" distB="0" distL="0" distR="0" wp14:anchorId="7EAE2F02" wp14:editId="7B4E6372">
            <wp:extent cx="9970179" cy="7055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032" cy="7068526"/>
                    </a:xfrm>
                    <a:prstGeom prst="rect">
                      <a:avLst/>
                    </a:prstGeom>
                    <a:noFill/>
                  </pic:spPr>
                </pic:pic>
              </a:graphicData>
            </a:graphic>
          </wp:inline>
        </w:drawing>
      </w:r>
    </w:p>
    <w:p w:rsidR="004D1BB8" w:rsidRDefault="004D1BB8" w:rsidP="000A1ECD">
      <w:pPr>
        <w:jc w:val="center"/>
        <w:rPr>
          <w:rFonts w:ascii="Verdana" w:hAnsi="Verdana" w:cstheme="minorHAnsi"/>
          <w:b/>
          <w:color w:val="003399"/>
          <w:kern w:val="12"/>
          <w:sz w:val="40"/>
          <w:szCs w:val="40"/>
        </w:rPr>
        <w:sectPr w:rsidR="004D1BB8" w:rsidSect="00BF3F75">
          <w:headerReference w:type="default" r:id="rId10"/>
          <w:footerReference w:type="default" r:id="rId11"/>
          <w:pgSz w:w="15840" w:h="12240" w:orient="landscape"/>
          <w:pgMar w:top="568" w:right="389" w:bottom="1440" w:left="142"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Εκδόσεις του εγγράφου</w:t>
      </w:r>
    </w:p>
    <w:tbl>
      <w:tblPr>
        <w:tblStyle w:val="TableGrid"/>
        <w:tblW w:w="5000" w:type="pct"/>
        <w:tblLook w:val="04A0" w:firstRow="1" w:lastRow="0" w:firstColumn="1" w:lastColumn="0" w:noHBand="0" w:noVBand="1"/>
      </w:tblPr>
      <w:tblGrid>
        <w:gridCol w:w="6588"/>
        <w:gridCol w:w="6588"/>
      </w:tblGrid>
      <w:tr w:rsidR="004D1BB8" w:rsidRPr="00751B8C"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Έκδοση</w:t>
            </w:r>
          </w:p>
        </w:tc>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Ημερομηνία</w:t>
            </w:r>
          </w:p>
        </w:tc>
      </w:tr>
      <w:tr w:rsidR="004D1BB8" w:rsidRPr="00751B8C" w:rsidTr="00667C28">
        <w:trPr>
          <w:trHeight w:val="265"/>
        </w:trPr>
        <w:tc>
          <w:tcPr>
            <w:tcW w:w="2500" w:type="pct"/>
          </w:tcPr>
          <w:p w:rsidR="004D1BB8" w:rsidRPr="00751B8C" w:rsidRDefault="004D1BB8" w:rsidP="00667C28">
            <w:pPr>
              <w:rPr>
                <w:rFonts w:cstheme="minorHAnsi"/>
                <w:sz w:val="20"/>
                <w:szCs w:val="56"/>
              </w:rPr>
            </w:pPr>
            <w:r>
              <w:rPr>
                <w:rFonts w:cstheme="minorHAnsi"/>
                <w:sz w:val="20"/>
              </w:rPr>
              <w:t>V1</w:t>
            </w:r>
          </w:p>
        </w:tc>
        <w:tc>
          <w:tcPr>
            <w:tcW w:w="2500" w:type="pct"/>
          </w:tcPr>
          <w:p w:rsidR="004D1BB8" w:rsidRPr="00751B8C" w:rsidRDefault="003F072E" w:rsidP="00667C28">
            <w:pPr>
              <w:rPr>
                <w:rFonts w:cstheme="minorHAnsi"/>
                <w:sz w:val="20"/>
                <w:szCs w:val="56"/>
              </w:rPr>
            </w:pPr>
            <w:r>
              <w:rPr>
                <w:rFonts w:cstheme="minorHAnsi"/>
                <w:sz w:val="20"/>
              </w:rPr>
              <w:t>3 Νοεμβρίου 2017</w:t>
            </w: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bookmarkStart w:id="0" w:name="_GoBack"/>
      <w:bookmarkEnd w:id="0"/>
    </w:p>
    <w:bookmarkStart w:id="1" w:name="_Toc508967051"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rFonts w:ascii="Verdana" w:hAnsi="Verdana"/>
          <w:bCs/>
          <w:noProof/>
          <w:sz w:val="32"/>
          <w:szCs w:val="32"/>
        </w:rPr>
      </w:sdtEndPr>
      <w:sdtContent>
        <w:p w:rsidR="004D1BB8" w:rsidRPr="004D1BB8" w:rsidRDefault="004D1BB8" w:rsidP="004D1BB8">
          <w:pPr>
            <w:pStyle w:val="Heading1"/>
            <w:numPr>
              <w:ilvl w:val="0"/>
              <w:numId w:val="0"/>
            </w:numPr>
          </w:pPr>
          <w:r>
            <w:t>Περιεχόμενα</w:t>
          </w:r>
          <w:bookmarkEnd w:id="1"/>
        </w:p>
        <w:p w:rsidR="00306B4F" w:rsidRPr="004D1BB8" w:rsidRDefault="00306B4F" w:rsidP="004D1BB8">
          <w:pPr>
            <w:pStyle w:val="Heading1"/>
            <w:numPr>
              <w:ilvl w:val="0"/>
              <w:numId w:val="0"/>
            </w:numPr>
            <w:ind w:left="547" w:hanging="547"/>
          </w:pPr>
        </w:p>
        <w:p w:rsidR="004250E6" w:rsidRPr="004250E6" w:rsidRDefault="00CF51E8">
          <w:pPr>
            <w:pStyle w:val="TOC1"/>
            <w:tabs>
              <w:tab w:val="right" w:leader="dot" w:pos="12950"/>
            </w:tabs>
            <w:rPr>
              <w:rFonts w:ascii="Verdana" w:eastAsiaTheme="minorEastAsia" w:hAnsi="Verdana"/>
              <w:noProof/>
              <w:sz w:val="32"/>
              <w:szCs w:val="32"/>
              <w:lang w:val="en-GB" w:eastAsia="en-GB" w:bidi="ar-SA"/>
            </w:rPr>
          </w:pPr>
          <w:r w:rsidRPr="004250E6">
            <w:rPr>
              <w:rFonts w:ascii="Verdana" w:hAnsi="Verdana"/>
              <w:sz w:val="32"/>
              <w:szCs w:val="32"/>
            </w:rPr>
            <w:fldChar w:fldCharType="begin"/>
          </w:r>
          <w:r w:rsidRPr="004250E6">
            <w:rPr>
              <w:rFonts w:ascii="Verdana" w:hAnsi="Verdana"/>
              <w:sz w:val="32"/>
              <w:szCs w:val="32"/>
            </w:rPr>
            <w:instrText xml:space="preserve"> TOC \o "1-3" \h \z \u </w:instrText>
          </w:r>
          <w:r w:rsidRPr="004250E6">
            <w:rPr>
              <w:rFonts w:ascii="Verdana" w:hAnsi="Verdana"/>
              <w:sz w:val="32"/>
              <w:szCs w:val="32"/>
            </w:rPr>
            <w:fldChar w:fldCharType="separate"/>
          </w:r>
          <w:hyperlink w:anchor="_Toc508967051" w:history="1">
            <w:r w:rsidR="004250E6" w:rsidRPr="004250E6">
              <w:rPr>
                <w:rStyle w:val="Hyperlink"/>
                <w:rFonts w:ascii="Verdana" w:hAnsi="Verdana"/>
                <w:noProof/>
                <w:sz w:val="32"/>
                <w:szCs w:val="32"/>
              </w:rPr>
              <w:t>Περιεχόμενα</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_Toc508967051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3</w:t>
            </w:r>
            <w:r w:rsidR="004250E6" w:rsidRPr="004250E6">
              <w:rPr>
                <w:rFonts w:ascii="Verdana" w:hAnsi="Verdana"/>
                <w:noProof/>
                <w:webHidden/>
                <w:sz w:val="32"/>
                <w:szCs w:val="32"/>
              </w:rPr>
              <w:fldChar w:fldCharType="end"/>
            </w:r>
          </w:hyperlink>
        </w:p>
        <w:p w:rsidR="004250E6" w:rsidRPr="004250E6" w:rsidRDefault="00A20A73">
          <w:pPr>
            <w:pStyle w:val="TOC1"/>
            <w:tabs>
              <w:tab w:val="left" w:pos="440"/>
              <w:tab w:val="right" w:leader="dot" w:pos="12950"/>
            </w:tabs>
            <w:rPr>
              <w:rFonts w:ascii="Verdana" w:eastAsiaTheme="minorEastAsia" w:hAnsi="Verdana"/>
              <w:noProof/>
              <w:sz w:val="32"/>
              <w:szCs w:val="32"/>
              <w:lang w:val="en-GB" w:eastAsia="en-GB" w:bidi="ar-SA"/>
            </w:rPr>
          </w:pPr>
          <w:hyperlink w:anchor="_Toc508967052" w:history="1">
            <w:r w:rsidR="004250E6" w:rsidRPr="004250E6">
              <w:rPr>
                <w:rStyle w:val="Hyperlink"/>
                <w:rFonts w:ascii="Verdana" w:hAnsi="Verdana"/>
                <w:noProof/>
                <w:sz w:val="32"/>
                <w:szCs w:val="32"/>
              </w:rPr>
              <w:t>1.</w:t>
            </w:r>
            <w:r w:rsidR="004250E6" w:rsidRPr="004250E6">
              <w:rPr>
                <w:rFonts w:ascii="Verdana" w:eastAsiaTheme="minorEastAsia" w:hAnsi="Verdana"/>
                <w:noProof/>
                <w:sz w:val="32"/>
                <w:szCs w:val="32"/>
                <w:lang w:val="en-GB" w:eastAsia="en-GB" w:bidi="ar-SA"/>
              </w:rPr>
              <w:tab/>
            </w:r>
            <w:r w:rsidR="004250E6" w:rsidRPr="004250E6">
              <w:rPr>
                <w:rStyle w:val="Hyperlink"/>
                <w:rFonts w:ascii="Verdana" w:hAnsi="Verdana"/>
                <w:noProof/>
                <w:sz w:val="32"/>
                <w:szCs w:val="32"/>
              </w:rPr>
              <w:t>Εργασιακοί ρόλοι</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_Toc508967052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4</w:t>
            </w:r>
            <w:r w:rsidR="004250E6" w:rsidRPr="004250E6">
              <w:rPr>
                <w:rFonts w:ascii="Verdana" w:hAnsi="Verdana"/>
                <w:noProof/>
                <w:webHidden/>
                <w:sz w:val="32"/>
                <w:szCs w:val="32"/>
              </w:rPr>
              <w:fldChar w:fldCharType="end"/>
            </w:r>
          </w:hyperlink>
        </w:p>
        <w:p w:rsidR="004250E6" w:rsidRPr="004250E6" w:rsidRDefault="00A20A73">
          <w:pPr>
            <w:pStyle w:val="TOC1"/>
            <w:tabs>
              <w:tab w:val="left" w:pos="440"/>
              <w:tab w:val="right" w:leader="dot" w:pos="12950"/>
            </w:tabs>
            <w:rPr>
              <w:rFonts w:ascii="Verdana" w:eastAsiaTheme="minorEastAsia" w:hAnsi="Verdana"/>
              <w:noProof/>
              <w:sz w:val="32"/>
              <w:szCs w:val="32"/>
              <w:lang w:val="en-GB" w:eastAsia="en-GB" w:bidi="ar-SA"/>
            </w:rPr>
          </w:pPr>
          <w:hyperlink w:anchor="_Toc508967053" w:history="1">
            <w:r w:rsidR="004250E6" w:rsidRPr="004250E6">
              <w:rPr>
                <w:rStyle w:val="Hyperlink"/>
                <w:rFonts w:ascii="Verdana" w:hAnsi="Verdana"/>
                <w:noProof/>
                <w:sz w:val="32"/>
                <w:szCs w:val="32"/>
              </w:rPr>
              <w:t>2.</w:t>
            </w:r>
            <w:r w:rsidR="004250E6" w:rsidRPr="004250E6">
              <w:rPr>
                <w:rFonts w:ascii="Verdana" w:eastAsiaTheme="minorEastAsia" w:hAnsi="Verdana"/>
                <w:noProof/>
                <w:sz w:val="32"/>
                <w:szCs w:val="32"/>
                <w:lang w:val="en-GB" w:eastAsia="en-GB" w:bidi="ar-SA"/>
              </w:rPr>
              <w:tab/>
            </w:r>
            <w:r w:rsidR="004250E6" w:rsidRPr="004250E6">
              <w:rPr>
                <w:rStyle w:val="Hyperlink"/>
                <w:rFonts w:ascii="Verdana" w:hAnsi="Verdana"/>
                <w:noProof/>
                <w:sz w:val="32"/>
                <w:szCs w:val="32"/>
              </w:rPr>
              <w:t>Καθήκοντα και επιμέρους καθήκοντα</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_Toc508967053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5</w:t>
            </w:r>
            <w:r w:rsidR="004250E6" w:rsidRPr="004250E6">
              <w:rPr>
                <w:rFonts w:ascii="Verdana" w:hAnsi="Verdana"/>
                <w:noProof/>
                <w:webHidden/>
                <w:sz w:val="32"/>
                <w:szCs w:val="32"/>
              </w:rPr>
              <w:fldChar w:fldCharType="end"/>
            </w:r>
          </w:hyperlink>
        </w:p>
        <w:p w:rsidR="004250E6" w:rsidRPr="004250E6" w:rsidRDefault="00A20A73">
          <w:pPr>
            <w:pStyle w:val="TOC1"/>
            <w:tabs>
              <w:tab w:val="left" w:pos="440"/>
              <w:tab w:val="right" w:leader="dot" w:pos="12950"/>
            </w:tabs>
            <w:rPr>
              <w:rFonts w:ascii="Verdana" w:eastAsiaTheme="minorEastAsia" w:hAnsi="Verdana"/>
              <w:noProof/>
              <w:sz w:val="32"/>
              <w:szCs w:val="32"/>
              <w:lang w:val="en-GB" w:eastAsia="en-GB" w:bidi="ar-SA"/>
            </w:rPr>
          </w:pPr>
          <w:hyperlink w:anchor="_Toc508967054" w:history="1">
            <w:r w:rsidR="004250E6" w:rsidRPr="004250E6">
              <w:rPr>
                <w:rStyle w:val="Hyperlink"/>
                <w:rFonts w:ascii="Verdana" w:hAnsi="Verdana"/>
                <w:noProof/>
                <w:sz w:val="32"/>
                <w:szCs w:val="32"/>
              </w:rPr>
              <w:t>3.</w:t>
            </w:r>
            <w:r w:rsidR="004250E6" w:rsidRPr="004250E6">
              <w:rPr>
                <w:rFonts w:ascii="Verdana" w:eastAsiaTheme="minorEastAsia" w:hAnsi="Verdana"/>
                <w:noProof/>
                <w:sz w:val="32"/>
                <w:szCs w:val="32"/>
                <w:lang w:val="en-GB" w:eastAsia="en-GB" w:bidi="ar-SA"/>
              </w:rPr>
              <w:tab/>
            </w:r>
            <w:r w:rsidR="004250E6" w:rsidRPr="004250E6">
              <w:rPr>
                <w:rStyle w:val="Hyperlink"/>
                <w:rFonts w:ascii="Verdana" w:hAnsi="Verdana"/>
                <w:noProof/>
                <w:sz w:val="32"/>
                <w:szCs w:val="32"/>
              </w:rPr>
              <w:t>Κλίμακα επάρκειας</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_Toc508967054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12</w:t>
            </w:r>
            <w:r w:rsidR="004250E6" w:rsidRPr="004250E6">
              <w:rPr>
                <w:rFonts w:ascii="Verdana" w:hAnsi="Verdana"/>
                <w:noProof/>
                <w:webHidden/>
                <w:sz w:val="32"/>
                <w:szCs w:val="32"/>
              </w:rPr>
              <w:fldChar w:fldCharType="end"/>
            </w:r>
          </w:hyperlink>
        </w:p>
        <w:p w:rsidR="004250E6" w:rsidRPr="004250E6" w:rsidRDefault="00A20A73">
          <w:pPr>
            <w:pStyle w:val="TOC1"/>
            <w:tabs>
              <w:tab w:val="left" w:pos="440"/>
              <w:tab w:val="right" w:leader="dot" w:pos="12950"/>
            </w:tabs>
            <w:rPr>
              <w:rFonts w:ascii="Verdana" w:eastAsiaTheme="minorEastAsia" w:hAnsi="Verdana"/>
              <w:noProof/>
              <w:sz w:val="32"/>
              <w:szCs w:val="32"/>
              <w:lang w:val="en-GB" w:eastAsia="en-GB" w:bidi="ar-SA"/>
            </w:rPr>
          </w:pPr>
          <w:hyperlink w:anchor="_Toc508967055" w:history="1">
            <w:r w:rsidR="004250E6" w:rsidRPr="004250E6">
              <w:rPr>
                <w:rStyle w:val="Hyperlink"/>
                <w:rFonts w:ascii="Verdana" w:hAnsi="Verdana"/>
                <w:noProof/>
                <w:sz w:val="32"/>
                <w:szCs w:val="32"/>
              </w:rPr>
              <w:t>4.</w:t>
            </w:r>
            <w:r w:rsidR="004250E6" w:rsidRPr="004250E6">
              <w:rPr>
                <w:rFonts w:ascii="Verdana" w:eastAsiaTheme="minorEastAsia" w:hAnsi="Verdana"/>
                <w:noProof/>
                <w:sz w:val="32"/>
                <w:szCs w:val="32"/>
                <w:lang w:val="en-GB" w:eastAsia="en-GB" w:bidi="ar-SA"/>
              </w:rPr>
              <w:tab/>
            </w:r>
            <w:r w:rsidR="004250E6" w:rsidRPr="004250E6">
              <w:rPr>
                <w:rStyle w:val="Hyperlink"/>
                <w:rFonts w:ascii="Verdana" w:hAnsi="Verdana"/>
                <w:noProof/>
                <w:sz w:val="32"/>
                <w:szCs w:val="32"/>
              </w:rPr>
              <w:t>Επιχειρησιακές ικανότητες</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_Toc508967055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14</w:t>
            </w:r>
            <w:r w:rsidR="004250E6" w:rsidRPr="004250E6">
              <w:rPr>
                <w:rFonts w:ascii="Verdana" w:hAnsi="Verdana"/>
                <w:noProof/>
                <w:webHidden/>
                <w:sz w:val="32"/>
                <w:szCs w:val="32"/>
              </w:rPr>
              <w:fldChar w:fldCharType="end"/>
            </w:r>
          </w:hyperlink>
        </w:p>
        <w:p w:rsidR="004250E6" w:rsidRPr="004250E6" w:rsidRDefault="00A20A73">
          <w:pPr>
            <w:pStyle w:val="TOC1"/>
            <w:tabs>
              <w:tab w:val="left" w:pos="440"/>
              <w:tab w:val="right" w:leader="dot" w:pos="12950"/>
            </w:tabs>
            <w:rPr>
              <w:rFonts w:ascii="Verdana" w:eastAsiaTheme="minorEastAsia" w:hAnsi="Verdana"/>
              <w:noProof/>
              <w:sz w:val="32"/>
              <w:szCs w:val="32"/>
              <w:lang w:val="en-GB" w:eastAsia="en-GB" w:bidi="ar-SA"/>
            </w:rPr>
          </w:pPr>
          <w:hyperlink w:anchor="_Toc508967056" w:history="1">
            <w:r w:rsidR="004250E6" w:rsidRPr="004250E6">
              <w:rPr>
                <w:rStyle w:val="Hyperlink"/>
                <w:rFonts w:ascii="Verdana" w:hAnsi="Verdana"/>
                <w:noProof/>
                <w:sz w:val="32"/>
                <w:szCs w:val="32"/>
              </w:rPr>
              <w:t>5.</w:t>
            </w:r>
            <w:r w:rsidR="004250E6" w:rsidRPr="004250E6">
              <w:rPr>
                <w:rFonts w:ascii="Verdana" w:eastAsiaTheme="minorEastAsia" w:hAnsi="Verdana"/>
                <w:noProof/>
                <w:sz w:val="32"/>
                <w:szCs w:val="32"/>
                <w:lang w:val="en-GB" w:eastAsia="en-GB" w:bidi="ar-SA"/>
              </w:rPr>
              <w:tab/>
            </w:r>
            <w:r w:rsidR="004250E6" w:rsidRPr="004250E6">
              <w:rPr>
                <w:rStyle w:val="Hyperlink"/>
                <w:rFonts w:ascii="Verdana" w:hAnsi="Verdana"/>
                <w:noProof/>
                <w:sz w:val="32"/>
                <w:szCs w:val="32"/>
              </w:rPr>
              <w:t>Διοικητικές ικανότητες</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_Toc508967056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17</w:t>
            </w:r>
            <w:r w:rsidR="004250E6" w:rsidRPr="004250E6">
              <w:rPr>
                <w:rFonts w:ascii="Verdana" w:hAnsi="Verdana"/>
                <w:noProof/>
                <w:webHidden/>
                <w:sz w:val="32"/>
                <w:szCs w:val="32"/>
              </w:rPr>
              <w:fldChar w:fldCharType="end"/>
            </w:r>
          </w:hyperlink>
        </w:p>
        <w:p w:rsidR="004250E6" w:rsidRPr="004250E6" w:rsidRDefault="00A20A73">
          <w:pPr>
            <w:pStyle w:val="TOC1"/>
            <w:tabs>
              <w:tab w:val="left" w:pos="440"/>
              <w:tab w:val="right" w:leader="dot" w:pos="12950"/>
            </w:tabs>
            <w:rPr>
              <w:rFonts w:ascii="Verdana" w:eastAsiaTheme="minorEastAsia" w:hAnsi="Verdana"/>
              <w:noProof/>
              <w:sz w:val="32"/>
              <w:szCs w:val="32"/>
              <w:lang w:val="en-GB" w:eastAsia="en-GB" w:bidi="ar-SA"/>
            </w:rPr>
          </w:pPr>
          <w:hyperlink w:anchor="_Toc508967057" w:history="1">
            <w:r w:rsidR="004250E6" w:rsidRPr="004250E6">
              <w:rPr>
                <w:rStyle w:val="Hyperlink"/>
                <w:rFonts w:ascii="Verdana" w:hAnsi="Verdana"/>
                <w:noProof/>
                <w:sz w:val="32"/>
                <w:szCs w:val="32"/>
              </w:rPr>
              <w:t>6.</w:t>
            </w:r>
            <w:r w:rsidR="004250E6" w:rsidRPr="004250E6">
              <w:rPr>
                <w:rFonts w:ascii="Verdana" w:eastAsiaTheme="minorEastAsia" w:hAnsi="Verdana"/>
                <w:noProof/>
                <w:sz w:val="32"/>
                <w:szCs w:val="32"/>
                <w:lang w:val="en-GB" w:eastAsia="en-GB" w:bidi="ar-SA"/>
              </w:rPr>
              <w:tab/>
            </w:r>
            <w:r w:rsidR="004250E6" w:rsidRPr="004250E6">
              <w:rPr>
                <w:rStyle w:val="Hyperlink"/>
                <w:rFonts w:ascii="Verdana" w:hAnsi="Verdana"/>
                <w:noProof/>
                <w:sz w:val="32"/>
                <w:szCs w:val="32"/>
              </w:rPr>
              <w:t>Επαγγελματικές ικανότητες</w:t>
            </w:r>
            <w:r w:rsidR="004250E6" w:rsidRPr="004250E6">
              <w:rPr>
                <w:rFonts w:ascii="Verdana" w:hAnsi="Verdana"/>
                <w:noProof/>
                <w:webHidden/>
                <w:sz w:val="32"/>
                <w:szCs w:val="32"/>
              </w:rPr>
              <w:tab/>
            </w:r>
            <w:r w:rsidR="004250E6" w:rsidRPr="004250E6">
              <w:rPr>
                <w:rFonts w:ascii="Verdana" w:hAnsi="Verdana"/>
                <w:noProof/>
                <w:webHidden/>
                <w:sz w:val="32"/>
                <w:szCs w:val="32"/>
              </w:rPr>
              <w:fldChar w:fldCharType="begin"/>
            </w:r>
            <w:r w:rsidR="004250E6" w:rsidRPr="004250E6">
              <w:rPr>
                <w:rFonts w:ascii="Verdana" w:hAnsi="Verdana"/>
                <w:noProof/>
                <w:webHidden/>
                <w:sz w:val="32"/>
                <w:szCs w:val="32"/>
              </w:rPr>
              <w:instrText xml:space="preserve"> PAGEREF _Toc508967057 \h </w:instrText>
            </w:r>
            <w:r w:rsidR="004250E6" w:rsidRPr="004250E6">
              <w:rPr>
                <w:rFonts w:ascii="Verdana" w:hAnsi="Verdana"/>
                <w:noProof/>
                <w:webHidden/>
                <w:sz w:val="32"/>
                <w:szCs w:val="32"/>
              </w:rPr>
            </w:r>
            <w:r w:rsidR="004250E6" w:rsidRPr="004250E6">
              <w:rPr>
                <w:rFonts w:ascii="Verdana" w:hAnsi="Verdana"/>
                <w:noProof/>
                <w:webHidden/>
                <w:sz w:val="32"/>
                <w:szCs w:val="32"/>
              </w:rPr>
              <w:fldChar w:fldCharType="separate"/>
            </w:r>
            <w:r w:rsidR="004250E6" w:rsidRPr="004250E6">
              <w:rPr>
                <w:rFonts w:ascii="Verdana" w:hAnsi="Verdana"/>
                <w:noProof/>
                <w:webHidden/>
                <w:sz w:val="32"/>
                <w:szCs w:val="32"/>
              </w:rPr>
              <w:t>22</w:t>
            </w:r>
            <w:r w:rsidR="004250E6" w:rsidRPr="004250E6">
              <w:rPr>
                <w:rFonts w:ascii="Verdana" w:hAnsi="Verdana"/>
                <w:noProof/>
                <w:webHidden/>
                <w:sz w:val="32"/>
                <w:szCs w:val="32"/>
              </w:rPr>
              <w:fldChar w:fldCharType="end"/>
            </w:r>
          </w:hyperlink>
        </w:p>
        <w:p w:rsidR="00F55E53" w:rsidRPr="004250E6" w:rsidRDefault="00CF51E8">
          <w:pPr>
            <w:pStyle w:val="TOC1"/>
            <w:tabs>
              <w:tab w:val="left" w:pos="660"/>
              <w:tab w:val="right" w:leader="dot" w:pos="12950"/>
            </w:tabs>
            <w:rPr>
              <w:rFonts w:ascii="Verdana" w:eastAsiaTheme="minorEastAsia" w:hAnsi="Verdana"/>
              <w:noProof/>
              <w:sz w:val="32"/>
              <w:szCs w:val="32"/>
            </w:rPr>
          </w:pPr>
          <w:r w:rsidRPr="004250E6">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2" w:name="_Toc494906118"/>
      <w:bookmarkStart w:id="3" w:name="_Toc508967052"/>
      <w:r>
        <w:lastRenderedPageBreak/>
        <w:t>Εργασιακοί ρόλοι</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8"/>
        <w:gridCol w:w="3176"/>
        <w:gridCol w:w="1599"/>
        <w:gridCol w:w="7106"/>
      </w:tblGrid>
      <w:tr w:rsidR="006931AA" w:rsidRPr="0062042A" w:rsidTr="00C11916">
        <w:trPr>
          <w:trHeight w:val="467"/>
        </w:trPr>
        <w:tc>
          <w:tcPr>
            <w:tcW w:w="1771"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3229"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C11916" w:rsidRPr="0062042A" w:rsidTr="00C11916">
        <w:trPr>
          <w:trHeight w:val="440"/>
        </w:trPr>
        <w:tc>
          <w:tcPr>
            <w:tcW w:w="593" w:type="pct"/>
            <w:shd w:val="clear" w:color="auto" w:fill="F2F2F2" w:themeFill="background1" w:themeFillShade="F2"/>
            <w:vAlign w:val="center"/>
            <w:hideMark/>
          </w:tcPr>
          <w:p w:rsidR="00C11916" w:rsidRPr="0062042A" w:rsidRDefault="00C11916" w:rsidP="00143F3C">
            <w:pPr>
              <w:spacing w:after="0"/>
              <w:rPr>
                <w:rFonts w:ascii="Verdana" w:hAnsi="Verdana" w:cstheme="minorHAnsi"/>
                <w:sz w:val="20"/>
                <w:szCs w:val="20"/>
              </w:rPr>
            </w:pPr>
            <w:r w:rsidRPr="0062042A">
              <w:rPr>
                <w:rFonts w:ascii="Verdana" w:hAnsi="Verdana" w:cstheme="minorHAnsi"/>
                <w:sz w:val="20"/>
                <w:szCs w:val="20"/>
              </w:rPr>
              <w:t>Job Role</w:t>
            </w:r>
          </w:p>
        </w:tc>
        <w:tc>
          <w:tcPr>
            <w:tcW w:w="1178" w:type="pct"/>
            <w:shd w:val="clear" w:color="auto" w:fill="F2F2F2" w:themeFill="background1" w:themeFillShade="F2"/>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szCs w:val="20"/>
              </w:rPr>
              <w:t>Description</w:t>
            </w:r>
          </w:p>
        </w:tc>
        <w:tc>
          <w:tcPr>
            <w:tcW w:w="593" w:type="pct"/>
            <w:shd w:val="clear" w:color="auto" w:fill="F2F2F2" w:themeFill="background1" w:themeFillShade="F2"/>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Εργασιακός ρόλος</w:t>
            </w:r>
          </w:p>
        </w:tc>
        <w:tc>
          <w:tcPr>
            <w:tcW w:w="2636" w:type="pct"/>
            <w:shd w:val="clear" w:color="auto" w:fill="F2F2F2" w:themeFill="background1" w:themeFillShade="F2"/>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Περιγραφή</w:t>
            </w:r>
          </w:p>
        </w:tc>
      </w:tr>
      <w:tr w:rsidR="00C11916" w:rsidRPr="0062042A" w:rsidTr="00C11916">
        <w:trPr>
          <w:trHeight w:val="1250"/>
        </w:trPr>
        <w:tc>
          <w:tcPr>
            <w:tcW w:w="593" w:type="pct"/>
            <w:shd w:val="clear" w:color="000000" w:fill="FFFFFF"/>
            <w:vAlign w:val="center"/>
            <w:hideMark/>
          </w:tcPr>
          <w:p w:rsidR="00C11916" w:rsidRPr="0062042A" w:rsidRDefault="00C11916" w:rsidP="00143F3C">
            <w:pPr>
              <w:spacing w:after="0"/>
              <w:rPr>
                <w:rFonts w:ascii="Verdana" w:hAnsi="Verdana" w:cstheme="minorHAnsi"/>
                <w:sz w:val="20"/>
                <w:szCs w:val="20"/>
              </w:rPr>
            </w:pPr>
            <w:r w:rsidRPr="0062042A">
              <w:rPr>
                <w:rFonts w:ascii="Verdana" w:hAnsi="Verdana" w:cstheme="minorHAnsi"/>
                <w:sz w:val="20"/>
                <w:szCs w:val="20"/>
              </w:rPr>
              <w:t>Decision-making level</w:t>
            </w:r>
          </w:p>
        </w:tc>
        <w:tc>
          <w:tcPr>
            <w:tcW w:w="1178"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This is the head of the organization or persons that act on relatively high strategic management levels</w:t>
            </w:r>
          </w:p>
        </w:tc>
        <w:tc>
          <w:tcPr>
            <w:tcW w:w="593" w:type="pct"/>
            <w:shd w:val="clear" w:color="000000" w:fill="FFFFFF"/>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Επίπεδο λήψης αποφάσεων</w:t>
            </w:r>
          </w:p>
        </w:tc>
        <w:tc>
          <w:tcPr>
            <w:tcW w:w="2636" w:type="pct"/>
            <w:shd w:val="clear" w:color="000000" w:fill="FFFFFF"/>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Πρόκειται για τον επικεφαλής του οργανισμού ή τα άτομα που δραστηριοποιούνται σε σχετικά υψηλά επίπεδα στρατηγικής διαχείρισης</w:t>
            </w:r>
          </w:p>
        </w:tc>
      </w:tr>
      <w:tr w:rsidR="00C11916" w:rsidRPr="0062042A" w:rsidTr="00C11916">
        <w:trPr>
          <w:trHeight w:val="1871"/>
        </w:trPr>
        <w:tc>
          <w:tcPr>
            <w:tcW w:w="593" w:type="pct"/>
            <w:shd w:val="clear" w:color="000000" w:fill="FFFFFF"/>
            <w:vAlign w:val="center"/>
            <w:hideMark/>
          </w:tcPr>
          <w:p w:rsidR="00C11916" w:rsidRPr="0062042A" w:rsidRDefault="00C11916" w:rsidP="00143F3C">
            <w:pPr>
              <w:spacing w:after="0"/>
              <w:rPr>
                <w:rFonts w:ascii="Verdana" w:hAnsi="Verdana" w:cstheme="minorHAnsi"/>
                <w:sz w:val="20"/>
                <w:szCs w:val="20"/>
              </w:rPr>
            </w:pPr>
            <w:r w:rsidRPr="0062042A">
              <w:rPr>
                <w:rFonts w:ascii="Verdana" w:hAnsi="Verdana" w:cstheme="minorHAnsi"/>
                <w:sz w:val="20"/>
                <w:szCs w:val="20"/>
              </w:rPr>
              <w:t>Supervisory level</w:t>
            </w:r>
          </w:p>
        </w:tc>
        <w:tc>
          <w:tcPr>
            <w:tcW w:w="1178"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93" w:type="pct"/>
            <w:shd w:val="clear" w:color="000000" w:fill="FFFFFF"/>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Επίπεδο εποπτείας</w:t>
            </w:r>
          </w:p>
        </w:tc>
        <w:tc>
          <w:tcPr>
            <w:tcW w:w="2636" w:type="pct"/>
            <w:shd w:val="clear" w:color="000000" w:fill="FFFFFF"/>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Πρόκειται για το μεσαίο επίπεδο διοίκησης το οποίο είναι υπεύθυνο για μια ομάδα ατόμων και δεν εμπλέκεται άμεσα στην επιχειρησιακή εφαρμογή του προγράμματος, για παράδειγμα οι επικεφαλής των οργανωτικών μονάδων</w:t>
            </w:r>
          </w:p>
        </w:tc>
      </w:tr>
      <w:tr w:rsidR="00C11916" w:rsidRPr="0062042A" w:rsidTr="00C11916">
        <w:trPr>
          <w:trHeight w:val="1439"/>
        </w:trPr>
        <w:tc>
          <w:tcPr>
            <w:tcW w:w="593" w:type="pct"/>
            <w:shd w:val="clear" w:color="000000" w:fill="FFFFFF"/>
            <w:vAlign w:val="center"/>
            <w:hideMark/>
          </w:tcPr>
          <w:p w:rsidR="00C11916" w:rsidRPr="0062042A" w:rsidRDefault="00C11916" w:rsidP="00143F3C">
            <w:pPr>
              <w:spacing w:after="0"/>
              <w:rPr>
                <w:rFonts w:ascii="Verdana" w:hAnsi="Verdana" w:cstheme="minorHAnsi"/>
                <w:sz w:val="20"/>
                <w:szCs w:val="20"/>
              </w:rPr>
            </w:pPr>
            <w:r w:rsidRPr="0062042A">
              <w:rPr>
                <w:rFonts w:ascii="Verdana" w:hAnsi="Verdana" w:cstheme="minorHAnsi"/>
                <w:sz w:val="20"/>
                <w:szCs w:val="20"/>
              </w:rPr>
              <w:t>Operational level</w:t>
            </w:r>
          </w:p>
        </w:tc>
        <w:tc>
          <w:tcPr>
            <w:tcW w:w="1178"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These are the experts that are directly working on the different tasks and sub-tasks within the organization</w:t>
            </w:r>
          </w:p>
        </w:tc>
        <w:tc>
          <w:tcPr>
            <w:tcW w:w="593" w:type="pct"/>
            <w:shd w:val="clear" w:color="000000" w:fill="FFFFFF"/>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Επιχειρησιακό επίπεδο</w:t>
            </w:r>
          </w:p>
        </w:tc>
        <w:tc>
          <w:tcPr>
            <w:tcW w:w="2636" w:type="pct"/>
            <w:shd w:val="clear" w:color="000000" w:fill="FFFFFF"/>
            <w:vAlign w:val="center"/>
          </w:tcPr>
          <w:p w:rsidR="00C11916" w:rsidRPr="0062042A" w:rsidRDefault="00C11916" w:rsidP="00143F3C">
            <w:pPr>
              <w:spacing w:after="0"/>
              <w:rPr>
                <w:rFonts w:ascii="Verdana" w:hAnsi="Verdana" w:cstheme="minorHAnsi"/>
                <w:sz w:val="20"/>
                <w:szCs w:val="20"/>
              </w:rPr>
            </w:pPr>
            <w:r>
              <w:rPr>
                <w:rFonts w:ascii="Verdana" w:hAnsi="Verdana" w:cstheme="minorHAnsi"/>
                <w:sz w:val="20"/>
              </w:rPr>
              <w:t>Πρόκειται για τους εμπειρογνώμονες που εργάζονται απευθείας στα διάφορα καθήκοντα και επιμέρους καθήκοντα εντός του οργανισμού</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4" w:name="_Toc494906119"/>
      <w:bookmarkStart w:id="5" w:name="_Toc508967053"/>
      <w:r>
        <w:lastRenderedPageBreak/>
        <w:t>Καθήκοντα και επιμέρους καθήκοντα</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C11916" w:rsidRPr="00751B8C" w:rsidTr="006645FC">
        <w:trPr>
          <w:trHeight w:val="318"/>
          <w:tblHeader/>
        </w:trPr>
        <w:tc>
          <w:tcPr>
            <w:tcW w:w="902" w:type="pct"/>
            <w:shd w:val="clear" w:color="auto" w:fill="F2F2F2" w:themeFill="background1" w:themeFillShade="F2"/>
            <w:vAlign w:val="center"/>
          </w:tcPr>
          <w:p w:rsidR="00C11916" w:rsidRPr="00751B8C" w:rsidRDefault="00C11916" w:rsidP="00143F3C">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C11916" w:rsidRPr="00751B8C" w:rsidRDefault="00C11916" w:rsidP="00143F3C">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C11916" w:rsidRPr="00751B8C" w:rsidRDefault="00C11916" w:rsidP="00143F3C">
            <w:pPr>
              <w:spacing w:after="0" w:line="240" w:lineRule="auto"/>
              <w:rPr>
                <w:rFonts w:ascii="Verdana" w:eastAsia="Times New Roman" w:hAnsi="Verdana" w:cstheme="minorHAnsi"/>
                <w:b/>
                <w:bCs/>
                <w:sz w:val="20"/>
                <w:szCs w:val="20"/>
              </w:rPr>
            </w:pPr>
            <w:r>
              <w:rPr>
                <w:rFonts w:ascii="Verdana" w:hAnsi="Verdana" w:cstheme="minorHAnsi"/>
                <w:b/>
                <w:sz w:val="20"/>
              </w:rPr>
              <w:t>Καθήκοντα</w:t>
            </w:r>
          </w:p>
        </w:tc>
        <w:tc>
          <w:tcPr>
            <w:tcW w:w="1251" w:type="pct"/>
            <w:shd w:val="clear" w:color="auto" w:fill="F2F2F2" w:themeFill="background1" w:themeFillShade="F2"/>
            <w:vAlign w:val="center"/>
          </w:tcPr>
          <w:p w:rsidR="00C11916" w:rsidRPr="00751B8C" w:rsidRDefault="00C11916" w:rsidP="00143F3C">
            <w:pPr>
              <w:spacing w:after="0" w:line="240" w:lineRule="auto"/>
              <w:rPr>
                <w:rFonts w:ascii="Verdana" w:eastAsia="Times New Roman" w:hAnsi="Verdana" w:cstheme="minorHAnsi"/>
                <w:b/>
                <w:bCs/>
                <w:sz w:val="20"/>
                <w:szCs w:val="20"/>
              </w:rPr>
            </w:pPr>
            <w:r>
              <w:rPr>
                <w:rFonts w:ascii="Verdana" w:hAnsi="Verdana" w:cstheme="minorHAnsi"/>
                <w:b/>
                <w:sz w:val="20"/>
              </w:rPr>
              <w:t>Επιμέρους καθήκον</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1. Programming   </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1. Προγραμματισμός   </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1.1. Διοργανικός συντονισμός και συμμετοχή ενδιαφερομένων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1,2.  Εκπόνηση του προγράμματος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1.3. Διαχείριση της διαδικασίας αξιολόγησης (εκ των προτέρων)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1.4. Διαπραγμάτευση με την ΕΕπ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1.5 Προμήθεια αγαθών και 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1.6 Definition of the guiding principles for selection of operations</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1.6 Ορισμός των κατευθυντήριων αρχών για την επιλογή δραστηριοτήτων</w:t>
            </w:r>
          </w:p>
        </w:tc>
      </w:tr>
      <w:tr w:rsidR="00C11916" w:rsidRPr="00751B8C" w:rsidTr="00757D2E">
        <w:trPr>
          <w:trHeight w:val="318"/>
        </w:trPr>
        <w:tc>
          <w:tcPr>
            <w:tcW w:w="9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2. System set-up, development of procedures and tools</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2. Διαμόρφωση συστήματος, ανάπτυξη διαδικασιών και εργαλείων</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2.1. Ανάπτυξη της περιγραφής των συστημάτων διαχείρισης και ελέγχου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2.2. Development of the procedures and tools for Programme implementation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2.2. Ανάπτυξη διαδικασιών και εργαλείων για την υλοποίηση των προγραμμάτων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2.3 Διαμόρφωση νομικού συστήματος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2.4. Ανάπτυξη και συντήρηση των συστημάτων παρακολούθησης και πληροφόρησης και ηλεκτρονική συνοχή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2.5 Procurement of goods and services </w:t>
            </w:r>
            <w:r w:rsidRPr="00C11916">
              <w:rPr>
                <w:rFonts w:ascii="Verdana" w:hAnsi="Verdana" w:cstheme="minorHAnsi"/>
                <w:sz w:val="20"/>
                <w:szCs w:val="20"/>
                <w:lang w:val="en-GB"/>
              </w:rPr>
              <w:lastRenderedPageBreak/>
              <w:t>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2.5 Προμήθεια αγαθών και </w:t>
            </w:r>
            <w:r>
              <w:rPr>
                <w:rFonts w:ascii="Verdana" w:hAnsi="Verdana" w:cstheme="minorHAnsi"/>
                <w:sz w:val="20"/>
              </w:rPr>
              <w:lastRenderedPageBreak/>
              <w:t>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2.6. Development of institutional and administrative capacity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2.6. Ανάπτυξη θεσμικής και διοικητικής ικανότητας </w:t>
            </w:r>
          </w:p>
        </w:tc>
      </w:tr>
      <w:tr w:rsidR="00C11916" w:rsidRPr="00751B8C" w:rsidTr="00757D2E">
        <w:trPr>
          <w:trHeight w:val="318"/>
        </w:trPr>
        <w:tc>
          <w:tcPr>
            <w:tcW w:w="9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3. Project generation, preparation of calls for proposals, project selection and contracting</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3. Δημιουργία έργου, ετοιμασία προσκλήσεων υποβολής προτάσεων, επιλογή έργου και σύναψη σύμβασης</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3.1 Στήριξη αιτούντων αναφορικά με τεχνικές και οικονομικές πτυχές των απαιτήσεων του έργου, περιλαμβανομένης της ανάπτυξης ικανοτήτων σε επίπεδο δικαιούχων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3.2. Εκπόνηση προτάσεων για κριτήρια επιλογής και διαδικασίες επιλογής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3.3. Εκπόνηση / τροποποίηση κατευθυντήριων γραμμών για τους αιτούντες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3.4. Διοικητικός έλεγχος και έλεγχος επιλεξιμότητας (πληρότητα του πακέτου και συμμόρφωση προς συναφείς νόμους και κανονισμούς)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3.5. Αξιολόγηση (βαθμολόγηση αιτήσεων, διαχείριση ενστάσεων, κατάρτιση καταλόγου έργων, γνωστοποίηση αποτελεσμάτων σε υπεύθυνους λήψης αποφάσεων και αιτούντες)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3.6. Ανάπτυξη και τροποποίηση διαδικασιών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3.7. Procurement of goods and services </w:t>
            </w:r>
            <w:r w:rsidRPr="00C11916">
              <w:rPr>
                <w:rFonts w:ascii="Verdana" w:hAnsi="Verdana" w:cstheme="minorHAnsi"/>
                <w:sz w:val="20"/>
                <w:szCs w:val="20"/>
                <w:lang w:val="en-GB"/>
              </w:rPr>
              <w:lastRenderedPageBreak/>
              <w:t>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3.7. Προμήθεια αγαθών και </w:t>
            </w:r>
            <w:r>
              <w:rPr>
                <w:rFonts w:ascii="Verdana" w:hAnsi="Verdana" w:cstheme="minorHAnsi"/>
                <w:sz w:val="20"/>
              </w:rPr>
              <w:lastRenderedPageBreak/>
              <w:t>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3.8. Δραστηριότητες ευαισθητοποίησης και υποστήριξης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3.9. Collecting documentation from successful applicants, preparation of contracting documentation and contract modifications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3.9. Συγκέντρωση εγγράφων τεκμηρίωσης από επιτυχόντες αιτούντες, σύνταξη εγγράφων για τη σύναψη συμβάσεων και τροποποιήσεις συμβάσεων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4. Monitoring on project level</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4. Παρακολούθηση σε επίπεδο έργου</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4.1. Τεχνική παρακολούθηση και επιτόπιες επαληθεύσεις σε επίπεδο έργου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4.2. Παροχή συμβουλών σε δικαιούχους σχετικά με ζητήματα υλοποίησης των έργων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4.3. Εντοπισμός και αναφορά παρατυπιών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4.4 Προμήθεια αγαθών και 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5. Παρακολούθηση σε επίπεδο προγράμματος</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5.1. Μέτρηση της επίδοσης </w:t>
            </w:r>
            <w:r w:rsidR="004D7BED" w:rsidRPr="004D7BED">
              <w:rPr>
                <w:rFonts w:ascii="Verdana" w:hAnsi="Verdana" w:cstheme="minorHAnsi"/>
                <w:sz w:val="20"/>
              </w:rPr>
              <w:t>του άξονα προτεραιότητας</w:t>
            </w:r>
            <w:r>
              <w:rPr>
                <w:rFonts w:ascii="Verdana" w:hAnsi="Verdana" w:cstheme="minorHAnsi"/>
                <w:sz w:val="20"/>
              </w:rPr>
              <w:t xml:space="preserve">/του μέτρου (σχεδιασμός, παρακολούθηση, πρόβλεψη, αναθεώρηση)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5.2. Μέτρηση της επίδοσης του επιχειρησιακού προγράμματος (σχεδιασμός, παρακολούθηση, πρόβλεψη, αναθεώρηση και διορθωτικά </w:t>
            </w:r>
            <w:r>
              <w:rPr>
                <w:rFonts w:ascii="Verdana" w:hAnsi="Verdana" w:cstheme="minorHAnsi"/>
                <w:sz w:val="20"/>
              </w:rPr>
              <w:lastRenderedPageBreak/>
              <w:t xml:space="preserve">μέτρα)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5.3 Monitoring the progress of implementation of the partnership agreement</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5.3 Παρακολούθηση της προόδου σε σχέση με την εφαρμογή της συμφωνίας εταιρικής σχέσης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5.4. Reporting to the Monitoring Committee and European Commission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5.4. Υποβολή εκθέσεων στην επιτροπή παρακολούθησης και στην Ευρωπαϊκή Επιτροπή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5.5. Development and amendment of monitoring procedures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5.5. Ανάπτυξη και τροποποίηση διαδικασιών παρακολούθησης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5.6. Supporting the Monitoring Committee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5.6. Στήριξη της επιτροπής παρακολούθησης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5.7.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5.7. Προμήθεια αγαθών και 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6. Evaluation</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6. Αξιολόγηση</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6.1. Προετοιμασία και καθοδήγηση της διαδικασίας αξιολόγησης (με εξωτερική ανάθεση)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6.2. Διενέργεια της αξιολόγησης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6.3. Χρήση αποτελεσμάτων: ενσωμάτωση στον προσδιορισμό και την υλοποίηση επακόλουθων δράσεων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6.4.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6.4. Προμήθεια αγαθών και 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6.5. Ex-ante conditionalities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6.5. Εκ των προτέρων όροι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 xml:space="preserve">7. Financial </w:t>
            </w:r>
            <w:r w:rsidRPr="00751B8C">
              <w:rPr>
                <w:rFonts w:ascii="Verdana" w:hAnsi="Verdana" w:cstheme="minorHAnsi"/>
                <w:sz w:val="20"/>
                <w:szCs w:val="20"/>
              </w:rPr>
              <w:lastRenderedPageBreak/>
              <w:t>management on project level</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lastRenderedPageBreak/>
              <w:t xml:space="preserve">7.1. Verification of payment claims and </w:t>
            </w:r>
            <w:r w:rsidRPr="00C11916">
              <w:rPr>
                <w:rFonts w:ascii="Verdana" w:hAnsi="Verdana" w:cstheme="minorHAnsi"/>
                <w:sz w:val="20"/>
                <w:szCs w:val="20"/>
                <w:lang w:val="en-GB"/>
              </w:rPr>
              <w:lastRenderedPageBreak/>
              <w:t xml:space="preserve">first level control reports at project level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lastRenderedPageBreak/>
              <w:t xml:space="preserve">7. Οικονομική διαχείριση σε </w:t>
            </w:r>
            <w:r>
              <w:rPr>
                <w:rFonts w:ascii="Verdana" w:hAnsi="Verdana" w:cstheme="minorHAnsi"/>
                <w:sz w:val="20"/>
              </w:rPr>
              <w:lastRenderedPageBreak/>
              <w:t>επίπεδο έργου</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lastRenderedPageBreak/>
              <w:t xml:space="preserve">7.1. Επαλήθευση αιτήσεων για </w:t>
            </w:r>
            <w:r>
              <w:rPr>
                <w:rFonts w:ascii="Verdana" w:hAnsi="Verdana" w:cstheme="minorHAnsi"/>
                <w:sz w:val="20"/>
              </w:rPr>
              <w:lastRenderedPageBreak/>
              <w:t xml:space="preserve">πληρωμές και εκθέσεις ελέγχου πρώτου επιπέδου σε επίπεδο έργου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7.2. Οικονομική παρακολούθηση και επιτόπιες επαληθεύσεις σε επίπεδο έργου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7.3. Προμήθεια αγαθών και 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8. Financial management on programme level</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8. Οικονομική διαχείριση σε επίπεδο προγράμματος</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8.1. Μέτρηση της οικονομικής επίδοσης </w:t>
            </w:r>
            <w:r w:rsidR="004D7BED" w:rsidRPr="004D7BED">
              <w:rPr>
                <w:rFonts w:ascii="Verdana" w:hAnsi="Verdana" w:cstheme="minorHAnsi"/>
                <w:sz w:val="20"/>
              </w:rPr>
              <w:t>του άξονα προτεραιότητας</w:t>
            </w:r>
            <w:r>
              <w:rPr>
                <w:rFonts w:ascii="Verdana" w:hAnsi="Verdana" w:cstheme="minorHAnsi"/>
                <w:sz w:val="20"/>
              </w:rPr>
              <w:t xml:space="preserve">/του μέτρου (σχεδιασμός, παρακολούθηση, πρόβλεψη, αναθεώρηση) </w:t>
            </w:r>
          </w:p>
        </w:tc>
      </w:tr>
      <w:tr w:rsidR="00C11916" w:rsidRPr="00751B8C" w:rsidTr="00757D2E">
        <w:trPr>
          <w:trHeight w:val="683"/>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8.2. Financial management of Operational Programme (planning, monitoring, forecasting, revising and corrective actions)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8.2. Οικονομική διαχείριση του επιχειρησιακού προγράμματος (σχεδιασμός, παρακολούθηση, πρόβλεψη, αναθεώρηση και διορθωτικά μέτρα)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8.3. Υποβολή εκθέσεων στην επιτροπή παρακολούθησης και στην Ευρωπαϊκή Επιτροπή, όπου περιλαμβάνεται δήλωση διαχείρισης και ετήσια περίληψη [άρθρο 125 παράγραφος 4 στοιχείο ε) του κανονισμού περί κοινών διατάξεων]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8.4. Ανάπτυξη και τροποποίηση διαδικασιών </w:t>
            </w:r>
            <w:r>
              <w:rPr>
                <w:rFonts w:ascii="Verdana" w:hAnsi="Verdana" w:cstheme="minorHAnsi"/>
                <w:sz w:val="20"/>
              </w:rPr>
              <w:lastRenderedPageBreak/>
              <w:t xml:space="preserve">οικονομικής διαχείρισης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8.5. Προμήθεια αγαθών και υπηρεσιών στο πλαίσιο της Τεχνικής Βοήθειας</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r w:rsidRPr="00751B8C">
              <w:rPr>
                <w:rFonts w:ascii="Verdana" w:hAnsi="Verdana" w:cstheme="minorHAnsi"/>
                <w:sz w:val="20"/>
                <w:szCs w:val="20"/>
              </w:rPr>
              <w:t>9. Communication</w:t>
            </w: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9. Επικοινωνία</w:t>
            </w: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9.1. Εκπόνηση σχεδίου επικοινωνίας και εφαρμογή του για τους διάφορους ενδιαφερομένους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 xml:space="preserve">9.2. Ανάπτυξη δικτύων με διαφορετικά μέσα </w:t>
            </w:r>
          </w:p>
        </w:tc>
      </w:tr>
      <w:tr w:rsidR="00C11916" w:rsidRPr="00751B8C" w:rsidTr="00757D2E">
        <w:trPr>
          <w:trHeight w:val="318"/>
        </w:trPr>
        <w:tc>
          <w:tcPr>
            <w:tcW w:w="902" w:type="pct"/>
            <w:shd w:val="clear" w:color="000000" w:fill="FFFFFF"/>
            <w:vAlign w:val="center"/>
          </w:tcPr>
          <w:p w:rsidR="00C11916" w:rsidRPr="00751B8C" w:rsidRDefault="00C11916" w:rsidP="00143F3C">
            <w:pPr>
              <w:spacing w:after="0"/>
              <w:rPr>
                <w:rFonts w:ascii="Verdana" w:hAnsi="Verdana" w:cstheme="minorHAnsi"/>
                <w:sz w:val="20"/>
                <w:szCs w:val="20"/>
              </w:rPr>
            </w:pPr>
          </w:p>
        </w:tc>
        <w:tc>
          <w:tcPr>
            <w:tcW w:w="1702" w:type="pct"/>
            <w:shd w:val="clear" w:color="000000" w:fill="FFFFFF"/>
            <w:vAlign w:val="center"/>
          </w:tcPr>
          <w:p w:rsidR="00C11916" w:rsidRPr="00C11916" w:rsidRDefault="00C11916" w:rsidP="00143F3C">
            <w:pPr>
              <w:spacing w:after="0"/>
              <w:rPr>
                <w:rFonts w:ascii="Verdana" w:hAnsi="Verdana" w:cstheme="minorHAnsi"/>
                <w:sz w:val="20"/>
                <w:szCs w:val="20"/>
                <w:lang w:val="en-GB"/>
              </w:rPr>
            </w:pPr>
            <w:r w:rsidRPr="00C11916">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C11916" w:rsidRPr="00C11916" w:rsidRDefault="00C11916" w:rsidP="00143F3C">
            <w:pPr>
              <w:spacing w:after="0"/>
              <w:rPr>
                <w:rFonts w:ascii="Verdana" w:hAnsi="Verdana" w:cstheme="minorHAnsi"/>
                <w:sz w:val="20"/>
                <w:szCs w:val="20"/>
                <w:lang w:val="en-GB"/>
              </w:rPr>
            </w:pPr>
          </w:p>
        </w:tc>
        <w:tc>
          <w:tcPr>
            <w:tcW w:w="1251" w:type="pct"/>
            <w:shd w:val="clear" w:color="000000" w:fill="FFFFFF"/>
            <w:vAlign w:val="center"/>
          </w:tcPr>
          <w:p w:rsidR="00C11916" w:rsidRPr="00751B8C" w:rsidRDefault="00C11916" w:rsidP="00143F3C">
            <w:pPr>
              <w:spacing w:after="0"/>
              <w:rPr>
                <w:rFonts w:ascii="Verdana" w:hAnsi="Verdana" w:cstheme="minorHAnsi"/>
                <w:sz w:val="20"/>
                <w:szCs w:val="20"/>
              </w:rPr>
            </w:pPr>
            <w:r>
              <w:rPr>
                <w:rFonts w:ascii="Verdana" w:hAnsi="Verdana" w:cstheme="minorHAnsi"/>
                <w:sz w:val="20"/>
              </w:rPr>
              <w:t>9.3. Προμήθεια αγαθών και υπηρεσιών στο πλαίσιο της Τεχνικής Βοήθειας</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ind w:left="175"/>
              <w:rPr>
                <w:rFonts w:ascii="Verdana" w:hAnsi="Verdana"/>
                <w:sz w:val="20"/>
                <w:szCs w:val="20"/>
                <w:lang w:val="en-GB"/>
              </w:rPr>
            </w:pPr>
            <w:r w:rsidRPr="00C11916">
              <w:rPr>
                <w:rFonts w:ascii="Verdana" w:hAnsi="Verdana" w:cstheme="minorHAnsi"/>
                <w:sz w:val="20"/>
                <w:szCs w:val="20"/>
                <w:lang w:val="en-GB"/>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ind w:left="175"/>
              <w:rPr>
                <w:rFonts w:ascii="Verdana" w:hAnsi="Verdana"/>
                <w:sz w:val="20"/>
                <w:szCs w:val="20"/>
              </w:rPr>
            </w:pPr>
            <w:r>
              <w:rPr>
                <w:rFonts w:ascii="Verdana" w:hAnsi="Verdana" w:cstheme="minorHAnsi"/>
                <w:sz w:val="20"/>
              </w:rPr>
              <w:t>10. Εποπτεία ενδιάμεσων φορέων (ΕΦ)</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1. Στήριξη των ΕΦ κατά τη διαμόρφωση του συστήματος διαχείρισης και ελέγχου</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 xml:space="preserve">2. Σύνταξη της συμφωνίας ανάθεσης </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3. Σχεδιασμός του λογιστικού ελέγχου των ΕΦ</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4. Λογιστικός έλεγχος του συστήματος διαχείρισης και ελέγχου των ΕΦ</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5. Τακτική επανεξέταση των αποτελεσμάτων που αναφέρουν οι ΕΦ</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6. Επανεξέταση δείγματος των δραστηριοτήτων που διενεργούνται υπό την ευθύνη των ΕΦ</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 xml:space="preserve">7. Κατάρτιση διαδικασιών και </w:t>
            </w:r>
            <w:r>
              <w:rPr>
                <w:rFonts w:ascii="Verdana" w:hAnsi="Verdana" w:cstheme="minorHAnsi"/>
                <w:sz w:val="20"/>
              </w:rPr>
              <w:lastRenderedPageBreak/>
              <w:t>κατευθυντήριων γραμμών</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C11916" w:rsidRDefault="00C11916" w:rsidP="00143F3C">
            <w:pPr>
              <w:spacing w:after="0"/>
              <w:ind w:left="180"/>
              <w:rPr>
                <w:rFonts w:ascii="Verdana" w:hAnsi="Verdana" w:cstheme="minorHAnsi"/>
                <w:sz w:val="20"/>
                <w:szCs w:val="20"/>
                <w:lang w:val="en-GB"/>
              </w:rPr>
            </w:pPr>
            <w:r w:rsidRPr="00C11916">
              <w:rPr>
                <w:rFonts w:ascii="Verdana" w:hAnsi="Verdana" w:cstheme="minorHAnsi"/>
                <w:sz w:val="20"/>
                <w:szCs w:val="20"/>
                <w:lang w:val="en-GB"/>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C11916" w:rsidRDefault="00C11916" w:rsidP="00143F3C">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8. Προμήθεια αγαθών και υπηρεσιών στο πλαίσιο της Τεχνικής Βοήθειας</w:t>
            </w:r>
          </w:p>
        </w:tc>
      </w:tr>
      <w:tr w:rsidR="00C11916" w:rsidRPr="00751B8C" w:rsidTr="00F07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C11916" w:rsidRPr="00751B8C" w:rsidRDefault="00C11916" w:rsidP="00143F3C">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C11916" w:rsidRPr="00751B8C" w:rsidRDefault="00C11916" w:rsidP="00143F3C">
            <w:pPr>
              <w:spacing w:after="0"/>
              <w:ind w:left="180"/>
              <w:rPr>
                <w:rFonts w:ascii="Verdana" w:hAnsi="Verdana" w:cstheme="minorHAnsi"/>
                <w:sz w:val="20"/>
                <w:szCs w:val="20"/>
              </w:rPr>
            </w:pPr>
            <w:r>
              <w:rPr>
                <w:rFonts w:ascii="Verdana" w:hAnsi="Verdana" w:cstheme="minorHAnsi"/>
                <w:sz w:val="20"/>
              </w:rPr>
              <w:t>9. Συνεχής παροχή στήριξης στους ΕΦ</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8967054"/>
      <w:r>
        <w:lastRenderedPageBreak/>
        <w:t>Κλίμακα επάρκειας</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Αγγλικά</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Ελληνικά</w:t>
            </w:r>
          </w:p>
        </w:tc>
      </w:tr>
      <w:tr w:rsidR="00C11916" w:rsidRPr="00751B8C" w:rsidTr="00F55E53">
        <w:trPr>
          <w:trHeight w:val="20"/>
          <w:tblHeader/>
        </w:trPr>
        <w:tc>
          <w:tcPr>
            <w:tcW w:w="658" w:type="pct"/>
            <w:shd w:val="clear" w:color="auto" w:fill="F2F2F2" w:themeFill="background1" w:themeFillShade="F2"/>
          </w:tcPr>
          <w:p w:rsidR="00C11916" w:rsidRPr="00751B8C" w:rsidRDefault="00C11916" w:rsidP="00143F3C">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C11916" w:rsidRPr="00751B8C" w:rsidRDefault="00C11916" w:rsidP="00143F3C">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590" w:type="pct"/>
            <w:shd w:val="clear" w:color="auto" w:fill="F2F2F2" w:themeFill="background1" w:themeFillShade="F2"/>
          </w:tcPr>
          <w:p w:rsidR="00C11916" w:rsidRPr="00751B8C" w:rsidRDefault="00C11916" w:rsidP="00143F3C">
            <w:pPr>
              <w:spacing w:after="0" w:line="240" w:lineRule="auto"/>
              <w:rPr>
                <w:rFonts w:ascii="Verdana" w:hAnsi="Verdana" w:cstheme="minorHAnsi"/>
                <w:sz w:val="20"/>
                <w:szCs w:val="18"/>
              </w:rPr>
            </w:pPr>
            <w:r>
              <w:rPr>
                <w:rFonts w:ascii="Verdana" w:hAnsi="Verdana" w:cstheme="minorHAnsi"/>
                <w:sz w:val="20"/>
              </w:rPr>
              <w:t xml:space="preserve">Κλίμακα </w:t>
            </w:r>
          </w:p>
        </w:tc>
        <w:tc>
          <w:tcPr>
            <w:tcW w:w="2014" w:type="pct"/>
            <w:shd w:val="clear" w:color="auto" w:fill="F2F2F2" w:themeFill="background1" w:themeFillShade="F2"/>
          </w:tcPr>
          <w:p w:rsidR="00C11916" w:rsidRPr="00751B8C" w:rsidRDefault="00C11916" w:rsidP="00143F3C">
            <w:pPr>
              <w:spacing w:after="0" w:line="240" w:lineRule="auto"/>
              <w:rPr>
                <w:rFonts w:ascii="Verdana" w:hAnsi="Verdana" w:cstheme="minorHAnsi"/>
                <w:sz w:val="20"/>
                <w:szCs w:val="18"/>
              </w:rPr>
            </w:pPr>
            <w:r>
              <w:rPr>
                <w:rFonts w:ascii="Verdana" w:hAnsi="Verdana" w:cstheme="minorHAnsi"/>
                <w:sz w:val="20"/>
              </w:rPr>
              <w:t xml:space="preserve">Περιγραφή </w:t>
            </w:r>
          </w:p>
        </w:tc>
      </w:tr>
      <w:tr w:rsidR="00C11916" w:rsidRPr="00751B8C" w:rsidTr="00F55E53">
        <w:trPr>
          <w:trHeight w:val="20"/>
        </w:trPr>
        <w:tc>
          <w:tcPr>
            <w:tcW w:w="658"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hideMark/>
          </w:tcPr>
          <w:p w:rsidR="00C11916" w:rsidRPr="00C1191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 xml:space="preserve">The competency is not applicable to the job role. </w:t>
            </w:r>
          </w:p>
        </w:tc>
        <w:tc>
          <w:tcPr>
            <w:tcW w:w="590"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ά.α. - άνευ αντικειμένου</w:t>
            </w:r>
          </w:p>
        </w:tc>
        <w:tc>
          <w:tcPr>
            <w:tcW w:w="2014"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 xml:space="preserve">Η ικανότητα δεν έχει εφαρμογή στον εργασιακό ρόλο. </w:t>
            </w:r>
          </w:p>
        </w:tc>
      </w:tr>
      <w:tr w:rsidR="00C11916" w:rsidRPr="00751B8C" w:rsidTr="00F55E53">
        <w:trPr>
          <w:trHeight w:val="20"/>
        </w:trPr>
        <w:tc>
          <w:tcPr>
            <w:tcW w:w="658"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C11916" w:rsidRPr="00C1191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 xml:space="preserve">Επίπεδο 0 – </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Καμία γνώση</w:t>
            </w:r>
          </w:p>
        </w:tc>
        <w:tc>
          <w:tcPr>
            <w:tcW w:w="2014"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Καμία γνώση της ικανότητας ή καμία δυνατότητα εφαρμογής της σε πραγματικές συνθήκες.</w:t>
            </w:r>
          </w:p>
        </w:tc>
      </w:tr>
      <w:tr w:rsidR="00C11916" w:rsidRPr="00751B8C" w:rsidTr="00F55E53">
        <w:trPr>
          <w:trHeight w:val="20"/>
        </w:trPr>
        <w:tc>
          <w:tcPr>
            <w:tcW w:w="658"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C11916" w:rsidRPr="00C1191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Basic knowledge of the competency (e.g. understands general concepts and processes, is familiar with related key terminology).</w:t>
            </w:r>
          </w:p>
          <w:p w:rsidR="00C11916" w:rsidRPr="00C1191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Επίπεδο 1 - Επίγνωση</w:t>
            </w:r>
          </w:p>
        </w:tc>
        <w:tc>
          <w:tcPr>
            <w:tcW w:w="2014"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Βασική γνώση της ικανότητας (λ.χ. κατανόηση γενικών εννοιών και διαδικασιών, εξοικείωση με βασική σχετική ορολογία).</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Δυνατότητα απόδειξης αυτής της ικανότητας μετά την παροχή ειδικών οδηγιών και κατευθύνσεων.</w:t>
            </w:r>
          </w:p>
        </w:tc>
      </w:tr>
      <w:tr w:rsidR="00C11916" w:rsidRPr="00751B8C" w:rsidTr="00F55E53">
        <w:trPr>
          <w:trHeight w:val="20"/>
        </w:trPr>
        <w:tc>
          <w:tcPr>
            <w:tcW w:w="658"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C11916" w:rsidRPr="00C1191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Good working knowledge of the competency.</w:t>
            </w:r>
            <w:r w:rsidRPr="00C11916">
              <w:rPr>
                <w:rFonts w:ascii="Verdana" w:hAnsi="Verdana" w:cstheme="minorHAnsi"/>
                <w:sz w:val="20"/>
                <w:szCs w:val="18"/>
                <w:lang w:val="en-GB"/>
              </w:rPr>
              <w:br/>
              <w:t>Ability to apply that knowledge in daily work.</w:t>
            </w:r>
          </w:p>
          <w:p w:rsidR="00C11916" w:rsidRPr="00C1191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Επίπεδο 2 - Βασικές γνώσεις κατάρτισης</w:t>
            </w:r>
          </w:p>
        </w:tc>
        <w:tc>
          <w:tcPr>
            <w:tcW w:w="2014"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Επαρκής πρακτική γνώση της ικανότητας.</w:t>
            </w:r>
            <w:r>
              <w:rPr>
                <w:rFonts w:ascii="Verdana" w:hAnsi="Verdana" w:cstheme="minorHAnsi"/>
                <w:sz w:val="20"/>
                <w:szCs w:val="18"/>
              </w:rPr>
              <w:br/>
            </w:r>
            <w:r>
              <w:rPr>
                <w:rFonts w:ascii="Verdana" w:hAnsi="Verdana" w:cstheme="minorHAnsi"/>
                <w:sz w:val="20"/>
              </w:rPr>
              <w:t>Δυνατότητα εφαρμογής αυτής της γνώσης στην καθημερινή εργασία.</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Δυνατότητα ανεξάρτητης εκτέλεσης τυπικών δραστηριοτήτων αναφορικά με την εν λόγω ικανότητα</w:t>
            </w:r>
          </w:p>
        </w:tc>
      </w:tr>
      <w:tr w:rsidR="00C11916" w:rsidRPr="00751B8C" w:rsidTr="00CB03D6">
        <w:trPr>
          <w:trHeight w:val="20"/>
        </w:trPr>
        <w:tc>
          <w:tcPr>
            <w:tcW w:w="658" w:type="pct"/>
            <w:shd w:val="clear" w:color="000000" w:fill="FFFFFF"/>
            <w:vAlign w:val="center"/>
          </w:tcPr>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C11916" w:rsidRPr="004250E6" w:rsidRDefault="00C11916" w:rsidP="00143F3C">
            <w:pPr>
              <w:spacing w:before="60" w:after="120" w:line="240" w:lineRule="auto"/>
              <w:rPr>
                <w:rFonts w:ascii="Verdana" w:hAnsi="Verdana" w:cstheme="minorHAnsi"/>
                <w:sz w:val="20"/>
                <w:szCs w:val="18"/>
                <w:lang w:val="en-GB"/>
              </w:rPr>
            </w:pPr>
            <w:r w:rsidRPr="00C11916">
              <w:rPr>
                <w:rFonts w:ascii="Verdana" w:hAnsi="Verdana" w:cstheme="minorHAnsi"/>
                <w:sz w:val="20"/>
                <w:szCs w:val="18"/>
                <w:lang w:val="en-GB"/>
              </w:rPr>
              <w:t>Broad and in-depth knowledge and skills with regards to the competency.</w:t>
            </w:r>
            <w:r w:rsidRPr="00C11916">
              <w:rPr>
                <w:rFonts w:ascii="Verdana" w:hAnsi="Verdana" w:cstheme="minorHAnsi"/>
                <w:sz w:val="20"/>
                <w:szCs w:val="18"/>
                <w:lang w:val="en-GB"/>
              </w:rPr>
              <w:br/>
            </w:r>
            <w:r w:rsidRPr="004250E6">
              <w:rPr>
                <w:rFonts w:ascii="Verdana" w:hAnsi="Verdana" w:cstheme="minorHAnsi"/>
                <w:sz w:val="20"/>
                <w:szCs w:val="18"/>
                <w:lang w:val="en-GB"/>
              </w:rPr>
              <w:t>Ability to deal with a variety of exceptions and special cases related to the competency in an independent manner.</w:t>
            </w:r>
          </w:p>
          <w:p w:rsidR="00C11916" w:rsidRPr="004250E6" w:rsidRDefault="00C11916" w:rsidP="00143F3C">
            <w:pPr>
              <w:spacing w:before="60" w:after="120" w:line="240" w:lineRule="auto"/>
              <w:rPr>
                <w:rFonts w:ascii="Verdana" w:hAnsi="Verdana" w:cstheme="minorHAnsi"/>
                <w:sz w:val="20"/>
                <w:szCs w:val="18"/>
                <w:lang w:val="en-GB"/>
              </w:rPr>
            </w:pPr>
            <w:r w:rsidRPr="004250E6">
              <w:rPr>
                <w:rFonts w:ascii="Verdana" w:hAnsi="Verdana" w:cstheme="minorHAnsi"/>
                <w:sz w:val="20"/>
                <w:szCs w:val="18"/>
                <w:lang w:val="en-GB"/>
              </w:rPr>
              <w:t>Ability to effectively share knowledge and experience with more junior profiles.</w:t>
            </w:r>
            <w:r w:rsidRPr="004250E6">
              <w:rPr>
                <w:rFonts w:ascii="Verdana" w:hAnsi="Verdana" w:cstheme="minorHAnsi"/>
                <w:sz w:val="20"/>
                <w:szCs w:val="18"/>
                <w:lang w:val="en-GB"/>
              </w:rPr>
              <w:br/>
              <w:t>Confidence in serving as an advisor and is sought out to provide insight in the application of this competency.</w:t>
            </w:r>
          </w:p>
          <w:p w:rsidR="00C11916" w:rsidRPr="004250E6" w:rsidRDefault="00C11916" w:rsidP="00143F3C">
            <w:pPr>
              <w:spacing w:before="60" w:after="120" w:line="240" w:lineRule="auto"/>
              <w:rPr>
                <w:rFonts w:ascii="Verdana" w:hAnsi="Verdana" w:cstheme="minorHAnsi"/>
                <w:sz w:val="20"/>
                <w:szCs w:val="18"/>
                <w:lang w:val="en-GB"/>
              </w:rPr>
            </w:pPr>
            <w:r w:rsidRPr="004250E6">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Επίπεδο 3 - Μεσαίο επίπεδο</w:t>
            </w:r>
          </w:p>
        </w:tc>
        <w:tc>
          <w:tcPr>
            <w:tcW w:w="2014"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Εκτενής και εις βάθος γνώσεις και δεξιότητες όσον αφορά την ικανότητα.</w:t>
            </w:r>
            <w:r>
              <w:rPr>
                <w:rFonts w:ascii="Verdana" w:hAnsi="Verdana" w:cstheme="minorHAnsi"/>
                <w:sz w:val="20"/>
                <w:szCs w:val="18"/>
              </w:rPr>
              <w:br/>
            </w:r>
            <w:r>
              <w:rPr>
                <w:rFonts w:ascii="Verdana" w:hAnsi="Verdana" w:cstheme="minorHAnsi"/>
                <w:sz w:val="20"/>
              </w:rPr>
              <w:t>Δυνατότητα ανεξάρτητης αντιμετώπισης ποικίλων εξαιρετικών και ειδικών περιπτώσεων αναφορικά με την ικανότητα.</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Δυνατότητα αποτελεσματικής ανταλλαγής γνώσεων και εμπειριών με εργαζομένους με μικρότερη επαγγελματική εμπειρία.</w:t>
            </w:r>
            <w:r>
              <w:rPr>
                <w:rFonts w:ascii="Verdana" w:hAnsi="Verdana" w:cstheme="minorHAnsi"/>
                <w:sz w:val="20"/>
                <w:szCs w:val="18"/>
              </w:rPr>
              <w:br/>
            </w:r>
            <w:r>
              <w:rPr>
                <w:rFonts w:ascii="Verdana" w:hAnsi="Verdana" w:cstheme="minorHAnsi"/>
                <w:sz w:val="20"/>
              </w:rPr>
              <w:t>Άτομο με αυτοπεποίθηση στον ρόλο του συμβούλου, που το αποζητούν για την παροχή διευκρινίσεων όσον αφορά την εφαρμογή της ικανότητας.</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Άτομο ικανό να εκπαιδεύει άλλους στην εφαρμογή της συγκεκριμένης ικανότητας αποδίδοντας περίπλοκες σχετικές πτυχές και ζητήματα με ευνόητους όρους.</w:t>
            </w:r>
          </w:p>
        </w:tc>
      </w:tr>
      <w:tr w:rsidR="00C11916" w:rsidRPr="00751B8C" w:rsidTr="00CB03D6">
        <w:trPr>
          <w:trHeight w:val="20"/>
        </w:trPr>
        <w:tc>
          <w:tcPr>
            <w:tcW w:w="658" w:type="pct"/>
            <w:shd w:val="clear" w:color="000000" w:fill="FFFFFF"/>
            <w:vAlign w:val="center"/>
          </w:tcPr>
          <w:p w:rsidR="00C11916" w:rsidRPr="00751B8C" w:rsidRDefault="00C11916" w:rsidP="00143F3C">
            <w:pPr>
              <w:spacing w:before="60" w:after="120" w:line="240" w:lineRule="auto"/>
              <w:rPr>
                <w:rFonts w:ascii="Verdana" w:hAnsi="Verdana" w:cstheme="minorHAnsi"/>
                <w:sz w:val="20"/>
                <w:szCs w:val="18"/>
              </w:rPr>
            </w:pPr>
            <w:r w:rsidRPr="00751B8C">
              <w:rPr>
                <w:rFonts w:ascii="Verdana" w:hAnsi="Verdana" w:cstheme="minorHAnsi"/>
                <w:sz w:val="20"/>
                <w:szCs w:val="18"/>
              </w:rPr>
              <w:t>Level 4 - Expert</w:t>
            </w:r>
          </w:p>
        </w:tc>
        <w:tc>
          <w:tcPr>
            <w:tcW w:w="1738" w:type="pct"/>
            <w:shd w:val="clear" w:color="000000" w:fill="FFFFFF"/>
          </w:tcPr>
          <w:p w:rsidR="00C11916" w:rsidRPr="004250E6" w:rsidRDefault="00C11916" w:rsidP="00143F3C">
            <w:pPr>
              <w:spacing w:before="60" w:after="120" w:line="240" w:lineRule="auto"/>
              <w:rPr>
                <w:rFonts w:ascii="Verdana" w:hAnsi="Verdana" w:cstheme="minorHAnsi"/>
                <w:sz w:val="20"/>
                <w:szCs w:val="18"/>
                <w:lang w:val="en-GB"/>
              </w:rPr>
            </w:pPr>
            <w:r w:rsidRPr="004250E6">
              <w:rPr>
                <w:rFonts w:ascii="Verdana" w:hAnsi="Verdana" w:cstheme="minorHAnsi"/>
                <w:sz w:val="20"/>
                <w:szCs w:val="18"/>
                <w:lang w:val="en-GB"/>
              </w:rPr>
              <w:t>Extensive expert knowledge and skills with regards to the competency.</w:t>
            </w:r>
          </w:p>
          <w:p w:rsidR="00C11916" w:rsidRPr="004250E6" w:rsidRDefault="00C11916" w:rsidP="00143F3C">
            <w:pPr>
              <w:spacing w:before="60" w:after="120" w:line="240" w:lineRule="auto"/>
              <w:rPr>
                <w:rFonts w:ascii="Verdana" w:hAnsi="Verdana" w:cstheme="minorHAnsi"/>
                <w:sz w:val="20"/>
                <w:szCs w:val="18"/>
                <w:lang w:val="en-GB"/>
              </w:rPr>
            </w:pPr>
            <w:r w:rsidRPr="004250E6">
              <w:rPr>
                <w:rFonts w:ascii="Verdana" w:hAnsi="Verdana" w:cstheme="minorHAnsi"/>
                <w:sz w:val="20"/>
                <w:szCs w:val="18"/>
                <w:lang w:val="en-GB"/>
              </w:rPr>
              <w:t>Ability to highlight the (dis)advantages of each of the processes related to the competency whilst linking them to the bigger picture.</w:t>
            </w:r>
          </w:p>
          <w:p w:rsidR="00C11916" w:rsidRPr="004250E6" w:rsidRDefault="00C11916" w:rsidP="00143F3C">
            <w:pPr>
              <w:spacing w:before="60" w:after="120" w:line="240" w:lineRule="auto"/>
              <w:rPr>
                <w:rFonts w:ascii="Verdana" w:hAnsi="Verdana" w:cstheme="minorHAnsi"/>
                <w:sz w:val="20"/>
                <w:szCs w:val="18"/>
                <w:lang w:val="en-GB"/>
              </w:rPr>
            </w:pPr>
            <w:r w:rsidRPr="004250E6">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C11916" w:rsidRPr="004250E6" w:rsidRDefault="00C11916" w:rsidP="00143F3C">
            <w:pPr>
              <w:spacing w:before="60" w:after="120" w:line="240" w:lineRule="auto"/>
              <w:rPr>
                <w:rFonts w:ascii="Verdana" w:hAnsi="Verdana" w:cstheme="minorHAnsi"/>
                <w:sz w:val="20"/>
                <w:szCs w:val="18"/>
                <w:lang w:val="en-GB"/>
              </w:rPr>
            </w:pPr>
            <w:r w:rsidRPr="004250E6">
              <w:rPr>
                <w:rFonts w:ascii="Verdana" w:hAnsi="Verdana" w:cstheme="minorHAnsi"/>
                <w:sz w:val="20"/>
                <w:szCs w:val="18"/>
                <w:lang w:val="en-GB"/>
              </w:rPr>
              <w:t>Viewed by others as a role model who is capable of leading or teaching others in the area of the competency.</w:t>
            </w:r>
          </w:p>
        </w:tc>
        <w:tc>
          <w:tcPr>
            <w:tcW w:w="590" w:type="pct"/>
            <w:shd w:val="clear" w:color="000000" w:fill="FFFFFF"/>
            <w:vAlign w:val="center"/>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Επίπεδο 4 - Εμπειρογνωμοσύνη</w:t>
            </w:r>
          </w:p>
        </w:tc>
        <w:tc>
          <w:tcPr>
            <w:tcW w:w="2014" w:type="pct"/>
            <w:shd w:val="clear" w:color="000000" w:fill="FFFFFF"/>
          </w:tcPr>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Εκτενής εμπειρογνωμοσύνη και δεξιότητες όσον αφορά την ικανότητα.</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Ικανότητα επισήμανσης των πλεονεκτημάτων/μειονεκτημάτων καθεμίας εκ των διαδικασιών που σχετίζονται με την ικανότητα και σύνδεσής τους με το ευρύτερο πλαίσιο.</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Ικανότητα παροχής εξατομικευμένων συμβουλών και υποστήριξης των συμβουλών με συναφή και συγκεκριμένα επιχειρήματα κατά την απόκριση σε εσωτερικά και εξωτερικά ερωτήματα.</w:t>
            </w:r>
          </w:p>
          <w:p w:rsidR="00C11916" w:rsidRPr="00751B8C" w:rsidRDefault="00C11916" w:rsidP="00143F3C">
            <w:pPr>
              <w:spacing w:before="60" w:after="120" w:line="240" w:lineRule="auto"/>
              <w:rPr>
                <w:rFonts w:ascii="Verdana" w:hAnsi="Verdana" w:cstheme="minorHAnsi"/>
                <w:sz w:val="20"/>
                <w:szCs w:val="18"/>
              </w:rPr>
            </w:pPr>
            <w:r>
              <w:rPr>
                <w:rFonts w:ascii="Verdana" w:hAnsi="Verdana" w:cstheme="minorHAnsi"/>
                <w:sz w:val="20"/>
              </w:rPr>
              <w:t>Αντιμετωπίζεται από τους άλλους ως πρότυπο ικανό να καθοδηγεί ή να διδάσκει άλλους στο πεδίο της εκάστοτε ικανότητας.</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967055"/>
      <w:r>
        <w:t>Επιχειρησιακές ικανότητες</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4250E6"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250E6" w:rsidRPr="00751B8C" w:rsidRDefault="004250E6" w:rsidP="006931AA">
            <w:pPr>
              <w:spacing w:after="0" w:line="240" w:lineRule="auto"/>
              <w:jc w:val="center"/>
              <w:rPr>
                <w:rFonts w:ascii="Verdana" w:eastAsia="Times New Roman" w:hAnsi="Verdana" w:cs="Times New Roman"/>
                <w:b/>
                <w:bCs/>
                <w:sz w:val="20"/>
                <w:szCs w:val="20"/>
              </w:rPr>
            </w:pPr>
            <w:r>
              <w:rPr>
                <w:rFonts w:ascii="Verdana" w:hAnsi="Verdana"/>
                <w:b/>
                <w:sz w:val="20"/>
              </w:rPr>
              <w:t>Κωδικός</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250E6" w:rsidRPr="00751B8C" w:rsidRDefault="004250E6" w:rsidP="00143F3C">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250E6" w:rsidRPr="00751B8C" w:rsidRDefault="004250E6" w:rsidP="00143F3C">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r>
      <w:tr w:rsidR="004250E6" w:rsidRPr="00751B8C" w:rsidTr="00E235DB">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Γενικές διατάξεις</w:t>
            </w:r>
            <w:r>
              <w:rPr>
                <w:rFonts w:ascii="Verdana" w:hAnsi="Verdana"/>
                <w:color w:val="000000"/>
                <w:sz w:val="20"/>
              </w:rPr>
              <w:t xml:space="preserve"> ενωσιακών / εθνικών νομοθετικών πράξεων για τα ΕΔΕΤ</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Εθνικά στρατηγικά έγγραφα (λ.χ. εθνικές αναπτυξιακές στρατηγικές, συναφείς θεματικές και τομεακές πολιτικές)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 xml:space="preserve">Διατάξεις για την επιλεξιμότητα των δαπανών </w:t>
            </w:r>
            <w:r>
              <w:rPr>
                <w:rFonts w:ascii="Verdana" w:hAnsi="Verdana"/>
                <w:color w:val="000000"/>
                <w:sz w:val="20"/>
              </w:rPr>
              <w:t>που περιλαμβάνονται σε ενωσιακές και εθνικές νομοθετικές πράξεις για τα ΕΔΕΤ (κανόνες, κατευθυντήριες οδηγίες και μεθοδολογίες, περιλαμβανομένου του πεδίου εφαρμογής της στήριξης)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Εδαφικά ζητήματα, όπως η ολοκληρωμένη χωρική επένδυση (ITI/ΟΧΕ), η τοπική ανάπτυξη με πρωτοβουλία των τοπικών κοινοτήτων (CLLD), η αειφόρος αστική ανάπτυξη, οι μακροπεριφερειακές στρατηγικές και ο σχεδιασμός διαπεριφερειακής συνεργασίας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Κρατικές ενισχύσεις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Συναφείς θεματικές γνώσεις (θεματική νομοθεσία, κόστος, εφαρμοστέα πρότυπα, τάσεις)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Σκεπτικό της παρέμβασης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Δείκτες εισόδου, εξόδου, αποτελεσμάτων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Κατάρτιση προϋπολογισμού και εκτίμηση κόστους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Σχεδιασμός χρηματοπιστωτικών μέσων (εκ των προτέρων αξιολόγηση, επιλογή χρηματοπιστωτικών μέσων και οργάνωση)</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Οριζόντια θέματα (όπως αειφόρος ανάπτυξη, ισότητα κ.λπ.)</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Διοικητικές διαδικασίες για την προμήθεια αγαθών και υπηρεσιών στο πλαίσιο της Τεχνικής Βοήθειας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Διασυνοριακή, διεθνική και διαπεριφερειακή συνεργασία και Ευρωπαϊκός Όμιλος Εδαφικής Συνεργασίας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Διαχείριση της εξωτερικής ανάθεσης δραστηριοτήτων TΒ</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Οικονομικό περιβάλλον και διαδικασίες μεταρρύθμισης (ευρωπαϊκό εξάμηνο, εθνικά προγράμματα μεταρρυθμίσεων και ειδικές ανά χώρα συστάσεις)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Διαχείριση προγράμματος και διαχείριση του κύκλου των έργων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 xml:space="preserve">Διατάξεις διαχείρισης και εφαρμογής </w:t>
            </w:r>
            <w:r>
              <w:rPr>
                <w:rFonts w:ascii="Verdana" w:hAnsi="Verdana"/>
                <w:color w:val="000000"/>
                <w:sz w:val="20"/>
              </w:rPr>
              <w:t>που περιλαμβάνονται σε ενωσιακές και εθνικές νομοθετικές πράξεις για τα ΕΔΕΤ (προγραμματισμός, επιλογή δραστηριοτήτων, παρακολούθηση, έλεγχοι και λογιστικοί έλεγχοι, αξιολόγηση, δημοσιότητα)</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Κανόνες για τις δημόσιες συμβάσεις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Διαχείριση του κινδύνου απάτης, παρατυπιών (περιλ. μέτρων πρόληψης, εντοπισμού και μετριασμού)</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 xml:space="preserve">Ορισμός και αναθεώρηση της διοικητικής οργάνωσης </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Διαμόρφωση συστήματος διαχείρισης και ελέγχου</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Αξιολόγηση διοικητικού φόρτου</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Αξιολόγηση επίδοσης συστήματος ΕΔΕΤ</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Απλουστευμένες επιλογές κόστους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Ανάλυση κόστους-οφέλους και μελέτες σκοπιμότητας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Εκτίμηση περιβαλλοντικών επιπτώσεων (ΕΠΕ) για μείζονα έργα και έργα υποδομής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Χρηματοδοτικό κενό και παραγωγή εσόδων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Διαδικασίες / νομοθεσία σχετικά με μείζονα έργα</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Χαρακτήρας κινήτρου</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Χρηματοπιστωτικά μέσα που σχετίζονται με τη λειτουργία</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Σχεδιασμός χρηματοπιστωτικών μέσων και μηχανισμοί εφαρμογής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Πρόβλεψη και σχεδιασμός στόχων επίδοσης / πλαισίου επιδόσεων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Διαχείριση κινδύνου που σχετίζεται με μείζονα έργα και έργα υποδομής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Διαχείριση της διαδικασίας αξιολόγησης προγραμμάτων, προτεραιοτήτων ή μέτρων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Βασικά κριτήρια αξιολόγησης (συνάφεια, συμπληρωματικότητα, συνέπεια, αποδοτικότητα και αποτελεσματικότητα)</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Συλλογή δεδομένων και μέθοδοι ανάλυσης για την αξιολόγηση προγραμμάτων, προτεραιοτήτων ή μέτρων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Σχεδιασμός, διαχείριση και πρόβλεψη προϋπολογισμού</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Δαπάνες σε επίπεδο έργου</w:t>
            </w:r>
            <w:r>
              <w:rPr>
                <w:rFonts w:ascii="Verdana" w:hAnsi="Verdana"/>
                <w:color w:val="000000"/>
                <w:sz w:val="20"/>
              </w:rPr>
              <w:t xml:space="preserve"> (τιμολόγια συμβάσεων, αντίγραφα κίνησης λογαριασμών)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Διατάξεις επικοινωνίας</w:t>
            </w:r>
            <w:r>
              <w:rPr>
                <w:rFonts w:ascii="Verdana" w:hAnsi="Verdana"/>
                <w:color w:val="000000"/>
                <w:sz w:val="20"/>
              </w:rPr>
              <w:t xml:space="preserve"> που περιλαμβάνονται σε ενωσιακές και εθνικές νομοθετικές πράξεις για τα ΕΔΕΤ</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Προσδιορισμός των διαφόρων ενδιαφερομένων και των αναγκών πληροφόρησής τους</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Διαχείριση συναφών μέσων</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Διαδικτυακή επικοινωνία</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Γνώση μηχανικής σχετική με τον κλάδο</w:t>
            </w:r>
          </w:p>
        </w:tc>
      </w:tr>
      <w:tr w:rsidR="004250E6" w:rsidRPr="00751B8C" w:rsidTr="00E235DB">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50E6" w:rsidRPr="00751B8C" w:rsidRDefault="004250E6"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4250E6" w:rsidRPr="00751B8C" w:rsidRDefault="004250E6" w:rsidP="00143F3C">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250E6" w:rsidRPr="00751B8C" w:rsidRDefault="004250E6" w:rsidP="00143F3C">
            <w:pPr>
              <w:spacing w:after="0" w:line="240" w:lineRule="auto"/>
              <w:rPr>
                <w:rFonts w:ascii="Verdana" w:eastAsia="Times New Roman" w:hAnsi="Verdana" w:cs="Times New Roman"/>
                <w:sz w:val="20"/>
                <w:szCs w:val="20"/>
              </w:rPr>
            </w:pPr>
            <w:r>
              <w:rPr>
                <w:rFonts w:ascii="Verdana" w:hAnsi="Verdana"/>
                <w:sz w:val="20"/>
              </w:rPr>
              <w:t>Προδιαγραφές, διαδικασίες και μεθοδολογίες ελέγχου</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967056"/>
      <w:r>
        <w:t>Διοικητικές ικανότητες</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02"/>
        <w:gridCol w:w="2759"/>
        <w:gridCol w:w="3708"/>
      </w:tblGrid>
      <w:tr w:rsidR="006931AA" w:rsidRPr="00751B8C" w:rsidTr="004250E6">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160"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454"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4250E6" w:rsidRPr="00751B8C" w:rsidTr="004250E6">
        <w:trPr>
          <w:trHeight w:val="255"/>
          <w:tblHeader/>
        </w:trPr>
        <w:tc>
          <w:tcPr>
            <w:tcW w:w="386" w:type="pct"/>
            <w:shd w:val="clear" w:color="auto" w:fill="EDEDED" w:themeFill="accent3" w:themeFillTint="33"/>
          </w:tcPr>
          <w:p w:rsidR="004250E6" w:rsidRPr="00751B8C" w:rsidRDefault="004250E6" w:rsidP="00AD2B31">
            <w:pPr>
              <w:spacing w:after="0" w:line="240" w:lineRule="auto"/>
              <w:rPr>
                <w:rFonts w:ascii="Verdana" w:eastAsia="Times New Roman" w:hAnsi="Verdana" w:cstheme="minorHAnsi"/>
                <w:b/>
                <w:bCs/>
                <w:sz w:val="20"/>
                <w:szCs w:val="20"/>
              </w:rPr>
            </w:pPr>
            <w:r>
              <w:rPr>
                <w:rFonts w:ascii="Verdana" w:hAnsi="Verdana" w:cstheme="minorHAnsi"/>
                <w:b/>
                <w:sz w:val="20"/>
              </w:rPr>
              <w:t>Κωδικός</w:t>
            </w:r>
          </w:p>
        </w:tc>
        <w:tc>
          <w:tcPr>
            <w:tcW w:w="793" w:type="pct"/>
            <w:shd w:val="clear" w:color="auto" w:fill="EDEDED" w:themeFill="accent3" w:themeFillTint="33"/>
            <w:noWrap/>
            <w:vAlign w:val="center"/>
            <w:hideMark/>
          </w:tcPr>
          <w:p w:rsidR="004250E6" w:rsidRPr="00751B8C" w:rsidRDefault="004250E6" w:rsidP="00143F3C">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367" w:type="pct"/>
            <w:shd w:val="clear" w:color="auto" w:fill="EDEDED" w:themeFill="accent3" w:themeFillTint="33"/>
            <w:noWrap/>
            <w:vAlign w:val="center"/>
            <w:hideMark/>
          </w:tcPr>
          <w:p w:rsidR="004250E6" w:rsidRPr="00751B8C" w:rsidRDefault="004250E6" w:rsidP="00143F3C">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1047" w:type="pct"/>
            <w:shd w:val="clear" w:color="auto" w:fill="EDEDED" w:themeFill="accent3" w:themeFillTint="33"/>
            <w:vAlign w:val="center"/>
          </w:tcPr>
          <w:p w:rsidR="004250E6" w:rsidRPr="00751B8C" w:rsidRDefault="004250E6" w:rsidP="00143F3C">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407" w:type="pct"/>
            <w:shd w:val="clear" w:color="auto" w:fill="EDEDED" w:themeFill="accent3" w:themeFillTint="33"/>
            <w:vAlign w:val="center"/>
          </w:tcPr>
          <w:p w:rsidR="004250E6" w:rsidRPr="00751B8C" w:rsidRDefault="004250E6" w:rsidP="00143F3C">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4250E6" w:rsidRPr="00751B8C" w:rsidTr="004250E6">
        <w:trPr>
          <w:trHeight w:val="130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Developing others and people management</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Ανάπτυξη και διοίκηση προσωπικού</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παροχής έγκαιρης, σαφούς και συγκεκριμένης καθοδήγησης, ανάδρασης και στήριξης για τον προσδιορισμό των αναγκών και των ευκαιριών ανάπτυξης και κατάρτισης, αναπτύσσει τις γνώσεις, δεξιότητες και ικανότητες του προσωπικού που είναι αναγκαίες για την ολοκλήρωση των καθηκόντων που τους ανατίθενται ή για την επίλυση προβλημάτων, και επιδεικνύει επίσης ικανότητα διαχείρισης των δραστηριοτήτων των εργαζομένων, της ανάπτυξης και της επίδοσής τους κατά τρόπο ώστε να μεγιστοποιείται η αποτελεσματικότητα των ανθρώπινων πόρων.</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Decision making</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Λήψη αποφάσεων</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εφαρμογής αποδοτικών προσεγγίσεων για την άντληση συμπερασμάτων ή την ανάπτυξη λύσεων, καθώς και λήψης έγκαιρης δράσης που είναι συνεπής με τα διαθέσιμα δεδομένα και γεγονότα που προέρχονται από διαφορετικές πηγές, τους περιορισμούς και τις δυνητικές συνέπειες.</w:t>
            </w:r>
          </w:p>
        </w:tc>
      </w:tr>
      <w:tr w:rsidR="004250E6" w:rsidRPr="00751B8C" w:rsidTr="004250E6">
        <w:trPr>
          <w:trHeight w:val="1020"/>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Delegation</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Ανάθεση καθηκόντων</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ανάθεσης της ευθύνης λήψης αποφάσεων και/ή καθηκόντων σε άλλους, διασφάλισης σαφούς επικοινωνίας σχετικά με την κατανομή και την περάτωση αρμοδιοτήτων, και παροχής κατάλληλης στήριξης κατά τρόπο ώστε να μεγιστοποιείται η οργανωτική και ατομική αποτελεσματικότητα.</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Διευκόλυνση και επικοινωνία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κινητοποίησης της συμμετοχικότητας και της δημιουργικότητας των άλλων, αξιοποίησης ομαδικών ικανοτήτων ώστε η ομάδα να οδηγείται σε συναίνεση, αποτελεσματικής επίλυσης προβλημάτων, διεκπεραίωσης καθηκόντων και επίτευξης αμοιβαίων στόχων.</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bookmarkStart w:id="12" w:name="RANGE!B8"/>
            <w:r w:rsidRPr="00751B8C">
              <w:rPr>
                <w:rFonts w:ascii="Verdana" w:hAnsi="Verdana" w:cstheme="minorHAnsi"/>
                <w:sz w:val="20"/>
                <w:szCs w:val="20"/>
              </w:rPr>
              <w:t>Leadership</w:t>
            </w:r>
            <w:bookmarkEnd w:id="12"/>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Ηγετική ικανότητα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κινητοποίησης και έμπνευσης των άλλων ώστε να καταβάλλουν προσπάθειες για το μελλοντικό όραμα, παρουσίασης σαφών σκοπών και στόχων, και δημιουργίας μιας αίσθησης κατεύθυνσης και σκοπού στους εργαζομένους που λειτουργεί καταλυτικά για την ενεργοποίησή τους.</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Διαχείριση ενδιαφερομένων σε πολλαπλά επίπεδα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 xml:space="preserve">Επιδεικνύει ικανότητα κατανόησης των σκοπών και στόχων των διαφόρων ενδιαφερομένων, διασφάλισης της αποδοτικής συνεργασίας και συμμετοχής των ενδιαφερομένων (μεταξύ άλλων μέσα από την επίδειξη ανοιχτού πνεύματος και τη συμβολή στην ανταλλαγή ορθών πρακτικών μεταξύ των διαφορετικών κρατών μελών).  </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Negotiating</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Διαπραγμάτευση</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αποτελεσματικής διερεύνησης (μέσα από τη διευκόλυνση συζητήσεων, την υποβολή ερωτήσεων, την απόκριση σε αντιρρήσεις κ.λπ.) εναλλακτικών λύσεων και θέσεων που εκφράζουν άλλα άτομα, με σκοπό την επίτευξη αποτελεσμάτων τα οποία είναι αποδεκτά από όλα τα μέρη (επωφελής για όλους λύση).</w:t>
            </w:r>
          </w:p>
        </w:tc>
      </w:tr>
      <w:tr w:rsidR="004250E6" w:rsidRPr="00751B8C" w:rsidTr="004250E6">
        <w:trPr>
          <w:trHeight w:val="510"/>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Result orientation</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Προσανατολισμός στα αποτελέσματα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καθορισμού δύσκολων στόχων, διατήρησης της επικέντρωσης και της επιμονής και της συνεχούς επίτευξης στόχων ή απαιτούμενων αποτελεσμάτων, ακόμη και σε αντίξοες συνθήκες.</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Strategic management</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Στρατηγική διαχείριση</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οι οποίες οδηγούν στην ανάπτυξη και την υλοποίηση στρατηγικών ευθυγραμμισμένων με τη στρατηγική κατεύθυνση της οργάνωσης και της επίτευξης στόχων.</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Risk management</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 xml:space="preserve">Demonstrating ability to identify, analyse, assess and prioritize risks and to minimize, </w:t>
            </w:r>
            <w:proofErr w:type="gramStart"/>
            <w:r w:rsidRPr="004250E6">
              <w:rPr>
                <w:rFonts w:ascii="Verdana" w:hAnsi="Verdana" w:cstheme="minorHAnsi"/>
                <w:sz w:val="20"/>
                <w:szCs w:val="20"/>
                <w:lang w:val="en-GB"/>
              </w:rPr>
              <w:t>monitor</w:t>
            </w:r>
            <w:proofErr w:type="gramEnd"/>
            <w:r w:rsidRPr="004250E6">
              <w:rPr>
                <w:rFonts w:ascii="Verdana" w:hAnsi="Verdana" w:cstheme="minorHAnsi"/>
                <w:sz w:val="20"/>
                <w:szCs w:val="20"/>
                <w:lang w:val="en-GB"/>
              </w:rPr>
              <w:t>, and control the probability and/or impact of unfortunate events or to maximize the realization of opportunities.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Διαχείριση κινδύνου</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προσδιορισμού, ανάλυσης, εκτίμησης και ιεράρχησης των κινδύνων και ελαχιστοποίησης, παρακολούθησης και ελέγχου της πιθανότητας και/ή του αντικτύπου ατυχών περιστατικών, ή ικανότητα μέγιστης αξιοποίησης ευκαιριών.</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Planning of resources</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Σχεδιασμός πόρων</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διαχείρισης, κατά τρόπο αποδοτικό και αποτελεσματικό, των πόρων του οργανισμού στους οποίους περιλαμβάνονται, μεταξύ άλλων, οικονομικοί πόροι, αποθέματα, ανθρώπινες δεξιότητες, παραγωγικοί πόροι, τεχνολογία της πληροφορίας (ΤΠ).</w:t>
            </w:r>
          </w:p>
        </w:tc>
      </w:tr>
      <w:tr w:rsidR="004250E6" w:rsidRPr="00751B8C" w:rsidTr="004250E6">
        <w:trPr>
          <w:trHeight w:val="765"/>
        </w:trPr>
        <w:tc>
          <w:tcPr>
            <w:tcW w:w="386" w:type="pct"/>
            <w:shd w:val="clear" w:color="000000" w:fill="FFFFFF"/>
            <w:vAlign w:val="center"/>
          </w:tcPr>
          <w:p w:rsidR="004250E6" w:rsidRPr="00751B8C" w:rsidRDefault="004250E6"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HR Strategy development and implementation</w:t>
            </w:r>
          </w:p>
        </w:tc>
        <w:tc>
          <w:tcPr>
            <w:tcW w:w="1367" w:type="pct"/>
            <w:shd w:val="clear" w:color="000000" w:fill="FFFFFF"/>
            <w:vAlign w:val="center"/>
            <w:hideMark/>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104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Ανάπτυξη και υλοποίηση στρατηγικής για τους ανθρώπινους πόρους</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που οδηγούν στην ανάπτυξη και υλοποίηση στρατηγικών ευθυγραμμισμένων με τη στρατηγική κατεύθυνση της οργάνωσης και της επίτευξης στόχων.</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967057"/>
      <w:r>
        <w:t>Επαγγελματικές ικανότητες</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961"/>
        <w:gridCol w:w="2401"/>
        <w:gridCol w:w="3708"/>
      </w:tblGrid>
      <w:tr w:rsidR="006931AA" w:rsidRPr="00751B8C" w:rsidTr="004250E6">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229"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318"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4250E6" w:rsidRPr="00751B8C" w:rsidTr="004250E6">
        <w:trPr>
          <w:trHeight w:val="219"/>
          <w:tblHeader/>
        </w:trPr>
        <w:tc>
          <w:tcPr>
            <w:tcW w:w="453" w:type="pct"/>
            <w:shd w:val="clear" w:color="auto" w:fill="EDEDED" w:themeFill="accent3" w:themeFillTint="33"/>
            <w:vAlign w:val="center"/>
          </w:tcPr>
          <w:p w:rsidR="004250E6" w:rsidRPr="00751B8C" w:rsidRDefault="004250E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Κωδικός</w:t>
            </w:r>
          </w:p>
        </w:tc>
        <w:tc>
          <w:tcPr>
            <w:tcW w:w="726" w:type="pct"/>
            <w:shd w:val="clear" w:color="auto" w:fill="EDEDED" w:themeFill="accent3" w:themeFillTint="33"/>
            <w:noWrap/>
            <w:vAlign w:val="center"/>
            <w:hideMark/>
          </w:tcPr>
          <w:p w:rsidR="004250E6" w:rsidRPr="00751B8C" w:rsidRDefault="004250E6" w:rsidP="00143F3C">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503" w:type="pct"/>
            <w:shd w:val="clear" w:color="auto" w:fill="EDEDED" w:themeFill="accent3" w:themeFillTint="33"/>
            <w:noWrap/>
            <w:vAlign w:val="center"/>
            <w:hideMark/>
          </w:tcPr>
          <w:p w:rsidR="004250E6" w:rsidRPr="00751B8C" w:rsidRDefault="004250E6" w:rsidP="00143F3C">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911" w:type="pct"/>
            <w:shd w:val="clear" w:color="auto" w:fill="EDEDED" w:themeFill="accent3" w:themeFillTint="33"/>
            <w:vAlign w:val="center"/>
          </w:tcPr>
          <w:p w:rsidR="004250E6" w:rsidRPr="00751B8C" w:rsidRDefault="004250E6" w:rsidP="00143F3C">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407" w:type="pct"/>
            <w:shd w:val="clear" w:color="auto" w:fill="EDEDED" w:themeFill="accent3" w:themeFillTint="33"/>
            <w:vAlign w:val="center"/>
          </w:tcPr>
          <w:p w:rsidR="004250E6" w:rsidRPr="00751B8C" w:rsidRDefault="004250E6" w:rsidP="00143F3C">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4250E6" w:rsidRPr="00751B8C" w:rsidTr="004250E6">
        <w:trPr>
          <w:trHeight w:val="421"/>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Analytical skills</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4250E6">
              <w:rPr>
                <w:rFonts w:ascii="Verdana" w:hAnsi="Verdana" w:cstheme="minorHAnsi"/>
                <w:sz w:val="20"/>
                <w:szCs w:val="20"/>
                <w:lang w:val="en-GB"/>
              </w:rPr>
              <w:t>effect</w:t>
            </w:r>
            <w:proofErr w:type="gramEnd"/>
            <w:r w:rsidRPr="004250E6">
              <w:rPr>
                <w:rFonts w:ascii="Verdana" w:hAnsi="Verdana" w:cstheme="minorHAnsi"/>
                <w:sz w:val="20"/>
                <w:szCs w:val="20"/>
                <w:lang w:val="en-GB"/>
              </w:rPr>
              <w:t xml:space="preserve"> relationships and arrive at conclusions or decisions.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Αναλυτικές δεξιότητες</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Ανάπτυξη λογικής προσέγγισης στην αντιμετώπιση περίπλοκων προβλημάτων ή ευκαιριών μέσα από τον επιμερισμό τους σε επιμέρους τμήματα, ώστε να προσδιορίζονται τα υποκείμενα ζητήματα, οι σχέσεις αιτίου-αποτελέσματος και να αντλούνται συμπεράσματα ή να λαμβάνονται αποφάσεις.</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Γραπτή επικοινωνία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σαφούς και πειστικής παρουσίασης πληροφοριών και ιδεών εγγράφως, μέσα από την επιλογή των κατάλληλων μέσων γραπτής επικοινωνίας και ύφους ώστε να διασφαλίζεται η απήχηση στο κοινό, με ορθή ορθογραφία, γραμματική και σημεία στίξης, ενώ επιδεικνύει επίσης ικανότητα διαπολιτισμικής επικοινωνίας.</w:t>
            </w:r>
          </w:p>
        </w:tc>
      </w:tr>
      <w:tr w:rsidR="004250E6" w:rsidRPr="00751B8C" w:rsidTr="004250E6">
        <w:trPr>
          <w:trHeight w:val="878"/>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4250E6">
              <w:rPr>
                <w:rFonts w:ascii="Verdana" w:hAnsi="Verdana" w:cstheme="minorHAnsi"/>
                <w:sz w:val="20"/>
                <w:szCs w:val="20"/>
                <w:lang w:val="en-GB"/>
              </w:rPr>
              <w:t>audience,</w:t>
            </w:r>
            <w:proofErr w:type="gramEnd"/>
            <w:r w:rsidRPr="004250E6">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Προφορική επικοινωνία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έκφρασης σκέψεων και ιδεών σε άτομα ή ομάδες με σαφήνεια και με λόγο που αιχμαλωτίζει την προσοχή του κοινού, ενθαρρύνει την αμφίδρομη επικοινωνία και συμβάλλει στην κατανόηση και τη συγκράτηση του μηνύματος, ενώ επιδεικνύει επίσης ικανότητα διαπολιτισμικής επικοινωνίας.</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Conflict handling</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Διαχείριση συγκρούσεων</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αποτελεσματικής αντιμετώπισης των άλλων σε καταστάσεις σύγκρουσης μέσα από την αναγνώριση των διαφορετικών απόψεων, την ανοιχτή συζήτηση επ’ αυτών και τη χρήση κατάλληλου διαπροσωπικού ύφους και τεχνικών με σκοπό την εξεύρεση επωφελούς για όλους λύσης σε περίπτωση σύγκρουσης μεταξύ δύο ή περισσότερων ατόμων.</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Flexibility and adaptability to change </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Ευελιξία και προσαρμοστικότητα σε αλλαγές </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 xml:space="preserve">Επιδεικνύει ικανότητα προσαρμογής και διατήρησης της αποτελεσματικότητας σε περίπτωση σημαντικών αλλαγών σε εργασιακά καθήκοντα, στο περιβάλλον εργασίας, στην οργανωτική δομή και κουλτούρα, σε διαδικασίες, απαιτήσεις και άλλες πτυχές σχετιζόμενες με την εργασία. </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Problem solving</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Επίλυση προβλημάτων</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εντοπισμού προβλημάτων με τη χρήση λογικής, διαίσθησης, δεδομένων, με τη διενέργεια κατάλληλων αναλύσεων, ερευνών και με τη συμμετοχή τρίτων (εφόσον απαιτείται) με σκοπό την άντληση συμπερασμάτων ή τη λήψη αποφάσεων.</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Team work</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Εργασία σε ομάδα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αρμονικής συνεργασίας με άλλους συναδέλφους από διαφορετικές δομικές μονάδες και βαθμίδες για την επίτευξη συλλογικών στόχων.</w:t>
            </w:r>
          </w:p>
        </w:tc>
      </w:tr>
      <w:tr w:rsidR="004250E6" w:rsidRPr="00751B8C" w:rsidTr="004250E6">
        <w:trPr>
          <w:trHeight w:val="43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Technological ability</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Τεχνολογική ικανότητα</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χρήσης λογισμικού προσωπικών υπολογιστών, πληροφορικών συστημάτων και άλλων εργαλείων ΤΠ (λ.χ. προγράμματα Microsoft Office) που απαιτούνται για την επίτευξη εργασιακών στόχων.</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Usage of monitoring and information system</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Χρήση συστήματος παρακολούθησης και πληροφόρησης</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χρήσης συστημάτων παρακολούθησης και πληροφόρησης σχετικά με τα κονδύλια της ΕΕ (εξωτερικών και εσωτερικών αν υπάρχουν) με σκοπό την επίτευξη εργασιακών στόχων.</w:t>
            </w:r>
          </w:p>
        </w:tc>
      </w:tr>
      <w:tr w:rsidR="004250E6" w:rsidRPr="00751B8C" w:rsidTr="004250E6">
        <w:trPr>
          <w:trHeight w:val="398"/>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Representation to the outside world</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act or speak for institution in an efficient way and appropriate manner.</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Εκπροσώπηση στον έξω κόσμο</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να ενεργεί ή να ομιλεί εκ μέρους του φορέα με αποτελεσματικό και κατάλληλο τρόπο.</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apply relevant foreign language skills in order to carry out the assigned functions and accomplish work goals.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Συναφείς γλωσσικές δεξιότητες</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εφαρμογής συναφών δεξιοτήτων σχετικά με ξένες γλώσσες με σκοπό την άσκηση των ανατιθέμενων καθηκόντων και την επίτευξη εργασιακών στόχων.</w:t>
            </w:r>
          </w:p>
        </w:tc>
      </w:tr>
      <w:tr w:rsidR="004250E6" w:rsidRPr="00751B8C" w:rsidTr="004250E6">
        <w:trPr>
          <w:trHeight w:val="659"/>
        </w:trPr>
        <w:tc>
          <w:tcPr>
            <w:tcW w:w="453" w:type="pct"/>
            <w:shd w:val="clear" w:color="000000" w:fill="FFFFFF"/>
            <w:vAlign w:val="center"/>
          </w:tcPr>
          <w:p w:rsidR="004250E6" w:rsidRPr="00751B8C" w:rsidRDefault="004250E6"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4250E6" w:rsidRPr="00751B8C" w:rsidRDefault="004250E6" w:rsidP="00143F3C">
            <w:pPr>
              <w:spacing w:after="0"/>
              <w:rPr>
                <w:rFonts w:ascii="Verdana" w:hAnsi="Verdana" w:cstheme="minorHAnsi"/>
                <w:sz w:val="20"/>
                <w:szCs w:val="20"/>
              </w:rPr>
            </w:pPr>
            <w:r w:rsidRPr="00751B8C">
              <w:rPr>
                <w:rFonts w:ascii="Verdana" w:hAnsi="Verdana" w:cstheme="minorHAnsi"/>
                <w:sz w:val="20"/>
                <w:szCs w:val="20"/>
              </w:rPr>
              <w:t>Intercultural skills</w:t>
            </w:r>
          </w:p>
        </w:tc>
        <w:tc>
          <w:tcPr>
            <w:tcW w:w="1503" w:type="pct"/>
            <w:shd w:val="clear" w:color="000000" w:fill="FFFFFF"/>
            <w:vAlign w:val="center"/>
          </w:tcPr>
          <w:p w:rsidR="004250E6" w:rsidRPr="004250E6" w:rsidRDefault="004250E6" w:rsidP="00143F3C">
            <w:pPr>
              <w:spacing w:after="0"/>
              <w:rPr>
                <w:rFonts w:ascii="Verdana" w:hAnsi="Verdana" w:cstheme="minorHAnsi"/>
                <w:sz w:val="20"/>
                <w:szCs w:val="20"/>
                <w:lang w:val="en-GB"/>
              </w:rPr>
            </w:pPr>
            <w:r w:rsidRPr="004250E6">
              <w:rPr>
                <w:rFonts w:ascii="Verdana" w:hAnsi="Verdana" w:cstheme="minorHAnsi"/>
                <w:sz w:val="20"/>
                <w:szCs w:val="20"/>
                <w:lang w:val="en-GB"/>
              </w:rPr>
              <w:t>Demonstrating ability to work in multi-cultural environment, efficiently dealing with stakeholders in EU institutions and other member states.</w:t>
            </w:r>
          </w:p>
        </w:tc>
        <w:tc>
          <w:tcPr>
            <w:tcW w:w="911"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Διαπολιτισμικές δεξιότητες</w:t>
            </w:r>
          </w:p>
        </w:tc>
        <w:tc>
          <w:tcPr>
            <w:tcW w:w="1407" w:type="pct"/>
            <w:shd w:val="clear" w:color="000000" w:fill="FFFFFF"/>
            <w:vAlign w:val="center"/>
          </w:tcPr>
          <w:p w:rsidR="004250E6" w:rsidRPr="00751B8C" w:rsidRDefault="004250E6" w:rsidP="00143F3C">
            <w:pPr>
              <w:spacing w:after="0"/>
              <w:rPr>
                <w:rFonts w:ascii="Verdana" w:hAnsi="Verdana" w:cstheme="minorHAnsi"/>
                <w:sz w:val="20"/>
                <w:szCs w:val="20"/>
              </w:rPr>
            </w:pPr>
            <w:r>
              <w:rPr>
                <w:rFonts w:ascii="Verdana" w:hAnsi="Verdana" w:cstheme="minorHAnsi"/>
                <w:sz w:val="20"/>
              </w:rPr>
              <w:t>Επιδεικνύει ικανότητα εργασίας σε πολυπολιτισμικό περιβάλλον και αποτελεσματικής συνεργασίας με τους ενδιαφερομένους σε θεσμικά όργανα της ΕΕ και άλλα κράτη μέλη.</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E2" w:rsidRDefault="00D701E2" w:rsidP="0008776A">
      <w:pPr>
        <w:spacing w:after="0" w:line="240" w:lineRule="auto"/>
      </w:pPr>
      <w:r>
        <w:separator/>
      </w:r>
    </w:p>
  </w:endnote>
  <w:endnote w:type="continuationSeparator" w:id="0">
    <w:p w:rsidR="00D701E2" w:rsidRDefault="00D701E2"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A20A73">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E2" w:rsidRDefault="00D701E2" w:rsidP="0008776A">
      <w:pPr>
        <w:spacing w:after="0" w:line="240" w:lineRule="auto"/>
      </w:pPr>
      <w:r>
        <w:separator/>
      </w:r>
    </w:p>
  </w:footnote>
  <w:footnote w:type="continuationSeparator" w:id="0">
    <w:p w:rsidR="00D701E2" w:rsidRDefault="00D701E2"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92" w:rsidRPr="00313892" w:rsidRDefault="00313892"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Πλαίσιο ικανοτήτων της ΕΕ – Γλωσσάριο όρων οι οποίοι χρησιμοποιούνται στο εργαλείο αυτοαξιολόγησης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250E6"/>
    <w:rsid w:val="0044373B"/>
    <w:rsid w:val="00476CF8"/>
    <w:rsid w:val="004B0758"/>
    <w:rsid w:val="004D1BB8"/>
    <w:rsid w:val="004D7BED"/>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D60DC"/>
    <w:rsid w:val="00822B80"/>
    <w:rsid w:val="008339CD"/>
    <w:rsid w:val="00834E93"/>
    <w:rsid w:val="0084461D"/>
    <w:rsid w:val="008806DD"/>
    <w:rsid w:val="008E21AD"/>
    <w:rsid w:val="008F4A1B"/>
    <w:rsid w:val="00910BED"/>
    <w:rsid w:val="009248AB"/>
    <w:rsid w:val="009259B3"/>
    <w:rsid w:val="00927761"/>
    <w:rsid w:val="009A279A"/>
    <w:rsid w:val="00A20A73"/>
    <w:rsid w:val="00A30ABC"/>
    <w:rsid w:val="00A564CD"/>
    <w:rsid w:val="00A97695"/>
    <w:rsid w:val="00AB64E3"/>
    <w:rsid w:val="00AD2B31"/>
    <w:rsid w:val="00AD341D"/>
    <w:rsid w:val="00B14669"/>
    <w:rsid w:val="00B579F3"/>
    <w:rsid w:val="00B967FA"/>
    <w:rsid w:val="00BF3F75"/>
    <w:rsid w:val="00C11916"/>
    <w:rsid w:val="00C35824"/>
    <w:rsid w:val="00C971E1"/>
    <w:rsid w:val="00CC3497"/>
    <w:rsid w:val="00CD1306"/>
    <w:rsid w:val="00CE608F"/>
    <w:rsid w:val="00CF51E8"/>
    <w:rsid w:val="00CF661F"/>
    <w:rsid w:val="00CF6967"/>
    <w:rsid w:val="00D02119"/>
    <w:rsid w:val="00D27017"/>
    <w:rsid w:val="00D42D77"/>
    <w:rsid w:val="00D701E2"/>
    <w:rsid w:val="00D92F59"/>
    <w:rsid w:val="00D97BC9"/>
    <w:rsid w:val="00DE6C01"/>
    <w:rsid w:val="00E44B4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el-GR"/>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A20A73"/>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el-GR"/>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A20A73"/>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F403-2240-4DA5-8FFC-9F161680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20</cp:revision>
  <cp:lastPrinted>2017-03-22T18:35:00Z</cp:lastPrinted>
  <dcterms:created xsi:type="dcterms:W3CDTF">2017-10-04T12:00:00Z</dcterms:created>
  <dcterms:modified xsi:type="dcterms:W3CDTF">2018-04-13T09:35:00Z</dcterms:modified>
</cp:coreProperties>
</file>