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07" w:rsidRPr="00251707" w:rsidRDefault="00932713" w:rsidP="000A1ECD">
      <w:pPr>
        <w:jc w:val="center"/>
        <w:rPr>
          <w:rFonts w:ascii="Verdana" w:hAnsi="Verdana" w:cstheme="minorHAnsi"/>
          <w:b/>
          <w:color w:val="003399"/>
          <w:kern w:val="12"/>
          <w:sz w:val="40"/>
          <w:szCs w:val="40"/>
        </w:rPr>
        <w:sectPr w:rsidR="00251707" w:rsidRPr="00251707" w:rsidSect="00932713">
          <w:headerReference w:type="default" r:id="rId8"/>
          <w:footerReference w:type="default" r:id="rId9"/>
          <w:pgSz w:w="15840" w:h="12240" w:orient="landscape"/>
          <w:pgMar w:top="1440" w:right="1440" w:bottom="27" w:left="1440" w:header="720" w:footer="720" w:gutter="0"/>
          <w:cols w:space="720"/>
          <w:titlePg/>
          <w:docGrid w:linePitch="360"/>
        </w:sectPr>
      </w:pPr>
      <w:r>
        <w:rPr>
          <w:noProof/>
          <w:lang w:val="en-GB" w:eastAsia="en-GB" w:bidi="ar-SA"/>
        </w:rPr>
        <w:drawing>
          <wp:anchor distT="0" distB="0" distL="114300" distR="114300" simplePos="0" relativeHeight="251658240" behindDoc="0" locked="0" layoutInCell="1" allowOverlap="1">
            <wp:simplePos x="0" y="0"/>
            <wp:positionH relativeFrom="column">
              <wp:posOffset>-1033145</wp:posOffset>
            </wp:positionH>
            <wp:positionV relativeFrom="paragraph">
              <wp:posOffset>-914400</wp:posOffset>
            </wp:positionV>
            <wp:extent cx="10758805" cy="768286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58805" cy="7682865"/>
                    </a:xfrm>
                    <a:prstGeom prst="rect">
                      <a:avLst/>
                    </a:prstGeom>
                  </pic:spPr>
                </pic:pic>
              </a:graphicData>
            </a:graphic>
            <wp14:sizeRelH relativeFrom="page">
              <wp14:pctWidth>0</wp14:pctWidth>
            </wp14:sizeRelH>
            <wp14:sizeRelV relativeFrom="page">
              <wp14:pctHeight>0</wp14:pctHeight>
            </wp14:sizeRelV>
          </wp:anchor>
        </w:drawing>
      </w: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Verzie dokumentu</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Verzia</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Dátum</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novembra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rPr>
          <w:rFonts w:asciiTheme="minorHAnsi" w:eastAsiaTheme="minorHAnsi" w:hAnsiTheme="minorHAnsi" w:cstheme="minorBidi"/>
          <w:b w:val="0"/>
          <w:color w:val="auto"/>
          <w:sz w:val="22"/>
          <w:szCs w:val="22"/>
        </w:rPr>
        <w:id w:val="-1749726041"/>
        <w:docPartObj>
          <w:docPartGallery w:val="Table of Contents"/>
          <w:docPartUnique/>
        </w:docPartObj>
      </w:sdtPr>
      <w:sdtEndPr>
        <w:rPr>
          <w:bCs/>
          <w:noProof/>
        </w:rPr>
      </w:sdtEndPr>
      <w:sdtContent>
        <w:p w:rsidR="00932713" w:rsidRDefault="00932713" w:rsidP="00932713">
          <w:pPr>
            <w:pStyle w:val="TOCHeading"/>
            <w:numPr>
              <w:ilvl w:val="0"/>
              <w:numId w:val="0"/>
            </w:numPr>
            <w:ind w:left="547" w:hanging="547"/>
          </w:pPr>
          <w:r>
            <w:t>Obsah</w:t>
          </w:r>
        </w:p>
        <w:p w:rsidR="00932713" w:rsidRPr="0025756E" w:rsidRDefault="00932713" w:rsidP="00932713">
          <w:pPr>
            <w:rPr>
              <w:rFonts w:ascii="Verdana" w:hAnsi="Verdana"/>
              <w:b/>
              <w:color w:val="0070C0"/>
              <w:sz w:val="32"/>
              <w:szCs w:val="32"/>
            </w:rPr>
          </w:pPr>
        </w:p>
        <w:p w:rsidR="00932713" w:rsidRPr="00932713" w:rsidRDefault="00932713" w:rsidP="00F93EC0">
          <w:pPr>
            <w:pStyle w:val="TOC1"/>
            <w:tabs>
              <w:tab w:val="left" w:pos="442"/>
              <w:tab w:val="right" w:leader="dot" w:pos="12950"/>
            </w:tabs>
            <w:rPr>
              <w:rFonts w:eastAsiaTheme="minorEastAsia"/>
              <w:noProof/>
              <w:sz w:val="32"/>
              <w:lang w:val="en-GB" w:eastAsia="en-GB" w:bidi="ar-SA"/>
            </w:rPr>
          </w:pPr>
          <w:r>
            <w:fldChar w:fldCharType="begin"/>
          </w:r>
          <w:r>
            <w:instrText xml:space="preserve"> TOC \o "1-3" \h \z \u </w:instrText>
          </w:r>
          <w:r>
            <w:fldChar w:fldCharType="separate"/>
          </w:r>
          <w:hyperlink w:anchor="_Toc508972604" w:history="1">
            <w:r w:rsidRPr="00932713">
              <w:rPr>
                <w:rStyle w:val="Hyperlink"/>
                <w:noProof/>
                <w:sz w:val="32"/>
              </w:rPr>
              <w:t>1.</w:t>
            </w:r>
            <w:r w:rsidRPr="00932713">
              <w:rPr>
                <w:rFonts w:eastAsiaTheme="minorEastAsia"/>
                <w:noProof/>
                <w:sz w:val="32"/>
                <w:lang w:val="en-GB" w:eastAsia="en-GB" w:bidi="ar-SA"/>
              </w:rPr>
              <w:tab/>
            </w:r>
            <w:r w:rsidRPr="00932713">
              <w:rPr>
                <w:rStyle w:val="Hyperlink"/>
                <w:noProof/>
                <w:sz w:val="32"/>
              </w:rPr>
              <w:t>Pracovné pozície</w:t>
            </w:r>
            <w:r w:rsidRPr="00932713">
              <w:rPr>
                <w:noProof/>
                <w:webHidden/>
                <w:sz w:val="32"/>
              </w:rPr>
              <w:tab/>
            </w:r>
            <w:r w:rsidRPr="00932713">
              <w:rPr>
                <w:noProof/>
                <w:webHidden/>
                <w:sz w:val="32"/>
              </w:rPr>
              <w:fldChar w:fldCharType="begin"/>
            </w:r>
            <w:r w:rsidRPr="00932713">
              <w:rPr>
                <w:noProof/>
                <w:webHidden/>
                <w:sz w:val="32"/>
              </w:rPr>
              <w:instrText xml:space="preserve"> PAGEREF _Toc508972604 \h </w:instrText>
            </w:r>
            <w:r w:rsidRPr="00932713">
              <w:rPr>
                <w:noProof/>
                <w:webHidden/>
                <w:sz w:val="32"/>
              </w:rPr>
            </w:r>
            <w:r w:rsidRPr="00932713">
              <w:rPr>
                <w:noProof/>
                <w:webHidden/>
                <w:sz w:val="32"/>
              </w:rPr>
              <w:fldChar w:fldCharType="separate"/>
            </w:r>
            <w:r w:rsidRPr="00932713">
              <w:rPr>
                <w:noProof/>
                <w:webHidden/>
                <w:sz w:val="32"/>
              </w:rPr>
              <w:t>4</w:t>
            </w:r>
            <w:r w:rsidRPr="00932713">
              <w:rPr>
                <w:noProof/>
                <w:webHidden/>
                <w:sz w:val="32"/>
              </w:rPr>
              <w:fldChar w:fldCharType="end"/>
            </w:r>
          </w:hyperlink>
        </w:p>
        <w:p w:rsidR="00932713" w:rsidRPr="00932713" w:rsidRDefault="00B304A7" w:rsidP="004A2193">
          <w:pPr>
            <w:pStyle w:val="TOC1"/>
            <w:tabs>
              <w:tab w:val="left" w:pos="442"/>
              <w:tab w:val="left" w:pos="3225"/>
              <w:tab w:val="right" w:leader="dot" w:pos="12950"/>
            </w:tabs>
            <w:rPr>
              <w:rFonts w:eastAsiaTheme="minorEastAsia"/>
              <w:noProof/>
              <w:sz w:val="32"/>
              <w:lang w:val="en-GB" w:eastAsia="en-GB" w:bidi="ar-SA"/>
            </w:rPr>
          </w:pPr>
          <w:hyperlink w:anchor="_Toc508972605" w:history="1">
            <w:r w:rsidR="00932713" w:rsidRPr="00932713">
              <w:rPr>
                <w:rStyle w:val="Hyperlink"/>
                <w:noProof/>
                <w:sz w:val="32"/>
              </w:rPr>
              <w:t>2.</w:t>
            </w:r>
            <w:r w:rsidR="00932713" w:rsidRPr="00932713">
              <w:rPr>
                <w:rFonts w:eastAsiaTheme="minorEastAsia"/>
                <w:noProof/>
                <w:sz w:val="32"/>
                <w:lang w:val="en-GB" w:eastAsia="en-GB" w:bidi="ar-SA"/>
              </w:rPr>
              <w:tab/>
            </w:r>
            <w:r w:rsidR="00932713" w:rsidRPr="00932713">
              <w:rPr>
                <w:rStyle w:val="Hyperlink"/>
                <w:noProof/>
                <w:sz w:val="32"/>
              </w:rPr>
              <w:t>Úlohy a čiastkové úlohy</w:t>
            </w:r>
            <w:r w:rsidR="00932713" w:rsidRPr="00932713">
              <w:rPr>
                <w:noProof/>
                <w:webHidden/>
                <w:sz w:val="32"/>
              </w:rPr>
              <w:tab/>
            </w:r>
            <w:r w:rsidR="00932713" w:rsidRPr="00932713">
              <w:rPr>
                <w:noProof/>
                <w:webHidden/>
                <w:sz w:val="32"/>
              </w:rPr>
              <w:fldChar w:fldCharType="begin"/>
            </w:r>
            <w:r w:rsidR="00932713" w:rsidRPr="00932713">
              <w:rPr>
                <w:noProof/>
                <w:webHidden/>
                <w:sz w:val="32"/>
              </w:rPr>
              <w:instrText xml:space="preserve"> PAGEREF _Toc508972605 \h </w:instrText>
            </w:r>
            <w:r w:rsidR="00932713" w:rsidRPr="00932713">
              <w:rPr>
                <w:noProof/>
                <w:webHidden/>
                <w:sz w:val="32"/>
              </w:rPr>
            </w:r>
            <w:r w:rsidR="00932713" w:rsidRPr="00932713">
              <w:rPr>
                <w:noProof/>
                <w:webHidden/>
                <w:sz w:val="32"/>
              </w:rPr>
              <w:fldChar w:fldCharType="separate"/>
            </w:r>
            <w:r w:rsidR="00932713" w:rsidRPr="00932713">
              <w:rPr>
                <w:noProof/>
                <w:webHidden/>
                <w:sz w:val="32"/>
              </w:rPr>
              <w:t>5</w:t>
            </w:r>
            <w:r w:rsidR="00932713" w:rsidRPr="00932713">
              <w:rPr>
                <w:noProof/>
                <w:webHidden/>
                <w:sz w:val="32"/>
              </w:rPr>
              <w:fldChar w:fldCharType="end"/>
            </w:r>
          </w:hyperlink>
        </w:p>
        <w:p w:rsidR="00932713" w:rsidRPr="00932713" w:rsidRDefault="00B304A7" w:rsidP="00F93EC0">
          <w:pPr>
            <w:pStyle w:val="TOC1"/>
            <w:tabs>
              <w:tab w:val="left" w:pos="442"/>
              <w:tab w:val="right" w:leader="dot" w:pos="12950"/>
            </w:tabs>
            <w:rPr>
              <w:rFonts w:eastAsiaTheme="minorEastAsia"/>
              <w:noProof/>
              <w:sz w:val="32"/>
              <w:lang w:val="en-GB" w:eastAsia="en-GB" w:bidi="ar-SA"/>
            </w:rPr>
          </w:pPr>
          <w:hyperlink w:anchor="_Toc508972606" w:history="1">
            <w:r w:rsidR="00932713" w:rsidRPr="00932713">
              <w:rPr>
                <w:rStyle w:val="Hyperlink"/>
                <w:noProof/>
                <w:sz w:val="32"/>
              </w:rPr>
              <w:t>3.</w:t>
            </w:r>
            <w:r w:rsidR="00932713" w:rsidRPr="00932713">
              <w:rPr>
                <w:rFonts w:eastAsiaTheme="minorEastAsia"/>
                <w:noProof/>
                <w:sz w:val="32"/>
                <w:lang w:val="en-GB" w:eastAsia="en-GB" w:bidi="ar-SA"/>
              </w:rPr>
              <w:tab/>
            </w:r>
            <w:r w:rsidR="00932713" w:rsidRPr="00932713">
              <w:rPr>
                <w:rStyle w:val="Hyperlink"/>
                <w:noProof/>
                <w:sz w:val="32"/>
              </w:rPr>
              <w:t>Stupnica spôsobilosti</w:t>
            </w:r>
            <w:r w:rsidR="00932713" w:rsidRPr="00932713">
              <w:rPr>
                <w:noProof/>
                <w:webHidden/>
                <w:sz w:val="32"/>
              </w:rPr>
              <w:tab/>
            </w:r>
            <w:r w:rsidR="00932713" w:rsidRPr="00932713">
              <w:rPr>
                <w:noProof/>
                <w:webHidden/>
                <w:sz w:val="32"/>
              </w:rPr>
              <w:fldChar w:fldCharType="begin"/>
            </w:r>
            <w:r w:rsidR="00932713" w:rsidRPr="00932713">
              <w:rPr>
                <w:noProof/>
                <w:webHidden/>
                <w:sz w:val="32"/>
              </w:rPr>
              <w:instrText xml:space="preserve"> PAGEREF _Toc508972606 \h </w:instrText>
            </w:r>
            <w:r w:rsidR="00932713" w:rsidRPr="00932713">
              <w:rPr>
                <w:noProof/>
                <w:webHidden/>
                <w:sz w:val="32"/>
              </w:rPr>
            </w:r>
            <w:r w:rsidR="00932713" w:rsidRPr="00932713">
              <w:rPr>
                <w:noProof/>
                <w:webHidden/>
                <w:sz w:val="32"/>
              </w:rPr>
              <w:fldChar w:fldCharType="separate"/>
            </w:r>
            <w:r w:rsidR="00932713" w:rsidRPr="00932713">
              <w:rPr>
                <w:noProof/>
                <w:webHidden/>
                <w:sz w:val="32"/>
              </w:rPr>
              <w:t>10</w:t>
            </w:r>
            <w:r w:rsidR="00932713" w:rsidRPr="00932713">
              <w:rPr>
                <w:noProof/>
                <w:webHidden/>
                <w:sz w:val="32"/>
              </w:rPr>
              <w:fldChar w:fldCharType="end"/>
            </w:r>
          </w:hyperlink>
        </w:p>
        <w:p w:rsidR="00932713" w:rsidRPr="00932713" w:rsidRDefault="00B304A7" w:rsidP="004A2193">
          <w:pPr>
            <w:pStyle w:val="TOC1"/>
            <w:tabs>
              <w:tab w:val="left" w:pos="442"/>
              <w:tab w:val="left" w:pos="3225"/>
              <w:tab w:val="right" w:leader="dot" w:pos="12950"/>
            </w:tabs>
            <w:rPr>
              <w:rFonts w:eastAsiaTheme="minorEastAsia"/>
              <w:noProof/>
              <w:sz w:val="32"/>
              <w:lang w:val="en-GB" w:eastAsia="en-GB" w:bidi="ar-SA"/>
            </w:rPr>
          </w:pPr>
          <w:hyperlink w:anchor="_Toc508972607" w:history="1">
            <w:r w:rsidR="00932713" w:rsidRPr="00932713">
              <w:rPr>
                <w:rStyle w:val="Hyperlink"/>
                <w:noProof/>
                <w:sz w:val="32"/>
              </w:rPr>
              <w:t>4.</w:t>
            </w:r>
            <w:r w:rsidR="00932713" w:rsidRPr="00932713">
              <w:rPr>
                <w:rFonts w:eastAsiaTheme="minorEastAsia"/>
                <w:noProof/>
                <w:sz w:val="32"/>
                <w:lang w:val="en-GB" w:eastAsia="en-GB" w:bidi="ar-SA"/>
              </w:rPr>
              <w:tab/>
            </w:r>
            <w:r w:rsidR="00932713" w:rsidRPr="00932713">
              <w:rPr>
                <w:rStyle w:val="Hyperlink"/>
                <w:noProof/>
                <w:sz w:val="32"/>
              </w:rPr>
              <w:t>Prevádzkové kompetencie</w:t>
            </w:r>
            <w:r w:rsidR="00932713" w:rsidRPr="00932713">
              <w:rPr>
                <w:noProof/>
                <w:webHidden/>
                <w:sz w:val="32"/>
              </w:rPr>
              <w:tab/>
            </w:r>
            <w:r w:rsidR="00932713" w:rsidRPr="00932713">
              <w:rPr>
                <w:noProof/>
                <w:webHidden/>
                <w:sz w:val="32"/>
              </w:rPr>
              <w:fldChar w:fldCharType="begin"/>
            </w:r>
            <w:r w:rsidR="00932713" w:rsidRPr="00932713">
              <w:rPr>
                <w:noProof/>
                <w:webHidden/>
                <w:sz w:val="32"/>
              </w:rPr>
              <w:instrText xml:space="preserve"> PAGEREF _Toc508972607 \h </w:instrText>
            </w:r>
            <w:r w:rsidR="00932713" w:rsidRPr="00932713">
              <w:rPr>
                <w:noProof/>
                <w:webHidden/>
                <w:sz w:val="32"/>
              </w:rPr>
            </w:r>
            <w:r w:rsidR="00932713" w:rsidRPr="00932713">
              <w:rPr>
                <w:noProof/>
                <w:webHidden/>
                <w:sz w:val="32"/>
              </w:rPr>
              <w:fldChar w:fldCharType="separate"/>
            </w:r>
            <w:r w:rsidR="00932713" w:rsidRPr="00932713">
              <w:rPr>
                <w:noProof/>
                <w:webHidden/>
                <w:sz w:val="32"/>
              </w:rPr>
              <w:t>12</w:t>
            </w:r>
            <w:r w:rsidR="00932713" w:rsidRPr="00932713">
              <w:rPr>
                <w:noProof/>
                <w:webHidden/>
                <w:sz w:val="32"/>
              </w:rPr>
              <w:fldChar w:fldCharType="end"/>
            </w:r>
          </w:hyperlink>
        </w:p>
        <w:p w:rsidR="00932713" w:rsidRPr="00932713" w:rsidRDefault="00B304A7" w:rsidP="004A2193">
          <w:pPr>
            <w:pStyle w:val="TOC1"/>
            <w:tabs>
              <w:tab w:val="left" w:pos="442"/>
              <w:tab w:val="left" w:pos="3225"/>
              <w:tab w:val="right" w:leader="dot" w:pos="12950"/>
            </w:tabs>
            <w:rPr>
              <w:rFonts w:eastAsiaTheme="minorEastAsia"/>
              <w:noProof/>
              <w:sz w:val="32"/>
              <w:lang w:val="en-GB" w:eastAsia="en-GB" w:bidi="ar-SA"/>
            </w:rPr>
          </w:pPr>
          <w:hyperlink w:anchor="_Toc508972608" w:history="1">
            <w:r w:rsidR="00932713" w:rsidRPr="00932713">
              <w:rPr>
                <w:rStyle w:val="Hyperlink"/>
                <w:noProof/>
                <w:sz w:val="32"/>
              </w:rPr>
              <w:t>5.</w:t>
            </w:r>
            <w:r w:rsidR="00932713" w:rsidRPr="00932713">
              <w:rPr>
                <w:rFonts w:eastAsiaTheme="minorEastAsia"/>
                <w:noProof/>
                <w:sz w:val="32"/>
                <w:lang w:val="en-GB" w:eastAsia="en-GB" w:bidi="ar-SA"/>
              </w:rPr>
              <w:tab/>
            </w:r>
            <w:r w:rsidR="00932713" w:rsidRPr="00932713">
              <w:rPr>
                <w:rStyle w:val="Hyperlink"/>
                <w:noProof/>
                <w:sz w:val="32"/>
              </w:rPr>
              <w:t>Kompetencie v oblasti riadenia</w:t>
            </w:r>
            <w:r w:rsidR="00932713" w:rsidRPr="00932713">
              <w:rPr>
                <w:noProof/>
                <w:webHidden/>
                <w:sz w:val="32"/>
              </w:rPr>
              <w:tab/>
            </w:r>
            <w:r w:rsidR="00932713" w:rsidRPr="00932713">
              <w:rPr>
                <w:noProof/>
                <w:webHidden/>
                <w:sz w:val="32"/>
              </w:rPr>
              <w:fldChar w:fldCharType="begin"/>
            </w:r>
            <w:r w:rsidR="00932713" w:rsidRPr="00932713">
              <w:rPr>
                <w:noProof/>
                <w:webHidden/>
                <w:sz w:val="32"/>
              </w:rPr>
              <w:instrText xml:space="preserve"> PAGEREF _Toc508972608 \h </w:instrText>
            </w:r>
            <w:r w:rsidR="00932713" w:rsidRPr="00932713">
              <w:rPr>
                <w:noProof/>
                <w:webHidden/>
                <w:sz w:val="32"/>
              </w:rPr>
            </w:r>
            <w:r w:rsidR="00932713" w:rsidRPr="00932713">
              <w:rPr>
                <w:noProof/>
                <w:webHidden/>
                <w:sz w:val="32"/>
              </w:rPr>
              <w:fldChar w:fldCharType="separate"/>
            </w:r>
            <w:r w:rsidR="00932713" w:rsidRPr="00932713">
              <w:rPr>
                <w:noProof/>
                <w:webHidden/>
                <w:sz w:val="32"/>
              </w:rPr>
              <w:t>15</w:t>
            </w:r>
            <w:r w:rsidR="00932713" w:rsidRPr="00932713">
              <w:rPr>
                <w:noProof/>
                <w:webHidden/>
                <w:sz w:val="32"/>
              </w:rPr>
              <w:fldChar w:fldCharType="end"/>
            </w:r>
          </w:hyperlink>
        </w:p>
        <w:p w:rsidR="00932713" w:rsidRPr="00932713" w:rsidRDefault="00B304A7" w:rsidP="004A2193">
          <w:pPr>
            <w:pStyle w:val="TOC1"/>
            <w:tabs>
              <w:tab w:val="left" w:pos="442"/>
              <w:tab w:val="left" w:pos="3225"/>
              <w:tab w:val="right" w:leader="dot" w:pos="12950"/>
            </w:tabs>
            <w:rPr>
              <w:rFonts w:eastAsiaTheme="minorEastAsia"/>
              <w:noProof/>
              <w:sz w:val="32"/>
              <w:lang w:val="en-GB" w:eastAsia="en-GB" w:bidi="ar-SA"/>
            </w:rPr>
          </w:pPr>
          <w:hyperlink w:anchor="_Toc508972609" w:history="1">
            <w:r w:rsidR="00932713" w:rsidRPr="00932713">
              <w:rPr>
                <w:rStyle w:val="Hyperlink"/>
                <w:noProof/>
                <w:sz w:val="32"/>
              </w:rPr>
              <w:t>6.</w:t>
            </w:r>
            <w:r w:rsidR="00932713" w:rsidRPr="00932713">
              <w:rPr>
                <w:rFonts w:eastAsiaTheme="minorEastAsia"/>
                <w:noProof/>
                <w:sz w:val="32"/>
                <w:lang w:val="en-GB" w:eastAsia="en-GB" w:bidi="ar-SA"/>
              </w:rPr>
              <w:tab/>
            </w:r>
            <w:r w:rsidR="00932713" w:rsidRPr="00932713">
              <w:rPr>
                <w:rStyle w:val="Hyperlink"/>
                <w:noProof/>
                <w:sz w:val="32"/>
              </w:rPr>
              <w:t>Odborné kompetencie</w:t>
            </w:r>
            <w:r w:rsidR="00932713" w:rsidRPr="00932713">
              <w:rPr>
                <w:noProof/>
                <w:webHidden/>
                <w:sz w:val="32"/>
              </w:rPr>
              <w:tab/>
            </w:r>
            <w:r w:rsidR="00932713" w:rsidRPr="00932713">
              <w:rPr>
                <w:noProof/>
                <w:webHidden/>
                <w:sz w:val="32"/>
              </w:rPr>
              <w:fldChar w:fldCharType="begin"/>
            </w:r>
            <w:r w:rsidR="00932713" w:rsidRPr="00932713">
              <w:rPr>
                <w:noProof/>
                <w:webHidden/>
                <w:sz w:val="32"/>
              </w:rPr>
              <w:instrText xml:space="preserve"> PAGEREF _Toc508972609 \h </w:instrText>
            </w:r>
            <w:r w:rsidR="00932713" w:rsidRPr="00932713">
              <w:rPr>
                <w:noProof/>
                <w:webHidden/>
                <w:sz w:val="32"/>
              </w:rPr>
            </w:r>
            <w:r w:rsidR="00932713" w:rsidRPr="00932713">
              <w:rPr>
                <w:noProof/>
                <w:webHidden/>
                <w:sz w:val="32"/>
              </w:rPr>
              <w:fldChar w:fldCharType="separate"/>
            </w:r>
            <w:r w:rsidR="00932713" w:rsidRPr="00932713">
              <w:rPr>
                <w:noProof/>
                <w:webHidden/>
                <w:sz w:val="32"/>
              </w:rPr>
              <w:t>19</w:t>
            </w:r>
            <w:r w:rsidR="00932713" w:rsidRPr="00932713">
              <w:rPr>
                <w:noProof/>
                <w:webHidden/>
                <w:sz w:val="32"/>
              </w:rPr>
              <w:fldChar w:fldCharType="end"/>
            </w:r>
          </w:hyperlink>
        </w:p>
        <w:p w:rsidR="00932713" w:rsidRDefault="00932713">
          <w:r>
            <w:rPr>
              <w:b/>
              <w:bCs/>
              <w:noProof/>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8972604"/>
      <w:r>
        <w:lastRenderedPageBreak/>
        <w:t>Pracovné pozície</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2"/>
        <w:gridCol w:w="3130"/>
        <w:gridCol w:w="1594"/>
        <w:gridCol w:w="7163"/>
      </w:tblGrid>
      <w:tr w:rsidR="006931AA" w:rsidRPr="00251707" w:rsidTr="00894D9D">
        <w:trPr>
          <w:trHeight w:val="467"/>
        </w:trPr>
        <w:tc>
          <w:tcPr>
            <w:tcW w:w="1752"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3248"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894D9D" w:rsidRPr="00251707" w:rsidTr="00894D9D">
        <w:trPr>
          <w:trHeight w:val="440"/>
        </w:trPr>
        <w:tc>
          <w:tcPr>
            <w:tcW w:w="591" w:type="pct"/>
            <w:shd w:val="clear" w:color="auto" w:fill="F2F2F2" w:themeFill="background1" w:themeFillShade="F2"/>
            <w:vAlign w:val="center"/>
            <w:hideMark/>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Job Role</w:t>
            </w:r>
          </w:p>
        </w:tc>
        <w:tc>
          <w:tcPr>
            <w:tcW w:w="1161" w:type="pct"/>
            <w:shd w:val="clear" w:color="auto" w:fill="F2F2F2" w:themeFill="background1" w:themeFillShade="F2"/>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Description</w:t>
            </w:r>
          </w:p>
        </w:tc>
        <w:tc>
          <w:tcPr>
            <w:tcW w:w="591" w:type="pct"/>
            <w:shd w:val="clear" w:color="auto" w:fill="F2F2F2" w:themeFill="background1" w:themeFillShade="F2"/>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Pracovná pozícia</w:t>
            </w:r>
          </w:p>
        </w:tc>
        <w:tc>
          <w:tcPr>
            <w:tcW w:w="2656" w:type="pct"/>
            <w:shd w:val="clear" w:color="auto" w:fill="F2F2F2" w:themeFill="background1" w:themeFillShade="F2"/>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Opis</w:t>
            </w:r>
          </w:p>
        </w:tc>
      </w:tr>
      <w:tr w:rsidR="00894D9D" w:rsidRPr="00251707" w:rsidTr="00894D9D">
        <w:trPr>
          <w:trHeight w:val="1250"/>
        </w:trPr>
        <w:tc>
          <w:tcPr>
            <w:tcW w:w="591" w:type="pct"/>
            <w:shd w:val="clear" w:color="000000" w:fill="FFFFFF"/>
            <w:vAlign w:val="center"/>
            <w:hideMark/>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Decision-making level</w:t>
            </w:r>
          </w:p>
        </w:tc>
        <w:tc>
          <w:tcPr>
            <w:tcW w:w="1161"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This is the head of the organization or persons that act on relatively high strategic management levels</w:t>
            </w:r>
          </w:p>
        </w:tc>
        <w:tc>
          <w:tcPr>
            <w:tcW w:w="591"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Rozhodovacia úroveň</w:t>
            </w:r>
          </w:p>
        </w:tc>
        <w:tc>
          <w:tcPr>
            <w:tcW w:w="265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Vedúci predstaviteľ organizácie alebo osoby, ktoré pôsobia na pomerne vysokých úrovniach strategického riadenia</w:t>
            </w:r>
          </w:p>
        </w:tc>
      </w:tr>
      <w:tr w:rsidR="00894D9D" w:rsidRPr="00251707" w:rsidTr="00894D9D">
        <w:trPr>
          <w:trHeight w:val="1871"/>
        </w:trPr>
        <w:tc>
          <w:tcPr>
            <w:tcW w:w="591" w:type="pct"/>
            <w:shd w:val="clear" w:color="000000" w:fill="FFFFFF"/>
            <w:vAlign w:val="center"/>
            <w:hideMark/>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Supervisory level</w:t>
            </w:r>
          </w:p>
        </w:tc>
        <w:tc>
          <w:tcPr>
            <w:tcW w:w="1161"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This is the middle management level, responsible for a group of people and not directly involved in operational implementation of the programme, for instance heads of organizational units.</w:t>
            </w:r>
          </w:p>
        </w:tc>
        <w:tc>
          <w:tcPr>
            <w:tcW w:w="591"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Úroveň dohľadu</w:t>
            </w:r>
          </w:p>
        </w:tc>
        <w:tc>
          <w:tcPr>
            <w:tcW w:w="265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Úroveň stredného manažmentu, zodpovedajú za určitú skupinu osôb a nie sú priamo zapojení do prevádzkového vykonávania programu, napríklad vedúci organizačných jednotiek.</w:t>
            </w:r>
          </w:p>
        </w:tc>
      </w:tr>
      <w:tr w:rsidR="00894D9D" w:rsidRPr="00251707" w:rsidTr="00894D9D">
        <w:trPr>
          <w:trHeight w:val="1439"/>
        </w:trPr>
        <w:tc>
          <w:tcPr>
            <w:tcW w:w="591" w:type="pct"/>
            <w:shd w:val="clear" w:color="000000" w:fill="FFFFFF"/>
            <w:vAlign w:val="center"/>
            <w:hideMark/>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Operational level</w:t>
            </w:r>
          </w:p>
        </w:tc>
        <w:tc>
          <w:tcPr>
            <w:tcW w:w="1161"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These are the experts that are directly working on the different tasks and sub-tasks within the organization</w:t>
            </w:r>
          </w:p>
        </w:tc>
        <w:tc>
          <w:tcPr>
            <w:tcW w:w="591"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Prevádzková úroveň</w:t>
            </w:r>
          </w:p>
        </w:tc>
        <w:tc>
          <w:tcPr>
            <w:tcW w:w="265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Experti, ktorí priamo pracujú na rôznych úlohách a čiastkových úlohách v rámci organizácie</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8972605"/>
      <w:r>
        <w:lastRenderedPageBreak/>
        <w:t>Úlohy a čiastkové úlohy</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2291"/>
        <w:gridCol w:w="4047"/>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894D9D" w:rsidRPr="00251707" w:rsidTr="00932713">
        <w:trPr>
          <w:trHeight w:val="345"/>
          <w:tblHeader/>
        </w:trPr>
        <w:tc>
          <w:tcPr>
            <w:tcW w:w="902" w:type="pct"/>
            <w:shd w:val="clear" w:color="auto" w:fill="F2F2F2" w:themeFill="background1" w:themeFillShade="F2"/>
            <w:vAlign w:val="center"/>
          </w:tcPr>
          <w:p w:rsidR="00894D9D" w:rsidRDefault="00894D9D">
            <w:pPr>
              <w:spacing w:after="0" w:line="240" w:lineRule="auto"/>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894D9D" w:rsidRDefault="00894D9D">
            <w:pPr>
              <w:spacing w:after="0" w:line="240" w:lineRule="auto"/>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Sub-task</w:t>
            </w:r>
          </w:p>
        </w:tc>
        <w:tc>
          <w:tcPr>
            <w:tcW w:w="866" w:type="pct"/>
            <w:shd w:val="clear" w:color="auto" w:fill="F2F2F2" w:themeFill="background1" w:themeFillShade="F2"/>
            <w:vAlign w:val="center"/>
          </w:tcPr>
          <w:p w:rsidR="00894D9D" w:rsidRPr="00251707" w:rsidRDefault="00894D9D" w:rsidP="006522A8">
            <w:pPr>
              <w:spacing w:after="0" w:line="240" w:lineRule="auto"/>
              <w:rPr>
                <w:rFonts w:ascii="Verdana" w:eastAsia="Times New Roman" w:hAnsi="Verdana" w:cstheme="minorHAnsi"/>
                <w:b/>
                <w:bCs/>
                <w:sz w:val="20"/>
                <w:szCs w:val="20"/>
              </w:rPr>
            </w:pPr>
            <w:r>
              <w:rPr>
                <w:rFonts w:ascii="Verdana" w:hAnsi="Verdana" w:cstheme="minorHAnsi"/>
                <w:b/>
                <w:sz w:val="20"/>
              </w:rPr>
              <w:t>Úlohy</w:t>
            </w:r>
          </w:p>
        </w:tc>
        <w:tc>
          <w:tcPr>
            <w:tcW w:w="1530" w:type="pct"/>
            <w:shd w:val="clear" w:color="auto" w:fill="F2F2F2" w:themeFill="background1" w:themeFillShade="F2"/>
            <w:vAlign w:val="center"/>
          </w:tcPr>
          <w:p w:rsidR="00894D9D" w:rsidRPr="00251707" w:rsidRDefault="00894D9D" w:rsidP="006522A8">
            <w:pPr>
              <w:spacing w:after="0" w:line="240" w:lineRule="auto"/>
              <w:rPr>
                <w:rFonts w:ascii="Verdana" w:eastAsia="Times New Roman" w:hAnsi="Verdana" w:cstheme="minorHAnsi"/>
                <w:b/>
                <w:bCs/>
                <w:sz w:val="20"/>
                <w:szCs w:val="20"/>
              </w:rPr>
            </w:pPr>
            <w:r>
              <w:rPr>
                <w:rFonts w:ascii="Verdana" w:hAnsi="Verdana" w:cstheme="minorHAnsi"/>
                <w:b/>
                <w:sz w:val="20"/>
              </w:rPr>
              <w:t>Čiastková úloha</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1. Programming   </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1.1. Inter-institutional coordination and stakeholder involvement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1. Programovanie   </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1.1. Medziinštitucionálna koordinácia a zapojenie zainteresovaných strán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Pr="00932713" w:rsidRDefault="00932713">
            <w:pPr>
              <w:spacing w:after="0" w:line="256" w:lineRule="auto"/>
              <w:rPr>
                <w:rFonts w:ascii="Verdana" w:hAnsi="Verdana" w:cstheme="minorHAnsi"/>
                <w:sz w:val="20"/>
                <w:szCs w:val="20"/>
                <w:lang w:eastAsia="en-US"/>
              </w:rPr>
            </w:pPr>
            <w:r w:rsidRPr="00932713">
              <w:rPr>
                <w:rFonts w:ascii="Verdana" w:hAnsi="Verdana" w:cstheme="minorHAnsi"/>
                <w:sz w:val="20"/>
                <w:szCs w:val="20"/>
              </w:rPr>
              <w:t>1.2.</w:t>
            </w:r>
            <w:r w:rsidR="00894D9D" w:rsidRPr="00932713">
              <w:rPr>
                <w:rFonts w:ascii="Verdana" w:hAnsi="Verdana" w:cstheme="minorHAnsi"/>
                <w:sz w:val="20"/>
                <w:szCs w:val="20"/>
              </w:rPr>
              <w:t xml:space="preserve"> Preparation of the Programme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932713" w:rsidP="006522A8">
            <w:pPr>
              <w:spacing w:after="0"/>
              <w:rPr>
                <w:rFonts w:ascii="Verdana" w:hAnsi="Verdana" w:cstheme="minorHAnsi"/>
                <w:sz w:val="20"/>
                <w:szCs w:val="20"/>
              </w:rPr>
            </w:pPr>
            <w:r>
              <w:rPr>
                <w:rFonts w:ascii="Verdana" w:hAnsi="Verdana" w:cstheme="minorHAnsi"/>
                <w:sz w:val="20"/>
              </w:rPr>
              <w:t xml:space="preserve">1.2. </w:t>
            </w:r>
            <w:r w:rsidR="00894D9D">
              <w:rPr>
                <w:rFonts w:ascii="Verdana" w:hAnsi="Verdana" w:cstheme="minorHAnsi"/>
                <w:sz w:val="20"/>
              </w:rPr>
              <w:t xml:space="preserve">Príprava programu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r w:rsidRPr="00932713">
              <w:rPr>
                <w:rFonts w:ascii="Verdana" w:hAnsi="Verdana" w:cstheme="minorHAnsi"/>
                <w:sz w:val="20"/>
                <w:szCs w:val="20"/>
              </w:rPr>
              <w:t xml:space="preserve">1.3. Management of the evaluation process (ex-ante)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1.3. Riadenie hodnotiaceho procesu (</w:t>
            </w:r>
            <w:r>
              <w:rPr>
                <w:rFonts w:ascii="Verdana" w:hAnsi="Verdana" w:cstheme="minorHAnsi"/>
                <w:i/>
                <w:sz w:val="20"/>
              </w:rPr>
              <w:t>ex ante</w:t>
            </w:r>
            <w:r>
              <w:rPr>
                <w:rFonts w:ascii="Verdana" w:hAnsi="Verdana" w:cstheme="minorHAnsi"/>
                <w:sz w:val="20"/>
              </w:rPr>
              <w:t xml:space="preserve">)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val="es-E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1.4. Negotiation with the EC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1.4. Rokovanie s EK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1.5 Procurement of goods and services under Technical Assistance</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1.5 Obstarávanie tovaru a služieb v rámci technickej pomoci</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2. System set-up, development of procedures and tools</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2.1. Development of the description of management and control systems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2. Nastavenie systému, tvorba postupov a nástrojov</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2.1. Vypracovanie opisu systémov riadenia a kontroly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val="pl-PL" w:eastAsia="en-US"/>
              </w:rPr>
            </w:pPr>
          </w:p>
        </w:tc>
        <w:tc>
          <w:tcPr>
            <w:tcW w:w="1702" w:type="pct"/>
            <w:shd w:val="clear" w:color="000000" w:fill="FFFFFF"/>
            <w:vAlign w:val="center"/>
          </w:tcPr>
          <w:p w:rsidR="00894D9D" w:rsidRDefault="00932713">
            <w:pPr>
              <w:spacing w:after="0" w:line="256" w:lineRule="auto"/>
              <w:rPr>
                <w:rFonts w:ascii="Verdana" w:hAnsi="Verdana" w:cstheme="minorHAnsi"/>
                <w:sz w:val="20"/>
                <w:szCs w:val="20"/>
                <w:lang w:val="en-US" w:eastAsia="en-US"/>
              </w:rPr>
            </w:pPr>
            <w:r>
              <w:rPr>
                <w:rFonts w:ascii="Verdana" w:hAnsi="Verdana" w:cstheme="minorHAnsi"/>
                <w:sz w:val="20"/>
                <w:szCs w:val="20"/>
                <w:lang w:val="en-US"/>
              </w:rPr>
              <w:t>2.2. Legal system set-up</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2.2. Nastavenie právneho systému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932713">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2.3 </w:t>
            </w:r>
            <w:r w:rsidR="00894D9D">
              <w:rPr>
                <w:rFonts w:ascii="Verdana" w:hAnsi="Verdana" w:cstheme="minorHAnsi"/>
                <w:sz w:val="20"/>
                <w:szCs w:val="20"/>
                <w:lang w:val="en-US"/>
              </w:rPr>
              <w:t>Development of the procedures and tools for Programme implementation</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2.3 Tvorba postupov a nástrojov pre vykonávanie programu</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2.4. Development and maintenance of monitoring and information systems and e-cohesion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2.4. Tvorba a údržba monitorovacích a informačných systémov a e-súdržnosti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2.5 Development of institutional and administrative capacity</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2.5 Rozvoj inštitucionálnej a administratívnej kapacity</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2.6. Procurement of goods and services under Technical Assistance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2.6. Obstarávanie tovaru a služieb v rámci technickej pomoci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3. Project generation, preparation of calls for proposals, project selection and contracting</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3.1 Supporting applicants in relation to technical and financial aspects of project requirements, including capacity building at beneficiary level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3. Tvorba projektov, príprava výziev na predkladanie návrhov, výber projektov a uzatváranie zmlúv</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3.1 Podpora žiadateľov v súvislosti s technickými a finančnými aspektmi požiadaviek týkajúcich sa projektov vrátane budovania kapacít na úrovni prijímateľov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3.2. Preparation of proposals for selection </w:t>
            </w:r>
            <w:r>
              <w:rPr>
                <w:rFonts w:ascii="Verdana" w:hAnsi="Verdana" w:cstheme="minorHAnsi"/>
                <w:sz w:val="20"/>
                <w:szCs w:val="20"/>
                <w:lang w:val="en-US"/>
              </w:rPr>
              <w:lastRenderedPageBreak/>
              <w:t xml:space="preserve">criteria and selection procedures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3.2. Príprava návrhov na výberové </w:t>
            </w:r>
            <w:r>
              <w:rPr>
                <w:rFonts w:ascii="Verdana" w:hAnsi="Verdana" w:cstheme="minorHAnsi"/>
                <w:sz w:val="20"/>
              </w:rPr>
              <w:lastRenderedPageBreak/>
              <w:t xml:space="preserve">kritériá a výberové postupy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3.3. Preparation / modification of guidelines for applicants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3.3. Príprava/úprava usmernení pre žiadateľov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3.4. Administrative and eligibility check (completeness of the package and compliance with relevant laws and regulations)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3.4. Administratívna kontrola a kontrola oprávnenosti (úplnosť balíka a dodržanie príslušných zákonov a iných právnych predpisov)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3.5. Appraisal (scoring of applications, management of appeals, drawing up list of projects, communicating results to decision makers and applicants)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3.5. Hodnotenie (bodové hodnotenie žiadostí, spravovanie odvolaní, vypracovanie zoznamu projektov, oznamovanie výsledkov osobám s rozhodovacou právomocou a žiadateľom)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3.6. Development and amendment of procedures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3.6. Vypracovanie a zmena postupov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3.7. Awareness and support activities</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3.7. Činnosti na zvyšovanie informovanosti a podporné činnosti</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val="it-IT"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3.8. Procurement of goods and services under Technical Assistance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3.8. Obstarávanie tovaru a služieb v rámci technickej pomoci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4. Monitoring on project level</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4.1. Technical monitoring and on the spot verifications at project level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4. Monitorovanie na úrovni projektu</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4.1. Technické monitorovanie a overovanie na mieste na úrovni projektu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val="pl-PL"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4.2. Providing advice to beneficiaries on project implementation issues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4.2. Poskytovanie poradenstva prijímateľom v otázkach vykonávania projektov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4.3. Finding and reporting irregularities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4.3. Zisťovanie a oznamovanie nezrovnalostí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4.4 Procurement of goods and services under Technical Assistance</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4.4. Obstarávanie tovaru a služieb v rámci technickej pomoci</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5. Monitoring on programme level</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5.1. Measurement of the performance of the PA/Measure (planning, monitoring, forecasting, revising)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5. Monitorovanie na úrovni programu</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5.1. Meranie výkonnosti </w:t>
            </w:r>
            <w:r w:rsidR="00B304A7">
              <w:rPr>
                <w:rFonts w:ascii="Verdana" w:hAnsi="Verdana" w:cstheme="minorHAnsi"/>
                <w:sz w:val="20"/>
              </w:rPr>
              <w:t>prioritnej osy</w:t>
            </w:r>
            <w:r>
              <w:rPr>
                <w:rFonts w:ascii="Verdana" w:hAnsi="Verdana" w:cstheme="minorHAnsi"/>
                <w:sz w:val="20"/>
              </w:rPr>
              <w:t xml:space="preserve">/opatrenia (plánovanie, monitorovanie, predpovede, revízia)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5.2. Measurement of the performance of the Operational Programme (planning, monitoring, forecasting, revising and corrective actions)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5.2. Meranie výkonnosti operačného programu (plánovanie, monitorovanie, predpovede, revízia a nápravné opatrenia)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5.3. Reporting to the Monitoring Committee and European Commission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5.3. Podávanie správ monitorovaciemu výboru a Európskej komisii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5.4. Development and amendment of monitoring procedures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5.4. Vypracovanie a zmena monitorovacích postupov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5.5. Supporting the Monitoring Committee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5.5. Podpora monitorovacieho výboru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5.6. Procurement of goods and services under Technical Assistance</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5.6. Obstarávanie tovaru a služieb v rámci technickej pomoci</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6. Evaluation</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6.1. Preparing and guiding the evaluation process (outsourced)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6. Hodnotenie</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6.1. Príprava a usmerňovanie hodnotiaceho procesu (s využitím externých zdrojov)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6.2. Carrying out evaluation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6.2. Vykonávanie hodnotenia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6.3. Usage of results: involved in the identification and implementation of follow up actions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6.3. Využívanie výsledkov: zapojenie do určovania a vykonávania následných opatrení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6.4. Ex-ante conditionalities</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6.4. </w:t>
            </w:r>
            <w:r>
              <w:rPr>
                <w:rFonts w:ascii="Verdana" w:hAnsi="Verdana" w:cstheme="minorHAnsi"/>
                <w:i/>
                <w:sz w:val="20"/>
              </w:rPr>
              <w:t>Ex ante</w:t>
            </w:r>
            <w:r>
              <w:rPr>
                <w:rFonts w:ascii="Verdana" w:hAnsi="Verdana" w:cstheme="minorHAnsi"/>
                <w:sz w:val="20"/>
              </w:rPr>
              <w:t xml:space="preserve"> kondicionality</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6.5. Procurement of goods and services under Technical Assistance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6.5. Obstarávanie tovaru a služieb v rámci technickej pomoci </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7. Financial management on project level</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7.1. Verification of payment claims and first level control reports at project level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7. Finančné hospodárenie na úrovni projektu</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7.1. Overovanie žiadostí o platbu a správy z kontroly prvej úrovne na úrovni projektu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7.2. Financial monitoring and on the spot verifications at project level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7.2. Finančné monitorovanie a overovanie na mieste na úrovni projektu </w:t>
            </w:r>
          </w:p>
        </w:tc>
      </w:tr>
      <w:tr w:rsidR="00894D9D" w:rsidRPr="00251707" w:rsidTr="00932713">
        <w:trPr>
          <w:trHeight w:val="345"/>
        </w:trPr>
        <w:tc>
          <w:tcPr>
            <w:tcW w:w="902" w:type="pct"/>
            <w:shd w:val="clear" w:color="000000" w:fill="FFFFFF"/>
            <w:vAlign w:val="center"/>
          </w:tcPr>
          <w:p w:rsidR="00894D9D" w:rsidRPr="00B304A7" w:rsidRDefault="00894D9D">
            <w:pPr>
              <w:spacing w:after="0" w:line="256" w:lineRule="auto"/>
              <w:rPr>
                <w:rFonts w:ascii="Verdana" w:hAnsi="Verdana" w:cstheme="minorHAnsi"/>
                <w:sz w:val="20"/>
                <w:szCs w:val="20"/>
                <w:lang w:val="fr-BE"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7.3. Procurement of goods and services under Technical Assistance</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7.3. Obstarávanie tovaru a služieb v rámci technickej pomoci</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8. Financial </w:t>
            </w:r>
            <w:r>
              <w:rPr>
                <w:rFonts w:ascii="Verdana" w:hAnsi="Verdana" w:cstheme="minorHAnsi"/>
                <w:sz w:val="20"/>
                <w:szCs w:val="20"/>
                <w:lang w:val="en-US"/>
              </w:rPr>
              <w:lastRenderedPageBreak/>
              <w:t>management on programme level</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lastRenderedPageBreak/>
              <w:t xml:space="preserve">8.1. Measurement of the financial </w:t>
            </w:r>
            <w:r>
              <w:rPr>
                <w:rFonts w:ascii="Verdana" w:hAnsi="Verdana" w:cstheme="minorHAnsi"/>
                <w:sz w:val="20"/>
                <w:szCs w:val="20"/>
                <w:lang w:val="en-US"/>
              </w:rPr>
              <w:lastRenderedPageBreak/>
              <w:t xml:space="preserve">performance of PA/Measure (planning, monitoring, forecasting, revising)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lastRenderedPageBreak/>
              <w:t xml:space="preserve">8. Finančné </w:t>
            </w:r>
            <w:r>
              <w:rPr>
                <w:rFonts w:ascii="Verdana" w:hAnsi="Verdana" w:cstheme="minorHAnsi"/>
                <w:sz w:val="20"/>
              </w:rPr>
              <w:lastRenderedPageBreak/>
              <w:t>hospodárenie na úrovni programu</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lastRenderedPageBreak/>
              <w:t xml:space="preserve">8.1. Meranie finančnej výkonnosti </w:t>
            </w:r>
            <w:r w:rsidR="00B304A7">
              <w:rPr>
                <w:rFonts w:ascii="Verdana" w:hAnsi="Verdana" w:cstheme="minorHAnsi"/>
                <w:sz w:val="20"/>
              </w:rPr>
              <w:lastRenderedPageBreak/>
              <w:t>prioritnej osy</w:t>
            </w:r>
            <w:bookmarkStart w:id="4" w:name="_GoBack"/>
            <w:bookmarkEnd w:id="4"/>
            <w:r>
              <w:rPr>
                <w:rFonts w:ascii="Verdana" w:hAnsi="Verdana" w:cstheme="minorHAnsi"/>
                <w:sz w:val="20"/>
              </w:rPr>
              <w:t xml:space="preserve">/opatrenia (plánovanie, monitorovanie, predpovede, revízia) </w:t>
            </w:r>
          </w:p>
        </w:tc>
      </w:tr>
      <w:tr w:rsidR="00894D9D" w:rsidRPr="00251707" w:rsidTr="00932713">
        <w:trPr>
          <w:trHeight w:val="741"/>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8.2. Measurement of the financial performance of the Operational Programme (planning, monitoring, forecasting, revising and corrective actions).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8.2. Meranie finančnej výkonnosti operačného programu (plánovanie, monitorovanie, predpovede, revízia a nápravné opatrenia)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8.3. Reporting to Monitoring Committee and European Commission including management declaration and annual summary (CPR 125.4(e)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8.3. Podávanie správ monitorovaciemu výboru a Európskej komisii vrátane vyhlásenia hospodáriaceho subjektu a ročného súhrnu [nariadenie o spoločných ustanoveniach, článok 125 ods. 4 písm. e)]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8.4. Development and amendment of financial management procedures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8.4. Vypracovanie a zmena postupov finančného hospodárenia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8.5. Procurement of goods and services under Technical Assistance</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8.5. Obstarávanie tovaru a služieb v rámci technickej pomoci</w:t>
            </w:r>
          </w:p>
        </w:tc>
      </w:tr>
      <w:tr w:rsidR="00894D9D" w:rsidRPr="00251707" w:rsidTr="00932713">
        <w:trPr>
          <w:trHeight w:val="345"/>
        </w:trPr>
        <w:tc>
          <w:tcPr>
            <w:tcW w:w="9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9. Communication</w:t>
            </w: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9.1. Preparation of the communication plan and its implementation for different stakeholders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9. Komunikácia</w:t>
            </w: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9.1. Príprava plánu komunikácie a jeho vykonávanie pre rôzne zainteresované strany </w:t>
            </w:r>
          </w:p>
        </w:tc>
      </w:tr>
      <w:tr w:rsidR="00894D9D" w:rsidRPr="00251707" w:rsidTr="00932713">
        <w:trPr>
          <w:trHeight w:val="345"/>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9.2. Building networks with different media </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 xml:space="preserve">9.2. Budovanie sietí s rôznymi médiami </w:t>
            </w:r>
          </w:p>
        </w:tc>
      </w:tr>
      <w:tr w:rsidR="00894D9D" w:rsidRPr="00251707" w:rsidTr="00932713">
        <w:trPr>
          <w:trHeight w:val="70"/>
        </w:trPr>
        <w:tc>
          <w:tcPr>
            <w:tcW w:w="902" w:type="pct"/>
            <w:shd w:val="clear" w:color="000000" w:fill="FFFFFF"/>
            <w:vAlign w:val="center"/>
          </w:tcPr>
          <w:p w:rsidR="00894D9D" w:rsidRPr="00932713" w:rsidRDefault="00894D9D">
            <w:pPr>
              <w:spacing w:after="0" w:line="256" w:lineRule="auto"/>
              <w:rPr>
                <w:rFonts w:ascii="Verdana" w:hAnsi="Verdana" w:cstheme="minorHAnsi"/>
                <w:sz w:val="20"/>
                <w:szCs w:val="20"/>
                <w:lang w:val="pl-PL" w:eastAsia="en-US"/>
              </w:rPr>
            </w:pPr>
          </w:p>
        </w:tc>
        <w:tc>
          <w:tcPr>
            <w:tcW w:w="1702" w:type="pct"/>
            <w:shd w:val="clear" w:color="000000" w:fill="FFFFFF"/>
            <w:vAlign w:val="center"/>
          </w:tcPr>
          <w:p w:rsidR="00894D9D" w:rsidRDefault="00894D9D">
            <w:pPr>
              <w:spacing w:after="0" w:line="256" w:lineRule="auto"/>
              <w:rPr>
                <w:rFonts w:ascii="Verdana" w:hAnsi="Verdana" w:cstheme="minorHAnsi"/>
                <w:sz w:val="20"/>
                <w:szCs w:val="20"/>
                <w:lang w:val="en-US" w:eastAsia="en-US"/>
              </w:rPr>
            </w:pPr>
            <w:r>
              <w:rPr>
                <w:rFonts w:ascii="Verdana" w:hAnsi="Verdana" w:cstheme="minorHAnsi"/>
                <w:sz w:val="20"/>
                <w:szCs w:val="20"/>
                <w:lang w:val="en-US"/>
              </w:rPr>
              <w:t>9.3. Procurement of goods and services under Technical Assistance</w:t>
            </w:r>
          </w:p>
        </w:tc>
        <w:tc>
          <w:tcPr>
            <w:tcW w:w="866" w:type="pct"/>
            <w:shd w:val="clear" w:color="000000" w:fill="FFFFFF"/>
            <w:vAlign w:val="center"/>
          </w:tcPr>
          <w:p w:rsidR="00894D9D" w:rsidRPr="00251707" w:rsidRDefault="00894D9D" w:rsidP="006522A8">
            <w:pPr>
              <w:spacing w:after="0"/>
              <w:rPr>
                <w:rFonts w:ascii="Verdana" w:hAnsi="Verdana" w:cstheme="minorHAnsi"/>
                <w:sz w:val="20"/>
                <w:szCs w:val="20"/>
              </w:rPr>
            </w:pPr>
          </w:p>
        </w:tc>
        <w:tc>
          <w:tcPr>
            <w:tcW w:w="1530" w:type="pct"/>
            <w:shd w:val="clear" w:color="000000" w:fill="FFFFFF"/>
            <w:vAlign w:val="center"/>
          </w:tcPr>
          <w:p w:rsidR="00894D9D" w:rsidRPr="00251707" w:rsidRDefault="00894D9D" w:rsidP="006522A8">
            <w:pPr>
              <w:spacing w:after="0"/>
              <w:rPr>
                <w:rFonts w:ascii="Verdana" w:hAnsi="Verdana" w:cstheme="minorHAnsi"/>
                <w:sz w:val="20"/>
                <w:szCs w:val="20"/>
              </w:rPr>
            </w:pPr>
            <w:r>
              <w:rPr>
                <w:rFonts w:ascii="Verdana" w:hAnsi="Verdana" w:cstheme="minorHAnsi"/>
                <w:sz w:val="20"/>
              </w:rPr>
              <w:t>9.3. Obstarávanie tovaru a služieb v rámci technickej pomoci</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972606"/>
      <w:r>
        <w:lastRenderedPageBreak/>
        <w:t>Stupnica spôsobilosti</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6809C5" w:rsidRPr="00251707" w:rsidTr="006645FC">
        <w:trPr>
          <w:trHeight w:val="332"/>
          <w:tblHeader/>
        </w:trPr>
        <w:tc>
          <w:tcPr>
            <w:tcW w:w="658" w:type="pct"/>
            <w:shd w:val="clear" w:color="auto" w:fill="F2F2F2" w:themeFill="background1" w:themeFillShade="F2"/>
          </w:tcPr>
          <w:p w:rsidR="006809C5" w:rsidRDefault="006809C5">
            <w:pPr>
              <w:spacing w:after="0" w:line="240" w:lineRule="auto"/>
              <w:rPr>
                <w:rFonts w:ascii="Verdana" w:hAnsi="Verdana" w:cstheme="minorHAnsi"/>
                <w:sz w:val="20"/>
                <w:szCs w:val="20"/>
                <w:lang w:val="en-US" w:eastAsia="en-US"/>
              </w:rPr>
            </w:pPr>
            <w:r>
              <w:rPr>
                <w:rFonts w:ascii="Verdana" w:hAnsi="Verdana" w:cstheme="minorHAnsi"/>
                <w:sz w:val="20"/>
                <w:szCs w:val="20"/>
                <w:lang w:val="en-US"/>
              </w:rPr>
              <w:t xml:space="preserve">Scale </w:t>
            </w:r>
          </w:p>
        </w:tc>
        <w:tc>
          <w:tcPr>
            <w:tcW w:w="1738" w:type="pct"/>
            <w:shd w:val="clear" w:color="auto" w:fill="F2F2F2" w:themeFill="background1" w:themeFillShade="F2"/>
          </w:tcPr>
          <w:p w:rsidR="006809C5" w:rsidRDefault="006809C5">
            <w:pPr>
              <w:spacing w:after="0" w:line="240" w:lineRule="auto"/>
              <w:rPr>
                <w:rFonts w:ascii="Verdana" w:hAnsi="Verdana" w:cstheme="minorHAnsi"/>
                <w:sz w:val="20"/>
                <w:szCs w:val="20"/>
                <w:lang w:val="en-US" w:eastAsia="en-US"/>
              </w:rPr>
            </w:pPr>
            <w:r>
              <w:rPr>
                <w:rFonts w:ascii="Verdana" w:hAnsi="Verdana" w:cstheme="minorHAnsi"/>
                <w:sz w:val="20"/>
                <w:szCs w:val="20"/>
                <w:lang w:val="en-US"/>
              </w:rPr>
              <w:t xml:space="preserve">Description </w:t>
            </w:r>
          </w:p>
        </w:tc>
        <w:tc>
          <w:tcPr>
            <w:tcW w:w="590" w:type="pct"/>
            <w:shd w:val="clear" w:color="auto" w:fill="F2F2F2" w:themeFill="background1" w:themeFillShade="F2"/>
          </w:tcPr>
          <w:p w:rsidR="006809C5" w:rsidRPr="00251707" w:rsidRDefault="006809C5" w:rsidP="006522A8">
            <w:pPr>
              <w:spacing w:after="0" w:line="240" w:lineRule="auto"/>
              <w:rPr>
                <w:rFonts w:ascii="Verdana" w:hAnsi="Verdana" w:cstheme="minorHAnsi"/>
                <w:sz w:val="20"/>
                <w:szCs w:val="20"/>
              </w:rPr>
            </w:pPr>
            <w:r>
              <w:rPr>
                <w:rFonts w:ascii="Verdana" w:hAnsi="Verdana" w:cstheme="minorHAnsi"/>
                <w:sz w:val="20"/>
              </w:rPr>
              <w:t xml:space="preserve">Stupnica </w:t>
            </w:r>
          </w:p>
        </w:tc>
        <w:tc>
          <w:tcPr>
            <w:tcW w:w="2014" w:type="pct"/>
            <w:shd w:val="clear" w:color="auto" w:fill="F2F2F2" w:themeFill="background1" w:themeFillShade="F2"/>
          </w:tcPr>
          <w:p w:rsidR="006809C5" w:rsidRPr="00251707" w:rsidRDefault="006809C5" w:rsidP="006522A8">
            <w:pPr>
              <w:spacing w:after="0" w:line="240" w:lineRule="auto"/>
              <w:rPr>
                <w:rFonts w:ascii="Verdana" w:hAnsi="Verdana" w:cstheme="minorHAnsi"/>
                <w:sz w:val="20"/>
                <w:szCs w:val="20"/>
              </w:rPr>
            </w:pPr>
            <w:r>
              <w:rPr>
                <w:rFonts w:ascii="Verdana" w:hAnsi="Verdana" w:cstheme="minorHAnsi"/>
                <w:sz w:val="20"/>
              </w:rPr>
              <w:t xml:space="preserve">Opis </w:t>
            </w:r>
          </w:p>
        </w:tc>
      </w:tr>
      <w:tr w:rsidR="006809C5" w:rsidRPr="00251707" w:rsidTr="006645FC">
        <w:trPr>
          <w:trHeight w:val="566"/>
        </w:trPr>
        <w:tc>
          <w:tcPr>
            <w:tcW w:w="658" w:type="pct"/>
            <w:shd w:val="clear" w:color="000000" w:fill="FFFFFF"/>
          </w:tcPr>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N.A. - Not Applicable</w:t>
            </w:r>
          </w:p>
        </w:tc>
        <w:tc>
          <w:tcPr>
            <w:tcW w:w="1738" w:type="pct"/>
            <w:shd w:val="clear" w:color="000000" w:fill="FFFFFF"/>
            <w:hideMark/>
          </w:tcPr>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 xml:space="preserve">The competency is not applicable to the job role. </w:t>
            </w:r>
          </w:p>
        </w:tc>
        <w:tc>
          <w:tcPr>
            <w:tcW w:w="590"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N/A – neuplatňuje sa</w:t>
            </w:r>
          </w:p>
        </w:tc>
        <w:tc>
          <w:tcPr>
            <w:tcW w:w="2014"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 xml:space="preserve">Kompetencia sa na pracovnú pozíciu neuplatňuje. </w:t>
            </w:r>
          </w:p>
        </w:tc>
      </w:tr>
      <w:tr w:rsidR="006809C5" w:rsidRPr="00251707" w:rsidTr="006645FC">
        <w:trPr>
          <w:trHeight w:val="908"/>
        </w:trPr>
        <w:tc>
          <w:tcPr>
            <w:tcW w:w="658" w:type="pct"/>
            <w:shd w:val="clear" w:color="000000" w:fill="FFFFFF"/>
          </w:tcPr>
          <w:p w:rsidR="006809C5" w:rsidRDefault="006809C5">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0 – </w:t>
            </w:r>
          </w:p>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No knowledge</w:t>
            </w:r>
          </w:p>
        </w:tc>
        <w:tc>
          <w:tcPr>
            <w:tcW w:w="1738" w:type="pct"/>
            <w:shd w:val="clear" w:color="000000" w:fill="FFFFFF"/>
          </w:tcPr>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No knowledge of the competency or no ability to apply it in real situations.</w:t>
            </w:r>
          </w:p>
        </w:tc>
        <w:tc>
          <w:tcPr>
            <w:tcW w:w="590"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 xml:space="preserve">Úroveň 0 – </w:t>
            </w:r>
          </w:p>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nijaká znalosť</w:t>
            </w:r>
          </w:p>
        </w:tc>
        <w:tc>
          <w:tcPr>
            <w:tcW w:w="2014"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Nijaká znalosť kompetencie ani nijaká schopnosť uplatňovať kompetenciu v reálnych situáciách.</w:t>
            </w:r>
          </w:p>
        </w:tc>
      </w:tr>
      <w:tr w:rsidR="006809C5" w:rsidRPr="00251707" w:rsidTr="006645FC">
        <w:trPr>
          <w:trHeight w:val="1421"/>
        </w:trPr>
        <w:tc>
          <w:tcPr>
            <w:tcW w:w="658" w:type="pct"/>
            <w:shd w:val="clear" w:color="000000" w:fill="FFFFFF"/>
          </w:tcPr>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Level 1 - Awareness</w:t>
            </w:r>
          </w:p>
        </w:tc>
        <w:tc>
          <w:tcPr>
            <w:tcW w:w="1738" w:type="pct"/>
            <w:shd w:val="clear" w:color="000000" w:fill="FFFFFF"/>
          </w:tcPr>
          <w:p w:rsidR="006809C5" w:rsidRDefault="006809C5">
            <w:pPr>
              <w:spacing w:before="60" w:after="120" w:line="240" w:lineRule="auto"/>
              <w:rPr>
                <w:rFonts w:ascii="Verdana" w:hAnsi="Verdana" w:cstheme="minorHAnsi"/>
                <w:sz w:val="20"/>
                <w:szCs w:val="20"/>
                <w:lang w:val="en-US"/>
              </w:rPr>
            </w:pPr>
            <w:r>
              <w:rPr>
                <w:rFonts w:ascii="Verdana" w:hAnsi="Verdana" w:cstheme="minorHAnsi"/>
                <w:sz w:val="20"/>
                <w:szCs w:val="20"/>
                <w:lang w:val="en-US"/>
              </w:rPr>
              <w:t>Basic knowledge of the competency (e.g. understands general concepts and processes, is familiar with related key terminology).</w:t>
            </w:r>
          </w:p>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Ability to demonstrate this competency after being given specific instructions and guidance.</w:t>
            </w:r>
          </w:p>
        </w:tc>
        <w:tc>
          <w:tcPr>
            <w:tcW w:w="590"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Úroveň 1 – informovaný</w:t>
            </w:r>
          </w:p>
        </w:tc>
        <w:tc>
          <w:tcPr>
            <w:tcW w:w="2014"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Základná znalosť kompetencie (napr. chápe všeobecné pojmy a procesy, je oboznámený so súvisiacou kľúčovou terminológiou).</w:t>
            </w:r>
          </w:p>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Schopnosť preukázať túto kompetenciu po prijatí osobitných pokynov a usmernení.</w:t>
            </w:r>
          </w:p>
        </w:tc>
      </w:tr>
      <w:tr w:rsidR="006809C5" w:rsidRPr="00251707" w:rsidTr="006645FC">
        <w:trPr>
          <w:trHeight w:val="1103"/>
        </w:trPr>
        <w:tc>
          <w:tcPr>
            <w:tcW w:w="658" w:type="pct"/>
            <w:shd w:val="clear" w:color="000000" w:fill="FFFFFF"/>
          </w:tcPr>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Level 2 - Trained</w:t>
            </w:r>
          </w:p>
        </w:tc>
        <w:tc>
          <w:tcPr>
            <w:tcW w:w="1738" w:type="pct"/>
            <w:shd w:val="clear" w:color="000000" w:fill="FFFFFF"/>
          </w:tcPr>
          <w:p w:rsidR="006809C5" w:rsidRDefault="006809C5">
            <w:pPr>
              <w:spacing w:before="60" w:after="120" w:line="240" w:lineRule="auto"/>
              <w:rPr>
                <w:rFonts w:ascii="Verdana" w:hAnsi="Verdana" w:cstheme="minorHAnsi"/>
                <w:sz w:val="20"/>
                <w:szCs w:val="20"/>
                <w:lang w:val="en-US"/>
              </w:rPr>
            </w:pPr>
            <w:r>
              <w:rPr>
                <w:rFonts w:ascii="Verdana" w:hAnsi="Verdana" w:cstheme="minorHAnsi"/>
                <w:sz w:val="20"/>
                <w:szCs w:val="20"/>
                <w:lang w:val="en-US"/>
              </w:rPr>
              <w:t>Good working knowledge of the competency.</w:t>
            </w:r>
            <w:r>
              <w:rPr>
                <w:rFonts w:ascii="Verdana" w:hAnsi="Verdana" w:cstheme="minorHAnsi"/>
                <w:sz w:val="20"/>
                <w:szCs w:val="20"/>
                <w:lang w:val="en-US"/>
              </w:rPr>
              <w:br/>
              <w:t>Ability to apply that knowledge in daily work.</w:t>
            </w:r>
          </w:p>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Ability to perform standard activities with regards to this competency in an independent manner</w:t>
            </w:r>
          </w:p>
        </w:tc>
        <w:tc>
          <w:tcPr>
            <w:tcW w:w="590"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Úroveň 2 – odborne pripravený</w:t>
            </w:r>
          </w:p>
        </w:tc>
        <w:tc>
          <w:tcPr>
            <w:tcW w:w="2014"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Dobrá pracovná znalosť kompetencie.</w:t>
            </w:r>
            <w:r>
              <w:rPr>
                <w:rFonts w:ascii="Verdana" w:hAnsi="Verdana" w:cstheme="minorHAnsi"/>
                <w:sz w:val="20"/>
                <w:szCs w:val="20"/>
              </w:rPr>
              <w:br/>
            </w:r>
            <w:r>
              <w:rPr>
                <w:rFonts w:ascii="Verdana" w:hAnsi="Verdana" w:cstheme="minorHAnsi"/>
                <w:sz w:val="20"/>
              </w:rPr>
              <w:t>Schopnosť uplatňovať túto znalosť v každodennej práci.</w:t>
            </w:r>
          </w:p>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Schopnosť samostatne vykonávať štandardné činnosti vzhľadom na túto kompetenciu.</w:t>
            </w:r>
          </w:p>
        </w:tc>
      </w:tr>
      <w:tr w:rsidR="006809C5" w:rsidRPr="00251707" w:rsidTr="00C666E8">
        <w:trPr>
          <w:trHeight w:val="1103"/>
        </w:trPr>
        <w:tc>
          <w:tcPr>
            <w:tcW w:w="658" w:type="pct"/>
            <w:shd w:val="clear" w:color="000000" w:fill="FFFFFF"/>
            <w:vAlign w:val="center"/>
          </w:tcPr>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Level 3 - Intermediate</w:t>
            </w:r>
          </w:p>
        </w:tc>
        <w:tc>
          <w:tcPr>
            <w:tcW w:w="1738" w:type="pct"/>
            <w:shd w:val="clear" w:color="000000" w:fill="FFFFFF"/>
          </w:tcPr>
          <w:p w:rsidR="006809C5" w:rsidRDefault="006809C5">
            <w:pPr>
              <w:spacing w:before="60" w:after="120" w:line="240" w:lineRule="auto"/>
              <w:rPr>
                <w:rFonts w:ascii="Verdana" w:hAnsi="Verdana" w:cstheme="minorHAnsi"/>
                <w:sz w:val="20"/>
                <w:szCs w:val="20"/>
                <w:lang w:val="en-US"/>
              </w:rPr>
            </w:pPr>
            <w:r>
              <w:rPr>
                <w:rFonts w:ascii="Verdana" w:hAnsi="Verdana" w:cstheme="minorHAnsi"/>
                <w:sz w:val="20"/>
                <w:szCs w:val="20"/>
                <w:lang w:val="en-US"/>
              </w:rPr>
              <w:t>Broad and in-depth knowledge and skills with regards to the competency.</w:t>
            </w:r>
            <w:r>
              <w:rPr>
                <w:rFonts w:ascii="Verdana" w:hAnsi="Verdana" w:cstheme="minorHAnsi"/>
                <w:sz w:val="20"/>
                <w:szCs w:val="20"/>
                <w:lang w:val="en-US"/>
              </w:rPr>
              <w:br/>
              <w:t>Ability to deal with a variety of exceptions and special cases related to the competency in an independent manner.</w:t>
            </w:r>
          </w:p>
          <w:p w:rsidR="006809C5" w:rsidRDefault="006809C5">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effectively share knowledge and experience with more junior profiles.</w:t>
            </w:r>
            <w:r>
              <w:rPr>
                <w:rFonts w:ascii="Verdana" w:hAnsi="Verdana" w:cstheme="minorHAnsi"/>
                <w:sz w:val="20"/>
                <w:szCs w:val="20"/>
                <w:lang w:val="en-US"/>
              </w:rPr>
              <w:br/>
            </w:r>
            <w:r>
              <w:rPr>
                <w:rFonts w:ascii="Verdana" w:hAnsi="Verdana" w:cstheme="minorHAnsi"/>
                <w:sz w:val="20"/>
                <w:szCs w:val="20"/>
                <w:lang w:val="en-US"/>
              </w:rPr>
              <w:lastRenderedPageBreak/>
              <w:t>Confidence in serving as an advisor and is sought out to provide insight in the application of this competency.</w:t>
            </w:r>
          </w:p>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lastRenderedPageBreak/>
              <w:t>Úroveň 3 – stredne pokročilý</w:t>
            </w:r>
          </w:p>
        </w:tc>
        <w:tc>
          <w:tcPr>
            <w:tcW w:w="2014"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Rozsiahle a dôkladné vedomosti a zručnosti týkajúce sa kompetencie.</w:t>
            </w:r>
            <w:r>
              <w:rPr>
                <w:rFonts w:ascii="Verdana" w:hAnsi="Verdana" w:cstheme="minorHAnsi"/>
                <w:sz w:val="20"/>
                <w:szCs w:val="20"/>
              </w:rPr>
              <w:br/>
            </w:r>
            <w:r>
              <w:rPr>
                <w:rFonts w:ascii="Verdana" w:hAnsi="Verdana" w:cstheme="minorHAnsi"/>
                <w:sz w:val="20"/>
              </w:rPr>
              <w:t>Schopnosť samostatne riešiť rôzne výnimky a osobitné prípady súvisiace s kompetenciou.</w:t>
            </w:r>
          </w:p>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Schopnosť účinne spoločne využívať vedomosti a skúsenosti so služobne mladšími zamestnancami.</w:t>
            </w:r>
            <w:r>
              <w:rPr>
                <w:rFonts w:ascii="Verdana" w:hAnsi="Verdana" w:cstheme="minorHAnsi"/>
                <w:sz w:val="20"/>
                <w:szCs w:val="20"/>
              </w:rPr>
              <w:br/>
            </w:r>
            <w:r>
              <w:rPr>
                <w:rFonts w:ascii="Verdana" w:hAnsi="Verdana" w:cstheme="minorHAnsi"/>
                <w:sz w:val="20"/>
              </w:rPr>
              <w:lastRenderedPageBreak/>
              <w:t>Má sebadôveru pri poskytovaní poradenstva a je vyhľadávaný, aby poskytoval názory pri uplatňovaní tejto kompetencie.</w:t>
            </w:r>
          </w:p>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Pri uplatňovaní tejto kompetencie dokáže koučovať iných vyjadrením zložitých odtienkov a otázok týkajúcich sa tejto kompetencie ľahko pochopiteľnými výrazmi.</w:t>
            </w:r>
          </w:p>
        </w:tc>
      </w:tr>
      <w:tr w:rsidR="006809C5" w:rsidRPr="00251707" w:rsidTr="00965179">
        <w:trPr>
          <w:trHeight w:val="1103"/>
        </w:trPr>
        <w:tc>
          <w:tcPr>
            <w:tcW w:w="658" w:type="pct"/>
            <w:shd w:val="clear" w:color="000000" w:fill="FFFFFF"/>
            <w:vAlign w:val="center"/>
          </w:tcPr>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lastRenderedPageBreak/>
              <w:t>Level 4 - Expert</w:t>
            </w:r>
          </w:p>
        </w:tc>
        <w:tc>
          <w:tcPr>
            <w:tcW w:w="1738" w:type="pct"/>
            <w:shd w:val="clear" w:color="000000" w:fill="FFFFFF"/>
          </w:tcPr>
          <w:p w:rsidR="006809C5" w:rsidRDefault="006809C5">
            <w:pPr>
              <w:spacing w:before="60" w:after="120" w:line="240" w:lineRule="auto"/>
              <w:rPr>
                <w:rFonts w:ascii="Verdana" w:hAnsi="Verdana" w:cstheme="minorHAnsi"/>
                <w:sz w:val="20"/>
                <w:szCs w:val="20"/>
                <w:lang w:val="en-US"/>
              </w:rPr>
            </w:pPr>
            <w:r>
              <w:rPr>
                <w:rFonts w:ascii="Verdana" w:hAnsi="Verdana" w:cstheme="minorHAnsi"/>
                <w:sz w:val="20"/>
                <w:szCs w:val="20"/>
                <w:lang w:val="en-US"/>
              </w:rPr>
              <w:t>Extensive expert knowledge and skills with regards to the competency.</w:t>
            </w:r>
          </w:p>
          <w:p w:rsidR="006809C5" w:rsidRDefault="006809C5">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highlight the (dis)advantages of each of the processes related to the competency whilst linking them to the bigger picture.</w:t>
            </w:r>
          </w:p>
          <w:p w:rsidR="006809C5" w:rsidRDefault="006809C5">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provide tailored advice and to support the advice with relevant and context specific arguments when responding to internal and external queries.</w:t>
            </w:r>
          </w:p>
          <w:p w:rsidR="006809C5" w:rsidRDefault="006809C5">
            <w:pPr>
              <w:spacing w:before="60" w:after="120" w:line="240" w:lineRule="auto"/>
              <w:rPr>
                <w:rFonts w:ascii="Verdana" w:hAnsi="Verdana" w:cstheme="minorHAnsi"/>
                <w:sz w:val="20"/>
                <w:szCs w:val="20"/>
                <w:lang w:val="en-US" w:eastAsia="en-US"/>
              </w:rPr>
            </w:pPr>
            <w:r>
              <w:rPr>
                <w:rFonts w:ascii="Verdana" w:hAnsi="Verdana" w:cstheme="minorHAnsi"/>
                <w:sz w:val="20"/>
                <w:szCs w:val="20"/>
                <w:lang w:val="en-US"/>
              </w:rPr>
              <w:t>Viewed by others as a role model who is capable of leading or teaching others in the area of the competency.</w:t>
            </w:r>
          </w:p>
        </w:tc>
        <w:tc>
          <w:tcPr>
            <w:tcW w:w="590" w:type="pct"/>
            <w:shd w:val="clear" w:color="000000" w:fill="FFFFFF"/>
            <w:vAlign w:val="center"/>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Úroveň 4 – odborník</w:t>
            </w:r>
          </w:p>
        </w:tc>
        <w:tc>
          <w:tcPr>
            <w:tcW w:w="2014" w:type="pct"/>
            <w:shd w:val="clear" w:color="000000" w:fill="FFFFFF"/>
          </w:tcPr>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Rozsiahle odborné vedomosti a zručnosti týkajúce sa kompetencie.</w:t>
            </w:r>
          </w:p>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Schopnosť zdôrazniť (ne)výhody jednotlivých procesov súvisiacich s kompetenciou a ich prepojenie so širšou perspektívou.</w:t>
            </w:r>
          </w:p>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Schopnosť poskytnúť prispôsobené poradenstvo a toto poradenstvo podporiť relevantnými argumentmi podľa daného kontextu v reakcii na vnútorné a vonkajšie otázky.</w:t>
            </w:r>
          </w:p>
          <w:p w:rsidR="006809C5" w:rsidRPr="00251707" w:rsidRDefault="006809C5" w:rsidP="006522A8">
            <w:pPr>
              <w:spacing w:before="60" w:after="120" w:line="240" w:lineRule="auto"/>
              <w:rPr>
                <w:rFonts w:ascii="Verdana" w:hAnsi="Verdana" w:cstheme="minorHAnsi"/>
                <w:sz w:val="20"/>
                <w:szCs w:val="20"/>
              </w:rPr>
            </w:pPr>
            <w:r>
              <w:rPr>
                <w:rFonts w:ascii="Verdana" w:hAnsi="Verdana" w:cstheme="minorHAnsi"/>
                <w:sz w:val="20"/>
              </w:rPr>
              <w:t>Ostatnými je vnímaný ako vzor, ktorý dokáže viesť alebo učiť iných v oblasti danej kompetencie.</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972607"/>
      <w:r>
        <w:lastRenderedPageBreak/>
        <w:t>Prevádzkové kompetencie</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6809C5" w:rsidRPr="0001418D" w:rsidTr="00473623">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6809C5" w:rsidRPr="0001418D" w:rsidRDefault="006809C5" w:rsidP="00231B6E">
            <w:pPr>
              <w:spacing w:after="0" w:line="240" w:lineRule="auto"/>
              <w:rPr>
                <w:rFonts w:ascii="Verdana" w:eastAsia="Times New Roman" w:hAnsi="Verdana" w:cs="Times New Roman"/>
                <w:sz w:val="20"/>
                <w:szCs w:val="20"/>
              </w:rPr>
            </w:pPr>
            <w:r>
              <w:rPr>
                <w:rFonts w:ascii="Verdana" w:hAnsi="Verdana"/>
                <w:b/>
                <w:sz w:val="20"/>
              </w:rPr>
              <w:t>Kód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809C5" w:rsidRPr="0001418D" w:rsidRDefault="006809C5" w:rsidP="006522A8">
            <w:pPr>
              <w:spacing w:after="0" w:line="240" w:lineRule="auto"/>
              <w:rPr>
                <w:rFonts w:ascii="Verdana" w:eastAsia="Times New Roman" w:hAnsi="Verdana" w:cs="Times New Roman"/>
                <w:sz w:val="20"/>
                <w:szCs w:val="20"/>
              </w:rPr>
            </w:pPr>
            <w:r>
              <w:rPr>
                <w:rFonts w:ascii="Verdana" w:hAnsi="Verdana"/>
                <w:sz w:val="20"/>
              </w:rPr>
              <w:t>Kompetencia</w:t>
            </w:r>
          </w:p>
        </w:tc>
      </w:tr>
      <w:tr w:rsidR="006809C5" w:rsidRPr="00251707" w:rsidTr="00473623">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General provisions</w:t>
            </w:r>
            <w:r>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Všeobecné ustanovenia právnych aktov EÚ/vnútroštátnych právnych aktov týkajúcich sa EŠIF</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Vnútroštátne strategické dokumenty (napr. národné stratégie rozvoja, príslušné tematické a odvetvové politiky)</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 xml:space="preserve">Eligibility of expenditure provisions </w:t>
            </w:r>
            <w:r>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Ustanovenia o oprávnenosti výdavkov zahrnuté v právnych aktoch EÚ/vnútroštátnych právnych aktoch týkajúcich sa EŠIF (pravidlá, usmernenia a metodiky vrátane rozsahu podpory</w:t>
            </w:r>
            <w:r>
              <w:rPr>
                <w:rFonts w:ascii="Verdana" w:hAnsi="Verdana"/>
                <w:color w:val="000000"/>
                <w:sz w:val="20"/>
              </w:rPr>
              <w:t>)</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Územné otázky, ako je integrovaná územná investícia (IÚI), miestny rozvoj vedený komunitou, trvalo udržateľný rozvoj miest, makroregionálne a regionálne stratégie a plánovanie medziregionálnej spolupráce</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Štátna pomoc</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Príslušné tematické vedomosti (tematické právne predpisy, náklady, uplatniteľné normy, trendy)</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Intervenčná logika</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Ukazovatele vstupov, výstupov, výsledkov</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Zostavenie rozpočtu a odhad nákladov</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Financial instruments design (ex</w:t>
            </w:r>
            <w:r>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 xml:space="preserve">Tvorba finančných nástrojov (posúdenie </w:t>
            </w:r>
            <w:r>
              <w:rPr>
                <w:rFonts w:ascii="Verdana" w:hAnsi="Verdana"/>
                <w:i/>
                <w:sz w:val="20"/>
              </w:rPr>
              <w:t>ex ante</w:t>
            </w:r>
            <w:r>
              <w:rPr>
                <w:rFonts w:ascii="Verdana" w:hAnsi="Verdana"/>
                <w:sz w:val="20"/>
              </w:rPr>
              <w:t>, výber finančných nástrojov a nastavenie)</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Horizontálne otázky (ako trvalo udržateľný rozvoj, rovnosť atď.)</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Administratívne postupy pre obstarávanie tovaru a služieb z technickej pomoci</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Cezhraničná, nadnárodná a medziregionálna spolupráca a Európske zoskupenie územnej spolupráce</w:t>
            </w:r>
          </w:p>
        </w:tc>
      </w:tr>
      <w:tr w:rsidR="006809C5" w:rsidRPr="00251707" w:rsidTr="0047362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Riadenie využívania externých zdrojov pre činnosti technickej pomoci</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 xml:space="preserve">Economic environment and reform processes (European Semester, National Reform Programmes </w:t>
            </w:r>
            <w:r>
              <w:rPr>
                <w:rFonts w:ascii="Verdana" w:eastAsia="Times New Roman" w:hAnsi="Verdana" w:cs="Times New Roman"/>
                <w:sz w:val="20"/>
                <w:szCs w:val="20"/>
                <w:lang w:val="en-US" w:bidi="he-IL"/>
              </w:rPr>
              <w:lastRenderedPageBreak/>
              <w:t>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lastRenderedPageBreak/>
              <w:t xml:space="preserve">Hospodárske prostredie a reformné procesy (európsky semester, národné programy reforiem a odporúčania pre </w:t>
            </w:r>
            <w:r>
              <w:rPr>
                <w:rFonts w:ascii="Verdana" w:hAnsi="Verdana"/>
                <w:sz w:val="20"/>
              </w:rPr>
              <w:lastRenderedPageBreak/>
              <w:t>jednotlivé krajiny)</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lastRenderedPageBreak/>
              <w:t>JS.O.C16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Riadenie programu a riadenie projektového cyklu</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 xml:space="preserve">Management and implementation </w:t>
            </w:r>
            <w:r>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 xml:space="preserve">Ustanovenia o riadení a vykonávaní zahrnuté v právnych aktoch EÚ/vnútroštátnych právnych aktoch týkajúcich sa EŠIF </w:t>
            </w:r>
            <w:r>
              <w:rPr>
                <w:rFonts w:ascii="Verdana" w:hAnsi="Verdana"/>
                <w:color w:val="000000"/>
                <w:sz w:val="20"/>
              </w:rPr>
              <w:t>(programovanie, výber operácií, monitorovanie, kontroly a audity, hodnotenie, publicita)</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Pravidlá verejného obstarávania</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Riziko podvodov, riadenie nezrovnalostí (vrátane opatrení na predchádzanie, zisťovanie a zmierňovanie)</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 xml:space="preserve">Vymedzenie a revízia administratívnej organizácie </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Nastavenie systémov riadenia a kontroly</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Posudzovanie administratívneho zaťaženia</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Posúdenie výkonnosti systému EŠIF</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Možnosti zjednodušených nákladov</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Analýza nákladov a prínosov a štúdie uskutočniteľnosti</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Posudzovanie vplyvov na životné prostredie (EIA) v prípade veľkých projektov a projektov v oblasti infraštruktúry</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Likvidná medzera a tvorba príjmov</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Postupy a právne predpisy týkajúce sa veľkých projektov</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Účinok stimulov</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Finančné nástroje relevantné pre danú funkciu</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Mechanizmy tvorby a vykonávania finančných nástrojov</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Prognózy a plánovanie výkonnostných cieľov/výkonnostného rámca</w:t>
            </w:r>
          </w:p>
        </w:tc>
      </w:tr>
      <w:tr w:rsidR="006809C5" w:rsidRPr="00251707" w:rsidTr="00AB0AE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Riadenie rizík súvisiace s veľkými projektmi a projektmi v oblasti infraštruktúry</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Riadenie procesu hodnotenia programu, priority alebo opatrenia</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Hlavné hodnotiace kritériá (dôležitosť, komplementárnosť, súdržnosť, účinnosť a efektívnosť)</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Metódy zberu údajov a analýzy na hodnotenie programov, priorít alebo opatrení</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lastRenderedPageBreak/>
              <w:t>JS.O.C37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Rozpočtové plánovanie, hospodárenie a prognózy</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Expenditure at project level</w:t>
            </w:r>
            <w:r>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 xml:space="preserve">Výdavky na úrovni projektu </w:t>
            </w:r>
            <w:r>
              <w:rPr>
                <w:rFonts w:ascii="Verdana" w:hAnsi="Verdana"/>
                <w:color w:val="000000"/>
                <w:sz w:val="20"/>
              </w:rPr>
              <w:t>(zmluvné faktúry, výpisy z účtu)</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Communication provisions</w:t>
            </w:r>
            <w:r>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Ustanovenia o komunikácii zahrnuté v právnych aktoch EÚ/vnútroštátnych právnych aktoch týkajúcich sa EŠIF</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Určenie rôznych zainteresovaných strán a ich informačných potrieb</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Riadenie príslušných médií</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Internetová komunikácia</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Znalosť technických činností dôležitých pre dané odvetvie</w:t>
            </w:r>
          </w:p>
        </w:tc>
      </w:tr>
      <w:tr w:rsidR="006809C5" w:rsidRPr="00251707" w:rsidTr="00DB3B1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09C5" w:rsidRPr="00251707" w:rsidRDefault="006809C5"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809C5" w:rsidRDefault="006809C5">
            <w:pPr>
              <w:spacing w:after="0" w:line="240" w:lineRule="auto"/>
              <w:rPr>
                <w:rFonts w:ascii="Verdana" w:eastAsia="Times New Roman" w:hAnsi="Verdana" w:cs="Times New Roman"/>
                <w:sz w:val="20"/>
                <w:szCs w:val="20"/>
                <w:lang w:val="en-US" w:eastAsia="en-US" w:bidi="he-IL"/>
              </w:rPr>
            </w:pPr>
            <w:r>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809C5" w:rsidRPr="00251707" w:rsidRDefault="006809C5" w:rsidP="006522A8">
            <w:pPr>
              <w:spacing w:after="0" w:line="240" w:lineRule="auto"/>
              <w:rPr>
                <w:rFonts w:ascii="Verdana" w:eastAsia="Times New Roman" w:hAnsi="Verdana" w:cs="Times New Roman"/>
                <w:sz w:val="20"/>
                <w:szCs w:val="20"/>
              </w:rPr>
            </w:pPr>
            <w:r>
              <w:rPr>
                <w:rFonts w:ascii="Verdana" w:hAnsi="Verdana"/>
                <w:sz w:val="20"/>
              </w:rPr>
              <w:t>Normy, postupy a metodiky auditu</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972608"/>
      <w:r>
        <w:lastRenderedPageBreak/>
        <w:t>Kompetencie v oblasti riadenia</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7C5D2F" w:rsidRPr="00A40E7F" w:rsidTr="0028561B">
        <w:trPr>
          <w:trHeight w:val="255"/>
          <w:tblHeader/>
        </w:trPr>
        <w:tc>
          <w:tcPr>
            <w:tcW w:w="386" w:type="pct"/>
            <w:shd w:val="clear" w:color="auto" w:fill="EDEDED" w:themeFill="accent3" w:themeFillTint="33"/>
          </w:tcPr>
          <w:p w:rsidR="007C5D2F" w:rsidRPr="00A40E7F" w:rsidRDefault="007C5D2F" w:rsidP="00AD2B31">
            <w:pPr>
              <w:spacing w:after="0" w:line="240" w:lineRule="auto"/>
              <w:rPr>
                <w:rFonts w:ascii="Verdana" w:eastAsia="Times New Roman" w:hAnsi="Verdana" w:cstheme="minorHAnsi"/>
                <w:b/>
                <w:bCs/>
                <w:sz w:val="20"/>
                <w:szCs w:val="20"/>
              </w:rPr>
            </w:pPr>
            <w:r>
              <w:rPr>
                <w:rFonts w:ascii="Verdana" w:hAnsi="Verdana" w:cstheme="minorHAnsi"/>
                <w:b/>
                <w:sz w:val="20"/>
              </w:rPr>
              <w:t>Kód</w:t>
            </w:r>
          </w:p>
        </w:tc>
        <w:tc>
          <w:tcPr>
            <w:tcW w:w="793" w:type="pct"/>
            <w:shd w:val="clear" w:color="auto" w:fill="EDEDED" w:themeFill="accent3" w:themeFillTint="33"/>
            <w:noWrap/>
            <w:vAlign w:val="center"/>
            <w:hideMark/>
          </w:tcPr>
          <w:p w:rsidR="007C5D2F" w:rsidRDefault="007C5D2F">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hideMark/>
          </w:tcPr>
          <w:p w:rsidR="007C5D2F" w:rsidRDefault="007C5D2F">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7C5D2F" w:rsidRPr="00A40E7F" w:rsidRDefault="007C5D2F" w:rsidP="006522A8">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632" w:type="pct"/>
            <w:shd w:val="clear" w:color="auto" w:fill="EDEDED" w:themeFill="accent3" w:themeFillTint="33"/>
            <w:vAlign w:val="center"/>
          </w:tcPr>
          <w:p w:rsidR="007C5D2F" w:rsidRPr="00A40E7F" w:rsidRDefault="007C5D2F" w:rsidP="006522A8">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7C5D2F" w:rsidRPr="00A40E7F" w:rsidTr="00DD315E">
        <w:trPr>
          <w:trHeight w:val="130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Developing others and people management</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Rozvoj iných a riadenie ľudí</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poskytovať včasné, jasné a konkrétne usmernenia, spätnú väzbu a podporovať iných pri určovaní potrieb a možností rozvoja a odbornej prípravy, rozvíjaní ich vedomostí, zručností a schopností potrebných na plnenie pridelených úloh alebo riešenie problémov, ako aj preukázanie schopnosti riadiť pracovné činnosti zamestnancov, ich rozvoj a výkonnosť tak, aby sa maximalizovala účinnosť ľudských zdrojov.</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Decision making</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Rozhodovanie</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uplatňovať účinné prístupy na vyvodenie záverov alebo vypracovanie riešení a prijímať včasné opatrenia, ktoré sú v súlade s dostupnými údajmi a faktami získanými z rôznych zdrojov, obmedzení a potenciálnych dôsledkov.</w:t>
            </w:r>
          </w:p>
        </w:tc>
      </w:tr>
      <w:tr w:rsidR="007C5D2F" w:rsidRPr="00A40E7F" w:rsidTr="00DD315E">
        <w:trPr>
          <w:trHeight w:val="1020"/>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Delegation</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Pr>
                <w:rFonts w:ascii="Verdana" w:hAnsi="Verdana" w:cstheme="minorHAnsi"/>
                <w:sz w:val="20"/>
                <w:szCs w:val="20"/>
                <w:lang w:val="en-US"/>
              </w:rPr>
              <w:lastRenderedPageBreak/>
              <w:t>and individuals effectiveness.</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lastRenderedPageBreak/>
              <w:t>Delegovanie</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prideľovať rozhodovanie a/alebo zodpovednosť za úlohy iným, zabezpečovať jasnú komunikáciu o prideľovaní a plnení povinností a poskytovať primeranú podporu tak, aby sa maximalizovala efektívnosť organizácie a jednotlivcov.</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Facilitation and communication</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Napomáhanie a komunikácia</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podnietiť u iných angažovanosť a tvorivosť, využívať schopnosti skupiny na vedenie skupiny k dohode, účinne riešiť otázky, plniť úlohy a vzájomné ciele.</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bookmarkStart w:id="11" w:name="RANGE!B8"/>
            <w:r>
              <w:rPr>
                <w:rFonts w:ascii="Verdana" w:hAnsi="Verdana" w:cstheme="minorHAnsi"/>
                <w:sz w:val="20"/>
                <w:szCs w:val="20"/>
                <w:lang w:val="en-US"/>
              </w:rPr>
              <w:t>Leadership</w:t>
            </w:r>
            <w:bookmarkEnd w:id="11"/>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Vedenie</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povzbudzovať a inšpirovať jednotlivcov, aby sa usilovali o víziu budúcnosti, jasne predstaviť zámery a ciele, vytvárať u zamestnancov zmysel pre smerovanie a účel a pôsobiť ako katalyzátor konania.</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Multi-level stakeholder management</w:t>
            </w:r>
          </w:p>
        </w:tc>
        <w:tc>
          <w:tcPr>
            <w:tcW w:w="1425" w:type="pct"/>
            <w:shd w:val="clear" w:color="000000" w:fill="FFFFFF"/>
            <w:vAlign w:val="center"/>
            <w:hideMark/>
          </w:tcPr>
          <w:p w:rsidR="007C5D2F" w:rsidRDefault="007C5D2F" w:rsidP="00932713">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Viacúrovňové riadenie zainteresovaných strán</w:t>
            </w:r>
          </w:p>
        </w:tc>
        <w:tc>
          <w:tcPr>
            <w:tcW w:w="1632" w:type="pct"/>
            <w:shd w:val="clear" w:color="000000" w:fill="FFFFFF"/>
            <w:vAlign w:val="center"/>
          </w:tcPr>
          <w:p w:rsidR="007C5D2F" w:rsidRPr="00A40E7F" w:rsidRDefault="007C5D2F" w:rsidP="00932713">
            <w:pPr>
              <w:spacing w:after="0"/>
              <w:rPr>
                <w:rFonts w:ascii="Verdana" w:hAnsi="Verdana" w:cstheme="minorHAnsi"/>
                <w:sz w:val="20"/>
                <w:szCs w:val="20"/>
              </w:rPr>
            </w:pPr>
            <w:r>
              <w:rPr>
                <w:rFonts w:ascii="Verdana" w:hAnsi="Verdana" w:cstheme="minorHAnsi"/>
                <w:sz w:val="20"/>
              </w:rPr>
              <w:t>Preukázanie schopnosti porozumieť zámerom a cieľom rôznych zainteresovaných strán, zabezpečovať účinnú spoluprácu a zapojenie zainteresovaných strán (vrátane otvorenosti a podnecovania výmeny osvedčených postupov m</w:t>
            </w:r>
            <w:r w:rsidR="00932713">
              <w:rPr>
                <w:rFonts w:ascii="Verdana" w:hAnsi="Verdana" w:cstheme="minorHAnsi"/>
                <w:sz w:val="20"/>
              </w:rPr>
              <w:t>edzi rôznymi členskými štátmi).</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7C5D2F" w:rsidRPr="00932713" w:rsidRDefault="007C5D2F">
            <w:pPr>
              <w:spacing w:after="0" w:line="256" w:lineRule="auto"/>
              <w:rPr>
                <w:rFonts w:ascii="Verdana" w:hAnsi="Verdana" w:cstheme="minorHAnsi"/>
                <w:sz w:val="20"/>
                <w:szCs w:val="20"/>
                <w:lang w:eastAsia="en-US"/>
              </w:rPr>
            </w:pPr>
            <w:r w:rsidRPr="00932713">
              <w:rPr>
                <w:rFonts w:ascii="Verdana" w:hAnsi="Verdana" w:cstheme="minorHAnsi"/>
                <w:sz w:val="20"/>
                <w:szCs w:val="20"/>
              </w:rPr>
              <w:t>Negotiating</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sidRPr="00932713">
              <w:rPr>
                <w:rFonts w:ascii="Verdana" w:hAnsi="Verdana" w:cstheme="minorHAnsi"/>
                <w:sz w:val="20"/>
                <w:szCs w:val="20"/>
              </w:rPr>
              <w:t>Demonstrating ability to effectively explore (facilitating discussion, asking q</w:t>
            </w:r>
            <w:r>
              <w:rPr>
                <w:rFonts w:ascii="Verdana" w:hAnsi="Verdana" w:cstheme="minorHAnsi"/>
                <w:sz w:val="20"/>
                <w:szCs w:val="20"/>
                <w:lang w:val="en-US"/>
              </w:rPr>
              <w:t xml:space="preserve">uestions, responding to objections, etc.) alternatives and positions of others to reach </w:t>
            </w:r>
            <w:r>
              <w:rPr>
                <w:rFonts w:ascii="Verdana" w:hAnsi="Verdana" w:cstheme="minorHAnsi"/>
                <w:sz w:val="20"/>
                <w:szCs w:val="20"/>
                <w:lang w:val="en-US"/>
              </w:rPr>
              <w:lastRenderedPageBreak/>
              <w:t>outcomes that are accepted by all parties (a win-win solution).</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lastRenderedPageBreak/>
              <w:t>Vyjednávanie</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 xml:space="preserve">Preukázanie schopnosti účinne skúmať (napomáhanie diskusie, kladenie otázok, odpovedanie na námietky atď.) alternatívy a pozície iných na dosiahnutie výsledkov, ktoré akceptujú </w:t>
            </w:r>
            <w:r>
              <w:rPr>
                <w:rFonts w:ascii="Verdana" w:hAnsi="Verdana" w:cstheme="minorHAnsi"/>
                <w:sz w:val="20"/>
              </w:rPr>
              <w:lastRenderedPageBreak/>
              <w:t>všetky strany (riešenie výhodné pre všetkých – „win-win“).</w:t>
            </w:r>
          </w:p>
        </w:tc>
      </w:tr>
      <w:tr w:rsidR="007C5D2F" w:rsidRPr="00A40E7F" w:rsidTr="00DD315E">
        <w:trPr>
          <w:trHeight w:val="510"/>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Result orientation</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Orientácia na výsledky</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stanoviť náročné ciele, zachovávať sústredenosť a vytrvalosť a sústavne dosahovať ciele alebo plniť požadované výsledky, dokonca aj v prípade nepriaznivých okolností.</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Strategic management</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Strategické riadenie</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prijímať rozhodnutia a opatrenia, ktoré vedú k rozvoju a vykonávaniu stratégií zosúladených so strategickým smerovaním organizácie a dosahovaním cieľov.</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Risk management</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Riadenie rizík</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určiť, analyzovať a posúdiť riziká, stanoviť prioritné riziká a minimalizovať, monitorovať a kontrolovať pravdepodobnosť a/alebo vplyv nepriaznivých udalostí alebo maximalizovať realizáciu príležitostí.</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Planning of resources</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Plánovanie zdrojov</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účinne a efektívne riadiť zdroje organizácie vrátane, ale nielen finančných zdrojov, zásob, ľudských zručností, výrobných prostriedkov, informačných technológií (IT).</w:t>
            </w:r>
          </w:p>
        </w:tc>
      </w:tr>
      <w:tr w:rsidR="007C5D2F" w:rsidRPr="00A40E7F" w:rsidTr="00DD315E">
        <w:trPr>
          <w:trHeight w:val="765"/>
        </w:trPr>
        <w:tc>
          <w:tcPr>
            <w:tcW w:w="386" w:type="pct"/>
            <w:shd w:val="clear" w:color="000000" w:fill="FFFFFF"/>
            <w:vAlign w:val="center"/>
          </w:tcPr>
          <w:p w:rsidR="007C5D2F" w:rsidRPr="00A40E7F" w:rsidRDefault="007C5D2F"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HR Strategy development and implementation</w:t>
            </w:r>
          </w:p>
        </w:tc>
        <w:tc>
          <w:tcPr>
            <w:tcW w:w="1425" w:type="pct"/>
            <w:shd w:val="clear" w:color="000000" w:fill="FFFFFF"/>
            <w:vAlign w:val="center"/>
            <w:hideMark/>
          </w:tcPr>
          <w:p w:rsidR="007C5D2F" w:rsidRDefault="007C5D2F">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Rozvoj a vykonávanie stratégie v oblasti ľudských zdrojov</w:t>
            </w:r>
          </w:p>
        </w:tc>
        <w:tc>
          <w:tcPr>
            <w:tcW w:w="1632" w:type="pct"/>
            <w:shd w:val="clear" w:color="000000" w:fill="FFFFFF"/>
            <w:vAlign w:val="center"/>
          </w:tcPr>
          <w:p w:rsidR="007C5D2F" w:rsidRPr="00A40E7F" w:rsidRDefault="007C5D2F" w:rsidP="006522A8">
            <w:pPr>
              <w:spacing w:after="0"/>
              <w:rPr>
                <w:rFonts w:ascii="Verdana" w:hAnsi="Verdana" w:cstheme="minorHAnsi"/>
                <w:sz w:val="20"/>
                <w:szCs w:val="20"/>
              </w:rPr>
            </w:pPr>
            <w:r>
              <w:rPr>
                <w:rFonts w:ascii="Verdana" w:hAnsi="Verdana" w:cstheme="minorHAnsi"/>
                <w:sz w:val="20"/>
              </w:rPr>
              <w:t>Preukázanie schopnosti prijímať rozhodnutia a opatrenia, ktoré vedú k rozvoju a vykonávaniu stratégií v oblasti ľudských zdrojov zosúladených so strategickým smerovaním organizácie a dosahovaním cieľov.</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972609"/>
      <w:r>
        <w:lastRenderedPageBreak/>
        <w:t>Odborné kompetencie</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421FB1" w:rsidRPr="00A40E7F" w:rsidTr="00DD315E">
        <w:trPr>
          <w:trHeight w:val="219"/>
          <w:tblHeader/>
        </w:trPr>
        <w:tc>
          <w:tcPr>
            <w:tcW w:w="453" w:type="pct"/>
            <w:shd w:val="clear" w:color="auto" w:fill="EDEDED" w:themeFill="accent3" w:themeFillTint="33"/>
            <w:vAlign w:val="center"/>
          </w:tcPr>
          <w:p w:rsidR="00421FB1" w:rsidRPr="00A40E7F" w:rsidRDefault="00421FB1"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Kód</w:t>
            </w:r>
          </w:p>
        </w:tc>
        <w:tc>
          <w:tcPr>
            <w:tcW w:w="726" w:type="pct"/>
            <w:shd w:val="clear" w:color="auto" w:fill="EDEDED" w:themeFill="accent3" w:themeFillTint="33"/>
            <w:noWrap/>
            <w:vAlign w:val="center"/>
            <w:hideMark/>
          </w:tcPr>
          <w:p w:rsidR="00421FB1" w:rsidRDefault="00421FB1">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421FB1" w:rsidRDefault="00421FB1">
            <w:pPr>
              <w:spacing w:after="0" w:line="240" w:lineRule="auto"/>
              <w:jc w:val="center"/>
              <w:rPr>
                <w:rFonts w:ascii="Verdana" w:eastAsia="Times New Roman" w:hAnsi="Verdana" w:cstheme="minorHAnsi"/>
                <w:b/>
                <w:bCs/>
                <w:sz w:val="20"/>
                <w:szCs w:val="20"/>
                <w:lang w:val="en-US" w:eastAsia="en-US"/>
              </w:rPr>
            </w:pPr>
            <w:r>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421FB1" w:rsidRPr="00A40E7F" w:rsidRDefault="00421FB1" w:rsidP="006522A8">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735" w:type="pct"/>
            <w:shd w:val="clear" w:color="auto" w:fill="EDEDED" w:themeFill="accent3" w:themeFillTint="33"/>
            <w:vAlign w:val="center"/>
          </w:tcPr>
          <w:p w:rsidR="00421FB1" w:rsidRPr="00A40E7F" w:rsidRDefault="00421FB1" w:rsidP="006522A8">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421FB1" w:rsidRPr="00A40E7F" w:rsidTr="00DD315E">
        <w:trPr>
          <w:trHeight w:val="421"/>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Analytical skills</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Analytické zručnosti</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Budovanie logického prístupu k riešeniu zložitých problémov alebo príležitostí ich rozdelením na základné časti s cieľom identifikovať základné otázky, určiť príčinu a účinok vzťahov a dospieť k záverom alebo rozhodnutiam.</w:t>
            </w:r>
          </w:p>
        </w:tc>
      </w:tr>
      <w:tr w:rsidR="00421FB1" w:rsidRPr="00A40E7F" w:rsidTr="00DD315E">
        <w:trPr>
          <w:trHeight w:val="65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Communicating in writing</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Písomná komunikácia</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jasne a presvedčivo prezentovať informácie a myšlienky písomnou formou výberom primeraných prostriedkov písomnej komunikácie a písomného štýlu na oslovenie publika a používaním správneho pravopisu, gramatiky a interpunkcie, ako aj preukázanie schopnosti komunikovať naprieč kultúrami.</w:t>
            </w:r>
          </w:p>
        </w:tc>
      </w:tr>
      <w:tr w:rsidR="00421FB1" w:rsidRPr="00A40E7F" w:rsidTr="00DD315E">
        <w:trPr>
          <w:trHeight w:val="878"/>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Communicating verbally</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Verbálna komunikácia</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jasne vyjadrovať myšlienky a názory jednotlivcom alebo skupinám pomocou reči spôsobom, ktorý zaujme poslucháčov, podporuje dvojstrannú komunikáciu a pomáha im pochopiť a zapamätať si odkaz, ako aj preukázanie schopnosti komunikovať naprieč kultúrami.</w:t>
            </w:r>
          </w:p>
        </w:tc>
      </w:tr>
      <w:tr w:rsidR="00421FB1" w:rsidRPr="00A40E7F" w:rsidTr="00DD315E">
        <w:trPr>
          <w:trHeight w:val="65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Conflict handling</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Riešenie konfliktov</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účinne zaobchádzať s inými v antagonistickej situácii uznaním rôznych názorov, podnietením iných k otvorenej diskusii a používaním primeraných medziľudských štýlov a techník s cieľom nájsť v konflikte medzi dvoma alebo viacerými osobami riešenie prospešné pre všetky strany (win-win).</w:t>
            </w:r>
          </w:p>
        </w:tc>
      </w:tr>
      <w:tr w:rsidR="00421FB1" w:rsidRPr="00A40E7F" w:rsidTr="00DD315E">
        <w:trPr>
          <w:trHeight w:val="65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Flexibility and adaptability to change </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Flexibilita a schopnosť prispôsobiť sa zmene </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 xml:space="preserve">Preukázanie schopnosti prispôsobiť sa a zachovať si efektívnosť v situácii veľkých zmien týkajúcich sa pracovných úloh, pracovného prostredia, organizačnej štruktúry a kultúry, procesov, požiadaviek a iných aspektov súvisiacich s prácou. </w:t>
            </w:r>
          </w:p>
        </w:tc>
      </w:tr>
      <w:tr w:rsidR="00421FB1" w:rsidRPr="00A40E7F" w:rsidTr="00DD315E">
        <w:trPr>
          <w:trHeight w:val="65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Problem solving</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Riešenie problémov</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identifikovať problémy pomocou logiky, intuície, údajov, vykonávaním primeraných analýz, prieskumov a zapojením iných (ak je to potrebné) s cieľom dospieť k riešeniam alebo rozhodnutiam.</w:t>
            </w:r>
          </w:p>
        </w:tc>
      </w:tr>
      <w:tr w:rsidR="00421FB1" w:rsidRPr="00A40E7F" w:rsidTr="00DD315E">
        <w:trPr>
          <w:trHeight w:val="65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Team work</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Demonstrating ability to work cooperatively and collaboratively with other colleagues from different structural units and ranks in </w:t>
            </w:r>
            <w:r>
              <w:rPr>
                <w:rFonts w:ascii="Verdana" w:hAnsi="Verdana" w:cstheme="minorHAnsi"/>
                <w:sz w:val="20"/>
                <w:szCs w:val="20"/>
                <w:lang w:val="en-US"/>
              </w:rPr>
              <w:lastRenderedPageBreak/>
              <w:t>order to accomplish collective goals.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lastRenderedPageBreak/>
              <w:t>Tímová práca</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pracovať v spolupráci s inými kolegami z rôznych štrukturálnych jednotiek a stupňov s cieľom plniť kolektívne ciele.</w:t>
            </w:r>
          </w:p>
        </w:tc>
      </w:tr>
      <w:tr w:rsidR="00421FB1" w:rsidRPr="00A40E7F" w:rsidTr="00DD315E">
        <w:trPr>
          <w:trHeight w:val="43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Technological ability</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Technologická spôsobilosť</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využívať primeraný softvér pre osobný počítač, informačné systémy a iné nástroje informačných technológií (napr. programy Microsoft Office), ktoré sa vyžadujú na plnenie pracovných cieľov.</w:t>
            </w:r>
          </w:p>
        </w:tc>
      </w:tr>
      <w:tr w:rsidR="00421FB1" w:rsidRPr="00A40E7F" w:rsidTr="00DD315E">
        <w:trPr>
          <w:trHeight w:val="65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Usage of monitoring and information system</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use EU funds monitoring and information systems (both external and internal if available) in order to accomplish work goals.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Používanie monitorovacieho a informačného systému</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používať monitorovacie a informačné systémy (externé aj interné, ak sú k dispozícii) pre fondy EÚ na plnenie pracovných cieľov.</w:t>
            </w:r>
          </w:p>
        </w:tc>
      </w:tr>
      <w:tr w:rsidR="00421FB1" w:rsidRPr="00A40E7F" w:rsidTr="00DD315E">
        <w:trPr>
          <w:trHeight w:val="398"/>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Representation to the outside world</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act or speak for institution in an efficient way and appropriate manner.</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Reprezentovanie na verejnosti</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konať alebo hovoriť za inštitúciu účinným a vhodným spôsobom.</w:t>
            </w:r>
          </w:p>
        </w:tc>
      </w:tr>
      <w:tr w:rsidR="00421FB1" w:rsidRPr="00A40E7F" w:rsidTr="00DD315E">
        <w:trPr>
          <w:trHeight w:val="65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Relevant language skills</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apply relevant foreign language skills in order to carry out the assigned functions and accomplish work goals.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Príslušné jazykové zručnosti</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uplatňovať príslušné zručnosti v oblasti cudzích jazykov s cieľom vykonávať pridelené funkcie a plniť pracovné ciele.</w:t>
            </w:r>
          </w:p>
        </w:tc>
      </w:tr>
      <w:tr w:rsidR="00421FB1" w:rsidRPr="00A40E7F" w:rsidTr="00DD315E">
        <w:trPr>
          <w:trHeight w:val="659"/>
        </w:trPr>
        <w:tc>
          <w:tcPr>
            <w:tcW w:w="453" w:type="pct"/>
            <w:shd w:val="clear" w:color="000000" w:fill="FFFFFF"/>
            <w:vAlign w:val="center"/>
          </w:tcPr>
          <w:p w:rsidR="00421FB1" w:rsidRPr="00A40E7F" w:rsidRDefault="00421FB1"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Intercultural skills</w:t>
            </w:r>
          </w:p>
        </w:tc>
        <w:tc>
          <w:tcPr>
            <w:tcW w:w="1252" w:type="pct"/>
            <w:shd w:val="clear" w:color="000000" w:fill="FFFFFF"/>
            <w:vAlign w:val="center"/>
          </w:tcPr>
          <w:p w:rsidR="00421FB1" w:rsidRDefault="00421FB1">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Demonstrating ability to work in multi-cultural environment, efficiently dealing with stakeholders in EU institutions and other member states.</w:t>
            </w:r>
          </w:p>
        </w:tc>
        <w:tc>
          <w:tcPr>
            <w:tcW w:w="834"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Medzikultúrne zručnosti</w:t>
            </w:r>
          </w:p>
        </w:tc>
        <w:tc>
          <w:tcPr>
            <w:tcW w:w="1735" w:type="pct"/>
            <w:shd w:val="clear" w:color="000000" w:fill="FFFFFF"/>
            <w:vAlign w:val="center"/>
          </w:tcPr>
          <w:p w:rsidR="00421FB1" w:rsidRPr="00A40E7F" w:rsidRDefault="00421FB1" w:rsidP="006522A8">
            <w:pPr>
              <w:spacing w:after="0"/>
              <w:rPr>
                <w:rFonts w:ascii="Verdana" w:hAnsi="Verdana" w:cstheme="minorHAnsi"/>
                <w:sz w:val="20"/>
                <w:szCs w:val="20"/>
              </w:rPr>
            </w:pPr>
            <w:r>
              <w:rPr>
                <w:rFonts w:ascii="Verdana" w:hAnsi="Verdana" w:cstheme="minorHAnsi"/>
                <w:sz w:val="20"/>
              </w:rPr>
              <w:t>Preukázanie schopnosti pracovať v prostredí mnohých kultúr a účinne pristupovať k zainteresovaným stranám v inštitúciách EÚ a iných členských štátoch.</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DB" w:rsidRDefault="001B5ADB" w:rsidP="0008776A">
      <w:pPr>
        <w:spacing w:after="0" w:line="240" w:lineRule="auto"/>
      </w:pPr>
      <w:r>
        <w:separator/>
      </w:r>
    </w:p>
  </w:endnote>
  <w:endnote w:type="continuationSeparator" w:id="0">
    <w:p w:rsidR="001B5ADB" w:rsidRDefault="001B5ADB"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B304A7">
          <w:rPr>
            <w:rFonts w:asciiTheme="minorHAnsi" w:hAnsiTheme="minorHAnsi" w:cstheme="minorHAnsi"/>
            <w:noProof/>
          </w:rPr>
          <w:t>7</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DB" w:rsidRDefault="001B5ADB" w:rsidP="0008776A">
      <w:pPr>
        <w:spacing w:after="0" w:line="240" w:lineRule="auto"/>
      </w:pPr>
      <w:r>
        <w:separator/>
      </w:r>
    </w:p>
  </w:footnote>
  <w:footnote w:type="continuationSeparator" w:id="0">
    <w:p w:rsidR="001B5ADB" w:rsidRDefault="001B5ADB"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4F" w:rsidRPr="00BF0B4F" w:rsidRDefault="00BF0B4F"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Kompetenčný rámec EÚ – Slovník pojmov, ktoré sa používajú v nástroji na vlastné hodnotenie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F0065"/>
    <w:rsid w:val="00416AA7"/>
    <w:rsid w:val="00421FB1"/>
    <w:rsid w:val="0044373B"/>
    <w:rsid w:val="00476CF8"/>
    <w:rsid w:val="004A2193"/>
    <w:rsid w:val="004B0758"/>
    <w:rsid w:val="004F71B4"/>
    <w:rsid w:val="00536145"/>
    <w:rsid w:val="00554E39"/>
    <w:rsid w:val="00584C64"/>
    <w:rsid w:val="005C3880"/>
    <w:rsid w:val="005D6AFD"/>
    <w:rsid w:val="005D72B2"/>
    <w:rsid w:val="005F04A1"/>
    <w:rsid w:val="005F5DB2"/>
    <w:rsid w:val="006029E1"/>
    <w:rsid w:val="00614B9B"/>
    <w:rsid w:val="0062042A"/>
    <w:rsid w:val="006645FC"/>
    <w:rsid w:val="006744F9"/>
    <w:rsid w:val="006809C5"/>
    <w:rsid w:val="006931AA"/>
    <w:rsid w:val="006C2D1C"/>
    <w:rsid w:val="006C371A"/>
    <w:rsid w:val="006E738D"/>
    <w:rsid w:val="00716D09"/>
    <w:rsid w:val="007320E2"/>
    <w:rsid w:val="00757D2E"/>
    <w:rsid w:val="00787821"/>
    <w:rsid w:val="007C5D2F"/>
    <w:rsid w:val="007D60DC"/>
    <w:rsid w:val="00822B80"/>
    <w:rsid w:val="008339CD"/>
    <w:rsid w:val="00834E93"/>
    <w:rsid w:val="0084461D"/>
    <w:rsid w:val="008806DD"/>
    <w:rsid w:val="00894D9D"/>
    <w:rsid w:val="008B45D1"/>
    <w:rsid w:val="008C4517"/>
    <w:rsid w:val="008E21AD"/>
    <w:rsid w:val="008F4A1B"/>
    <w:rsid w:val="00910BED"/>
    <w:rsid w:val="009248AB"/>
    <w:rsid w:val="009259B3"/>
    <w:rsid w:val="00927761"/>
    <w:rsid w:val="00932713"/>
    <w:rsid w:val="009A279A"/>
    <w:rsid w:val="009E2CA5"/>
    <w:rsid w:val="00A30ABC"/>
    <w:rsid w:val="00A40E7F"/>
    <w:rsid w:val="00A564CD"/>
    <w:rsid w:val="00AB57C3"/>
    <w:rsid w:val="00AB64E3"/>
    <w:rsid w:val="00AD2B31"/>
    <w:rsid w:val="00AD341D"/>
    <w:rsid w:val="00B304A7"/>
    <w:rsid w:val="00B579F3"/>
    <w:rsid w:val="00B81E04"/>
    <w:rsid w:val="00B967FA"/>
    <w:rsid w:val="00BC078C"/>
    <w:rsid w:val="00BF0B4F"/>
    <w:rsid w:val="00BF759B"/>
    <w:rsid w:val="00C1011B"/>
    <w:rsid w:val="00C971E1"/>
    <w:rsid w:val="00CC3497"/>
    <w:rsid w:val="00CD1306"/>
    <w:rsid w:val="00CE608F"/>
    <w:rsid w:val="00CF51E8"/>
    <w:rsid w:val="00CF661F"/>
    <w:rsid w:val="00CF6967"/>
    <w:rsid w:val="00D02119"/>
    <w:rsid w:val="00D27017"/>
    <w:rsid w:val="00D42D77"/>
    <w:rsid w:val="00D92F59"/>
    <w:rsid w:val="00DB27D2"/>
    <w:rsid w:val="00DD315E"/>
    <w:rsid w:val="00DE6C01"/>
    <w:rsid w:val="00E44B41"/>
    <w:rsid w:val="00E87A35"/>
    <w:rsid w:val="00EB6450"/>
    <w:rsid w:val="00F15E49"/>
    <w:rsid w:val="00F40B43"/>
    <w:rsid w:val="00F451DA"/>
    <w:rsid w:val="00F50847"/>
    <w:rsid w:val="00F74AE6"/>
    <w:rsid w:val="00F863CF"/>
    <w:rsid w:val="00F93A46"/>
    <w:rsid w:val="00F93EC0"/>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7F1A0-32EE-47A5-AA16-D66460E1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k-S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k-S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k-S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k-S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40F2-2CF8-4E83-A011-DC4E5C3C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Pages>
  <Words>3980</Words>
  <Characters>26832</Characters>
  <Application>Microsoft Office Word</Application>
  <DocSecurity>0</DocSecurity>
  <Lines>1277</Lines>
  <Paragraphs>540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29</cp:revision>
  <cp:lastPrinted>2017-03-22T18:35:00Z</cp:lastPrinted>
  <dcterms:created xsi:type="dcterms:W3CDTF">2017-10-04T14:59:00Z</dcterms:created>
  <dcterms:modified xsi:type="dcterms:W3CDTF">2018-04-12T14:41:00Z</dcterms:modified>
</cp:coreProperties>
</file>