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CE7B10" w:rsidP="000A1ECD">
      <w:pPr>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-390525</wp:posOffset>
            </wp:positionV>
            <wp:extent cx="10064115" cy="723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64115" cy="7239000"/>
                    </a:xfrm>
                    <a:prstGeom prst="rect">
                      <a:avLst/>
                    </a:prstGeom>
                  </pic:spPr>
                </pic:pic>
              </a:graphicData>
            </a:graphic>
            <wp14:sizeRelH relativeFrom="margin">
              <wp14:pctWidth>0</wp14:pctWidth>
            </wp14:sizeRelH>
            <wp14:sizeRelV relativeFrom="margin">
              <wp14:pctHeight>0</wp14:pctHeight>
            </wp14:sizeRelV>
          </wp:anchor>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Versiunile documentului</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Versiunea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Data</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noiembrie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b/>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Cuprins</w:t>
          </w:r>
        </w:p>
        <w:p w:rsidR="00251707" w:rsidRPr="0025756E" w:rsidRDefault="00251707" w:rsidP="00251707">
          <w:pPr>
            <w:rPr>
              <w:rFonts w:ascii="Verdana" w:hAnsi="Verdana"/>
              <w:b/>
              <w:color w:val="0070C0"/>
              <w:sz w:val="32"/>
              <w:szCs w:val="32"/>
            </w:rPr>
          </w:pPr>
        </w:p>
        <w:p w:rsidR="00CE7B10" w:rsidRPr="00CE7B10" w:rsidRDefault="00CF51E8">
          <w:pPr>
            <w:pStyle w:val="TOC1"/>
            <w:tabs>
              <w:tab w:val="left" w:pos="440"/>
              <w:tab w:val="right" w:leader="dot" w:pos="12950"/>
            </w:tabs>
            <w:rPr>
              <w:rFonts w:ascii="Verdana" w:eastAsiaTheme="minorEastAsia" w:hAnsi="Verdana"/>
              <w:noProof/>
              <w:sz w:val="32"/>
              <w:szCs w:val="32"/>
              <w:lang w:val="en-GB" w:eastAsia="en-GB" w:bidi="ar-SA"/>
            </w:rPr>
          </w:pPr>
          <w:r w:rsidRPr="00CE7B10">
            <w:rPr>
              <w:rFonts w:ascii="Verdana" w:hAnsi="Verdana"/>
              <w:sz w:val="32"/>
              <w:szCs w:val="32"/>
            </w:rPr>
            <w:fldChar w:fldCharType="begin"/>
          </w:r>
          <w:r w:rsidRPr="00CE7B10">
            <w:rPr>
              <w:rFonts w:ascii="Verdana" w:hAnsi="Verdana"/>
              <w:sz w:val="32"/>
              <w:szCs w:val="32"/>
            </w:rPr>
            <w:instrText xml:space="preserve"> TOC \o "1-3" \h \z \u </w:instrText>
          </w:r>
          <w:r w:rsidRPr="00CE7B10">
            <w:rPr>
              <w:rFonts w:ascii="Verdana" w:hAnsi="Verdana"/>
              <w:sz w:val="32"/>
              <w:szCs w:val="32"/>
            </w:rPr>
            <w:fldChar w:fldCharType="separate"/>
          </w:r>
          <w:hyperlink w:anchor="_Toc507161011" w:history="1">
            <w:r w:rsidR="00CE7B10" w:rsidRPr="00CE7B10">
              <w:rPr>
                <w:rStyle w:val="Hyperlink"/>
                <w:rFonts w:ascii="Verdana" w:hAnsi="Verdana"/>
                <w:noProof/>
                <w:sz w:val="32"/>
                <w:szCs w:val="32"/>
              </w:rPr>
              <w:t>1.</w:t>
            </w:r>
            <w:r w:rsidR="00CE7B10" w:rsidRPr="00CE7B10">
              <w:rPr>
                <w:rFonts w:ascii="Verdana" w:eastAsiaTheme="minorEastAsia" w:hAnsi="Verdana"/>
                <w:noProof/>
                <w:sz w:val="32"/>
                <w:szCs w:val="32"/>
                <w:lang w:val="en-GB" w:eastAsia="en-GB" w:bidi="ar-SA"/>
              </w:rPr>
              <w:tab/>
            </w:r>
            <w:r w:rsidR="00CE7B10" w:rsidRPr="00CE7B10">
              <w:rPr>
                <w:rStyle w:val="Hyperlink"/>
                <w:rFonts w:ascii="Verdana" w:hAnsi="Verdana"/>
                <w:noProof/>
                <w:sz w:val="32"/>
                <w:szCs w:val="32"/>
              </w:rPr>
              <w:t>Funcții</w:t>
            </w:r>
            <w:r w:rsidR="00CE7B10" w:rsidRPr="00CE7B10">
              <w:rPr>
                <w:rFonts w:ascii="Verdana" w:hAnsi="Verdana"/>
                <w:noProof/>
                <w:webHidden/>
                <w:sz w:val="32"/>
                <w:szCs w:val="32"/>
              </w:rPr>
              <w:tab/>
            </w:r>
            <w:r w:rsidR="00CE7B10" w:rsidRPr="00CE7B10">
              <w:rPr>
                <w:rFonts w:ascii="Verdana" w:hAnsi="Verdana"/>
                <w:noProof/>
                <w:webHidden/>
                <w:sz w:val="32"/>
                <w:szCs w:val="32"/>
              </w:rPr>
              <w:fldChar w:fldCharType="begin"/>
            </w:r>
            <w:r w:rsidR="00CE7B10" w:rsidRPr="00CE7B10">
              <w:rPr>
                <w:rFonts w:ascii="Verdana" w:hAnsi="Verdana"/>
                <w:noProof/>
                <w:webHidden/>
                <w:sz w:val="32"/>
                <w:szCs w:val="32"/>
              </w:rPr>
              <w:instrText xml:space="preserve"> PAGEREF _Toc507161011 \h </w:instrText>
            </w:r>
            <w:r w:rsidR="00CE7B10" w:rsidRPr="00CE7B10">
              <w:rPr>
                <w:rFonts w:ascii="Verdana" w:hAnsi="Verdana"/>
                <w:noProof/>
                <w:webHidden/>
                <w:sz w:val="32"/>
                <w:szCs w:val="32"/>
              </w:rPr>
            </w:r>
            <w:r w:rsidR="00CE7B10" w:rsidRPr="00CE7B10">
              <w:rPr>
                <w:rFonts w:ascii="Verdana" w:hAnsi="Verdana"/>
                <w:noProof/>
                <w:webHidden/>
                <w:sz w:val="32"/>
                <w:szCs w:val="32"/>
              </w:rPr>
              <w:fldChar w:fldCharType="separate"/>
            </w:r>
            <w:r w:rsidR="00CE7B10" w:rsidRPr="00CE7B10">
              <w:rPr>
                <w:rFonts w:ascii="Verdana" w:hAnsi="Verdana"/>
                <w:noProof/>
                <w:webHidden/>
                <w:sz w:val="32"/>
                <w:szCs w:val="32"/>
              </w:rPr>
              <w:t>4</w:t>
            </w:r>
            <w:r w:rsidR="00CE7B10" w:rsidRPr="00CE7B10">
              <w:rPr>
                <w:rFonts w:ascii="Verdana" w:hAnsi="Verdana"/>
                <w:noProof/>
                <w:webHidden/>
                <w:sz w:val="32"/>
                <w:szCs w:val="32"/>
              </w:rPr>
              <w:fldChar w:fldCharType="end"/>
            </w:r>
          </w:hyperlink>
        </w:p>
        <w:p w:rsidR="00CE7B10" w:rsidRPr="00CE7B10" w:rsidRDefault="00E34BBB">
          <w:pPr>
            <w:pStyle w:val="TOC1"/>
            <w:tabs>
              <w:tab w:val="left" w:pos="440"/>
              <w:tab w:val="right" w:leader="dot" w:pos="12950"/>
            </w:tabs>
            <w:rPr>
              <w:rFonts w:ascii="Verdana" w:eastAsiaTheme="minorEastAsia" w:hAnsi="Verdana"/>
              <w:noProof/>
              <w:sz w:val="32"/>
              <w:szCs w:val="32"/>
              <w:lang w:val="en-GB" w:eastAsia="en-GB" w:bidi="ar-SA"/>
            </w:rPr>
          </w:pPr>
          <w:hyperlink w:anchor="_Toc507161012" w:history="1">
            <w:r w:rsidR="00CE7B10" w:rsidRPr="00CE7B10">
              <w:rPr>
                <w:rStyle w:val="Hyperlink"/>
                <w:rFonts w:ascii="Verdana" w:hAnsi="Verdana"/>
                <w:noProof/>
                <w:sz w:val="32"/>
                <w:szCs w:val="32"/>
              </w:rPr>
              <w:t>2.</w:t>
            </w:r>
            <w:r w:rsidR="00CE7B10" w:rsidRPr="00CE7B10">
              <w:rPr>
                <w:rFonts w:ascii="Verdana" w:eastAsiaTheme="minorEastAsia" w:hAnsi="Verdana"/>
                <w:noProof/>
                <w:sz w:val="32"/>
                <w:szCs w:val="32"/>
                <w:lang w:val="en-GB" w:eastAsia="en-GB" w:bidi="ar-SA"/>
              </w:rPr>
              <w:tab/>
            </w:r>
            <w:r w:rsidR="00CE7B10" w:rsidRPr="00CE7B10">
              <w:rPr>
                <w:rStyle w:val="Hyperlink"/>
                <w:rFonts w:ascii="Verdana" w:hAnsi="Verdana"/>
                <w:noProof/>
                <w:sz w:val="32"/>
                <w:szCs w:val="32"/>
              </w:rPr>
              <w:t>Sarcini și sarcini subordonate</w:t>
            </w:r>
            <w:r w:rsidR="00CE7B10" w:rsidRPr="00CE7B10">
              <w:rPr>
                <w:rFonts w:ascii="Verdana" w:hAnsi="Verdana"/>
                <w:noProof/>
                <w:webHidden/>
                <w:sz w:val="32"/>
                <w:szCs w:val="32"/>
              </w:rPr>
              <w:tab/>
            </w:r>
            <w:r w:rsidR="00CE7B10" w:rsidRPr="00CE7B10">
              <w:rPr>
                <w:rFonts w:ascii="Verdana" w:hAnsi="Verdana"/>
                <w:noProof/>
                <w:webHidden/>
                <w:sz w:val="32"/>
                <w:szCs w:val="32"/>
              </w:rPr>
              <w:fldChar w:fldCharType="begin"/>
            </w:r>
            <w:r w:rsidR="00CE7B10" w:rsidRPr="00CE7B10">
              <w:rPr>
                <w:rFonts w:ascii="Verdana" w:hAnsi="Verdana"/>
                <w:noProof/>
                <w:webHidden/>
                <w:sz w:val="32"/>
                <w:szCs w:val="32"/>
              </w:rPr>
              <w:instrText xml:space="preserve"> PAGEREF _Toc507161012 \h </w:instrText>
            </w:r>
            <w:r w:rsidR="00CE7B10" w:rsidRPr="00CE7B10">
              <w:rPr>
                <w:rFonts w:ascii="Verdana" w:hAnsi="Verdana"/>
                <w:noProof/>
                <w:webHidden/>
                <w:sz w:val="32"/>
                <w:szCs w:val="32"/>
              </w:rPr>
            </w:r>
            <w:r w:rsidR="00CE7B10" w:rsidRPr="00CE7B10">
              <w:rPr>
                <w:rFonts w:ascii="Verdana" w:hAnsi="Verdana"/>
                <w:noProof/>
                <w:webHidden/>
                <w:sz w:val="32"/>
                <w:szCs w:val="32"/>
              </w:rPr>
              <w:fldChar w:fldCharType="separate"/>
            </w:r>
            <w:r w:rsidR="00CE7B10" w:rsidRPr="00CE7B10">
              <w:rPr>
                <w:rFonts w:ascii="Verdana" w:hAnsi="Verdana"/>
                <w:noProof/>
                <w:webHidden/>
                <w:sz w:val="32"/>
                <w:szCs w:val="32"/>
              </w:rPr>
              <w:t>5</w:t>
            </w:r>
            <w:r w:rsidR="00CE7B10" w:rsidRPr="00CE7B10">
              <w:rPr>
                <w:rFonts w:ascii="Verdana" w:hAnsi="Verdana"/>
                <w:noProof/>
                <w:webHidden/>
                <w:sz w:val="32"/>
                <w:szCs w:val="32"/>
              </w:rPr>
              <w:fldChar w:fldCharType="end"/>
            </w:r>
          </w:hyperlink>
        </w:p>
        <w:p w:rsidR="00CE7B10" w:rsidRPr="00CE7B10" w:rsidRDefault="00E34BBB">
          <w:pPr>
            <w:pStyle w:val="TOC1"/>
            <w:tabs>
              <w:tab w:val="left" w:pos="440"/>
              <w:tab w:val="right" w:leader="dot" w:pos="12950"/>
            </w:tabs>
            <w:rPr>
              <w:rFonts w:ascii="Verdana" w:eastAsiaTheme="minorEastAsia" w:hAnsi="Verdana"/>
              <w:noProof/>
              <w:sz w:val="32"/>
              <w:szCs w:val="32"/>
              <w:lang w:val="en-GB" w:eastAsia="en-GB" w:bidi="ar-SA"/>
            </w:rPr>
          </w:pPr>
          <w:hyperlink w:anchor="_Toc507161013" w:history="1">
            <w:r w:rsidR="00CE7B10" w:rsidRPr="00CE7B10">
              <w:rPr>
                <w:rStyle w:val="Hyperlink"/>
                <w:rFonts w:ascii="Verdana" w:hAnsi="Verdana"/>
                <w:noProof/>
                <w:sz w:val="32"/>
                <w:szCs w:val="32"/>
              </w:rPr>
              <w:t>3.</w:t>
            </w:r>
            <w:r w:rsidR="00CE7B10" w:rsidRPr="00CE7B10">
              <w:rPr>
                <w:rFonts w:ascii="Verdana" w:eastAsiaTheme="minorEastAsia" w:hAnsi="Verdana"/>
                <w:noProof/>
                <w:sz w:val="32"/>
                <w:szCs w:val="32"/>
                <w:lang w:val="en-GB" w:eastAsia="en-GB" w:bidi="ar-SA"/>
              </w:rPr>
              <w:tab/>
            </w:r>
            <w:r w:rsidR="00CE7B10" w:rsidRPr="00CE7B10">
              <w:rPr>
                <w:rStyle w:val="Hyperlink"/>
                <w:rFonts w:ascii="Verdana" w:hAnsi="Verdana"/>
                <w:noProof/>
                <w:sz w:val="32"/>
                <w:szCs w:val="32"/>
              </w:rPr>
              <w:t>Scară de competențe</w:t>
            </w:r>
            <w:r w:rsidR="00CE7B10" w:rsidRPr="00CE7B10">
              <w:rPr>
                <w:rFonts w:ascii="Verdana" w:hAnsi="Verdana"/>
                <w:noProof/>
                <w:webHidden/>
                <w:sz w:val="32"/>
                <w:szCs w:val="32"/>
              </w:rPr>
              <w:tab/>
            </w:r>
            <w:r w:rsidR="00CE7B10" w:rsidRPr="00CE7B10">
              <w:rPr>
                <w:rFonts w:ascii="Verdana" w:hAnsi="Verdana"/>
                <w:noProof/>
                <w:webHidden/>
                <w:sz w:val="32"/>
                <w:szCs w:val="32"/>
              </w:rPr>
              <w:fldChar w:fldCharType="begin"/>
            </w:r>
            <w:r w:rsidR="00CE7B10" w:rsidRPr="00CE7B10">
              <w:rPr>
                <w:rFonts w:ascii="Verdana" w:hAnsi="Verdana"/>
                <w:noProof/>
                <w:webHidden/>
                <w:sz w:val="32"/>
                <w:szCs w:val="32"/>
              </w:rPr>
              <w:instrText xml:space="preserve"> PAGEREF _Toc507161013 \h </w:instrText>
            </w:r>
            <w:r w:rsidR="00CE7B10" w:rsidRPr="00CE7B10">
              <w:rPr>
                <w:rFonts w:ascii="Verdana" w:hAnsi="Verdana"/>
                <w:noProof/>
                <w:webHidden/>
                <w:sz w:val="32"/>
                <w:szCs w:val="32"/>
              </w:rPr>
            </w:r>
            <w:r w:rsidR="00CE7B10" w:rsidRPr="00CE7B10">
              <w:rPr>
                <w:rFonts w:ascii="Verdana" w:hAnsi="Verdana"/>
                <w:noProof/>
                <w:webHidden/>
                <w:sz w:val="32"/>
                <w:szCs w:val="32"/>
              </w:rPr>
              <w:fldChar w:fldCharType="separate"/>
            </w:r>
            <w:r w:rsidR="00CE7B10" w:rsidRPr="00CE7B10">
              <w:rPr>
                <w:rFonts w:ascii="Verdana" w:hAnsi="Verdana"/>
                <w:noProof/>
                <w:webHidden/>
                <w:sz w:val="32"/>
                <w:szCs w:val="32"/>
              </w:rPr>
              <w:t>9</w:t>
            </w:r>
            <w:r w:rsidR="00CE7B10" w:rsidRPr="00CE7B10">
              <w:rPr>
                <w:rFonts w:ascii="Verdana" w:hAnsi="Verdana"/>
                <w:noProof/>
                <w:webHidden/>
                <w:sz w:val="32"/>
                <w:szCs w:val="32"/>
              </w:rPr>
              <w:fldChar w:fldCharType="end"/>
            </w:r>
          </w:hyperlink>
        </w:p>
        <w:p w:rsidR="00CE7B10" w:rsidRPr="00CE7B10" w:rsidRDefault="00E34BBB">
          <w:pPr>
            <w:pStyle w:val="TOC1"/>
            <w:tabs>
              <w:tab w:val="left" w:pos="440"/>
              <w:tab w:val="right" w:leader="dot" w:pos="12950"/>
            </w:tabs>
            <w:rPr>
              <w:rFonts w:ascii="Verdana" w:eastAsiaTheme="minorEastAsia" w:hAnsi="Verdana"/>
              <w:noProof/>
              <w:sz w:val="32"/>
              <w:szCs w:val="32"/>
              <w:lang w:val="en-GB" w:eastAsia="en-GB" w:bidi="ar-SA"/>
            </w:rPr>
          </w:pPr>
          <w:hyperlink w:anchor="_Toc507161014" w:history="1">
            <w:r w:rsidR="00CE7B10" w:rsidRPr="00CE7B10">
              <w:rPr>
                <w:rStyle w:val="Hyperlink"/>
                <w:rFonts w:ascii="Verdana" w:hAnsi="Verdana"/>
                <w:noProof/>
                <w:sz w:val="32"/>
                <w:szCs w:val="32"/>
              </w:rPr>
              <w:t>4.</w:t>
            </w:r>
            <w:r w:rsidR="00CE7B10" w:rsidRPr="00CE7B10">
              <w:rPr>
                <w:rFonts w:ascii="Verdana" w:eastAsiaTheme="minorEastAsia" w:hAnsi="Verdana"/>
                <w:noProof/>
                <w:sz w:val="32"/>
                <w:szCs w:val="32"/>
                <w:lang w:val="en-GB" w:eastAsia="en-GB" w:bidi="ar-SA"/>
              </w:rPr>
              <w:tab/>
            </w:r>
            <w:r w:rsidR="00CE7B10" w:rsidRPr="00CE7B10">
              <w:rPr>
                <w:rStyle w:val="Hyperlink"/>
                <w:rFonts w:ascii="Verdana" w:hAnsi="Verdana"/>
                <w:noProof/>
                <w:sz w:val="32"/>
                <w:szCs w:val="32"/>
              </w:rPr>
              <w:t>Competențe operaționale</w:t>
            </w:r>
            <w:r w:rsidR="00CE7B10" w:rsidRPr="00CE7B10">
              <w:rPr>
                <w:rFonts w:ascii="Verdana" w:hAnsi="Verdana"/>
                <w:noProof/>
                <w:webHidden/>
                <w:sz w:val="32"/>
                <w:szCs w:val="32"/>
              </w:rPr>
              <w:tab/>
            </w:r>
            <w:r w:rsidR="00CE7B10" w:rsidRPr="00CE7B10">
              <w:rPr>
                <w:rFonts w:ascii="Verdana" w:hAnsi="Verdana"/>
                <w:noProof/>
                <w:webHidden/>
                <w:sz w:val="32"/>
                <w:szCs w:val="32"/>
              </w:rPr>
              <w:fldChar w:fldCharType="begin"/>
            </w:r>
            <w:r w:rsidR="00CE7B10" w:rsidRPr="00CE7B10">
              <w:rPr>
                <w:rFonts w:ascii="Verdana" w:hAnsi="Verdana"/>
                <w:noProof/>
                <w:webHidden/>
                <w:sz w:val="32"/>
                <w:szCs w:val="32"/>
              </w:rPr>
              <w:instrText xml:space="preserve"> PAGEREF _Toc507161014 \h </w:instrText>
            </w:r>
            <w:r w:rsidR="00CE7B10" w:rsidRPr="00CE7B10">
              <w:rPr>
                <w:rFonts w:ascii="Verdana" w:hAnsi="Verdana"/>
                <w:noProof/>
                <w:webHidden/>
                <w:sz w:val="32"/>
                <w:szCs w:val="32"/>
              </w:rPr>
            </w:r>
            <w:r w:rsidR="00CE7B10" w:rsidRPr="00CE7B10">
              <w:rPr>
                <w:rFonts w:ascii="Verdana" w:hAnsi="Verdana"/>
                <w:noProof/>
                <w:webHidden/>
                <w:sz w:val="32"/>
                <w:szCs w:val="32"/>
              </w:rPr>
              <w:fldChar w:fldCharType="separate"/>
            </w:r>
            <w:r w:rsidR="00CE7B10" w:rsidRPr="00CE7B10">
              <w:rPr>
                <w:rFonts w:ascii="Verdana" w:hAnsi="Verdana"/>
                <w:noProof/>
                <w:webHidden/>
                <w:sz w:val="32"/>
                <w:szCs w:val="32"/>
              </w:rPr>
              <w:t>11</w:t>
            </w:r>
            <w:r w:rsidR="00CE7B10" w:rsidRPr="00CE7B10">
              <w:rPr>
                <w:rFonts w:ascii="Verdana" w:hAnsi="Verdana"/>
                <w:noProof/>
                <w:webHidden/>
                <w:sz w:val="32"/>
                <w:szCs w:val="32"/>
              </w:rPr>
              <w:fldChar w:fldCharType="end"/>
            </w:r>
          </w:hyperlink>
        </w:p>
        <w:p w:rsidR="00CE7B10" w:rsidRPr="00CE7B10" w:rsidRDefault="00E34BBB">
          <w:pPr>
            <w:pStyle w:val="TOC1"/>
            <w:tabs>
              <w:tab w:val="left" w:pos="440"/>
              <w:tab w:val="right" w:leader="dot" w:pos="12950"/>
            </w:tabs>
            <w:rPr>
              <w:rFonts w:ascii="Verdana" w:eastAsiaTheme="minorEastAsia" w:hAnsi="Verdana"/>
              <w:noProof/>
              <w:sz w:val="32"/>
              <w:szCs w:val="32"/>
              <w:lang w:val="en-GB" w:eastAsia="en-GB" w:bidi="ar-SA"/>
            </w:rPr>
          </w:pPr>
          <w:hyperlink w:anchor="_Toc507161015" w:history="1">
            <w:r w:rsidR="00CE7B10" w:rsidRPr="00CE7B10">
              <w:rPr>
                <w:rStyle w:val="Hyperlink"/>
                <w:rFonts w:ascii="Verdana" w:hAnsi="Verdana"/>
                <w:noProof/>
                <w:sz w:val="32"/>
                <w:szCs w:val="32"/>
              </w:rPr>
              <w:t>5.</w:t>
            </w:r>
            <w:r w:rsidR="00CE7B10" w:rsidRPr="00CE7B10">
              <w:rPr>
                <w:rFonts w:ascii="Verdana" w:eastAsiaTheme="minorEastAsia" w:hAnsi="Verdana"/>
                <w:noProof/>
                <w:sz w:val="32"/>
                <w:szCs w:val="32"/>
                <w:lang w:val="en-GB" w:eastAsia="en-GB" w:bidi="ar-SA"/>
              </w:rPr>
              <w:tab/>
            </w:r>
            <w:r w:rsidR="00CE7B10" w:rsidRPr="00CE7B10">
              <w:rPr>
                <w:rStyle w:val="Hyperlink"/>
                <w:rFonts w:ascii="Verdana" w:hAnsi="Verdana"/>
                <w:noProof/>
                <w:sz w:val="32"/>
                <w:szCs w:val="32"/>
              </w:rPr>
              <w:t>Competențe de gestionare</w:t>
            </w:r>
            <w:r w:rsidR="00CE7B10" w:rsidRPr="00CE7B10">
              <w:rPr>
                <w:rFonts w:ascii="Verdana" w:hAnsi="Verdana"/>
                <w:noProof/>
                <w:webHidden/>
                <w:sz w:val="32"/>
                <w:szCs w:val="32"/>
              </w:rPr>
              <w:tab/>
            </w:r>
            <w:r w:rsidR="00CE7B10" w:rsidRPr="00CE7B10">
              <w:rPr>
                <w:rFonts w:ascii="Verdana" w:hAnsi="Verdana"/>
                <w:noProof/>
                <w:webHidden/>
                <w:sz w:val="32"/>
                <w:szCs w:val="32"/>
              </w:rPr>
              <w:fldChar w:fldCharType="begin"/>
            </w:r>
            <w:r w:rsidR="00CE7B10" w:rsidRPr="00CE7B10">
              <w:rPr>
                <w:rFonts w:ascii="Verdana" w:hAnsi="Verdana"/>
                <w:noProof/>
                <w:webHidden/>
                <w:sz w:val="32"/>
                <w:szCs w:val="32"/>
              </w:rPr>
              <w:instrText xml:space="preserve"> PAGEREF _Toc507161015 \h </w:instrText>
            </w:r>
            <w:r w:rsidR="00CE7B10" w:rsidRPr="00CE7B10">
              <w:rPr>
                <w:rFonts w:ascii="Verdana" w:hAnsi="Verdana"/>
                <w:noProof/>
                <w:webHidden/>
                <w:sz w:val="32"/>
                <w:szCs w:val="32"/>
              </w:rPr>
            </w:r>
            <w:r w:rsidR="00CE7B10" w:rsidRPr="00CE7B10">
              <w:rPr>
                <w:rFonts w:ascii="Verdana" w:hAnsi="Verdana"/>
                <w:noProof/>
                <w:webHidden/>
                <w:sz w:val="32"/>
                <w:szCs w:val="32"/>
              </w:rPr>
              <w:fldChar w:fldCharType="separate"/>
            </w:r>
            <w:r w:rsidR="00CE7B10" w:rsidRPr="00CE7B10">
              <w:rPr>
                <w:rFonts w:ascii="Verdana" w:hAnsi="Verdana"/>
                <w:noProof/>
                <w:webHidden/>
                <w:sz w:val="32"/>
                <w:szCs w:val="32"/>
              </w:rPr>
              <w:t>14</w:t>
            </w:r>
            <w:r w:rsidR="00CE7B10" w:rsidRPr="00CE7B10">
              <w:rPr>
                <w:rFonts w:ascii="Verdana" w:hAnsi="Verdana"/>
                <w:noProof/>
                <w:webHidden/>
                <w:sz w:val="32"/>
                <w:szCs w:val="32"/>
              </w:rPr>
              <w:fldChar w:fldCharType="end"/>
            </w:r>
          </w:hyperlink>
        </w:p>
        <w:p w:rsidR="00CE7B10" w:rsidRPr="00CE7B10" w:rsidRDefault="00E34BBB">
          <w:pPr>
            <w:pStyle w:val="TOC1"/>
            <w:tabs>
              <w:tab w:val="left" w:pos="440"/>
              <w:tab w:val="right" w:leader="dot" w:pos="12950"/>
            </w:tabs>
            <w:rPr>
              <w:rFonts w:ascii="Verdana" w:eastAsiaTheme="minorEastAsia" w:hAnsi="Verdana"/>
              <w:noProof/>
              <w:sz w:val="32"/>
              <w:szCs w:val="32"/>
              <w:lang w:val="en-GB" w:eastAsia="en-GB" w:bidi="ar-SA"/>
            </w:rPr>
          </w:pPr>
          <w:hyperlink w:anchor="_Toc507161016" w:history="1">
            <w:r w:rsidR="00CE7B10" w:rsidRPr="00CE7B10">
              <w:rPr>
                <w:rStyle w:val="Hyperlink"/>
                <w:rFonts w:ascii="Verdana" w:hAnsi="Verdana"/>
                <w:noProof/>
                <w:sz w:val="32"/>
                <w:szCs w:val="32"/>
              </w:rPr>
              <w:t>6.</w:t>
            </w:r>
            <w:r w:rsidR="00CE7B10" w:rsidRPr="00CE7B10">
              <w:rPr>
                <w:rFonts w:ascii="Verdana" w:eastAsiaTheme="minorEastAsia" w:hAnsi="Verdana"/>
                <w:noProof/>
                <w:sz w:val="32"/>
                <w:szCs w:val="32"/>
                <w:lang w:val="en-GB" w:eastAsia="en-GB" w:bidi="ar-SA"/>
              </w:rPr>
              <w:tab/>
            </w:r>
            <w:r w:rsidR="00CE7B10" w:rsidRPr="00CE7B10">
              <w:rPr>
                <w:rStyle w:val="Hyperlink"/>
                <w:rFonts w:ascii="Verdana" w:hAnsi="Verdana"/>
                <w:noProof/>
                <w:sz w:val="32"/>
                <w:szCs w:val="32"/>
              </w:rPr>
              <w:t>Competențe profesionale</w:t>
            </w:r>
            <w:r w:rsidR="00CE7B10" w:rsidRPr="00CE7B10">
              <w:rPr>
                <w:rFonts w:ascii="Verdana" w:hAnsi="Verdana"/>
                <w:noProof/>
                <w:webHidden/>
                <w:sz w:val="32"/>
                <w:szCs w:val="32"/>
              </w:rPr>
              <w:tab/>
            </w:r>
            <w:r w:rsidR="00CE7B10" w:rsidRPr="00CE7B10">
              <w:rPr>
                <w:rFonts w:ascii="Verdana" w:hAnsi="Verdana"/>
                <w:noProof/>
                <w:webHidden/>
                <w:sz w:val="32"/>
                <w:szCs w:val="32"/>
              </w:rPr>
              <w:fldChar w:fldCharType="begin"/>
            </w:r>
            <w:r w:rsidR="00CE7B10" w:rsidRPr="00CE7B10">
              <w:rPr>
                <w:rFonts w:ascii="Verdana" w:hAnsi="Verdana"/>
                <w:noProof/>
                <w:webHidden/>
                <w:sz w:val="32"/>
                <w:szCs w:val="32"/>
              </w:rPr>
              <w:instrText xml:space="preserve"> PAGEREF _Toc507161016 \h </w:instrText>
            </w:r>
            <w:r w:rsidR="00CE7B10" w:rsidRPr="00CE7B10">
              <w:rPr>
                <w:rFonts w:ascii="Verdana" w:hAnsi="Verdana"/>
                <w:noProof/>
                <w:webHidden/>
                <w:sz w:val="32"/>
                <w:szCs w:val="32"/>
              </w:rPr>
            </w:r>
            <w:r w:rsidR="00CE7B10" w:rsidRPr="00CE7B10">
              <w:rPr>
                <w:rFonts w:ascii="Verdana" w:hAnsi="Verdana"/>
                <w:noProof/>
                <w:webHidden/>
                <w:sz w:val="32"/>
                <w:szCs w:val="32"/>
              </w:rPr>
              <w:fldChar w:fldCharType="separate"/>
            </w:r>
            <w:r w:rsidR="00CE7B10" w:rsidRPr="00CE7B10">
              <w:rPr>
                <w:rFonts w:ascii="Verdana" w:hAnsi="Verdana"/>
                <w:noProof/>
                <w:webHidden/>
                <w:sz w:val="32"/>
                <w:szCs w:val="32"/>
              </w:rPr>
              <w:t>18</w:t>
            </w:r>
            <w:r w:rsidR="00CE7B10" w:rsidRPr="00CE7B10">
              <w:rPr>
                <w:rFonts w:ascii="Verdana" w:hAnsi="Verdana"/>
                <w:noProof/>
                <w:webHidden/>
                <w:sz w:val="32"/>
                <w:szCs w:val="32"/>
              </w:rPr>
              <w:fldChar w:fldCharType="end"/>
            </w:r>
          </w:hyperlink>
        </w:p>
        <w:p w:rsidR="0025756E" w:rsidRPr="0025756E" w:rsidRDefault="00CF51E8" w:rsidP="00CE7B10">
          <w:pPr>
            <w:rPr>
              <w:rFonts w:eastAsiaTheme="minorEastAsia"/>
              <w:noProof/>
            </w:rPr>
          </w:pPr>
          <w:r w:rsidRPr="00CE7B10">
            <w:rPr>
              <w:noProof/>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7161011"/>
      <w:r>
        <w:lastRenderedPageBreak/>
        <w:t>Funcții</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9"/>
        <w:gridCol w:w="3213"/>
        <w:gridCol w:w="1591"/>
        <w:gridCol w:w="7246"/>
      </w:tblGrid>
      <w:tr w:rsidR="006931AA" w:rsidRPr="00251707" w:rsidTr="00E34BBB">
        <w:trPr>
          <w:trHeight w:val="467"/>
        </w:trPr>
        <w:tc>
          <w:tcPr>
            <w:tcW w:w="1722"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3278"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E34BBB" w:rsidRPr="00251707" w:rsidTr="00E34BBB">
        <w:trPr>
          <w:trHeight w:val="440"/>
        </w:trPr>
        <w:tc>
          <w:tcPr>
            <w:tcW w:w="530" w:type="pct"/>
            <w:shd w:val="clear" w:color="auto" w:fill="F2F2F2" w:themeFill="background1" w:themeFillShade="F2"/>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Job Role</w:t>
            </w:r>
          </w:p>
        </w:tc>
        <w:tc>
          <w:tcPr>
            <w:tcW w:w="1192" w:type="pct"/>
            <w:shd w:val="clear" w:color="auto" w:fill="F2F2F2" w:themeFill="background1" w:themeFillShade="F2"/>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Description</w:t>
            </w:r>
          </w:p>
        </w:tc>
        <w:tc>
          <w:tcPr>
            <w:tcW w:w="590" w:type="pct"/>
            <w:shd w:val="clear" w:color="auto" w:fill="F2F2F2" w:themeFill="background1" w:themeFillShade="F2"/>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Funcția</w:t>
            </w:r>
          </w:p>
        </w:tc>
        <w:tc>
          <w:tcPr>
            <w:tcW w:w="2688" w:type="pct"/>
            <w:shd w:val="clear" w:color="auto" w:fill="F2F2F2" w:themeFill="background1" w:themeFillShade="F2"/>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Descriere</w:t>
            </w:r>
          </w:p>
        </w:tc>
      </w:tr>
      <w:tr w:rsidR="00E34BBB" w:rsidRPr="00251707" w:rsidTr="00E34BBB">
        <w:trPr>
          <w:trHeight w:val="1250"/>
        </w:trPr>
        <w:tc>
          <w:tcPr>
            <w:tcW w:w="530"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Decision-making level</w:t>
            </w:r>
          </w:p>
        </w:tc>
        <w:tc>
          <w:tcPr>
            <w:tcW w:w="119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This is the head of the organization or persons that act on relatively high strategic management levels</w:t>
            </w:r>
          </w:p>
        </w:tc>
        <w:tc>
          <w:tcPr>
            <w:tcW w:w="590" w:type="pct"/>
            <w:shd w:val="clear" w:color="000000" w:fill="FFFFFF"/>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Nivelul de luare a deciziilor</w:t>
            </w:r>
          </w:p>
        </w:tc>
        <w:tc>
          <w:tcPr>
            <w:tcW w:w="2688" w:type="pct"/>
            <w:shd w:val="clear" w:color="000000" w:fill="FFFFFF"/>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Include șeful organizației sau persoane care acționează la niveluri relativ înalte de gestionare strategică</w:t>
            </w:r>
          </w:p>
        </w:tc>
      </w:tr>
      <w:tr w:rsidR="00E34BBB" w:rsidRPr="00251707" w:rsidTr="00E34BBB">
        <w:trPr>
          <w:trHeight w:val="1871"/>
        </w:trPr>
        <w:tc>
          <w:tcPr>
            <w:tcW w:w="530"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Supervisory level</w:t>
            </w:r>
          </w:p>
        </w:tc>
        <w:tc>
          <w:tcPr>
            <w:tcW w:w="119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90" w:type="pct"/>
            <w:shd w:val="clear" w:color="000000" w:fill="FFFFFF"/>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Nivelul de supraveghere</w:t>
            </w:r>
          </w:p>
        </w:tc>
        <w:tc>
          <w:tcPr>
            <w:tcW w:w="2688" w:type="pct"/>
            <w:shd w:val="clear" w:color="000000" w:fill="FFFFFF"/>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Este un post de conducere de nivel mediu, responsabil pentru un grup de persoane, nefiind implicat în mod direct în implementarea operațională a programului, de exemplu, șefii unităților organizaționale.</w:t>
            </w:r>
          </w:p>
        </w:tc>
      </w:tr>
      <w:tr w:rsidR="00E34BBB" w:rsidRPr="00251707" w:rsidTr="00E34BBB">
        <w:trPr>
          <w:trHeight w:val="1439"/>
        </w:trPr>
        <w:tc>
          <w:tcPr>
            <w:tcW w:w="530"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Operational level</w:t>
            </w:r>
          </w:p>
        </w:tc>
        <w:tc>
          <w:tcPr>
            <w:tcW w:w="119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These are the experts that are directly working on the different tasks and sub-tasks within the organization</w:t>
            </w:r>
          </w:p>
        </w:tc>
        <w:tc>
          <w:tcPr>
            <w:tcW w:w="590" w:type="pct"/>
            <w:shd w:val="clear" w:color="000000" w:fill="FFFFFF"/>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Nivelul operațional</w:t>
            </w:r>
          </w:p>
        </w:tc>
        <w:tc>
          <w:tcPr>
            <w:tcW w:w="2688" w:type="pct"/>
            <w:shd w:val="clear" w:color="000000" w:fill="FFFFFF"/>
            <w:vAlign w:val="center"/>
          </w:tcPr>
          <w:p w:rsidR="00E34BBB" w:rsidRPr="00251707" w:rsidRDefault="00E34BBB" w:rsidP="004F541E">
            <w:pPr>
              <w:spacing w:after="0"/>
              <w:rPr>
                <w:rFonts w:ascii="Verdana" w:hAnsi="Verdana" w:cstheme="minorHAnsi"/>
                <w:sz w:val="20"/>
                <w:szCs w:val="20"/>
              </w:rPr>
            </w:pPr>
            <w:r>
              <w:rPr>
                <w:rFonts w:ascii="Verdana" w:hAnsi="Verdana" w:cstheme="minorHAnsi"/>
                <w:sz w:val="20"/>
              </w:rPr>
              <w:t>Include experți care lucrează în mod direct pentru diferite sarcini și sarcini subordonate în cadrul organizației</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7161012"/>
      <w:r>
        <w:lastRenderedPageBreak/>
        <w:t>Sarcini și sarcini subordonate</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E34BBB" w:rsidRPr="00251707" w:rsidTr="00251707">
        <w:trPr>
          <w:trHeight w:val="345"/>
          <w:tblHeader/>
        </w:trPr>
        <w:tc>
          <w:tcPr>
            <w:tcW w:w="902" w:type="pct"/>
            <w:shd w:val="clear" w:color="auto" w:fill="F2F2F2" w:themeFill="background1" w:themeFillShade="F2"/>
            <w:vAlign w:val="center"/>
          </w:tcPr>
          <w:p w:rsidR="00E34BBB" w:rsidRPr="00251707" w:rsidRDefault="00E34BBB" w:rsidP="001846FC">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E34BBB" w:rsidRPr="00251707" w:rsidRDefault="00E34BBB" w:rsidP="001846FC">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E34BBB" w:rsidRPr="00251707" w:rsidRDefault="00E34BBB" w:rsidP="00D708F8">
            <w:pPr>
              <w:spacing w:after="0" w:line="240" w:lineRule="auto"/>
              <w:rPr>
                <w:rFonts w:ascii="Verdana" w:eastAsia="Times New Roman" w:hAnsi="Verdana" w:cstheme="minorHAnsi"/>
                <w:b/>
                <w:bCs/>
                <w:sz w:val="20"/>
                <w:szCs w:val="20"/>
              </w:rPr>
            </w:pPr>
            <w:r>
              <w:rPr>
                <w:rFonts w:ascii="Verdana" w:hAnsi="Verdana" w:cstheme="minorHAnsi"/>
                <w:b/>
                <w:sz w:val="20"/>
              </w:rPr>
              <w:t>Sarcini</w:t>
            </w:r>
          </w:p>
        </w:tc>
        <w:tc>
          <w:tcPr>
            <w:tcW w:w="1251" w:type="pct"/>
            <w:shd w:val="clear" w:color="auto" w:fill="F2F2F2" w:themeFill="background1" w:themeFillShade="F2"/>
            <w:vAlign w:val="center"/>
          </w:tcPr>
          <w:p w:rsidR="00E34BBB" w:rsidRPr="00251707" w:rsidRDefault="00E34BBB" w:rsidP="00D708F8">
            <w:pPr>
              <w:spacing w:after="0" w:line="240" w:lineRule="auto"/>
              <w:rPr>
                <w:rFonts w:ascii="Verdana" w:eastAsia="Times New Roman" w:hAnsi="Verdana" w:cstheme="minorHAnsi"/>
                <w:b/>
                <w:bCs/>
                <w:sz w:val="20"/>
                <w:szCs w:val="20"/>
              </w:rPr>
            </w:pPr>
            <w:r>
              <w:rPr>
                <w:rFonts w:ascii="Verdana" w:hAnsi="Verdana" w:cstheme="minorHAnsi"/>
                <w:b/>
                <w:sz w:val="20"/>
              </w:rPr>
              <w:t>Sarcină subordonată</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1. Programare   </w:t>
            </w: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1.1. Coordonare interinstituțională și implicarea părților interesate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1.2.  Elaborarea programului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1.3. Gestionarea procesului de evaluare (ex-ante)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1.4. Negociere cu CE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1.5. Achiziții de bunuri și servicii în cadrul asistenței tehnice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2. Instituirea sistemului, dezvoltarea procedurilor și instrumentelor</w:t>
            </w: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2.1. Elaborarea descrierii sistemelor de gestionare și control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2.2. Instituirea sistemului juridic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2.3. Elaborarea procedurilor și instrumentelor pentru punerea în aplicare a programului</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2.4. Elaborarea și întreținerea sistemelor de monitorizare și de informații și e-coeziune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2.5. Dezvoltarea capacității instituționale și administrative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t xml:space="preserve">2.6. Achiziții de bunuri și servicii în cadrul asistenței tehnice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 Project generation, </w:t>
            </w:r>
            <w:r w:rsidRPr="00251707">
              <w:rPr>
                <w:rFonts w:ascii="Verdana" w:hAnsi="Verdana" w:cstheme="minorHAnsi"/>
                <w:sz w:val="20"/>
                <w:szCs w:val="20"/>
              </w:rPr>
              <w:lastRenderedPageBreak/>
              <w:t>preparation of calls for proposals, project selection and contracting</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lastRenderedPageBreak/>
              <w:t xml:space="preserve">3.1 Supporting applicants in relation to technical and financial aspects of project </w:t>
            </w:r>
            <w:r w:rsidRPr="00251707">
              <w:rPr>
                <w:rFonts w:ascii="Verdana" w:hAnsi="Verdana" w:cstheme="minorHAnsi"/>
                <w:sz w:val="20"/>
                <w:szCs w:val="20"/>
              </w:rPr>
              <w:lastRenderedPageBreak/>
              <w:t xml:space="preserve">requirements, including capacity building at beneficiary level </w:t>
            </w:r>
          </w:p>
        </w:tc>
        <w:tc>
          <w:tcPr>
            <w:tcW w:w="1145"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lastRenderedPageBreak/>
              <w:t xml:space="preserve">3. Crearea proiectului, elaborarea cererilor de </w:t>
            </w:r>
            <w:r>
              <w:rPr>
                <w:rFonts w:ascii="Verdana" w:hAnsi="Verdana" w:cstheme="minorHAnsi"/>
                <w:sz w:val="20"/>
              </w:rPr>
              <w:lastRenderedPageBreak/>
              <w:t>propuneri, selectarea proiectelor și contractare</w:t>
            </w:r>
          </w:p>
        </w:tc>
        <w:tc>
          <w:tcPr>
            <w:tcW w:w="1251" w:type="pct"/>
            <w:shd w:val="clear" w:color="000000" w:fill="FFFFFF"/>
            <w:vAlign w:val="center"/>
          </w:tcPr>
          <w:p w:rsidR="00E34BBB" w:rsidRPr="00251707" w:rsidRDefault="00E34BBB" w:rsidP="00D708F8">
            <w:pPr>
              <w:spacing w:after="0"/>
              <w:rPr>
                <w:rFonts w:ascii="Verdana" w:hAnsi="Verdana" w:cstheme="minorHAnsi"/>
                <w:sz w:val="20"/>
                <w:szCs w:val="20"/>
              </w:rPr>
            </w:pPr>
            <w:r>
              <w:rPr>
                <w:rFonts w:ascii="Verdana" w:hAnsi="Verdana" w:cstheme="minorHAnsi"/>
                <w:sz w:val="20"/>
              </w:rPr>
              <w:lastRenderedPageBreak/>
              <w:t xml:space="preserve">3.1. Acordarea de sprijin solicitanților în legătură cu </w:t>
            </w:r>
            <w:r>
              <w:rPr>
                <w:rFonts w:ascii="Verdana" w:hAnsi="Verdana" w:cstheme="minorHAnsi"/>
                <w:sz w:val="20"/>
              </w:rPr>
              <w:lastRenderedPageBreak/>
              <w:t xml:space="preserve">aspectele tehnice și financiare ale cerințelor proiectului, inclusiv consolidarea capacităților la nivelul beneficiarului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3.2. Elaborarea propunerilor de criterii de selecție și proceduri de selecție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3.3. Elaborarea/modificarea ghidului pentru solicitanți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3.4. Verificare administrativă și a eligibilității (caracterul complet al pachetului și respectarea legilor și regulamentelor relevante)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3.5. Evaluare (acordarea de punctaje cererilor, gestionarea contestațiilor, elaborarea listei de proiecte, comunicarea rezultatelor către factorii decizionali și solicitanți)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3.6. Development and amendment of procedures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3.6. Elaborarea și modificarea procedurilor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3.7. Activități de sensibilizare și sprijin</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3.8. Procurement of goods and services under Technical Assistance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3.8. Achiziții de bunuri și servicii în cadrul asistenței tehnice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4. Monitoring on project level</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4. Monitorizare la nivelul proiectului</w:t>
            </w: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4.1. Monitorizare tehnică și verificări la fața locului la nivelul proiectului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4.2. Providing advice to beneficiaries on </w:t>
            </w:r>
            <w:r w:rsidRPr="00251707">
              <w:rPr>
                <w:rFonts w:ascii="Verdana" w:hAnsi="Verdana" w:cstheme="minorHAnsi"/>
                <w:sz w:val="20"/>
                <w:szCs w:val="20"/>
              </w:rPr>
              <w:lastRenderedPageBreak/>
              <w:t xml:space="preserve">project implementation issues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4.2. Furnizarea de consultanță </w:t>
            </w:r>
            <w:r>
              <w:rPr>
                <w:rFonts w:ascii="Verdana" w:hAnsi="Verdana" w:cstheme="minorHAnsi"/>
                <w:sz w:val="20"/>
              </w:rPr>
              <w:lastRenderedPageBreak/>
              <w:t xml:space="preserve">beneficiarilor pe aspecte privind implementarea proiectelor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 xml:space="preserve">4.3. Constatarea și raportarea neregulilor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4.4 Procurement of goods and services under Technical Assistance</w:t>
            </w:r>
          </w:p>
        </w:tc>
        <w:tc>
          <w:tcPr>
            <w:tcW w:w="1145" w:type="pct"/>
            <w:shd w:val="clear" w:color="000000" w:fill="FFFFFF"/>
            <w:vAlign w:val="center"/>
          </w:tcPr>
          <w:p w:rsidR="00E34BBB" w:rsidRPr="00251707" w:rsidRDefault="00E34BBB" w:rsidP="00635B3C">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635B3C">
            <w:pPr>
              <w:spacing w:after="0"/>
              <w:rPr>
                <w:rFonts w:ascii="Verdana" w:hAnsi="Verdana" w:cstheme="minorHAnsi"/>
                <w:sz w:val="20"/>
                <w:szCs w:val="20"/>
              </w:rPr>
            </w:pPr>
            <w:r>
              <w:rPr>
                <w:rFonts w:ascii="Verdana" w:hAnsi="Verdana" w:cstheme="minorHAnsi"/>
                <w:sz w:val="20"/>
              </w:rPr>
              <w:t>4.4. Achiziții de bunuri și servicii în cadrul asistenței tehnice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5. Monitorizare la nivelul programului</w:t>
            </w: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5.1. Măsurarea performanței </w:t>
            </w:r>
            <w:r w:rsidRPr="00101C80">
              <w:rPr>
                <w:rFonts w:ascii="Verdana" w:hAnsi="Verdana" w:cstheme="minorHAnsi"/>
                <w:sz w:val="20"/>
                <w:lang w:val="it-IT"/>
              </w:rPr>
              <w:t>axei prioritare</w:t>
            </w:r>
            <w:r>
              <w:rPr>
                <w:rFonts w:ascii="Verdana" w:hAnsi="Verdana" w:cstheme="minorHAnsi"/>
                <w:sz w:val="20"/>
              </w:rPr>
              <w:t xml:space="preserve">/măsurii (planificare, monitorizare, prognoză, revizuire)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5.2. Măsurarea performanței programului operațional (planificare, monitorizare, prognoză, revizuire și măsuri corective)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5.3. Reporting to the Monitoring Committee and European Commission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5.3. Raportare către comitetul de monitorizare și Comisia Europeană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5.4. Development and amendment of monitoring procedures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5.4. Elaborarea și modificarea procedurilor de monitorizare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5.5. Acordarea de sprijin comitetului de monitorizare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5.6. Procurement of goods and services under Technical Assistance</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5.6. Achiziții de bunuri și servicii în cadrul asistenței tehnice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6. Evaluation</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6. Evaluare</w:t>
            </w: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6.1. Elaborarea și orientarea procesului de evaluare (externalizate)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6.2. Efectuarea evaluării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6.3. Utilizarea rezultatelor: implicare în identificarea și implementarea acțiunilor de urmărire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6.4. Ex-ante conditionalities</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6.4. Condiționalități ex-ante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6.5. Procurement of goods and services under Technical Assistance </w:t>
            </w:r>
          </w:p>
        </w:tc>
        <w:tc>
          <w:tcPr>
            <w:tcW w:w="1145" w:type="pct"/>
            <w:shd w:val="clear" w:color="000000" w:fill="FFFFFF"/>
            <w:vAlign w:val="center"/>
          </w:tcPr>
          <w:p w:rsidR="00E34BBB" w:rsidRPr="00251707" w:rsidRDefault="00E34BBB" w:rsidP="00C37C26">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C37C26">
            <w:pPr>
              <w:spacing w:after="0"/>
              <w:rPr>
                <w:rFonts w:ascii="Verdana" w:hAnsi="Verdana" w:cstheme="minorHAnsi"/>
                <w:sz w:val="20"/>
                <w:szCs w:val="20"/>
              </w:rPr>
            </w:pPr>
            <w:r>
              <w:rPr>
                <w:rFonts w:ascii="Verdana" w:hAnsi="Verdana" w:cstheme="minorHAnsi"/>
                <w:sz w:val="20"/>
              </w:rPr>
              <w:t xml:space="preserve">6.5. Achiziții de bunuri și servicii în cadrul asistenței tehnice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7. Gestiune financiară la nivelul proiectului</w:t>
            </w: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7.1. Verificarea cererilor de plată și rapoarte de control inițiale la nivelul proiectului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7.2. Monitorizare financiară și verificări la fața locului la nivelul proiectului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7.3. Procurement of goods and services under Technical Assistance</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7.3. Achiziții de bunuri și servicii în cadrul asistenței tehnice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8. Gestiune financiară la nivelul programului</w:t>
            </w: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8.1. Măsurarea performanței financiare a axei prioritare/măsurii (planificare, monitorizare, prognoză, revizuire) </w:t>
            </w:r>
          </w:p>
        </w:tc>
      </w:tr>
      <w:tr w:rsidR="00E34BBB" w:rsidRPr="00251707" w:rsidTr="00251707">
        <w:trPr>
          <w:trHeight w:val="741"/>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8.2. Măsurarea performanței financiare a programului operațional (planificare, monitorizare, prognoză, revizuire și măsuri corective).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8.3. Raportare către comitetul de monitorizare și Comisia Europeană inclusiv declarația de gestiune și rezumatul anual [RDC 125.4(e)]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8.4. Elaborarea și modificarea procedurilor de gestiune financiară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8.5. Procurement of goods and services under Technical Assistance</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8.5. Achiziții de bunuri și servicii în cadrul asistenței tehnice</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9. Comunicare</w:t>
            </w:r>
          </w:p>
        </w:tc>
        <w:tc>
          <w:tcPr>
            <w:tcW w:w="1251" w:type="pct"/>
            <w:shd w:val="clear" w:color="000000" w:fill="FFFFFF"/>
            <w:vAlign w:val="center"/>
          </w:tcPr>
          <w:p w:rsidR="00E34BBB" w:rsidRPr="00251707" w:rsidRDefault="00E34BBB" w:rsidP="00037554">
            <w:pPr>
              <w:spacing w:after="0"/>
              <w:rPr>
                <w:rFonts w:ascii="Verdana" w:hAnsi="Verdana" w:cstheme="minorHAnsi"/>
                <w:sz w:val="20"/>
                <w:szCs w:val="20"/>
              </w:rPr>
            </w:pPr>
            <w:r>
              <w:rPr>
                <w:rFonts w:ascii="Verdana" w:hAnsi="Verdana" w:cstheme="minorHAnsi"/>
                <w:sz w:val="20"/>
              </w:rPr>
              <w:t xml:space="preserve">9.1. Elaborarea planului de comunicare și implementarea acestuia pentru diferite părți interesate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 xml:space="preserve">9.2. Building networks with different media </w:t>
            </w:r>
          </w:p>
        </w:tc>
        <w:tc>
          <w:tcPr>
            <w:tcW w:w="1145" w:type="pct"/>
            <w:shd w:val="clear" w:color="000000" w:fill="FFFFFF"/>
            <w:vAlign w:val="center"/>
          </w:tcPr>
          <w:p w:rsidR="00E34BBB" w:rsidRPr="00251707" w:rsidRDefault="00E34BBB" w:rsidP="006931AA">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4D3655">
            <w:pPr>
              <w:spacing w:after="0"/>
              <w:rPr>
                <w:rFonts w:ascii="Verdana" w:hAnsi="Verdana" w:cstheme="minorHAnsi"/>
                <w:sz w:val="20"/>
                <w:szCs w:val="20"/>
              </w:rPr>
            </w:pPr>
            <w:r>
              <w:rPr>
                <w:rFonts w:ascii="Verdana" w:hAnsi="Verdana" w:cstheme="minorHAnsi"/>
                <w:sz w:val="20"/>
              </w:rPr>
              <w:t xml:space="preserve">9.2. Construirea rețelelor cu diferite mijloace </w:t>
            </w:r>
          </w:p>
        </w:tc>
      </w:tr>
      <w:tr w:rsidR="00E34BBB" w:rsidRPr="00251707" w:rsidTr="00251707">
        <w:trPr>
          <w:trHeight w:val="345"/>
        </w:trPr>
        <w:tc>
          <w:tcPr>
            <w:tcW w:w="902" w:type="pct"/>
            <w:shd w:val="clear" w:color="000000" w:fill="FFFFFF"/>
            <w:vAlign w:val="center"/>
          </w:tcPr>
          <w:p w:rsidR="00E34BBB" w:rsidRPr="00251707" w:rsidRDefault="00E34BBB" w:rsidP="001846FC">
            <w:pPr>
              <w:spacing w:after="0"/>
              <w:rPr>
                <w:rFonts w:ascii="Verdana" w:hAnsi="Verdana" w:cstheme="minorHAnsi"/>
                <w:sz w:val="20"/>
                <w:szCs w:val="20"/>
              </w:rPr>
            </w:pPr>
          </w:p>
        </w:tc>
        <w:tc>
          <w:tcPr>
            <w:tcW w:w="1702" w:type="pct"/>
            <w:shd w:val="clear" w:color="000000" w:fill="FFFFFF"/>
            <w:vAlign w:val="center"/>
          </w:tcPr>
          <w:p w:rsidR="00E34BBB" w:rsidRPr="00251707" w:rsidRDefault="00E34BBB" w:rsidP="001846FC">
            <w:pPr>
              <w:spacing w:after="0"/>
              <w:rPr>
                <w:rFonts w:ascii="Verdana" w:hAnsi="Verdana" w:cstheme="minorHAnsi"/>
                <w:sz w:val="20"/>
                <w:szCs w:val="20"/>
              </w:rPr>
            </w:pPr>
            <w:r w:rsidRPr="00251707">
              <w:rPr>
                <w:rFonts w:ascii="Verdana" w:hAnsi="Verdana" w:cstheme="minorHAnsi"/>
                <w:sz w:val="20"/>
                <w:szCs w:val="20"/>
              </w:rPr>
              <w:t>9.3. Procurement of goods and services under Technical Assistance</w:t>
            </w:r>
          </w:p>
        </w:tc>
        <w:tc>
          <w:tcPr>
            <w:tcW w:w="1145" w:type="pct"/>
            <w:shd w:val="clear" w:color="000000" w:fill="FFFFFF"/>
            <w:vAlign w:val="center"/>
          </w:tcPr>
          <w:p w:rsidR="00E34BBB" w:rsidRPr="00251707" w:rsidRDefault="00E34BBB" w:rsidP="006931AA">
            <w:pPr>
              <w:spacing w:after="0"/>
              <w:rPr>
                <w:rFonts w:ascii="Verdana" w:hAnsi="Verdana" w:cstheme="minorHAnsi"/>
                <w:sz w:val="20"/>
                <w:szCs w:val="20"/>
              </w:rPr>
            </w:pPr>
          </w:p>
        </w:tc>
        <w:tc>
          <w:tcPr>
            <w:tcW w:w="1251" w:type="pct"/>
            <w:shd w:val="clear" w:color="000000" w:fill="FFFFFF"/>
            <w:vAlign w:val="center"/>
          </w:tcPr>
          <w:p w:rsidR="00E34BBB" w:rsidRPr="00251707" w:rsidRDefault="00E34BBB" w:rsidP="004D3655">
            <w:pPr>
              <w:spacing w:after="0"/>
              <w:rPr>
                <w:rFonts w:ascii="Verdana" w:hAnsi="Verdana" w:cstheme="minorHAnsi"/>
                <w:sz w:val="20"/>
                <w:szCs w:val="20"/>
              </w:rPr>
            </w:pPr>
            <w:r>
              <w:rPr>
                <w:rFonts w:ascii="Verdana" w:hAnsi="Verdana" w:cstheme="minorHAnsi"/>
                <w:sz w:val="20"/>
              </w:rPr>
              <w:t>9.3. Achiziții de bunuri și servicii în cadrul asistenței tehnice</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4" w:name="_Toc494963496"/>
      <w:bookmarkStart w:id="5" w:name="_Toc507161013"/>
      <w:r>
        <w:lastRenderedPageBreak/>
        <w:t>Scară de competențe</w:t>
      </w:r>
      <w:bookmarkEnd w:id="4"/>
      <w:bookmarkEnd w:id="5"/>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E34BBB" w:rsidRPr="00251707" w:rsidTr="006645FC">
        <w:trPr>
          <w:trHeight w:val="332"/>
          <w:tblHeader/>
        </w:trPr>
        <w:tc>
          <w:tcPr>
            <w:tcW w:w="658" w:type="pct"/>
            <w:shd w:val="clear" w:color="auto" w:fill="F2F2F2" w:themeFill="background1" w:themeFillShade="F2"/>
          </w:tcPr>
          <w:p w:rsidR="00E34BBB" w:rsidRPr="00251707" w:rsidRDefault="00E34BBB" w:rsidP="001846FC">
            <w:pPr>
              <w:spacing w:after="0" w:line="240" w:lineRule="auto"/>
              <w:rPr>
                <w:rFonts w:ascii="Verdana" w:hAnsi="Verdana" w:cstheme="minorHAnsi"/>
                <w:sz w:val="20"/>
                <w:szCs w:val="20"/>
              </w:rPr>
            </w:pPr>
            <w:r w:rsidRPr="00251707">
              <w:rPr>
                <w:rFonts w:ascii="Verdana" w:hAnsi="Verdana" w:cstheme="minorHAnsi"/>
                <w:sz w:val="20"/>
                <w:szCs w:val="20"/>
              </w:rPr>
              <w:t xml:space="preserve">Scale </w:t>
            </w:r>
          </w:p>
        </w:tc>
        <w:tc>
          <w:tcPr>
            <w:tcW w:w="1738" w:type="pct"/>
            <w:shd w:val="clear" w:color="auto" w:fill="F2F2F2" w:themeFill="background1" w:themeFillShade="F2"/>
          </w:tcPr>
          <w:p w:rsidR="00E34BBB" w:rsidRPr="00251707" w:rsidRDefault="00E34BBB" w:rsidP="001846FC">
            <w:pPr>
              <w:spacing w:after="0" w:line="240" w:lineRule="auto"/>
              <w:rPr>
                <w:rFonts w:ascii="Verdana" w:hAnsi="Verdana" w:cstheme="minorHAnsi"/>
                <w:sz w:val="20"/>
                <w:szCs w:val="20"/>
              </w:rPr>
            </w:pPr>
            <w:r w:rsidRPr="00251707">
              <w:rPr>
                <w:rFonts w:ascii="Verdana" w:hAnsi="Verdana" w:cstheme="minorHAnsi"/>
                <w:sz w:val="20"/>
                <w:szCs w:val="20"/>
              </w:rPr>
              <w:t xml:space="preserve">Description </w:t>
            </w:r>
          </w:p>
        </w:tc>
        <w:tc>
          <w:tcPr>
            <w:tcW w:w="590" w:type="pct"/>
            <w:shd w:val="clear" w:color="auto" w:fill="F2F2F2" w:themeFill="background1" w:themeFillShade="F2"/>
          </w:tcPr>
          <w:p w:rsidR="00E34BBB" w:rsidRPr="00251707" w:rsidRDefault="00E34BBB" w:rsidP="006E2AF6">
            <w:pPr>
              <w:spacing w:after="0" w:line="240" w:lineRule="auto"/>
              <w:rPr>
                <w:rFonts w:ascii="Verdana" w:hAnsi="Verdana" w:cstheme="minorHAnsi"/>
                <w:sz w:val="20"/>
                <w:szCs w:val="20"/>
              </w:rPr>
            </w:pPr>
            <w:r>
              <w:rPr>
                <w:rFonts w:ascii="Verdana" w:hAnsi="Verdana" w:cstheme="minorHAnsi"/>
                <w:sz w:val="20"/>
              </w:rPr>
              <w:t xml:space="preserve">Scara </w:t>
            </w:r>
          </w:p>
        </w:tc>
        <w:tc>
          <w:tcPr>
            <w:tcW w:w="2014" w:type="pct"/>
            <w:shd w:val="clear" w:color="auto" w:fill="F2F2F2" w:themeFill="background1" w:themeFillShade="F2"/>
          </w:tcPr>
          <w:p w:rsidR="00E34BBB" w:rsidRPr="00251707" w:rsidRDefault="00E34BBB" w:rsidP="006E2AF6">
            <w:pPr>
              <w:spacing w:after="0" w:line="240" w:lineRule="auto"/>
              <w:rPr>
                <w:rFonts w:ascii="Verdana" w:hAnsi="Verdana" w:cstheme="minorHAnsi"/>
                <w:sz w:val="20"/>
                <w:szCs w:val="20"/>
              </w:rPr>
            </w:pPr>
            <w:r>
              <w:rPr>
                <w:rFonts w:ascii="Verdana" w:hAnsi="Verdana" w:cstheme="minorHAnsi"/>
                <w:sz w:val="20"/>
              </w:rPr>
              <w:t xml:space="preserve">Descriere </w:t>
            </w:r>
          </w:p>
        </w:tc>
      </w:tr>
      <w:tr w:rsidR="00E34BBB" w:rsidRPr="00251707" w:rsidTr="00E34BBB">
        <w:trPr>
          <w:trHeight w:val="566"/>
        </w:trPr>
        <w:tc>
          <w:tcPr>
            <w:tcW w:w="65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73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N.A. – nu este aplicabilă</w:t>
            </w:r>
          </w:p>
        </w:tc>
        <w:tc>
          <w:tcPr>
            <w:tcW w:w="2014"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 xml:space="preserve">Competența nu este aplicabilă în cazul funcției. </w:t>
            </w:r>
          </w:p>
        </w:tc>
      </w:tr>
      <w:tr w:rsidR="00E34BBB" w:rsidRPr="00251707" w:rsidTr="006645FC">
        <w:trPr>
          <w:trHeight w:val="908"/>
        </w:trPr>
        <w:tc>
          <w:tcPr>
            <w:tcW w:w="65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 xml:space="preserve">Nivelul 0 – </w:t>
            </w:r>
          </w:p>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Fără cunoștințe</w:t>
            </w:r>
          </w:p>
        </w:tc>
        <w:tc>
          <w:tcPr>
            <w:tcW w:w="2014"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Nu există cunoștințe în domeniul de competență sau nu există capacitatea de a le aplica în situații reale.</w:t>
            </w:r>
          </w:p>
        </w:tc>
      </w:tr>
      <w:tr w:rsidR="00E34BBB" w:rsidRPr="00251707" w:rsidTr="006645FC">
        <w:trPr>
          <w:trHeight w:val="1421"/>
        </w:trPr>
        <w:tc>
          <w:tcPr>
            <w:tcW w:w="65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Nivelul 1 – Cunoștințe de bază</w:t>
            </w:r>
          </w:p>
        </w:tc>
        <w:tc>
          <w:tcPr>
            <w:tcW w:w="2014"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Cunoștințe de bază în domeniul de competență (de exemplu, înțelege conceptele și procesele generale, este familiarizat cu terminologia cheie aferentă).</w:t>
            </w:r>
          </w:p>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Capacitatea de a demonstra această competență după ce a primit instrucțiuni și orientări specifice.</w:t>
            </w:r>
          </w:p>
        </w:tc>
      </w:tr>
      <w:tr w:rsidR="00E34BBB" w:rsidRPr="00251707" w:rsidTr="006645FC">
        <w:trPr>
          <w:trHeight w:val="1103"/>
        </w:trPr>
        <w:tc>
          <w:tcPr>
            <w:tcW w:w="65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Nivelul 2 – Format</w:t>
            </w:r>
          </w:p>
        </w:tc>
        <w:tc>
          <w:tcPr>
            <w:tcW w:w="2014"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Bune cunoștințe practice în domeniul de competență.</w:t>
            </w:r>
            <w:r>
              <w:rPr>
                <w:rFonts w:ascii="Verdana" w:hAnsi="Verdana" w:cstheme="minorHAnsi"/>
                <w:sz w:val="20"/>
                <w:szCs w:val="20"/>
              </w:rPr>
              <w:br/>
            </w:r>
            <w:r>
              <w:rPr>
                <w:rFonts w:ascii="Verdana" w:hAnsi="Verdana" w:cstheme="minorHAnsi"/>
                <w:sz w:val="20"/>
              </w:rPr>
              <w:t>Capacitatea de aplicare a cunoștințelor în activitatea zilnică.</w:t>
            </w:r>
          </w:p>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Capacitatea de desfășurare a activităților standard cu privire la această competență în mod independent</w:t>
            </w:r>
          </w:p>
        </w:tc>
      </w:tr>
      <w:tr w:rsidR="00E34BBB" w:rsidRPr="00251707" w:rsidTr="00662529">
        <w:trPr>
          <w:trHeight w:val="1103"/>
        </w:trPr>
        <w:tc>
          <w:tcPr>
            <w:tcW w:w="658" w:type="pct"/>
            <w:shd w:val="clear" w:color="000000" w:fill="FFFFFF"/>
            <w:vAlign w:val="center"/>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r>
            <w:r w:rsidRPr="00251707">
              <w:rPr>
                <w:rFonts w:ascii="Verdana" w:hAnsi="Verdana" w:cstheme="minorHAnsi"/>
                <w:sz w:val="20"/>
                <w:szCs w:val="20"/>
              </w:rPr>
              <w:lastRenderedPageBreak/>
              <w:t>Confidence in serving as an advisor and is sought out to provide insight in the application of this competency.</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lastRenderedPageBreak/>
              <w:t>Nivelul 3 – Intermediar</w:t>
            </w:r>
          </w:p>
        </w:tc>
        <w:tc>
          <w:tcPr>
            <w:tcW w:w="2014" w:type="pct"/>
            <w:shd w:val="clear" w:color="000000" w:fill="FFFFFF"/>
          </w:tcPr>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Cunoștințe și abilități extinse și aprofundate în domeniul de competență.</w:t>
            </w:r>
            <w:r>
              <w:rPr>
                <w:rFonts w:ascii="Verdana" w:hAnsi="Verdana" w:cstheme="minorHAnsi"/>
                <w:sz w:val="20"/>
                <w:szCs w:val="20"/>
              </w:rPr>
              <w:br/>
            </w:r>
            <w:r>
              <w:rPr>
                <w:rFonts w:ascii="Verdana" w:hAnsi="Verdana" w:cstheme="minorHAnsi"/>
                <w:sz w:val="20"/>
              </w:rPr>
              <w:t>Capacitatea de a aborda diferite excepții și cazuri speciale în domeniul de competență în mod independent.</w:t>
            </w:r>
          </w:p>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 xml:space="preserve">Capacitatea de a partaja în mod efectiv cunoștințele și experiența cu funcții de nivel </w:t>
            </w:r>
            <w:r>
              <w:rPr>
                <w:rFonts w:ascii="Verdana" w:hAnsi="Verdana" w:cstheme="minorHAnsi"/>
                <w:sz w:val="20"/>
              </w:rPr>
              <w:lastRenderedPageBreak/>
              <w:t>inferior.</w:t>
            </w:r>
            <w:r>
              <w:rPr>
                <w:rFonts w:ascii="Verdana" w:hAnsi="Verdana" w:cstheme="minorHAnsi"/>
                <w:sz w:val="20"/>
                <w:szCs w:val="20"/>
              </w:rPr>
              <w:br/>
            </w:r>
            <w:r>
              <w:rPr>
                <w:rFonts w:ascii="Verdana" w:hAnsi="Verdana" w:cstheme="minorHAnsi"/>
                <w:sz w:val="20"/>
              </w:rPr>
              <w:t>Îndeplinește cu încredere funcția de consultant și este solicitat pentru a oferi o mai bună înțelegere în aplicarea acestei competențe.</w:t>
            </w:r>
          </w:p>
          <w:p w:rsidR="00E34BBB" w:rsidRPr="00251707" w:rsidRDefault="00E34BBB" w:rsidP="006E2AF6">
            <w:pPr>
              <w:spacing w:before="60" w:after="120" w:line="240" w:lineRule="auto"/>
              <w:rPr>
                <w:rFonts w:ascii="Verdana" w:hAnsi="Verdana" w:cstheme="minorHAnsi"/>
                <w:sz w:val="20"/>
                <w:szCs w:val="20"/>
              </w:rPr>
            </w:pPr>
            <w:r>
              <w:rPr>
                <w:rFonts w:ascii="Verdana" w:hAnsi="Verdana" w:cstheme="minorHAnsi"/>
                <w:sz w:val="20"/>
              </w:rPr>
              <w:t>Îi poate forma pe ceilalți în aplicarea acestei competențe prin prezentarea nuanțelor și aspectelor complexe ale acestei competențe în termeni ușor de înțeles.</w:t>
            </w:r>
          </w:p>
        </w:tc>
      </w:tr>
      <w:tr w:rsidR="00E34BBB" w:rsidRPr="00251707" w:rsidTr="00E43969">
        <w:trPr>
          <w:trHeight w:val="1103"/>
        </w:trPr>
        <w:tc>
          <w:tcPr>
            <w:tcW w:w="658" w:type="pct"/>
            <w:shd w:val="clear" w:color="000000" w:fill="FFFFFF"/>
            <w:vAlign w:val="center"/>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Extensive expert knowledge and skills with regards to the competency.</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Ability to highlight the (dis)advantages of each of the processes related to the competency whilst linking them to the bigger picture.</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Ability to provide tailored advice and to support the advice with relevant and context specific arguments when responding to internal and external queries.</w:t>
            </w:r>
          </w:p>
          <w:p w:rsidR="00E34BBB" w:rsidRPr="00251707" w:rsidRDefault="00E34BBB" w:rsidP="001846FC">
            <w:pPr>
              <w:spacing w:before="60" w:after="120" w:line="240" w:lineRule="auto"/>
              <w:rPr>
                <w:rFonts w:ascii="Verdana" w:hAnsi="Verdana" w:cstheme="minorHAnsi"/>
                <w:sz w:val="20"/>
                <w:szCs w:val="20"/>
              </w:rPr>
            </w:pPr>
            <w:r w:rsidRPr="00251707">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E34BBB" w:rsidRPr="00251707" w:rsidRDefault="00E34BBB" w:rsidP="00D14721">
            <w:pPr>
              <w:spacing w:before="60" w:after="120" w:line="240" w:lineRule="auto"/>
              <w:rPr>
                <w:rFonts w:ascii="Verdana" w:hAnsi="Verdana" w:cstheme="minorHAnsi"/>
                <w:sz w:val="20"/>
                <w:szCs w:val="20"/>
              </w:rPr>
            </w:pPr>
            <w:r>
              <w:rPr>
                <w:rFonts w:ascii="Verdana" w:hAnsi="Verdana" w:cstheme="minorHAnsi"/>
                <w:sz w:val="20"/>
              </w:rPr>
              <w:t>Nivelul 4 – Expert</w:t>
            </w:r>
          </w:p>
        </w:tc>
        <w:tc>
          <w:tcPr>
            <w:tcW w:w="2014" w:type="pct"/>
            <w:shd w:val="clear" w:color="000000" w:fill="FFFFFF"/>
          </w:tcPr>
          <w:p w:rsidR="00E34BBB" w:rsidRPr="00251707" w:rsidRDefault="00E34BBB" w:rsidP="00D14721">
            <w:pPr>
              <w:spacing w:before="60" w:after="120" w:line="240" w:lineRule="auto"/>
              <w:rPr>
                <w:rFonts w:ascii="Verdana" w:hAnsi="Verdana" w:cstheme="minorHAnsi"/>
                <w:sz w:val="20"/>
                <w:szCs w:val="20"/>
              </w:rPr>
            </w:pPr>
            <w:r>
              <w:rPr>
                <w:rFonts w:ascii="Verdana" w:hAnsi="Verdana" w:cstheme="minorHAnsi"/>
                <w:sz w:val="20"/>
              </w:rPr>
              <w:t>Cunoștințe și abilități extinse la nivel de expert în domeniul de competență.</w:t>
            </w:r>
          </w:p>
          <w:p w:rsidR="00E34BBB" w:rsidRPr="00251707" w:rsidRDefault="00E34BBB" w:rsidP="00D14721">
            <w:pPr>
              <w:spacing w:before="60" w:after="120" w:line="240" w:lineRule="auto"/>
              <w:rPr>
                <w:rFonts w:ascii="Verdana" w:hAnsi="Verdana" w:cstheme="minorHAnsi"/>
                <w:sz w:val="20"/>
                <w:szCs w:val="20"/>
              </w:rPr>
            </w:pPr>
            <w:r>
              <w:rPr>
                <w:rFonts w:ascii="Verdana" w:hAnsi="Verdana" w:cstheme="minorHAnsi"/>
                <w:sz w:val="20"/>
              </w:rPr>
              <w:t>Capacitatea de a sublinia (dez)avantajele fiecăruia dintre procesele aferente domeniului de competență, încadrându-le în același timp într-o imagine de ansamblu.</w:t>
            </w:r>
          </w:p>
          <w:p w:rsidR="00E34BBB" w:rsidRPr="00251707" w:rsidRDefault="00E34BBB" w:rsidP="00D14721">
            <w:pPr>
              <w:spacing w:before="60" w:after="120" w:line="240" w:lineRule="auto"/>
              <w:rPr>
                <w:rFonts w:ascii="Verdana" w:hAnsi="Verdana" w:cstheme="minorHAnsi"/>
                <w:sz w:val="20"/>
                <w:szCs w:val="20"/>
              </w:rPr>
            </w:pPr>
            <w:r>
              <w:rPr>
                <w:rFonts w:ascii="Verdana" w:hAnsi="Verdana" w:cstheme="minorHAnsi"/>
                <w:sz w:val="20"/>
              </w:rPr>
              <w:t>Capacitatea de a furniza consultanță personalizată și de a o susține cu argumente relevante specifice contextului atunci când răspunde întrebărilor interne și externe.</w:t>
            </w:r>
          </w:p>
          <w:p w:rsidR="00E34BBB" w:rsidRPr="00251707" w:rsidRDefault="00E34BBB" w:rsidP="00D14721">
            <w:pPr>
              <w:spacing w:before="60" w:after="120" w:line="240" w:lineRule="auto"/>
              <w:rPr>
                <w:rFonts w:ascii="Verdana" w:hAnsi="Verdana" w:cstheme="minorHAnsi"/>
                <w:sz w:val="20"/>
                <w:szCs w:val="20"/>
              </w:rPr>
            </w:pPr>
            <w:r>
              <w:rPr>
                <w:rFonts w:ascii="Verdana" w:hAnsi="Verdana" w:cstheme="minorHAnsi"/>
                <w:sz w:val="20"/>
              </w:rPr>
              <w:t>Considerat de ceilalți drept model de urmat care îi poate conduce sau învăța pe ceilalți în domeniul respectiv de competență.</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6" w:name="_Toc494963497"/>
      <w:bookmarkStart w:id="7" w:name="_Toc507161014"/>
      <w:r>
        <w:lastRenderedPageBreak/>
        <w:t>Competențe operaționale</w:t>
      </w:r>
      <w:bookmarkEnd w:id="6"/>
      <w:bookmarkEnd w:id="7"/>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E34BBB" w:rsidRPr="0001418D" w:rsidTr="005D0985">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34BBB" w:rsidRPr="0001418D" w:rsidRDefault="00E34BBB" w:rsidP="00231B6E">
            <w:pPr>
              <w:spacing w:after="0" w:line="240" w:lineRule="auto"/>
              <w:rPr>
                <w:rFonts w:ascii="Verdana" w:eastAsia="Times New Roman" w:hAnsi="Verdana" w:cs="Times New Roman"/>
                <w:sz w:val="20"/>
                <w:szCs w:val="20"/>
              </w:rPr>
            </w:pPr>
            <w:r>
              <w:rPr>
                <w:rFonts w:ascii="Verdana" w:hAnsi="Verdana"/>
                <w:b/>
                <w:sz w:val="20"/>
              </w:rPr>
              <w:t>Cod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34BBB" w:rsidRPr="0001418D" w:rsidRDefault="00E34BBB" w:rsidP="001846FC">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34BBB" w:rsidRPr="0001418D" w:rsidRDefault="00E34BBB" w:rsidP="008F01FC">
            <w:pPr>
              <w:spacing w:after="0" w:line="240" w:lineRule="auto"/>
              <w:rPr>
                <w:rFonts w:ascii="Verdana" w:eastAsia="Times New Roman" w:hAnsi="Verdana" w:cs="Times New Roman"/>
                <w:sz w:val="20"/>
                <w:szCs w:val="20"/>
              </w:rPr>
            </w:pPr>
            <w:r>
              <w:rPr>
                <w:rFonts w:ascii="Verdana" w:hAnsi="Verdana"/>
                <w:sz w:val="20"/>
              </w:rPr>
              <w:t>Competență</w:t>
            </w:r>
          </w:p>
        </w:tc>
      </w:tr>
      <w:tr w:rsidR="00E34BBB" w:rsidRPr="00251707" w:rsidTr="005D0985">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Dispoziții generale</w:t>
            </w:r>
            <w:r>
              <w:rPr>
                <w:rFonts w:ascii="Verdana" w:hAnsi="Verdana"/>
                <w:color w:val="000000"/>
                <w:sz w:val="20"/>
              </w:rPr>
              <w:t xml:space="preserve"> ale FESI UE/actelor juridice naționale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Documente strategice naționale (de exemplu, strategii naționale de dezvoltare, politici tematice și sectoriale relevante)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 xml:space="preserve">Eligibilitatea provizioanelor de cheltuieli </w:t>
            </w:r>
            <w:r>
              <w:rPr>
                <w:rFonts w:ascii="Verdana" w:hAnsi="Verdana"/>
                <w:color w:val="000000"/>
                <w:sz w:val="20"/>
              </w:rPr>
              <w:t>incluse în FESI UE/actele juridice naționale (norme, orientări și metodologii, inclusiv domeniul de aplicare)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Aspecte teritoriale, cum ar fi ITI, dezvoltare locală plasată sub responsabilitatea comunității, dezvoltare urbană durabilă, strategii macro/regionale și planificarea cooperării interregionale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Ajutoare de stat</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Cunoștințe tematice relevante (legislație tematică, costuri, standarde aplicabile, tendințe)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Logica de intervenție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Intrare, ieșire, indicatori de rezultat</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Bugetare și estimarea costurilor</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Conceperea instrumentelor financiare (evaluare ex-ante, selectarea IF și instituire)</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Aspecte orizontale (cum ar fi dezvoltare durabilă, egalitate etc.)</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Proceduri administrative pentru achiziții de bunuri și servicii din asistență tehnică</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Cooperare transfrontalieră, transnațională și interregională și gruparea europeană de cooperare teritorială</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Gestionarea externalizării activităților de AT</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Mediul economic și procesele de reformă (semestrul european, programele naționale de reformă și recomandări specifice țărilor)</w:t>
            </w:r>
          </w:p>
        </w:tc>
      </w:tr>
      <w:tr w:rsidR="00E34BBB" w:rsidRPr="00251707" w:rsidTr="005D0985">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8F01FC">
            <w:pPr>
              <w:spacing w:after="0" w:line="240" w:lineRule="auto"/>
              <w:rPr>
                <w:rFonts w:ascii="Verdana" w:eastAsia="Times New Roman" w:hAnsi="Verdana" w:cs="Times New Roman"/>
                <w:sz w:val="20"/>
                <w:szCs w:val="20"/>
              </w:rPr>
            </w:pPr>
            <w:r>
              <w:rPr>
                <w:rFonts w:ascii="Verdana" w:hAnsi="Verdana"/>
                <w:sz w:val="20"/>
              </w:rPr>
              <w:t>Gestionarea programelor și gestionarea etapelor proiectului</w:t>
            </w:r>
          </w:p>
        </w:tc>
      </w:tr>
      <w:tr w:rsidR="00E34BBB"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lastRenderedPageBreak/>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 xml:space="preserve">Gestionarea și implementarea </w:t>
            </w:r>
            <w:r>
              <w:rPr>
                <w:rFonts w:ascii="Verdana" w:hAnsi="Verdana"/>
                <w:color w:val="000000"/>
                <w:sz w:val="20"/>
              </w:rPr>
              <w:t>prevederilor incluse în FESI UE/actele juridice naționale (programare, selecția operațiunilor, monitorizare, controale și audituri, evaluare, publicitate)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Norme privind achizițiile publice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Gestionarea riscurilor de fraudă și a neregulilor (inclusiv măsuri de prevenire, detectare și atenuare)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 xml:space="preserve">Definirea și revizuirea organizării administrative </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Instituirea sistemului de gestionare și control</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Evaluarea sarcinii administrative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Evaluarea performanței sistemului FESI</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Opțiuni simplificate de costuri</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Analiza cost-beneficiu și studii de fezabilitate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Evaluarea impactului asupra mediului (EIM) pentru proiectele de anvergură și de infrastructură</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Deficit de finanțare și generarea veniturilor</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Proceduri/legislație privind proiecte de anvergură</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Efect stimulativ</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Instrumente financiare relevante pentru funcție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Conceperea instrumentelor financiare și mecanismele de implementare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Previzionarea și planificarea obiectivelor de performanță/cadrului de performanță</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Gestionarea riscurilor aferente proiectelor de anvergură și de infrastructură</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Gestionarea procesului de evaluare a programului, priorității sau măsurii</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Principalele criterii de evaluare (relevanță, complementaritate, consecvență, eficiență și eficacitate)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Metode de colectare și analiză a datelor pentru evaluarea programelor, priorităților sau măsurilor</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Planificarea, gestionarea și previzionarea bugetară</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Cheltuielile la nivelul proiectului</w:t>
            </w:r>
            <w:r>
              <w:rPr>
                <w:rFonts w:ascii="Verdana" w:hAnsi="Verdana"/>
                <w:color w:val="000000"/>
                <w:sz w:val="20"/>
              </w:rPr>
              <w:t xml:space="preserve"> (facturi ale contractelor, extrase de cont)</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lastRenderedPageBreak/>
              <w:t>JS.O.C39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Dispoziții privind comunicarea</w:t>
            </w:r>
            <w:r>
              <w:rPr>
                <w:rFonts w:ascii="Verdana" w:hAnsi="Verdana"/>
                <w:color w:val="000000"/>
                <w:sz w:val="20"/>
              </w:rPr>
              <w:t xml:space="preserve"> incluse în FESI UE/actele juridice naționale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Identificarea diferitelor părți interesate și a informațiilor necesare acestora</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Gestionarea mass-media relevante</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Comunicare pe internet</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Cunoștințe de inginerie relevante pentru sector</w:t>
            </w:r>
          </w:p>
        </w:tc>
      </w:tr>
      <w:tr w:rsidR="00E34BBB" w:rsidRPr="00251707" w:rsidTr="002260F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4BBB" w:rsidRPr="00251707" w:rsidRDefault="00E34BBB"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846FC">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4BBB" w:rsidRPr="00251707" w:rsidRDefault="00E34BBB" w:rsidP="001014D3">
            <w:pPr>
              <w:spacing w:after="0" w:line="240" w:lineRule="auto"/>
              <w:rPr>
                <w:rFonts w:ascii="Verdana" w:eastAsia="Times New Roman" w:hAnsi="Verdana" w:cs="Times New Roman"/>
                <w:sz w:val="20"/>
                <w:szCs w:val="20"/>
              </w:rPr>
            </w:pPr>
            <w:r>
              <w:rPr>
                <w:rFonts w:ascii="Verdana" w:hAnsi="Verdana"/>
                <w:sz w:val="20"/>
              </w:rPr>
              <w:t>Standarde, proceduri și metodologii de audit</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8" w:name="_Toc494963498"/>
      <w:bookmarkStart w:id="9" w:name="_Toc507161015"/>
      <w:r>
        <w:lastRenderedPageBreak/>
        <w:t>Competențe de gestionare</w:t>
      </w:r>
      <w:bookmarkEnd w:id="8"/>
      <w:bookmarkEnd w:id="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E34BBB" w:rsidRPr="00A40E7F" w:rsidTr="00E34BBB">
        <w:trPr>
          <w:trHeight w:val="255"/>
          <w:tblHeader/>
        </w:trPr>
        <w:tc>
          <w:tcPr>
            <w:tcW w:w="386" w:type="pct"/>
            <w:shd w:val="clear" w:color="auto" w:fill="EDEDED" w:themeFill="accent3" w:themeFillTint="33"/>
          </w:tcPr>
          <w:p w:rsidR="00E34BBB" w:rsidRPr="00A40E7F" w:rsidRDefault="00E34BBB" w:rsidP="00AD2B31">
            <w:pPr>
              <w:spacing w:after="0" w:line="240" w:lineRule="auto"/>
              <w:rPr>
                <w:rFonts w:ascii="Verdana" w:eastAsia="Times New Roman" w:hAnsi="Verdana" w:cstheme="minorHAnsi"/>
                <w:b/>
                <w:bCs/>
                <w:sz w:val="20"/>
                <w:szCs w:val="20"/>
              </w:rPr>
            </w:pPr>
            <w:r>
              <w:rPr>
                <w:rFonts w:ascii="Verdana" w:hAnsi="Verdana" w:cstheme="minorHAnsi"/>
                <w:b/>
                <w:sz w:val="20"/>
              </w:rPr>
              <w:t>Cod</w:t>
            </w:r>
          </w:p>
        </w:tc>
        <w:tc>
          <w:tcPr>
            <w:tcW w:w="793" w:type="pct"/>
            <w:shd w:val="clear" w:color="auto" w:fill="EDEDED" w:themeFill="accent3" w:themeFillTint="33"/>
            <w:noWrap/>
            <w:vAlign w:val="center"/>
          </w:tcPr>
          <w:p w:rsidR="00E34BBB" w:rsidRPr="00A40E7F" w:rsidRDefault="00E34BBB" w:rsidP="001846FC">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tcPr>
          <w:p w:rsidR="00E34BBB" w:rsidRPr="00A40E7F" w:rsidRDefault="00E34BBB" w:rsidP="001846FC">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E34BBB" w:rsidRPr="00A40E7F" w:rsidRDefault="00E34BBB" w:rsidP="004F5E74">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632" w:type="pct"/>
            <w:shd w:val="clear" w:color="auto" w:fill="EDEDED" w:themeFill="accent3" w:themeFillTint="33"/>
            <w:vAlign w:val="center"/>
          </w:tcPr>
          <w:p w:rsidR="00E34BBB" w:rsidRPr="00A40E7F" w:rsidRDefault="00E34BBB" w:rsidP="004F5E74">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E34BBB" w:rsidRPr="00A40E7F" w:rsidTr="00E34BBB">
        <w:trPr>
          <w:trHeight w:val="130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Dezvoltarea și gestionarea resurselor umane</w:t>
            </w:r>
          </w:p>
        </w:tc>
        <w:tc>
          <w:tcPr>
            <w:tcW w:w="1632"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Demonstrarea capacității de a furniza orientări oportune, clare și specifice, precum și feedback și sprijin acordat resurselor umane pentru identificarea necesităților și oportunităților de dezvoltare și formare, dezvoltarea cunoștințelor, capacităților și abilităților necesare în vederea realizării sarcinilor atribuite sau pentru soluționarea problemelor, precum și demonstrarea capacității de gestionare a activităților profesionale ale angajaților, a dezvoltării și performanței acestora astfel încât să optimizeze eficiența resurselor umane.</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Luarea deciziilor</w:t>
            </w:r>
          </w:p>
        </w:tc>
        <w:tc>
          <w:tcPr>
            <w:tcW w:w="1632"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Demonstrarea capacității de a aplica abordări eficiente pentru a obține concluzii sau pentru a dezvolta soluții și de a întreprinde în timp util acțiuni în funcție de datele și faptele disponibile din diferite surse, în funcție de limitări și de consecințele posibile.</w:t>
            </w:r>
          </w:p>
        </w:tc>
      </w:tr>
      <w:tr w:rsidR="00E34BBB" w:rsidRPr="00A40E7F" w:rsidTr="00E34BBB">
        <w:trPr>
          <w:trHeight w:val="1020"/>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A40E7F">
              <w:rPr>
                <w:rFonts w:ascii="Verdana" w:hAnsi="Verdana" w:cstheme="minorHAnsi"/>
                <w:sz w:val="20"/>
                <w:szCs w:val="20"/>
              </w:rPr>
              <w:lastRenderedPageBreak/>
              <w:t>to maximise the organisational and individuals effectiveness.</w:t>
            </w:r>
          </w:p>
        </w:tc>
        <w:tc>
          <w:tcPr>
            <w:tcW w:w="764"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lastRenderedPageBreak/>
              <w:t>Delegare</w:t>
            </w:r>
          </w:p>
        </w:tc>
        <w:tc>
          <w:tcPr>
            <w:tcW w:w="1632"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 xml:space="preserve">Demonstrarea capacității de a aloca altor persoane responsabilitatea de luare a deciziilor și/sau de stabilire a sarcinilor, de a asigura o comunicare clară privind alocarea și finalizarea responsabilităților și de a furniza sprijin adecvat în vederea optimizării eficienței </w:t>
            </w:r>
            <w:r>
              <w:rPr>
                <w:rFonts w:ascii="Verdana" w:hAnsi="Verdana" w:cstheme="minorHAnsi"/>
                <w:sz w:val="20"/>
              </w:rPr>
              <w:lastRenderedPageBreak/>
              <w:t>la nivelul organizației și la nivel individual.</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Facilitare și comunicare</w:t>
            </w:r>
          </w:p>
        </w:tc>
        <w:tc>
          <w:tcPr>
            <w:tcW w:w="1632"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Demonstrarea capacității de a încuraja angajamentul și creativitatea celorlalți, de a utiliza capacitățile grupului pentru a ajunge la un consens, de a soluționa eficient problemele, de a realiza sarcini și de a atinge obiective comune.</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Leadership</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E34BBB" w:rsidRPr="00A40E7F" w:rsidRDefault="00E34BBB" w:rsidP="004F5E74">
            <w:pPr>
              <w:spacing w:after="0"/>
              <w:rPr>
                <w:rFonts w:ascii="Verdana" w:hAnsi="Verdana" w:cstheme="minorHAnsi"/>
                <w:sz w:val="20"/>
                <w:szCs w:val="20"/>
              </w:rPr>
            </w:pPr>
            <w:bookmarkStart w:id="10" w:name="RANGE!B8"/>
            <w:r>
              <w:rPr>
                <w:rFonts w:ascii="Verdana" w:hAnsi="Verdana" w:cstheme="minorHAnsi"/>
                <w:sz w:val="20"/>
              </w:rPr>
              <w:t>Comportamentul de lider</w:t>
            </w:r>
            <w:bookmarkEnd w:id="10"/>
          </w:p>
        </w:tc>
        <w:tc>
          <w:tcPr>
            <w:tcW w:w="1632"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Demonstrarea capacității de a insufla energie și de a inspira persoanele să facă toate eforturile în vederea realizării viziunii despre viitor, de a prezenta scopuri și obiective comune, de a crea un sens și de a acționa drept catalizator al acțiunilor.</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Gestionarea părților interesate pe mai multe niveluri</w:t>
            </w:r>
          </w:p>
        </w:tc>
        <w:tc>
          <w:tcPr>
            <w:tcW w:w="1632" w:type="pct"/>
            <w:shd w:val="clear" w:color="000000" w:fill="FFFFFF"/>
            <w:vAlign w:val="center"/>
          </w:tcPr>
          <w:p w:rsidR="00E34BBB" w:rsidRPr="00A40E7F" w:rsidRDefault="00E34BBB" w:rsidP="004F5E74">
            <w:pPr>
              <w:spacing w:after="0"/>
              <w:rPr>
                <w:rFonts w:ascii="Verdana" w:hAnsi="Verdana" w:cstheme="minorHAnsi"/>
                <w:sz w:val="20"/>
                <w:szCs w:val="20"/>
              </w:rPr>
            </w:pPr>
            <w:r>
              <w:rPr>
                <w:rFonts w:ascii="Verdana" w:hAnsi="Verdana" w:cstheme="minorHAnsi"/>
                <w:sz w:val="20"/>
              </w:rPr>
              <w:t xml:space="preserve">Demonstrarea capacității de a înțelege scopurile și obiectivele diferitelor părți interesate, de a asigura cooperarea eficientă și angajamentul părților interesate (incluzând deschidere către și încurajarea schimbului de bune practici între diferite state membre).  </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Negotiating</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 xml:space="preserve">Demonstrating ability to effectively explore (facilitating discussion, asking questions, responding to objections, etc.) alternatives and positions of others to reach </w:t>
            </w:r>
            <w:r w:rsidRPr="00A40E7F">
              <w:rPr>
                <w:rFonts w:ascii="Verdana" w:hAnsi="Verdana" w:cstheme="minorHAnsi"/>
                <w:sz w:val="20"/>
                <w:szCs w:val="20"/>
              </w:rPr>
              <w:lastRenderedPageBreak/>
              <w:t>outcomes that are accepted by all parties (a win-win solution).</w:t>
            </w:r>
          </w:p>
        </w:tc>
        <w:tc>
          <w:tcPr>
            <w:tcW w:w="764" w:type="pct"/>
            <w:shd w:val="clear" w:color="000000" w:fill="FFFFFF"/>
            <w:vAlign w:val="center"/>
          </w:tcPr>
          <w:p w:rsidR="00E34BBB" w:rsidRPr="00A40E7F" w:rsidRDefault="00E34BBB" w:rsidP="00BB3E1A">
            <w:pPr>
              <w:spacing w:after="0"/>
              <w:rPr>
                <w:rFonts w:ascii="Verdana" w:hAnsi="Verdana" w:cstheme="minorHAnsi"/>
                <w:sz w:val="20"/>
                <w:szCs w:val="20"/>
              </w:rPr>
            </w:pPr>
            <w:r>
              <w:rPr>
                <w:rFonts w:ascii="Verdana" w:hAnsi="Verdana" w:cstheme="minorHAnsi"/>
                <w:sz w:val="20"/>
              </w:rPr>
              <w:lastRenderedPageBreak/>
              <w:t>Negociere</w:t>
            </w:r>
          </w:p>
        </w:tc>
        <w:tc>
          <w:tcPr>
            <w:tcW w:w="1632" w:type="pct"/>
            <w:shd w:val="clear" w:color="000000" w:fill="FFFFFF"/>
            <w:vAlign w:val="center"/>
          </w:tcPr>
          <w:p w:rsidR="00E34BBB" w:rsidRPr="00A40E7F" w:rsidRDefault="00E34BBB" w:rsidP="00BB3E1A">
            <w:pPr>
              <w:spacing w:after="0"/>
              <w:rPr>
                <w:rFonts w:ascii="Verdana" w:hAnsi="Verdana" w:cstheme="minorHAnsi"/>
                <w:sz w:val="20"/>
                <w:szCs w:val="20"/>
              </w:rPr>
            </w:pPr>
            <w:r>
              <w:rPr>
                <w:rFonts w:ascii="Verdana" w:hAnsi="Verdana" w:cstheme="minorHAnsi"/>
                <w:sz w:val="20"/>
              </w:rPr>
              <w:t xml:space="preserve">Demonstrarea capacității de a explora efectiv (prin facilitarea discuțiilor, adresarea de întrebări, furnizarea de răspunsuri la obiecții etc.) alternativele și pozițiile celorlalți pentru a obține </w:t>
            </w:r>
            <w:r>
              <w:rPr>
                <w:rFonts w:ascii="Verdana" w:hAnsi="Verdana" w:cstheme="minorHAnsi"/>
                <w:sz w:val="20"/>
              </w:rPr>
              <w:lastRenderedPageBreak/>
              <w:t>rezultate care să fie acceptate de toate părțile (soluție avantajoasă pentru toate părțile).</w:t>
            </w:r>
          </w:p>
        </w:tc>
      </w:tr>
      <w:tr w:rsidR="00E34BBB" w:rsidRPr="00A40E7F" w:rsidTr="00E34BBB">
        <w:trPr>
          <w:trHeight w:val="510"/>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Result orientation</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Orientare către rezultate</w:t>
            </w:r>
          </w:p>
        </w:tc>
        <w:tc>
          <w:tcPr>
            <w:tcW w:w="1632"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Demonstrarea capacității de a stabili obiective dificile, de a menține concentrarea și persistența și de a atinge constant obiectivele sau de a obține rezultatele necesare chiar și în caz de adversități.</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Gestionare strategică</w:t>
            </w:r>
          </w:p>
        </w:tc>
        <w:tc>
          <w:tcPr>
            <w:tcW w:w="1632"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în conformitate cu direcția strategică a organizației și la atingerea obiectivelor.</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Gestionarea riscurilor</w:t>
            </w:r>
          </w:p>
        </w:tc>
        <w:tc>
          <w:tcPr>
            <w:tcW w:w="1632"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Demonstrarea capacității de a identifica, analiza, evalua și prioritiza riscurile și de a reduce la un nivel minim, monitoriza și controla probabilitatea și/sau impactul evenimentelor nefericite sau de a optimiza realizarea oportunităților.</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Planificarea resurselor</w:t>
            </w:r>
          </w:p>
        </w:tc>
        <w:tc>
          <w:tcPr>
            <w:tcW w:w="1632" w:type="pct"/>
            <w:shd w:val="clear" w:color="000000" w:fill="FFFFFF"/>
            <w:vAlign w:val="center"/>
          </w:tcPr>
          <w:p w:rsidR="00E34BBB" w:rsidRPr="00A40E7F" w:rsidRDefault="00E34BBB" w:rsidP="00083C66">
            <w:pPr>
              <w:spacing w:after="0"/>
              <w:rPr>
                <w:rFonts w:ascii="Verdana" w:hAnsi="Verdana" w:cstheme="minorHAnsi"/>
                <w:sz w:val="20"/>
                <w:szCs w:val="20"/>
              </w:rPr>
            </w:pPr>
            <w:r>
              <w:rPr>
                <w:rFonts w:ascii="Verdana" w:hAnsi="Verdana" w:cstheme="minorHAnsi"/>
                <w:sz w:val="20"/>
              </w:rPr>
              <w:t>Demonstrarea capacității de a gestiona resursele organizației, inclusiv, dar fără a se limita la, resursele financiare, inventarul, abilitățile resurselor umane, resursele de producție, tehnologia informației (TI) în mod eficient și eficace.</w:t>
            </w:r>
          </w:p>
        </w:tc>
      </w:tr>
      <w:tr w:rsidR="00E34BBB" w:rsidRPr="00A40E7F" w:rsidTr="00E34BBB">
        <w:trPr>
          <w:trHeight w:val="765"/>
        </w:trPr>
        <w:tc>
          <w:tcPr>
            <w:tcW w:w="386" w:type="pct"/>
            <w:shd w:val="clear" w:color="000000" w:fill="FFFFFF"/>
            <w:vAlign w:val="center"/>
          </w:tcPr>
          <w:p w:rsidR="00E34BBB" w:rsidRPr="00A40E7F" w:rsidRDefault="00E34BBB"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HR Strategy development and implementation</w:t>
            </w:r>
          </w:p>
        </w:tc>
        <w:tc>
          <w:tcPr>
            <w:tcW w:w="1425"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E34BBB" w:rsidRPr="00A40E7F" w:rsidRDefault="00E34BBB" w:rsidP="007448FA">
            <w:pPr>
              <w:spacing w:after="0"/>
              <w:rPr>
                <w:rFonts w:ascii="Verdana" w:hAnsi="Verdana" w:cstheme="minorHAnsi"/>
                <w:sz w:val="20"/>
                <w:szCs w:val="20"/>
              </w:rPr>
            </w:pPr>
            <w:r>
              <w:rPr>
                <w:rFonts w:ascii="Verdana" w:hAnsi="Verdana" w:cstheme="minorHAnsi"/>
                <w:sz w:val="20"/>
              </w:rPr>
              <w:t>Elaborarea și implementarea strategiei de resurse umane</w:t>
            </w:r>
          </w:p>
        </w:tc>
        <w:tc>
          <w:tcPr>
            <w:tcW w:w="1632" w:type="pct"/>
            <w:shd w:val="clear" w:color="000000" w:fill="FFFFFF"/>
            <w:vAlign w:val="center"/>
          </w:tcPr>
          <w:p w:rsidR="00E34BBB" w:rsidRPr="00A40E7F" w:rsidRDefault="00E34BBB" w:rsidP="007448FA">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de resurse umane în conformitate cu direcția strategică a organizației și la atingerea obiectivelor.</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1" w:name="_Toc494963499"/>
      <w:bookmarkStart w:id="12" w:name="_Toc507161016"/>
      <w:r>
        <w:lastRenderedPageBreak/>
        <w:t>Competențe profesionale</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E34BBB" w:rsidRPr="00A40E7F" w:rsidTr="00E34BBB">
        <w:trPr>
          <w:trHeight w:val="219"/>
          <w:tblHeader/>
        </w:trPr>
        <w:tc>
          <w:tcPr>
            <w:tcW w:w="453" w:type="pct"/>
            <w:shd w:val="clear" w:color="auto" w:fill="EDEDED" w:themeFill="accent3" w:themeFillTint="33"/>
            <w:vAlign w:val="center"/>
          </w:tcPr>
          <w:p w:rsidR="00E34BBB" w:rsidRPr="00A40E7F" w:rsidRDefault="00E34BBB" w:rsidP="00B579F3">
            <w:pPr>
              <w:spacing w:after="0" w:line="240" w:lineRule="auto"/>
              <w:jc w:val="center"/>
              <w:rPr>
                <w:rFonts w:ascii="Verdana" w:eastAsia="Times New Roman" w:hAnsi="Verdana" w:cstheme="minorHAnsi"/>
                <w:b/>
                <w:bCs/>
                <w:sz w:val="20"/>
                <w:szCs w:val="20"/>
              </w:rPr>
            </w:pPr>
            <w:bookmarkStart w:id="13" w:name="_GoBack" w:colFirst="1" w:colLast="1"/>
            <w:r>
              <w:rPr>
                <w:rFonts w:ascii="Verdana" w:hAnsi="Verdana" w:cstheme="minorHAnsi"/>
                <w:b/>
                <w:sz w:val="20"/>
              </w:rPr>
              <w:t>Cod</w:t>
            </w:r>
          </w:p>
        </w:tc>
        <w:tc>
          <w:tcPr>
            <w:tcW w:w="726" w:type="pct"/>
            <w:shd w:val="clear" w:color="auto" w:fill="EDEDED" w:themeFill="accent3" w:themeFillTint="33"/>
            <w:noWrap/>
            <w:vAlign w:val="center"/>
          </w:tcPr>
          <w:p w:rsidR="00E34BBB" w:rsidRPr="00A40E7F" w:rsidRDefault="00E34BBB" w:rsidP="001846FC">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E34BBB" w:rsidRPr="00A40E7F" w:rsidRDefault="00E34BBB" w:rsidP="001846FC">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E34BBB" w:rsidRPr="00A40E7F" w:rsidRDefault="00E34BBB" w:rsidP="00BE0A93">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735" w:type="pct"/>
            <w:shd w:val="clear" w:color="auto" w:fill="EDEDED" w:themeFill="accent3" w:themeFillTint="33"/>
            <w:vAlign w:val="center"/>
          </w:tcPr>
          <w:p w:rsidR="00E34BBB" w:rsidRPr="00A40E7F" w:rsidRDefault="00E34BBB" w:rsidP="00BE0A93">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bookmarkEnd w:id="13"/>
      <w:tr w:rsidR="00E34BBB" w:rsidRPr="00A40E7F" w:rsidTr="00E34BBB">
        <w:trPr>
          <w:trHeight w:val="421"/>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E34BBB" w:rsidRPr="00A40E7F" w:rsidRDefault="00E34BBB" w:rsidP="00BE0A93">
            <w:pPr>
              <w:spacing w:after="0"/>
              <w:rPr>
                <w:rFonts w:ascii="Verdana" w:hAnsi="Verdana" w:cstheme="minorHAnsi"/>
                <w:sz w:val="20"/>
                <w:szCs w:val="20"/>
              </w:rPr>
            </w:pPr>
            <w:r>
              <w:rPr>
                <w:rFonts w:ascii="Verdana" w:hAnsi="Verdana" w:cstheme="minorHAnsi"/>
                <w:sz w:val="20"/>
              </w:rPr>
              <w:t>Capacități analitice</w:t>
            </w:r>
          </w:p>
        </w:tc>
        <w:tc>
          <w:tcPr>
            <w:tcW w:w="1735" w:type="pct"/>
            <w:shd w:val="clear" w:color="000000" w:fill="FFFFFF"/>
            <w:vAlign w:val="center"/>
          </w:tcPr>
          <w:p w:rsidR="00E34BBB" w:rsidRPr="00A40E7F" w:rsidRDefault="00E34BBB" w:rsidP="00BE0A93">
            <w:pPr>
              <w:spacing w:after="0"/>
              <w:rPr>
                <w:rFonts w:ascii="Verdana" w:hAnsi="Verdana" w:cstheme="minorHAnsi"/>
                <w:sz w:val="20"/>
                <w:szCs w:val="20"/>
              </w:rPr>
            </w:pPr>
            <w:r>
              <w:rPr>
                <w:rFonts w:ascii="Verdana" w:hAnsi="Verdana" w:cstheme="minorHAnsi"/>
                <w:sz w:val="20"/>
              </w:rPr>
              <w:t>Elaborarea unei abordări logice în vederea soluționării problemelor complexe sau pentru a profita de oportunități, împărțindu-le în părți componente pentru a identifica aspectele de bază, pentru a determina raporturile cauză-efect și pentru a ajunge la concluzii sau decizii.</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E34BBB" w:rsidRPr="00A40E7F" w:rsidRDefault="00E34BBB" w:rsidP="00BE0A93">
            <w:pPr>
              <w:spacing w:after="0"/>
              <w:rPr>
                <w:rFonts w:ascii="Verdana" w:hAnsi="Verdana" w:cstheme="minorHAnsi"/>
                <w:sz w:val="20"/>
                <w:szCs w:val="20"/>
              </w:rPr>
            </w:pPr>
            <w:r>
              <w:rPr>
                <w:rFonts w:ascii="Verdana" w:hAnsi="Verdana" w:cstheme="minorHAnsi"/>
                <w:sz w:val="20"/>
              </w:rPr>
              <w:t>Comunicare scrisă</w:t>
            </w:r>
          </w:p>
        </w:tc>
        <w:tc>
          <w:tcPr>
            <w:tcW w:w="1735" w:type="pct"/>
            <w:shd w:val="clear" w:color="000000" w:fill="FFFFFF"/>
            <w:vAlign w:val="center"/>
          </w:tcPr>
          <w:p w:rsidR="00E34BBB" w:rsidRPr="00A40E7F" w:rsidRDefault="00E34BBB" w:rsidP="00BE0A93">
            <w:pPr>
              <w:spacing w:after="0"/>
              <w:rPr>
                <w:rFonts w:ascii="Verdana" w:hAnsi="Verdana" w:cstheme="minorHAnsi"/>
                <w:sz w:val="20"/>
                <w:szCs w:val="20"/>
              </w:rPr>
            </w:pPr>
            <w:r>
              <w:rPr>
                <w:rFonts w:ascii="Verdana" w:hAnsi="Verdana" w:cstheme="minorHAnsi"/>
                <w:sz w:val="20"/>
              </w:rPr>
              <w:t>Demonstrarea capacității de a prezenta în scris informații și idei, în mod clar și convingător, alegând mijloacele adecvate de comunicare scrisă și stilul de redactare pentru a se adresa publicului, în mod corect din punct de vedere ortografic, gramatical și al punctuației, precum și demonstrarea capacității de comunicare în funcție de particularitățile culturale.</w:t>
            </w:r>
          </w:p>
        </w:tc>
      </w:tr>
      <w:tr w:rsidR="00E34BBB" w:rsidRPr="00A40E7F" w:rsidTr="00E34BBB">
        <w:trPr>
          <w:trHeight w:val="878"/>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A40E7F">
              <w:rPr>
                <w:rFonts w:ascii="Verdana" w:hAnsi="Verdana" w:cstheme="minorHAnsi"/>
                <w:sz w:val="20"/>
                <w:szCs w:val="20"/>
              </w:rPr>
              <w:lastRenderedPageBreak/>
              <w:t>communicate across cultures.</w:t>
            </w:r>
          </w:p>
        </w:tc>
        <w:tc>
          <w:tcPr>
            <w:tcW w:w="834" w:type="pct"/>
            <w:shd w:val="clear" w:color="000000" w:fill="FFFFFF"/>
            <w:vAlign w:val="center"/>
          </w:tcPr>
          <w:p w:rsidR="00E34BBB" w:rsidRPr="00A40E7F" w:rsidRDefault="00E34BBB" w:rsidP="00BE0A93">
            <w:pPr>
              <w:spacing w:after="0"/>
              <w:rPr>
                <w:rFonts w:ascii="Verdana" w:hAnsi="Verdana" w:cstheme="minorHAnsi"/>
                <w:sz w:val="20"/>
                <w:szCs w:val="20"/>
              </w:rPr>
            </w:pPr>
            <w:r>
              <w:rPr>
                <w:rFonts w:ascii="Verdana" w:hAnsi="Verdana" w:cstheme="minorHAnsi"/>
                <w:sz w:val="20"/>
              </w:rPr>
              <w:lastRenderedPageBreak/>
              <w:t>Comunicare verbală</w:t>
            </w:r>
          </w:p>
        </w:tc>
        <w:tc>
          <w:tcPr>
            <w:tcW w:w="1735" w:type="pct"/>
            <w:shd w:val="clear" w:color="000000" w:fill="FFFFFF"/>
            <w:vAlign w:val="center"/>
          </w:tcPr>
          <w:p w:rsidR="00E34BBB" w:rsidRPr="00A40E7F" w:rsidRDefault="00E34BBB" w:rsidP="00BE0A93">
            <w:pPr>
              <w:spacing w:after="0"/>
              <w:rPr>
                <w:rFonts w:ascii="Verdana" w:hAnsi="Verdana" w:cstheme="minorHAnsi"/>
                <w:sz w:val="20"/>
                <w:szCs w:val="20"/>
              </w:rPr>
            </w:pPr>
            <w:r>
              <w:rPr>
                <w:rFonts w:ascii="Verdana" w:hAnsi="Verdana" w:cstheme="minorHAnsi"/>
                <w:sz w:val="20"/>
              </w:rPr>
              <w:t>Demonstrarea capacității de a exprima în mod clar concepte și idei adresate persoanelor individuale sau grupurilor utilizând discursul într-un mod care să angajeze publicul, să încurajeze comunicarea în ambele sensuri și să îi ajute să înțeleagă și să rețină mesajul, precum și demonstrarea capacității de comunicare în funcție de particularitățile culturale.</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Gestionarea conflictelor</w:t>
            </w:r>
          </w:p>
        </w:tc>
        <w:tc>
          <w:tcPr>
            <w:tcW w:w="1735"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Demonstrarea capacității de a se înțelege în mod efectiv cu alte persoane în situații potrivnice, recunoscând opiniile diferite, incluzându-le în discuții deschise și utilizând stiluri și tehnici interpersonale adecvate pentru a găsi o soluție avantajoasă pentru toate părțile într-un conflict dintre două sau mai multe persoane.</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Flexibility and adaptability to change </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Flexibilitate și adaptabilitate la schimbare </w:t>
            </w:r>
          </w:p>
        </w:tc>
        <w:tc>
          <w:tcPr>
            <w:tcW w:w="1735"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 xml:space="preserve">Demonstrarea capacității de a se adapta și de a menține nivelul de eficacitate atunci când se confruntă cu schimbări majore ale sarcinilor de lucru, ale mediului de lucru, ale structurii și culturii organizaționale, ale proceselor, cerințelor și ale altor aspecte care au legătură cu activitatea. </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Soluționarea problemelor</w:t>
            </w:r>
          </w:p>
        </w:tc>
        <w:tc>
          <w:tcPr>
            <w:tcW w:w="1735"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Demonstrarea capacității de a identifica problemele utilizând logica, intuiția, datele, efectuând analize și căutări adecvate și implicând alte persoane (dacă este necesar) pentru a găsi soluții sau a lua decizii.</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Lucrul în echipă</w:t>
            </w:r>
          </w:p>
        </w:tc>
        <w:tc>
          <w:tcPr>
            <w:tcW w:w="1735" w:type="pct"/>
            <w:shd w:val="clear" w:color="000000" w:fill="FFFFFF"/>
            <w:vAlign w:val="center"/>
          </w:tcPr>
          <w:p w:rsidR="00E34BBB" w:rsidRPr="00A40E7F" w:rsidRDefault="00E34BBB" w:rsidP="00834FAB">
            <w:pPr>
              <w:spacing w:after="0"/>
              <w:rPr>
                <w:rFonts w:ascii="Verdana" w:hAnsi="Verdana" w:cstheme="minorHAnsi"/>
                <w:sz w:val="20"/>
                <w:szCs w:val="20"/>
              </w:rPr>
            </w:pPr>
            <w:r>
              <w:rPr>
                <w:rFonts w:ascii="Verdana" w:hAnsi="Verdana" w:cstheme="minorHAnsi"/>
                <w:sz w:val="20"/>
              </w:rPr>
              <w:t>Demonstrarea capacității de a coopera și colabora cu alți colegi din diferite unități și de la diferite niveluri structurale în vederea realizării obiectivelor colective.</w:t>
            </w:r>
          </w:p>
        </w:tc>
      </w:tr>
      <w:tr w:rsidR="00E34BBB" w:rsidRPr="00A40E7F" w:rsidTr="00E34BBB">
        <w:trPr>
          <w:trHeight w:val="43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E34BBB" w:rsidRPr="00A40E7F" w:rsidRDefault="00E34BBB" w:rsidP="002172A4">
            <w:pPr>
              <w:spacing w:after="0"/>
              <w:rPr>
                <w:rFonts w:ascii="Verdana" w:hAnsi="Verdana" w:cstheme="minorHAnsi"/>
                <w:sz w:val="20"/>
                <w:szCs w:val="20"/>
              </w:rPr>
            </w:pPr>
            <w:r>
              <w:rPr>
                <w:rFonts w:ascii="Verdana" w:hAnsi="Verdana" w:cstheme="minorHAnsi"/>
                <w:sz w:val="20"/>
              </w:rPr>
              <w:t>Capacități tehnologice</w:t>
            </w:r>
          </w:p>
        </w:tc>
        <w:tc>
          <w:tcPr>
            <w:tcW w:w="1735" w:type="pct"/>
            <w:shd w:val="clear" w:color="000000" w:fill="FFFFFF"/>
            <w:vAlign w:val="center"/>
          </w:tcPr>
          <w:p w:rsidR="00E34BBB" w:rsidRPr="00A40E7F" w:rsidRDefault="00E34BBB" w:rsidP="002172A4">
            <w:pPr>
              <w:spacing w:after="0"/>
              <w:rPr>
                <w:rFonts w:ascii="Verdana" w:hAnsi="Verdana" w:cstheme="minorHAnsi"/>
                <w:sz w:val="20"/>
                <w:szCs w:val="20"/>
              </w:rPr>
            </w:pPr>
            <w:r>
              <w:rPr>
                <w:rFonts w:ascii="Verdana" w:hAnsi="Verdana" w:cstheme="minorHAnsi"/>
                <w:sz w:val="20"/>
              </w:rPr>
              <w:t>Demonstrarea capacității de a utiliza software, sisteme de informații și alte instrumente informatice adecvate (de exemplu, programele Microsoft Office) care sunt necesare în vederea atingerii obiectivelor activității.</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Usage of monitoring and information system</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E34BBB" w:rsidRPr="00A40E7F" w:rsidRDefault="00E34BBB" w:rsidP="002172A4">
            <w:pPr>
              <w:spacing w:after="0"/>
              <w:rPr>
                <w:rFonts w:ascii="Verdana" w:hAnsi="Verdana" w:cstheme="minorHAnsi"/>
                <w:sz w:val="20"/>
                <w:szCs w:val="20"/>
              </w:rPr>
            </w:pPr>
            <w:r>
              <w:rPr>
                <w:rFonts w:ascii="Verdana" w:hAnsi="Verdana" w:cstheme="minorHAnsi"/>
                <w:sz w:val="20"/>
              </w:rPr>
              <w:t>Utilizarea sistemului de monitorizare și de informații</w:t>
            </w:r>
          </w:p>
        </w:tc>
        <w:tc>
          <w:tcPr>
            <w:tcW w:w="1735" w:type="pct"/>
            <w:shd w:val="clear" w:color="000000" w:fill="FFFFFF"/>
            <w:vAlign w:val="center"/>
          </w:tcPr>
          <w:p w:rsidR="00E34BBB" w:rsidRPr="00A40E7F" w:rsidRDefault="00E34BBB" w:rsidP="002172A4">
            <w:pPr>
              <w:spacing w:after="0"/>
              <w:rPr>
                <w:rFonts w:ascii="Verdana" w:hAnsi="Verdana" w:cstheme="minorHAnsi"/>
                <w:sz w:val="20"/>
                <w:szCs w:val="20"/>
              </w:rPr>
            </w:pPr>
            <w:r>
              <w:rPr>
                <w:rFonts w:ascii="Verdana" w:hAnsi="Verdana" w:cstheme="minorHAnsi"/>
                <w:sz w:val="20"/>
              </w:rPr>
              <w:t>Demonstrarea capacității de utilizare a sistemelor de monitorizare și de informații ale fondurilor UE (atât interne, cât și externe, dacă sunt disponibile) în vederea atingerii obiectivelor activității.</w:t>
            </w:r>
          </w:p>
        </w:tc>
      </w:tr>
      <w:tr w:rsidR="00E34BBB" w:rsidRPr="00A40E7F" w:rsidTr="00E34BBB">
        <w:trPr>
          <w:trHeight w:val="398"/>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Representation to the outside world</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E34BBB" w:rsidRPr="00A40E7F" w:rsidRDefault="00E34BBB" w:rsidP="005F1179">
            <w:pPr>
              <w:spacing w:after="0"/>
              <w:rPr>
                <w:rFonts w:ascii="Verdana" w:hAnsi="Verdana" w:cstheme="minorHAnsi"/>
                <w:sz w:val="20"/>
                <w:szCs w:val="20"/>
              </w:rPr>
            </w:pPr>
            <w:r>
              <w:rPr>
                <w:rFonts w:ascii="Verdana" w:hAnsi="Verdana" w:cstheme="minorHAnsi"/>
                <w:sz w:val="20"/>
              </w:rPr>
              <w:t>Reprezentare externă</w:t>
            </w:r>
          </w:p>
        </w:tc>
        <w:tc>
          <w:tcPr>
            <w:tcW w:w="1735" w:type="pct"/>
            <w:shd w:val="clear" w:color="000000" w:fill="FFFFFF"/>
            <w:vAlign w:val="center"/>
          </w:tcPr>
          <w:p w:rsidR="00E34BBB" w:rsidRPr="00A40E7F" w:rsidRDefault="00E34BBB" w:rsidP="005F1179">
            <w:pPr>
              <w:spacing w:after="0"/>
              <w:rPr>
                <w:rFonts w:ascii="Verdana" w:hAnsi="Verdana" w:cstheme="minorHAnsi"/>
                <w:sz w:val="20"/>
                <w:szCs w:val="20"/>
              </w:rPr>
            </w:pPr>
            <w:r>
              <w:rPr>
                <w:rFonts w:ascii="Verdana" w:hAnsi="Verdana" w:cstheme="minorHAnsi"/>
                <w:sz w:val="20"/>
              </w:rPr>
              <w:t>Demonstrarea capacității de a acționa sau de a comunica în numele instituției în mod eficient și corespunzător.</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E34BBB" w:rsidRPr="00A40E7F" w:rsidRDefault="00E34BBB" w:rsidP="005F1179">
            <w:pPr>
              <w:spacing w:after="0"/>
              <w:rPr>
                <w:rFonts w:ascii="Verdana" w:hAnsi="Verdana" w:cstheme="minorHAnsi"/>
                <w:sz w:val="20"/>
                <w:szCs w:val="20"/>
              </w:rPr>
            </w:pPr>
            <w:r>
              <w:rPr>
                <w:rFonts w:ascii="Verdana" w:hAnsi="Verdana" w:cstheme="minorHAnsi"/>
                <w:sz w:val="20"/>
              </w:rPr>
              <w:t>Competențe lingvistice relevante</w:t>
            </w:r>
          </w:p>
        </w:tc>
        <w:tc>
          <w:tcPr>
            <w:tcW w:w="1735" w:type="pct"/>
            <w:shd w:val="clear" w:color="000000" w:fill="FFFFFF"/>
            <w:vAlign w:val="center"/>
          </w:tcPr>
          <w:p w:rsidR="00E34BBB" w:rsidRPr="00A40E7F" w:rsidRDefault="00E34BBB" w:rsidP="005F1179">
            <w:pPr>
              <w:spacing w:after="0"/>
              <w:rPr>
                <w:rFonts w:ascii="Verdana" w:hAnsi="Verdana" w:cstheme="minorHAnsi"/>
                <w:sz w:val="20"/>
                <w:szCs w:val="20"/>
              </w:rPr>
            </w:pPr>
            <w:r>
              <w:rPr>
                <w:rFonts w:ascii="Verdana" w:hAnsi="Verdana" w:cstheme="minorHAnsi"/>
                <w:sz w:val="20"/>
              </w:rPr>
              <w:t>Demonstrarea capacității de a aplica competențe relevante privind limbile străine pentru îndeplinirea funcțiilor atribuite și atingerea obiectivelor activității.</w:t>
            </w:r>
          </w:p>
        </w:tc>
      </w:tr>
      <w:tr w:rsidR="00E34BBB" w:rsidRPr="00A40E7F" w:rsidTr="00E34BBB">
        <w:trPr>
          <w:trHeight w:val="659"/>
        </w:trPr>
        <w:tc>
          <w:tcPr>
            <w:tcW w:w="453" w:type="pct"/>
            <w:shd w:val="clear" w:color="000000" w:fill="FFFFFF"/>
            <w:vAlign w:val="center"/>
          </w:tcPr>
          <w:p w:rsidR="00E34BBB" w:rsidRPr="00A40E7F" w:rsidRDefault="00E34BBB"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E34BBB" w:rsidRPr="00A40E7F" w:rsidRDefault="00E34BBB" w:rsidP="001846FC">
            <w:pPr>
              <w:spacing w:after="0"/>
              <w:rPr>
                <w:rFonts w:ascii="Verdana" w:hAnsi="Verdana" w:cstheme="minorHAnsi"/>
                <w:sz w:val="20"/>
                <w:szCs w:val="20"/>
              </w:rPr>
            </w:pPr>
            <w:r w:rsidRPr="00A40E7F">
              <w:rPr>
                <w:rFonts w:ascii="Verdana" w:hAnsi="Verdana" w:cstheme="minorHAnsi"/>
                <w:sz w:val="20"/>
                <w:szCs w:val="20"/>
              </w:rPr>
              <w:t xml:space="preserve">Demonstrating ability to work in multi-cultural environment, </w:t>
            </w:r>
            <w:r w:rsidRPr="00A40E7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E34BBB" w:rsidRPr="00A40E7F" w:rsidRDefault="00E34BBB" w:rsidP="005F1179">
            <w:pPr>
              <w:spacing w:after="0"/>
              <w:rPr>
                <w:rFonts w:ascii="Verdana" w:hAnsi="Verdana" w:cstheme="minorHAnsi"/>
                <w:sz w:val="20"/>
                <w:szCs w:val="20"/>
              </w:rPr>
            </w:pPr>
            <w:r>
              <w:rPr>
                <w:rFonts w:ascii="Verdana" w:hAnsi="Verdana" w:cstheme="minorHAnsi"/>
                <w:sz w:val="20"/>
              </w:rPr>
              <w:lastRenderedPageBreak/>
              <w:t>Competențe interculturale</w:t>
            </w:r>
          </w:p>
        </w:tc>
        <w:tc>
          <w:tcPr>
            <w:tcW w:w="1735" w:type="pct"/>
            <w:shd w:val="clear" w:color="000000" w:fill="FFFFFF"/>
            <w:vAlign w:val="center"/>
          </w:tcPr>
          <w:p w:rsidR="00E34BBB" w:rsidRPr="00A40E7F" w:rsidRDefault="00E34BBB" w:rsidP="005F1179">
            <w:pPr>
              <w:spacing w:after="0"/>
              <w:rPr>
                <w:rFonts w:ascii="Verdana" w:hAnsi="Verdana" w:cstheme="minorHAnsi"/>
                <w:sz w:val="20"/>
                <w:szCs w:val="20"/>
              </w:rPr>
            </w:pPr>
            <w:r>
              <w:rPr>
                <w:rFonts w:ascii="Verdana" w:hAnsi="Verdana" w:cstheme="minorHAnsi"/>
                <w:sz w:val="20"/>
              </w:rPr>
              <w:t xml:space="preserve">Demonstrarea capacității de lucru într-un mediu multicultural, dezvoltând în mod </w:t>
            </w:r>
            <w:r>
              <w:rPr>
                <w:rFonts w:ascii="Verdana" w:hAnsi="Verdana" w:cstheme="minorHAnsi"/>
                <w:sz w:val="20"/>
              </w:rPr>
              <w:lastRenderedPageBreak/>
              <w:t>eficient relații cu părțile interesate din cadrul instituțiilor UE și din alte state membre.</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E34BBB">
          <w:rPr>
            <w:rFonts w:asciiTheme="minorHAnsi" w:hAnsiTheme="minorHAnsi" w:cstheme="minorHAnsi"/>
            <w:noProof/>
          </w:rPr>
          <w:t>21</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Cadrul de competențe al UE – Glosar de termeni utilizați în instrumentul de autoevaluare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225C"/>
    <w:rsid w:val="000C44D2"/>
    <w:rsid w:val="000E47BD"/>
    <w:rsid w:val="00101C80"/>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758"/>
    <w:rsid w:val="004F71B4"/>
    <w:rsid w:val="00536145"/>
    <w:rsid w:val="00554E39"/>
    <w:rsid w:val="005654A0"/>
    <w:rsid w:val="00584C64"/>
    <w:rsid w:val="005C3880"/>
    <w:rsid w:val="005D6AFD"/>
    <w:rsid w:val="005D72B2"/>
    <w:rsid w:val="005F04A1"/>
    <w:rsid w:val="005F5DB2"/>
    <w:rsid w:val="006029E1"/>
    <w:rsid w:val="00614B9B"/>
    <w:rsid w:val="0062042A"/>
    <w:rsid w:val="006645FC"/>
    <w:rsid w:val="006744F9"/>
    <w:rsid w:val="00691AB0"/>
    <w:rsid w:val="006931AA"/>
    <w:rsid w:val="006C2D1C"/>
    <w:rsid w:val="006E738D"/>
    <w:rsid w:val="00716D09"/>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E2CA5"/>
    <w:rsid w:val="00A30ABC"/>
    <w:rsid w:val="00A40E7F"/>
    <w:rsid w:val="00A564CD"/>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E608F"/>
    <w:rsid w:val="00CE7B10"/>
    <w:rsid w:val="00CF51E8"/>
    <w:rsid w:val="00CF661F"/>
    <w:rsid w:val="00CF6967"/>
    <w:rsid w:val="00D02119"/>
    <w:rsid w:val="00D27017"/>
    <w:rsid w:val="00D42D77"/>
    <w:rsid w:val="00D92F59"/>
    <w:rsid w:val="00DB27D2"/>
    <w:rsid w:val="00DE6C01"/>
    <w:rsid w:val="00E34BBB"/>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B384-9F23-4FC1-82A7-446055B6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7</cp:revision>
  <cp:lastPrinted>2017-03-22T18:35:00Z</cp:lastPrinted>
  <dcterms:created xsi:type="dcterms:W3CDTF">2018-01-30T08:06:00Z</dcterms:created>
  <dcterms:modified xsi:type="dcterms:W3CDTF">2018-04-12T13:43:00Z</dcterms:modified>
</cp:coreProperties>
</file>