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4C7C1E" w:rsidP="004C7C1E">
      <w:pPr>
        <w:ind w:left="-1418" w:right="-1357"/>
        <w:jc w:val="center"/>
        <w:rPr>
          <w:rFonts w:ascii="Verdana" w:hAnsi="Verdana" w:cstheme="minorHAnsi"/>
          <w:b/>
          <w:color w:val="003399"/>
          <w:kern w:val="12"/>
          <w:sz w:val="40"/>
          <w:szCs w:val="40"/>
        </w:rPr>
        <w:sectPr w:rsidR="00251707" w:rsidRPr="00251707" w:rsidSect="004C7C1E">
          <w:headerReference w:type="default" r:id="rId9"/>
          <w:footerReference w:type="default" r:id="rId10"/>
          <w:pgSz w:w="15840" w:h="12240" w:orient="landscape"/>
          <w:pgMar w:top="1440" w:right="1440" w:bottom="27" w:left="1440" w:header="720" w:footer="720" w:gutter="0"/>
          <w:cols w:space="720"/>
          <w:titlePg/>
          <w:docGrid w:linePitch="360"/>
        </w:sectPr>
      </w:pPr>
      <w:r w:rsidRPr="004C7C1E">
        <w:rPr>
          <w:noProof/>
          <w:lang w:val="en-GB" w:eastAsia="en-GB" w:bidi="ar-SA"/>
        </w:rPr>
        <w:drawing>
          <wp:inline distT="0" distB="0" distL="0" distR="0">
            <wp:extent cx="10039350" cy="683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9350" cy="6838950"/>
                    </a:xfrm>
                    <a:prstGeom prst="rect">
                      <a:avLst/>
                    </a:prstGeom>
                    <a:noFill/>
                    <a:ln>
                      <a:noFill/>
                    </a:ln>
                  </pic:spPr>
                </pic:pic>
              </a:graphicData>
            </a:graphic>
          </wp:inline>
        </w:drawing>
      </w: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Versões do documento</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Versão</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Data</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 xml:space="preserve">3 </w:t>
            </w:r>
            <w:proofErr w:type="gramStart"/>
            <w:r>
              <w:rPr>
                <w:rFonts w:cstheme="minorHAnsi"/>
                <w:sz w:val="20"/>
              </w:rPr>
              <w:t>de</w:t>
            </w:r>
            <w:proofErr w:type="gramEnd"/>
            <w:r>
              <w:rPr>
                <w:rFonts w:cstheme="minorHAnsi"/>
                <w:sz w:val="20"/>
              </w:rPr>
              <w:t xml:space="preserve"> novembro de 2017</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Índice</w:t>
          </w:r>
        </w:p>
        <w:p w:rsidR="00251707" w:rsidRPr="00CD4409" w:rsidRDefault="00251707" w:rsidP="00251707">
          <w:pPr>
            <w:rPr>
              <w:rFonts w:ascii="Verdana" w:hAnsi="Verdana"/>
              <w:b/>
              <w:color w:val="0070C0"/>
              <w:sz w:val="32"/>
              <w:szCs w:val="32"/>
            </w:rPr>
          </w:pPr>
        </w:p>
        <w:p w:rsidR="00E23DE5" w:rsidRPr="00CD4409" w:rsidRDefault="00CF51E8">
          <w:pPr>
            <w:pStyle w:val="TOC1"/>
            <w:tabs>
              <w:tab w:val="left" w:pos="440"/>
              <w:tab w:val="right" w:leader="dot" w:pos="12950"/>
            </w:tabs>
            <w:rPr>
              <w:rFonts w:ascii="Verdana" w:eastAsiaTheme="minorEastAsia" w:hAnsi="Verdana"/>
              <w:noProof/>
              <w:sz w:val="32"/>
              <w:szCs w:val="32"/>
              <w:lang w:bidi="ar-SA"/>
            </w:rPr>
          </w:pPr>
          <w:r w:rsidRPr="00CD4409">
            <w:rPr>
              <w:rFonts w:ascii="Verdana" w:hAnsi="Verdana"/>
              <w:sz w:val="32"/>
              <w:szCs w:val="32"/>
            </w:rPr>
            <w:fldChar w:fldCharType="begin"/>
          </w:r>
          <w:r w:rsidRPr="00CD4409">
            <w:rPr>
              <w:rFonts w:ascii="Verdana" w:hAnsi="Verdana"/>
              <w:sz w:val="32"/>
              <w:szCs w:val="32"/>
            </w:rPr>
            <w:instrText xml:space="preserve"> TOC \o "1-3" \h \z \u </w:instrText>
          </w:r>
          <w:r w:rsidRPr="00CD4409">
            <w:rPr>
              <w:rFonts w:ascii="Verdana" w:hAnsi="Verdana"/>
              <w:sz w:val="32"/>
              <w:szCs w:val="32"/>
            </w:rPr>
            <w:fldChar w:fldCharType="separate"/>
          </w:r>
          <w:hyperlink w:anchor="_Toc508800425" w:history="1">
            <w:r w:rsidR="00E23DE5" w:rsidRPr="00CD4409">
              <w:rPr>
                <w:rStyle w:val="Hyperlink"/>
                <w:rFonts w:ascii="Verdana" w:hAnsi="Verdana"/>
                <w:noProof/>
                <w:sz w:val="32"/>
                <w:szCs w:val="32"/>
              </w:rPr>
              <w:t>1.</w:t>
            </w:r>
            <w:r w:rsidR="00E23DE5" w:rsidRPr="00CD4409">
              <w:rPr>
                <w:rFonts w:ascii="Verdana" w:eastAsiaTheme="minorEastAsia" w:hAnsi="Verdana"/>
                <w:noProof/>
                <w:sz w:val="32"/>
                <w:szCs w:val="32"/>
                <w:lang w:bidi="ar-SA"/>
              </w:rPr>
              <w:tab/>
            </w:r>
            <w:r w:rsidR="00E23DE5" w:rsidRPr="00CD4409">
              <w:rPr>
                <w:rStyle w:val="Hyperlink"/>
                <w:rFonts w:ascii="Verdana" w:hAnsi="Verdana"/>
                <w:noProof/>
                <w:sz w:val="32"/>
                <w:szCs w:val="32"/>
              </w:rPr>
              <w:t>Funções</w:t>
            </w:r>
            <w:r w:rsidR="00E23DE5" w:rsidRPr="00CD4409">
              <w:rPr>
                <w:rFonts w:ascii="Verdana" w:hAnsi="Verdana"/>
                <w:noProof/>
                <w:webHidden/>
                <w:sz w:val="32"/>
                <w:szCs w:val="32"/>
              </w:rPr>
              <w:tab/>
            </w:r>
            <w:r w:rsidR="00E23DE5" w:rsidRPr="00CD4409">
              <w:rPr>
                <w:rFonts w:ascii="Verdana" w:hAnsi="Verdana"/>
                <w:noProof/>
                <w:webHidden/>
                <w:sz w:val="32"/>
                <w:szCs w:val="32"/>
              </w:rPr>
              <w:fldChar w:fldCharType="begin"/>
            </w:r>
            <w:r w:rsidR="00E23DE5" w:rsidRPr="00CD4409">
              <w:rPr>
                <w:rFonts w:ascii="Verdana" w:hAnsi="Verdana"/>
                <w:noProof/>
                <w:webHidden/>
                <w:sz w:val="32"/>
                <w:szCs w:val="32"/>
              </w:rPr>
              <w:instrText xml:space="preserve"> PAGEREF _Toc508800425 \h </w:instrText>
            </w:r>
            <w:r w:rsidR="00E23DE5" w:rsidRPr="00CD4409">
              <w:rPr>
                <w:rFonts w:ascii="Verdana" w:hAnsi="Verdana"/>
                <w:noProof/>
                <w:webHidden/>
                <w:sz w:val="32"/>
                <w:szCs w:val="32"/>
              </w:rPr>
            </w:r>
            <w:r w:rsidR="00E23DE5" w:rsidRPr="00CD4409">
              <w:rPr>
                <w:rFonts w:ascii="Verdana" w:hAnsi="Verdana"/>
                <w:noProof/>
                <w:webHidden/>
                <w:sz w:val="32"/>
                <w:szCs w:val="32"/>
              </w:rPr>
              <w:fldChar w:fldCharType="separate"/>
            </w:r>
            <w:r w:rsidR="00E23DE5" w:rsidRPr="00CD4409">
              <w:rPr>
                <w:rFonts w:ascii="Verdana" w:hAnsi="Verdana"/>
                <w:noProof/>
                <w:webHidden/>
                <w:sz w:val="32"/>
                <w:szCs w:val="32"/>
              </w:rPr>
              <w:t>4</w:t>
            </w:r>
            <w:r w:rsidR="00E23DE5" w:rsidRPr="00CD4409">
              <w:rPr>
                <w:rFonts w:ascii="Verdana" w:hAnsi="Verdana"/>
                <w:noProof/>
                <w:webHidden/>
                <w:sz w:val="32"/>
                <w:szCs w:val="32"/>
              </w:rPr>
              <w:fldChar w:fldCharType="end"/>
            </w:r>
          </w:hyperlink>
        </w:p>
        <w:p w:rsidR="00E23DE5" w:rsidRPr="00CD4409" w:rsidRDefault="00E6677A">
          <w:pPr>
            <w:pStyle w:val="TOC1"/>
            <w:tabs>
              <w:tab w:val="left" w:pos="440"/>
              <w:tab w:val="right" w:leader="dot" w:pos="12950"/>
            </w:tabs>
            <w:rPr>
              <w:rFonts w:ascii="Verdana" w:eastAsiaTheme="minorEastAsia" w:hAnsi="Verdana"/>
              <w:noProof/>
              <w:sz w:val="32"/>
              <w:szCs w:val="32"/>
              <w:lang w:bidi="ar-SA"/>
            </w:rPr>
          </w:pPr>
          <w:hyperlink w:anchor="_Toc508800426" w:history="1">
            <w:r w:rsidR="00E23DE5" w:rsidRPr="00CD4409">
              <w:rPr>
                <w:rStyle w:val="Hyperlink"/>
                <w:rFonts w:ascii="Verdana" w:hAnsi="Verdana"/>
                <w:noProof/>
                <w:sz w:val="32"/>
                <w:szCs w:val="32"/>
              </w:rPr>
              <w:t>2.</w:t>
            </w:r>
            <w:r w:rsidR="00E23DE5" w:rsidRPr="00CD4409">
              <w:rPr>
                <w:rFonts w:ascii="Verdana" w:eastAsiaTheme="minorEastAsia" w:hAnsi="Verdana"/>
                <w:noProof/>
                <w:sz w:val="32"/>
                <w:szCs w:val="32"/>
                <w:lang w:bidi="ar-SA"/>
              </w:rPr>
              <w:tab/>
            </w:r>
            <w:r w:rsidR="00E23DE5" w:rsidRPr="00CD4409">
              <w:rPr>
                <w:rStyle w:val="Hyperlink"/>
                <w:rFonts w:ascii="Verdana" w:hAnsi="Verdana"/>
                <w:noProof/>
                <w:sz w:val="32"/>
                <w:szCs w:val="32"/>
              </w:rPr>
              <w:t>Tarefas e subtarefas</w:t>
            </w:r>
            <w:r w:rsidR="00E23DE5" w:rsidRPr="00CD4409">
              <w:rPr>
                <w:rFonts w:ascii="Verdana" w:hAnsi="Verdana"/>
                <w:noProof/>
                <w:webHidden/>
                <w:sz w:val="32"/>
                <w:szCs w:val="32"/>
              </w:rPr>
              <w:tab/>
            </w:r>
            <w:r w:rsidR="00E23DE5" w:rsidRPr="00CD4409">
              <w:rPr>
                <w:rFonts w:ascii="Verdana" w:hAnsi="Verdana"/>
                <w:noProof/>
                <w:webHidden/>
                <w:sz w:val="32"/>
                <w:szCs w:val="32"/>
              </w:rPr>
              <w:fldChar w:fldCharType="begin"/>
            </w:r>
            <w:r w:rsidR="00E23DE5" w:rsidRPr="00CD4409">
              <w:rPr>
                <w:rFonts w:ascii="Verdana" w:hAnsi="Verdana"/>
                <w:noProof/>
                <w:webHidden/>
                <w:sz w:val="32"/>
                <w:szCs w:val="32"/>
              </w:rPr>
              <w:instrText xml:space="preserve"> PAGEREF _Toc508800426 \h </w:instrText>
            </w:r>
            <w:r w:rsidR="00E23DE5" w:rsidRPr="00CD4409">
              <w:rPr>
                <w:rFonts w:ascii="Verdana" w:hAnsi="Verdana"/>
                <w:noProof/>
                <w:webHidden/>
                <w:sz w:val="32"/>
                <w:szCs w:val="32"/>
              </w:rPr>
            </w:r>
            <w:r w:rsidR="00E23DE5" w:rsidRPr="00CD4409">
              <w:rPr>
                <w:rFonts w:ascii="Verdana" w:hAnsi="Verdana"/>
                <w:noProof/>
                <w:webHidden/>
                <w:sz w:val="32"/>
                <w:szCs w:val="32"/>
              </w:rPr>
              <w:fldChar w:fldCharType="separate"/>
            </w:r>
            <w:r w:rsidR="00E23DE5" w:rsidRPr="00CD4409">
              <w:rPr>
                <w:rFonts w:ascii="Verdana" w:hAnsi="Verdana"/>
                <w:noProof/>
                <w:webHidden/>
                <w:sz w:val="32"/>
                <w:szCs w:val="32"/>
              </w:rPr>
              <w:t>5</w:t>
            </w:r>
            <w:r w:rsidR="00E23DE5" w:rsidRPr="00CD4409">
              <w:rPr>
                <w:rFonts w:ascii="Verdana" w:hAnsi="Verdana"/>
                <w:noProof/>
                <w:webHidden/>
                <w:sz w:val="32"/>
                <w:szCs w:val="32"/>
              </w:rPr>
              <w:fldChar w:fldCharType="end"/>
            </w:r>
          </w:hyperlink>
        </w:p>
        <w:p w:rsidR="00E23DE5" w:rsidRPr="00CD4409" w:rsidRDefault="00E6677A">
          <w:pPr>
            <w:pStyle w:val="TOC1"/>
            <w:tabs>
              <w:tab w:val="left" w:pos="440"/>
              <w:tab w:val="right" w:leader="dot" w:pos="12950"/>
            </w:tabs>
            <w:rPr>
              <w:rFonts w:ascii="Verdana" w:eastAsiaTheme="minorEastAsia" w:hAnsi="Verdana"/>
              <w:noProof/>
              <w:sz w:val="32"/>
              <w:szCs w:val="32"/>
              <w:lang w:bidi="ar-SA"/>
            </w:rPr>
          </w:pPr>
          <w:hyperlink w:anchor="_Toc508800427" w:history="1">
            <w:r w:rsidR="00E23DE5" w:rsidRPr="00CD4409">
              <w:rPr>
                <w:rStyle w:val="Hyperlink"/>
                <w:rFonts w:ascii="Verdana" w:hAnsi="Verdana"/>
                <w:noProof/>
                <w:sz w:val="32"/>
                <w:szCs w:val="32"/>
              </w:rPr>
              <w:t>3.</w:t>
            </w:r>
            <w:r w:rsidR="00E23DE5" w:rsidRPr="00CD4409">
              <w:rPr>
                <w:rFonts w:ascii="Verdana" w:eastAsiaTheme="minorEastAsia" w:hAnsi="Verdana"/>
                <w:noProof/>
                <w:sz w:val="32"/>
                <w:szCs w:val="32"/>
                <w:lang w:bidi="ar-SA"/>
              </w:rPr>
              <w:tab/>
            </w:r>
            <w:r w:rsidR="00E23DE5" w:rsidRPr="00CD4409">
              <w:rPr>
                <w:rStyle w:val="Hyperlink"/>
                <w:rFonts w:ascii="Verdana" w:hAnsi="Verdana"/>
                <w:noProof/>
                <w:sz w:val="32"/>
                <w:szCs w:val="32"/>
              </w:rPr>
              <w:t>Escala de proficiência</w:t>
            </w:r>
            <w:r w:rsidR="00E23DE5" w:rsidRPr="00CD4409">
              <w:rPr>
                <w:rFonts w:ascii="Verdana" w:hAnsi="Verdana"/>
                <w:noProof/>
                <w:webHidden/>
                <w:sz w:val="32"/>
                <w:szCs w:val="32"/>
              </w:rPr>
              <w:tab/>
            </w:r>
            <w:r w:rsidR="00E23DE5" w:rsidRPr="00CD4409">
              <w:rPr>
                <w:rFonts w:ascii="Verdana" w:hAnsi="Verdana"/>
                <w:noProof/>
                <w:webHidden/>
                <w:sz w:val="32"/>
                <w:szCs w:val="32"/>
              </w:rPr>
              <w:fldChar w:fldCharType="begin"/>
            </w:r>
            <w:r w:rsidR="00E23DE5" w:rsidRPr="00CD4409">
              <w:rPr>
                <w:rFonts w:ascii="Verdana" w:hAnsi="Verdana"/>
                <w:noProof/>
                <w:webHidden/>
                <w:sz w:val="32"/>
                <w:szCs w:val="32"/>
              </w:rPr>
              <w:instrText xml:space="preserve"> PAGEREF _Toc508800427 \h </w:instrText>
            </w:r>
            <w:r w:rsidR="00E23DE5" w:rsidRPr="00CD4409">
              <w:rPr>
                <w:rFonts w:ascii="Verdana" w:hAnsi="Verdana"/>
                <w:noProof/>
                <w:webHidden/>
                <w:sz w:val="32"/>
                <w:szCs w:val="32"/>
              </w:rPr>
            </w:r>
            <w:r w:rsidR="00E23DE5" w:rsidRPr="00CD4409">
              <w:rPr>
                <w:rFonts w:ascii="Verdana" w:hAnsi="Verdana"/>
                <w:noProof/>
                <w:webHidden/>
                <w:sz w:val="32"/>
                <w:szCs w:val="32"/>
              </w:rPr>
              <w:fldChar w:fldCharType="separate"/>
            </w:r>
            <w:r w:rsidR="00E23DE5" w:rsidRPr="00CD4409">
              <w:rPr>
                <w:rFonts w:ascii="Verdana" w:hAnsi="Verdana"/>
                <w:noProof/>
                <w:webHidden/>
                <w:sz w:val="32"/>
                <w:szCs w:val="32"/>
              </w:rPr>
              <w:t>11</w:t>
            </w:r>
            <w:r w:rsidR="00E23DE5" w:rsidRPr="00CD4409">
              <w:rPr>
                <w:rFonts w:ascii="Verdana" w:hAnsi="Verdana"/>
                <w:noProof/>
                <w:webHidden/>
                <w:sz w:val="32"/>
                <w:szCs w:val="32"/>
              </w:rPr>
              <w:fldChar w:fldCharType="end"/>
            </w:r>
          </w:hyperlink>
        </w:p>
        <w:p w:rsidR="00E23DE5" w:rsidRPr="00CD4409" w:rsidRDefault="00E6677A">
          <w:pPr>
            <w:pStyle w:val="TOC1"/>
            <w:tabs>
              <w:tab w:val="left" w:pos="440"/>
              <w:tab w:val="right" w:leader="dot" w:pos="12950"/>
            </w:tabs>
            <w:rPr>
              <w:rFonts w:ascii="Verdana" w:eastAsiaTheme="minorEastAsia" w:hAnsi="Verdana"/>
              <w:noProof/>
              <w:sz w:val="32"/>
              <w:szCs w:val="32"/>
              <w:lang w:bidi="ar-SA"/>
            </w:rPr>
          </w:pPr>
          <w:hyperlink w:anchor="_Toc508800428" w:history="1">
            <w:r w:rsidR="00E23DE5" w:rsidRPr="00CD4409">
              <w:rPr>
                <w:rStyle w:val="Hyperlink"/>
                <w:rFonts w:ascii="Verdana" w:hAnsi="Verdana"/>
                <w:noProof/>
                <w:sz w:val="32"/>
                <w:szCs w:val="32"/>
              </w:rPr>
              <w:t>4.</w:t>
            </w:r>
            <w:r w:rsidR="00E23DE5" w:rsidRPr="00CD4409">
              <w:rPr>
                <w:rFonts w:ascii="Verdana" w:eastAsiaTheme="minorEastAsia" w:hAnsi="Verdana"/>
                <w:noProof/>
                <w:sz w:val="32"/>
                <w:szCs w:val="32"/>
                <w:lang w:bidi="ar-SA"/>
              </w:rPr>
              <w:tab/>
            </w:r>
            <w:r w:rsidR="00E23DE5" w:rsidRPr="00CD4409">
              <w:rPr>
                <w:rStyle w:val="Hyperlink"/>
                <w:rFonts w:ascii="Verdana" w:hAnsi="Verdana"/>
                <w:noProof/>
                <w:sz w:val="32"/>
                <w:szCs w:val="32"/>
              </w:rPr>
              <w:t>Competências operacionais</w:t>
            </w:r>
            <w:r w:rsidR="00E23DE5" w:rsidRPr="00CD4409">
              <w:rPr>
                <w:rFonts w:ascii="Verdana" w:hAnsi="Verdana"/>
                <w:noProof/>
                <w:webHidden/>
                <w:sz w:val="32"/>
                <w:szCs w:val="32"/>
              </w:rPr>
              <w:tab/>
            </w:r>
            <w:r w:rsidR="00E23DE5" w:rsidRPr="00CD4409">
              <w:rPr>
                <w:rFonts w:ascii="Verdana" w:hAnsi="Verdana"/>
                <w:noProof/>
                <w:webHidden/>
                <w:sz w:val="32"/>
                <w:szCs w:val="32"/>
              </w:rPr>
              <w:fldChar w:fldCharType="begin"/>
            </w:r>
            <w:r w:rsidR="00E23DE5" w:rsidRPr="00CD4409">
              <w:rPr>
                <w:rFonts w:ascii="Verdana" w:hAnsi="Verdana"/>
                <w:noProof/>
                <w:webHidden/>
                <w:sz w:val="32"/>
                <w:szCs w:val="32"/>
              </w:rPr>
              <w:instrText xml:space="preserve"> PAGEREF _Toc508800428 \h </w:instrText>
            </w:r>
            <w:r w:rsidR="00E23DE5" w:rsidRPr="00CD4409">
              <w:rPr>
                <w:rFonts w:ascii="Verdana" w:hAnsi="Verdana"/>
                <w:noProof/>
                <w:webHidden/>
                <w:sz w:val="32"/>
                <w:szCs w:val="32"/>
              </w:rPr>
            </w:r>
            <w:r w:rsidR="00E23DE5" w:rsidRPr="00CD4409">
              <w:rPr>
                <w:rFonts w:ascii="Verdana" w:hAnsi="Verdana"/>
                <w:noProof/>
                <w:webHidden/>
                <w:sz w:val="32"/>
                <w:szCs w:val="32"/>
              </w:rPr>
              <w:fldChar w:fldCharType="separate"/>
            </w:r>
            <w:r w:rsidR="00E23DE5" w:rsidRPr="00CD4409">
              <w:rPr>
                <w:rFonts w:ascii="Verdana" w:hAnsi="Verdana"/>
                <w:noProof/>
                <w:webHidden/>
                <w:sz w:val="32"/>
                <w:szCs w:val="32"/>
              </w:rPr>
              <w:t>13</w:t>
            </w:r>
            <w:r w:rsidR="00E23DE5" w:rsidRPr="00CD4409">
              <w:rPr>
                <w:rFonts w:ascii="Verdana" w:hAnsi="Verdana"/>
                <w:noProof/>
                <w:webHidden/>
                <w:sz w:val="32"/>
                <w:szCs w:val="32"/>
              </w:rPr>
              <w:fldChar w:fldCharType="end"/>
            </w:r>
          </w:hyperlink>
        </w:p>
        <w:p w:rsidR="00E23DE5" w:rsidRPr="00CD4409" w:rsidRDefault="00E6677A">
          <w:pPr>
            <w:pStyle w:val="TOC1"/>
            <w:tabs>
              <w:tab w:val="left" w:pos="440"/>
              <w:tab w:val="right" w:leader="dot" w:pos="12950"/>
            </w:tabs>
            <w:rPr>
              <w:rFonts w:ascii="Verdana" w:eastAsiaTheme="minorEastAsia" w:hAnsi="Verdana"/>
              <w:noProof/>
              <w:sz w:val="32"/>
              <w:szCs w:val="32"/>
              <w:lang w:bidi="ar-SA"/>
            </w:rPr>
          </w:pPr>
          <w:hyperlink w:anchor="_Toc508800429" w:history="1">
            <w:r w:rsidR="00E23DE5" w:rsidRPr="00CD4409">
              <w:rPr>
                <w:rStyle w:val="Hyperlink"/>
                <w:rFonts w:ascii="Verdana" w:hAnsi="Verdana"/>
                <w:noProof/>
                <w:sz w:val="32"/>
                <w:szCs w:val="32"/>
              </w:rPr>
              <w:t>5.</w:t>
            </w:r>
            <w:r w:rsidR="00E23DE5" w:rsidRPr="00CD4409">
              <w:rPr>
                <w:rFonts w:ascii="Verdana" w:eastAsiaTheme="minorEastAsia" w:hAnsi="Verdana"/>
                <w:noProof/>
                <w:sz w:val="32"/>
                <w:szCs w:val="32"/>
                <w:lang w:bidi="ar-SA"/>
              </w:rPr>
              <w:tab/>
            </w:r>
            <w:r w:rsidR="00E23DE5" w:rsidRPr="00CD4409">
              <w:rPr>
                <w:rStyle w:val="Hyperlink"/>
                <w:rFonts w:ascii="Verdana" w:hAnsi="Verdana"/>
                <w:noProof/>
                <w:sz w:val="32"/>
                <w:szCs w:val="32"/>
              </w:rPr>
              <w:t>Competências de gestão</w:t>
            </w:r>
            <w:r w:rsidR="00E23DE5" w:rsidRPr="00CD4409">
              <w:rPr>
                <w:rFonts w:ascii="Verdana" w:hAnsi="Verdana"/>
                <w:noProof/>
                <w:webHidden/>
                <w:sz w:val="32"/>
                <w:szCs w:val="32"/>
              </w:rPr>
              <w:tab/>
            </w:r>
            <w:r w:rsidR="00E23DE5" w:rsidRPr="00CD4409">
              <w:rPr>
                <w:rFonts w:ascii="Verdana" w:hAnsi="Verdana"/>
                <w:noProof/>
                <w:webHidden/>
                <w:sz w:val="32"/>
                <w:szCs w:val="32"/>
              </w:rPr>
              <w:fldChar w:fldCharType="begin"/>
            </w:r>
            <w:r w:rsidR="00E23DE5" w:rsidRPr="00CD4409">
              <w:rPr>
                <w:rFonts w:ascii="Verdana" w:hAnsi="Verdana"/>
                <w:noProof/>
                <w:webHidden/>
                <w:sz w:val="32"/>
                <w:szCs w:val="32"/>
              </w:rPr>
              <w:instrText xml:space="preserve"> PAGEREF _Toc508800429 \h </w:instrText>
            </w:r>
            <w:r w:rsidR="00E23DE5" w:rsidRPr="00CD4409">
              <w:rPr>
                <w:rFonts w:ascii="Verdana" w:hAnsi="Verdana"/>
                <w:noProof/>
                <w:webHidden/>
                <w:sz w:val="32"/>
                <w:szCs w:val="32"/>
              </w:rPr>
            </w:r>
            <w:r w:rsidR="00E23DE5" w:rsidRPr="00CD4409">
              <w:rPr>
                <w:rFonts w:ascii="Verdana" w:hAnsi="Verdana"/>
                <w:noProof/>
                <w:webHidden/>
                <w:sz w:val="32"/>
                <w:szCs w:val="32"/>
              </w:rPr>
              <w:fldChar w:fldCharType="separate"/>
            </w:r>
            <w:r w:rsidR="00E23DE5" w:rsidRPr="00CD4409">
              <w:rPr>
                <w:rFonts w:ascii="Verdana" w:hAnsi="Verdana"/>
                <w:noProof/>
                <w:webHidden/>
                <w:sz w:val="32"/>
                <w:szCs w:val="32"/>
              </w:rPr>
              <w:t>16</w:t>
            </w:r>
            <w:r w:rsidR="00E23DE5" w:rsidRPr="00CD4409">
              <w:rPr>
                <w:rFonts w:ascii="Verdana" w:hAnsi="Verdana"/>
                <w:noProof/>
                <w:webHidden/>
                <w:sz w:val="32"/>
                <w:szCs w:val="32"/>
              </w:rPr>
              <w:fldChar w:fldCharType="end"/>
            </w:r>
          </w:hyperlink>
        </w:p>
        <w:p w:rsidR="00E23DE5" w:rsidRPr="00CD4409" w:rsidRDefault="00E6677A">
          <w:pPr>
            <w:pStyle w:val="TOC1"/>
            <w:tabs>
              <w:tab w:val="left" w:pos="440"/>
              <w:tab w:val="right" w:leader="dot" w:pos="12950"/>
            </w:tabs>
            <w:rPr>
              <w:rFonts w:ascii="Verdana" w:eastAsiaTheme="minorEastAsia" w:hAnsi="Verdana"/>
              <w:noProof/>
              <w:sz w:val="32"/>
              <w:szCs w:val="32"/>
              <w:lang w:bidi="ar-SA"/>
            </w:rPr>
          </w:pPr>
          <w:hyperlink w:anchor="_Toc508800430" w:history="1">
            <w:r w:rsidR="00E23DE5" w:rsidRPr="00CD4409">
              <w:rPr>
                <w:rStyle w:val="Hyperlink"/>
                <w:rFonts w:ascii="Verdana" w:hAnsi="Verdana"/>
                <w:noProof/>
                <w:sz w:val="32"/>
                <w:szCs w:val="32"/>
              </w:rPr>
              <w:t>6.</w:t>
            </w:r>
            <w:r w:rsidR="00E23DE5" w:rsidRPr="00CD4409">
              <w:rPr>
                <w:rFonts w:ascii="Verdana" w:eastAsiaTheme="minorEastAsia" w:hAnsi="Verdana"/>
                <w:noProof/>
                <w:sz w:val="32"/>
                <w:szCs w:val="32"/>
                <w:lang w:bidi="ar-SA"/>
              </w:rPr>
              <w:tab/>
            </w:r>
            <w:r w:rsidR="00E23DE5" w:rsidRPr="00CD4409">
              <w:rPr>
                <w:rStyle w:val="Hyperlink"/>
                <w:rFonts w:ascii="Verdana" w:hAnsi="Verdana"/>
                <w:noProof/>
                <w:sz w:val="32"/>
                <w:szCs w:val="32"/>
              </w:rPr>
              <w:t>Competências profissionais</w:t>
            </w:r>
            <w:r w:rsidR="00E23DE5" w:rsidRPr="00CD4409">
              <w:rPr>
                <w:rFonts w:ascii="Verdana" w:hAnsi="Verdana"/>
                <w:noProof/>
                <w:webHidden/>
                <w:sz w:val="32"/>
                <w:szCs w:val="32"/>
              </w:rPr>
              <w:tab/>
            </w:r>
            <w:r w:rsidR="00E23DE5" w:rsidRPr="00CD4409">
              <w:rPr>
                <w:rFonts w:ascii="Verdana" w:hAnsi="Verdana"/>
                <w:noProof/>
                <w:webHidden/>
                <w:sz w:val="32"/>
                <w:szCs w:val="32"/>
              </w:rPr>
              <w:fldChar w:fldCharType="begin"/>
            </w:r>
            <w:r w:rsidR="00E23DE5" w:rsidRPr="00CD4409">
              <w:rPr>
                <w:rFonts w:ascii="Verdana" w:hAnsi="Verdana"/>
                <w:noProof/>
                <w:webHidden/>
                <w:sz w:val="32"/>
                <w:szCs w:val="32"/>
              </w:rPr>
              <w:instrText xml:space="preserve"> PAGEREF _Toc508800430 \h </w:instrText>
            </w:r>
            <w:r w:rsidR="00E23DE5" w:rsidRPr="00CD4409">
              <w:rPr>
                <w:rFonts w:ascii="Verdana" w:hAnsi="Verdana"/>
                <w:noProof/>
                <w:webHidden/>
                <w:sz w:val="32"/>
                <w:szCs w:val="32"/>
              </w:rPr>
            </w:r>
            <w:r w:rsidR="00E23DE5" w:rsidRPr="00CD4409">
              <w:rPr>
                <w:rFonts w:ascii="Verdana" w:hAnsi="Verdana"/>
                <w:noProof/>
                <w:webHidden/>
                <w:sz w:val="32"/>
                <w:szCs w:val="32"/>
              </w:rPr>
              <w:fldChar w:fldCharType="separate"/>
            </w:r>
            <w:r w:rsidR="00E23DE5" w:rsidRPr="00CD4409">
              <w:rPr>
                <w:rFonts w:ascii="Verdana" w:hAnsi="Verdana"/>
                <w:noProof/>
                <w:webHidden/>
                <w:sz w:val="32"/>
                <w:szCs w:val="32"/>
              </w:rPr>
              <w:t>20</w:t>
            </w:r>
            <w:r w:rsidR="00E23DE5" w:rsidRPr="00CD4409">
              <w:rPr>
                <w:rFonts w:ascii="Verdana" w:hAnsi="Verdana"/>
                <w:noProof/>
                <w:webHidden/>
                <w:sz w:val="32"/>
                <w:szCs w:val="32"/>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sidRPr="00CD4409">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0" w:name="_Toc494963494"/>
      <w:bookmarkStart w:id="1" w:name="_Toc508800425"/>
      <w:r>
        <w:lastRenderedPageBreak/>
        <w:t>Funções</w:t>
      </w:r>
      <w:bookmarkEnd w:id="0"/>
      <w:bookmarkEnd w:id="1"/>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334"/>
        <w:gridCol w:w="1369"/>
        <w:gridCol w:w="7365"/>
      </w:tblGrid>
      <w:tr w:rsidR="006931AA" w:rsidRPr="00251707" w:rsidTr="004531AC">
        <w:trPr>
          <w:trHeight w:val="467"/>
        </w:trPr>
        <w:tc>
          <w:tcPr>
            <w:tcW w:w="1751" w:type="pct"/>
            <w:gridSpan w:val="2"/>
            <w:shd w:val="clear" w:color="auto" w:fill="1F4E79" w:themeFill="accent1" w:themeFillShade="80"/>
            <w:vAlign w:val="center"/>
          </w:tcPr>
          <w:p w:rsidR="006931AA" w:rsidRPr="00251707" w:rsidRDefault="004531AC" w:rsidP="004531AC">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3249" w:type="pct"/>
            <w:gridSpan w:val="2"/>
            <w:shd w:val="clear" w:color="auto" w:fill="1F4E79" w:themeFill="accent1" w:themeFillShade="80"/>
            <w:vAlign w:val="center"/>
          </w:tcPr>
          <w:p w:rsidR="006931AA" w:rsidRPr="00251707" w:rsidRDefault="004531AC" w:rsidP="004531AC">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4531AC" w:rsidRPr="00251707" w:rsidTr="004531AC">
        <w:trPr>
          <w:trHeight w:val="440"/>
        </w:trPr>
        <w:tc>
          <w:tcPr>
            <w:tcW w:w="507" w:type="pct"/>
            <w:shd w:val="clear" w:color="auto" w:fill="F2F2F2" w:themeFill="background1" w:themeFillShade="F2"/>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Job Role</w:t>
            </w:r>
          </w:p>
        </w:tc>
        <w:tc>
          <w:tcPr>
            <w:tcW w:w="1245" w:type="pct"/>
            <w:shd w:val="clear" w:color="auto" w:fill="F2F2F2" w:themeFill="background1" w:themeFillShade="F2"/>
            <w:vAlign w:val="center"/>
          </w:tcPr>
          <w:p w:rsidR="004531AC" w:rsidRPr="00251707" w:rsidRDefault="004531AC" w:rsidP="005D599D">
            <w:pPr>
              <w:spacing w:after="0"/>
              <w:rPr>
                <w:rFonts w:ascii="Verdana" w:hAnsi="Verdana" w:cstheme="minorHAnsi"/>
                <w:sz w:val="20"/>
                <w:szCs w:val="20"/>
              </w:rPr>
            </w:pPr>
            <w:proofErr w:type="spellStart"/>
            <w:r w:rsidRPr="00251707">
              <w:rPr>
                <w:rFonts w:ascii="Verdana" w:hAnsi="Verdana" w:cstheme="minorHAnsi"/>
                <w:sz w:val="20"/>
                <w:szCs w:val="20"/>
              </w:rPr>
              <w:t>Description</w:t>
            </w:r>
            <w:proofErr w:type="spellEnd"/>
          </w:p>
        </w:tc>
        <w:tc>
          <w:tcPr>
            <w:tcW w:w="508" w:type="pct"/>
            <w:shd w:val="clear" w:color="auto" w:fill="F2F2F2" w:themeFill="background1" w:themeFillShade="F2"/>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Função</w:t>
            </w:r>
          </w:p>
        </w:tc>
        <w:tc>
          <w:tcPr>
            <w:tcW w:w="2741" w:type="pct"/>
            <w:shd w:val="clear" w:color="auto" w:fill="F2F2F2" w:themeFill="background1" w:themeFillShade="F2"/>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Descrição</w:t>
            </w:r>
          </w:p>
        </w:tc>
      </w:tr>
      <w:tr w:rsidR="004531AC" w:rsidRPr="00251707" w:rsidTr="004531AC">
        <w:trPr>
          <w:trHeight w:val="1250"/>
        </w:trPr>
        <w:tc>
          <w:tcPr>
            <w:tcW w:w="507" w:type="pct"/>
            <w:shd w:val="clear" w:color="000000" w:fill="FFFFFF"/>
            <w:vAlign w:val="center"/>
          </w:tcPr>
          <w:p w:rsidR="004531AC" w:rsidRPr="00251707" w:rsidRDefault="004531AC" w:rsidP="005D599D">
            <w:pPr>
              <w:spacing w:after="0"/>
              <w:rPr>
                <w:rFonts w:ascii="Verdana" w:hAnsi="Verdana" w:cstheme="minorHAnsi"/>
                <w:sz w:val="20"/>
                <w:szCs w:val="20"/>
              </w:rPr>
            </w:pPr>
            <w:proofErr w:type="spellStart"/>
            <w:r w:rsidRPr="00251707">
              <w:rPr>
                <w:rFonts w:ascii="Verdana" w:hAnsi="Verdana" w:cstheme="minorHAnsi"/>
                <w:sz w:val="20"/>
                <w:szCs w:val="20"/>
              </w:rPr>
              <w:t>Decision-making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2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This is the head of the organization or persons that act on relatively high strategic management levels</w:t>
            </w:r>
          </w:p>
        </w:tc>
        <w:tc>
          <w:tcPr>
            <w:tcW w:w="508"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Nível decisório</w:t>
            </w:r>
          </w:p>
        </w:tc>
        <w:tc>
          <w:tcPr>
            <w:tcW w:w="274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Corresponde ao dirigente da organização ou às pessoas que intervêm em níveis relativamente elevados da gestão estratégica</w:t>
            </w:r>
          </w:p>
        </w:tc>
      </w:tr>
      <w:tr w:rsidR="004531AC" w:rsidRPr="00251707" w:rsidTr="004531AC">
        <w:trPr>
          <w:trHeight w:val="1871"/>
        </w:trPr>
        <w:tc>
          <w:tcPr>
            <w:tcW w:w="507" w:type="pct"/>
            <w:shd w:val="clear" w:color="000000" w:fill="FFFFFF"/>
            <w:vAlign w:val="center"/>
          </w:tcPr>
          <w:p w:rsidR="004531AC" w:rsidRPr="00251707" w:rsidRDefault="004531AC" w:rsidP="005D599D">
            <w:pPr>
              <w:spacing w:after="0"/>
              <w:rPr>
                <w:rFonts w:ascii="Verdana" w:hAnsi="Verdana" w:cstheme="minorHAnsi"/>
                <w:sz w:val="20"/>
                <w:szCs w:val="20"/>
              </w:rPr>
            </w:pPr>
            <w:proofErr w:type="spellStart"/>
            <w:r w:rsidRPr="00251707">
              <w:rPr>
                <w:rFonts w:ascii="Verdana" w:hAnsi="Verdana" w:cstheme="minorHAnsi"/>
                <w:sz w:val="20"/>
                <w:szCs w:val="20"/>
              </w:rPr>
              <w:t>Supervisory</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2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08"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Nível de supervisão</w:t>
            </w:r>
          </w:p>
        </w:tc>
        <w:tc>
          <w:tcPr>
            <w:tcW w:w="274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Corresponde ao nível de gestão intermédia, de responsabilidade por um grupo de pessoas e sem envolvimento direto na execução operacional do programa, por exemplo os chefes das unidades organizativas</w:t>
            </w:r>
          </w:p>
        </w:tc>
      </w:tr>
      <w:tr w:rsidR="004531AC" w:rsidRPr="00251707" w:rsidTr="004531AC">
        <w:trPr>
          <w:trHeight w:val="1439"/>
        </w:trPr>
        <w:tc>
          <w:tcPr>
            <w:tcW w:w="507" w:type="pct"/>
            <w:shd w:val="clear" w:color="000000" w:fill="FFFFFF"/>
            <w:vAlign w:val="center"/>
          </w:tcPr>
          <w:p w:rsidR="004531AC" w:rsidRPr="00251707" w:rsidRDefault="004531AC" w:rsidP="005D599D">
            <w:pPr>
              <w:spacing w:after="0"/>
              <w:rPr>
                <w:rFonts w:ascii="Verdana" w:hAnsi="Verdana" w:cstheme="minorHAnsi"/>
                <w:sz w:val="20"/>
                <w:szCs w:val="20"/>
              </w:rPr>
            </w:pPr>
            <w:proofErr w:type="spellStart"/>
            <w:r w:rsidRPr="00251707">
              <w:rPr>
                <w:rFonts w:ascii="Verdana" w:hAnsi="Verdana" w:cstheme="minorHAnsi"/>
                <w:sz w:val="20"/>
                <w:szCs w:val="20"/>
              </w:rPr>
              <w:t>Operational</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2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These are the experts that are directly working on the different tasks and sub-tasks within the organization</w:t>
            </w:r>
          </w:p>
        </w:tc>
        <w:tc>
          <w:tcPr>
            <w:tcW w:w="508"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Nível operacional</w:t>
            </w:r>
          </w:p>
        </w:tc>
        <w:tc>
          <w:tcPr>
            <w:tcW w:w="274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Corresponde aos peritos que desempenham as diferentes tarefas e subtarefas diretamente na organização</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2" w:name="_Toc494963495"/>
      <w:bookmarkStart w:id="3" w:name="_Toc508800426"/>
      <w:r>
        <w:lastRenderedPageBreak/>
        <w:t>Tarefas e subtarefas</w:t>
      </w:r>
      <w:bookmarkEnd w:id="2"/>
      <w:bookmarkEnd w:id="3"/>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4531AC" w:rsidRPr="00251707" w:rsidTr="00251707">
        <w:trPr>
          <w:trHeight w:val="345"/>
          <w:tblHeader/>
        </w:trPr>
        <w:tc>
          <w:tcPr>
            <w:tcW w:w="2604" w:type="pct"/>
            <w:gridSpan w:val="2"/>
            <w:shd w:val="clear" w:color="auto" w:fill="44546A" w:themeFill="text2"/>
            <w:vAlign w:val="center"/>
          </w:tcPr>
          <w:p w:rsidR="004531AC" w:rsidRPr="00251707" w:rsidRDefault="004531AC" w:rsidP="005D599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2396" w:type="pct"/>
            <w:gridSpan w:val="2"/>
            <w:shd w:val="clear" w:color="auto" w:fill="44546A" w:themeFill="text2"/>
            <w:vAlign w:val="center"/>
          </w:tcPr>
          <w:p w:rsidR="004531AC" w:rsidRPr="00251707" w:rsidRDefault="004531AC" w:rsidP="005D599D">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4531AC" w:rsidRPr="00251707" w:rsidTr="00251707">
        <w:trPr>
          <w:trHeight w:val="345"/>
          <w:tblHeader/>
        </w:trPr>
        <w:tc>
          <w:tcPr>
            <w:tcW w:w="902" w:type="pct"/>
            <w:shd w:val="clear" w:color="auto" w:fill="F2F2F2" w:themeFill="background1" w:themeFillShade="F2"/>
            <w:vAlign w:val="center"/>
          </w:tcPr>
          <w:p w:rsidR="004531AC" w:rsidRPr="00251707" w:rsidRDefault="004531AC" w:rsidP="005D599D">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4531AC" w:rsidRPr="00251707" w:rsidRDefault="004531AC" w:rsidP="005D599D">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4531AC" w:rsidRPr="00251707" w:rsidRDefault="004531AC" w:rsidP="005D599D">
            <w:pPr>
              <w:spacing w:after="0" w:line="240" w:lineRule="auto"/>
              <w:rPr>
                <w:rFonts w:ascii="Verdana" w:eastAsia="Times New Roman" w:hAnsi="Verdana" w:cstheme="minorHAnsi"/>
                <w:b/>
                <w:bCs/>
                <w:sz w:val="20"/>
                <w:szCs w:val="20"/>
              </w:rPr>
            </w:pPr>
            <w:r>
              <w:rPr>
                <w:rFonts w:ascii="Verdana" w:hAnsi="Verdana" w:cstheme="minorHAnsi"/>
                <w:b/>
                <w:sz w:val="20"/>
              </w:rPr>
              <w:t>Tarefas</w:t>
            </w:r>
          </w:p>
        </w:tc>
        <w:tc>
          <w:tcPr>
            <w:tcW w:w="1251" w:type="pct"/>
            <w:shd w:val="clear" w:color="auto" w:fill="F2F2F2" w:themeFill="background1" w:themeFillShade="F2"/>
            <w:vAlign w:val="center"/>
          </w:tcPr>
          <w:p w:rsidR="004531AC" w:rsidRPr="00251707" w:rsidRDefault="004531AC" w:rsidP="005D599D">
            <w:pPr>
              <w:spacing w:after="0" w:line="240" w:lineRule="auto"/>
              <w:rPr>
                <w:rFonts w:ascii="Verdana" w:eastAsia="Times New Roman" w:hAnsi="Verdana" w:cstheme="minorHAnsi"/>
                <w:b/>
                <w:bCs/>
                <w:sz w:val="20"/>
                <w:szCs w:val="20"/>
              </w:rPr>
            </w:pPr>
            <w:r>
              <w:rPr>
                <w:rFonts w:ascii="Verdana" w:hAnsi="Verdana" w:cstheme="minorHAnsi"/>
                <w:b/>
                <w:sz w:val="20"/>
              </w:rPr>
              <w:t>Subtarefas</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1. </w:t>
            </w:r>
            <w:proofErr w:type="spellStart"/>
            <w:r w:rsidRPr="00251707">
              <w:rPr>
                <w:rFonts w:ascii="Verdana" w:hAnsi="Verdana" w:cstheme="minorHAnsi"/>
                <w:sz w:val="20"/>
                <w:szCs w:val="20"/>
              </w:rPr>
              <w:t>Programming</w:t>
            </w:r>
            <w:proofErr w:type="spellEnd"/>
            <w:r w:rsidRPr="00251707">
              <w:rPr>
                <w:rFonts w:ascii="Verdana" w:hAnsi="Verdana" w:cstheme="minorHAnsi"/>
                <w:sz w:val="20"/>
                <w:szCs w:val="20"/>
              </w:rPr>
              <w:t xml:space="preserve">   </w:t>
            </w: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1.1. Inter-institutional coordination and stakeholder involvement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1. Programação   </w:t>
            </w: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1.1. Coordenação interinstitucional e participação das partes interessadas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1.</w:t>
            </w:r>
            <w:proofErr w:type="gramStart"/>
            <w:r w:rsidRPr="00251707">
              <w:rPr>
                <w:rFonts w:ascii="Verdana" w:hAnsi="Verdana" w:cstheme="minorHAnsi"/>
                <w:sz w:val="20"/>
                <w:szCs w:val="20"/>
              </w:rPr>
              <w:t xml:space="preserve">2.  </w:t>
            </w:r>
            <w:proofErr w:type="spellStart"/>
            <w:r w:rsidRPr="00251707">
              <w:rPr>
                <w:rFonts w:ascii="Verdana" w:hAnsi="Verdana" w:cstheme="minorHAnsi"/>
                <w:sz w:val="20"/>
                <w:szCs w:val="20"/>
              </w:rPr>
              <w:t>Preparation</w:t>
            </w:r>
            <w:proofErr w:type="spellEnd"/>
            <w:proofErr w:type="gramEnd"/>
            <w:r w:rsidRPr="00251707">
              <w:rPr>
                <w:rFonts w:ascii="Verdana" w:hAnsi="Verdana" w:cstheme="minorHAnsi"/>
                <w:sz w:val="20"/>
                <w:szCs w:val="20"/>
              </w:rPr>
              <w:t xml:space="preserve"> </w:t>
            </w:r>
            <w:proofErr w:type="spellStart"/>
            <w:r w:rsidRPr="00251707">
              <w:rPr>
                <w:rFonts w:ascii="Verdana" w:hAnsi="Verdana" w:cstheme="minorHAnsi"/>
                <w:sz w:val="20"/>
                <w:szCs w:val="20"/>
              </w:rPr>
              <w:t>of</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the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1.</w:t>
            </w:r>
            <w:proofErr w:type="gramStart"/>
            <w:r>
              <w:rPr>
                <w:rFonts w:ascii="Verdana" w:hAnsi="Verdana" w:cstheme="minorHAnsi"/>
                <w:sz w:val="20"/>
              </w:rPr>
              <w:t>2.  Elaboração</w:t>
            </w:r>
            <w:proofErr w:type="gramEnd"/>
            <w:r>
              <w:rPr>
                <w:rFonts w:ascii="Verdana" w:hAnsi="Verdana" w:cstheme="minorHAnsi"/>
                <w:sz w:val="20"/>
              </w:rPr>
              <w:t xml:space="preserve"> do programa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1.3. Management of the evaluation process (ex-ante)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1.3. Gestão do processo de avaliação (</w:t>
            </w:r>
            <w:r>
              <w:rPr>
                <w:rFonts w:ascii="Verdana" w:hAnsi="Verdana" w:cstheme="minorHAnsi"/>
                <w:i/>
                <w:sz w:val="20"/>
              </w:rPr>
              <w:t>ex ante</w:t>
            </w:r>
            <w:r>
              <w:rPr>
                <w:rFonts w:ascii="Verdana" w:hAnsi="Verdana" w:cstheme="minorHAnsi"/>
                <w:sz w:val="20"/>
              </w:rPr>
              <w:t xml:space="preserve">)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1.4. </w:t>
            </w:r>
            <w:proofErr w:type="spellStart"/>
            <w:r w:rsidRPr="00251707">
              <w:rPr>
                <w:rFonts w:ascii="Verdana" w:hAnsi="Verdana" w:cstheme="minorHAnsi"/>
                <w:sz w:val="20"/>
                <w:szCs w:val="20"/>
              </w:rPr>
              <w:t>Negotiation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with</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the</w:t>
            </w:r>
            <w:proofErr w:type="spellEnd"/>
            <w:r w:rsidRPr="00251707">
              <w:rPr>
                <w:rFonts w:ascii="Verdana" w:hAnsi="Verdana" w:cstheme="minorHAnsi"/>
                <w:sz w:val="20"/>
                <w:szCs w:val="20"/>
              </w:rPr>
              <w:t xml:space="preserve"> EC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1.4. Negociação com a CE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1.5 Procurement of goods and services under Technical Assistance</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1.5 Contratação pública de bens e serviços no âmbito da assistência técnica</w:t>
            </w:r>
          </w:p>
        </w:tc>
      </w:tr>
      <w:tr w:rsidR="004531AC" w:rsidRPr="00251707" w:rsidTr="00251707">
        <w:trPr>
          <w:trHeight w:val="345"/>
        </w:trPr>
        <w:tc>
          <w:tcPr>
            <w:tcW w:w="9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2. System set-up, development of procedures and tools</w:t>
            </w: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2.1. Development of the description of management and control systems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2. Configuração do sistema, desenvolvimento de procedimentos e ferramentas</w:t>
            </w: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2.1. Desenvolvimento da descrição dos sistemas de gestão e controlo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2.2. Legal </w:t>
            </w:r>
            <w:proofErr w:type="spellStart"/>
            <w:r w:rsidRPr="00251707">
              <w:rPr>
                <w:rFonts w:ascii="Verdana" w:hAnsi="Verdana" w:cstheme="minorHAnsi"/>
                <w:sz w:val="20"/>
                <w:szCs w:val="20"/>
              </w:rPr>
              <w:t>system</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set-up</w:t>
            </w:r>
            <w:proofErr w:type="spellEnd"/>
            <w:r w:rsidRPr="00251707">
              <w:rPr>
                <w:rFonts w:ascii="Verdana" w:hAnsi="Verdana" w:cstheme="minorHAnsi"/>
                <w:sz w:val="20"/>
                <w:szCs w:val="20"/>
              </w:rPr>
              <w:t xml:space="preserve">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2.2. Estabelecimento do regime jurídico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2.3  Development of the procedures and tools for Programme implementation</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2.3 Desenvolvimento dos procedimentos e ferramentas para a execução do programa</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2.4. Development and maintenance of monitoring and information systems and e-cohesion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2.4. Desenvolvimento e manutenção de sistemas de acompanhamento e informação e da coesão eletrónica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2.5 Development of institutional and administrative capacity</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2.5 Desenvolvimento da capacidade institucional e administrativa</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2.6. Procurement of goods and services </w:t>
            </w:r>
            <w:r w:rsidRPr="004531AC">
              <w:rPr>
                <w:rFonts w:ascii="Verdana" w:hAnsi="Verdana" w:cstheme="minorHAnsi"/>
                <w:sz w:val="20"/>
                <w:szCs w:val="20"/>
                <w:lang w:val="en-GB"/>
              </w:rPr>
              <w:lastRenderedPageBreak/>
              <w:t xml:space="preserve">under Technical Assistance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2.6. Contratação pública de </w:t>
            </w:r>
            <w:r>
              <w:rPr>
                <w:rFonts w:ascii="Verdana" w:hAnsi="Verdana" w:cstheme="minorHAnsi"/>
                <w:sz w:val="20"/>
              </w:rPr>
              <w:lastRenderedPageBreak/>
              <w:t xml:space="preserve">bens e serviços no âmbito da assistência técnica </w:t>
            </w:r>
          </w:p>
        </w:tc>
      </w:tr>
      <w:tr w:rsidR="004531AC" w:rsidRPr="00251707" w:rsidTr="00251707">
        <w:trPr>
          <w:trHeight w:val="345"/>
        </w:trPr>
        <w:tc>
          <w:tcPr>
            <w:tcW w:w="9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lastRenderedPageBreak/>
              <w:t>3. Project generation, preparation of calls for proposals, project selection and contracting</w:t>
            </w: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3. Conceção do projeto, preparação de convites à apresentação de propostas, seleção de projetos e adjudicação de contratos</w:t>
            </w: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3.1 Prestação de apoio aos candidatos relativamente aos aspetos técnicos e financeiros dos requisitos do projeto, incluindo o reforço das capacidades ao nível dos beneficiários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3.2. Preparation of proposals for selection criteria and selection procedures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3.2. Elaboração de propostas relativas aos critérios de seleção e aos procedimentos de seleção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3.3. Preparation / modification of guidelines for applicants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3.3. Elaboração/modificação de orientações para os candidatos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3.4. Administrative and eligibility check (completeness of the package and compliance with relevant laws and regulations)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3.4. Controlo administrativo e verificação da elegibilidade (integralidade do pacote e conformidade com a legislação e regulamentação pertinentes)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3.5. Apreciação (classificação das candidaturas, gestão dos recursos, elaboração da lista de projetos, comunicação dos resultados aos decisores e aos candidatos)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3.6. Development and amendment of procedures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3.6. Desenvolvimento e alteração dos procedimentos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3.7. </w:t>
            </w:r>
            <w:proofErr w:type="spellStart"/>
            <w:r w:rsidRPr="00251707">
              <w:rPr>
                <w:rFonts w:ascii="Verdana" w:hAnsi="Verdana" w:cstheme="minorHAnsi"/>
                <w:sz w:val="20"/>
                <w:szCs w:val="20"/>
              </w:rPr>
              <w:t>Awareness</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and</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support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activities</w:t>
            </w:r>
            <w:proofErr w:type="spellEnd"/>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3.7. Atividades de sensibilização e de apoio</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3.8. Procurement of goods and services under Technical Assistance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3.8. Contratação pública de bens e serviços no âmbito da assistência técnica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4.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project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4.1. Technical monitoring and on the spot verifications at project level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4. Acompanhamento ao nível do projeto</w:t>
            </w: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4.1. Acompanhamento técnico e verificações no local ao nível do projeto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4.2. Providing advice to beneficiaries on project implementation issues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4.2. Prestação de aconselhamento aos beneficiários sobre questões relacionadas com a execução do projeto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4.3. </w:t>
            </w:r>
            <w:proofErr w:type="spellStart"/>
            <w:r w:rsidRPr="00251707">
              <w:rPr>
                <w:rFonts w:ascii="Verdana" w:hAnsi="Verdana" w:cstheme="minorHAnsi"/>
                <w:sz w:val="20"/>
                <w:szCs w:val="20"/>
              </w:rPr>
              <w:t>Finding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and</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reporting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irregularities</w:t>
            </w:r>
            <w:proofErr w:type="spellEnd"/>
            <w:r w:rsidRPr="00251707">
              <w:rPr>
                <w:rFonts w:ascii="Verdana" w:hAnsi="Verdana" w:cstheme="minorHAnsi"/>
                <w:sz w:val="20"/>
                <w:szCs w:val="20"/>
              </w:rPr>
              <w:t xml:space="preserve">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4.3. Verificação e comunicação de irregularidades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4.4 Procurement of goods and services under Technical Assistance</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4.4 Contratação pública de bens e serviços no âmbito da assistência técnica</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5.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5.1. Measurement of the performance of the PA/Measure (planning, monitoring, forecasting, revising)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5. Acompanhamento ao nível do programa</w:t>
            </w: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5.1. Aferição do desempenho d</w:t>
            </w:r>
            <w:r w:rsidR="005D599D">
              <w:rPr>
                <w:rFonts w:ascii="Verdana" w:hAnsi="Verdana" w:cstheme="minorHAnsi"/>
                <w:sz w:val="20"/>
              </w:rPr>
              <w:t>o</w:t>
            </w:r>
            <w:r>
              <w:rPr>
                <w:rFonts w:ascii="Verdana" w:hAnsi="Verdana" w:cstheme="minorHAnsi"/>
                <w:sz w:val="20"/>
              </w:rPr>
              <w:t xml:space="preserve"> </w:t>
            </w:r>
            <w:r w:rsidR="00E6677A">
              <w:t>eixo prioritário</w:t>
            </w:r>
            <w:r>
              <w:rPr>
                <w:rFonts w:ascii="Verdana" w:hAnsi="Verdana" w:cstheme="minorHAnsi"/>
                <w:sz w:val="20"/>
              </w:rPr>
              <w:t xml:space="preserve">/Medida (planificação, acompanhamento, previsão, revisão)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5.2. Aferição do desempenho do programa operacional (planificação, acompanhamento, previsão, revisão e medidas corretivas)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5.3. Reporting to the Monitoring Committee and European Commission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5.3. Apresentação de relatórios ao Comité de Acompanhamento e à Comissão Europeia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5.4. Development and amendment of </w:t>
            </w:r>
            <w:r w:rsidRPr="004531AC">
              <w:rPr>
                <w:rFonts w:ascii="Verdana" w:hAnsi="Verdana" w:cstheme="minorHAnsi"/>
                <w:sz w:val="20"/>
                <w:szCs w:val="20"/>
                <w:lang w:val="en-GB"/>
              </w:rPr>
              <w:lastRenderedPageBreak/>
              <w:t xml:space="preserve">monitoring procedures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5.4. Desenvolvimento e </w:t>
            </w:r>
            <w:r>
              <w:rPr>
                <w:rFonts w:ascii="Verdana" w:hAnsi="Verdana" w:cstheme="minorHAnsi"/>
                <w:sz w:val="20"/>
              </w:rPr>
              <w:lastRenderedPageBreak/>
              <w:t xml:space="preserve">alteração dos procedimentos de acompanhamento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5.5. </w:t>
            </w:r>
            <w:proofErr w:type="spellStart"/>
            <w:r w:rsidRPr="00251707">
              <w:rPr>
                <w:rFonts w:ascii="Verdana" w:hAnsi="Verdana" w:cstheme="minorHAnsi"/>
                <w:sz w:val="20"/>
                <w:szCs w:val="20"/>
              </w:rPr>
              <w:t>Supporting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the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Monitoring</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Committee</w:t>
            </w:r>
            <w:proofErr w:type="spellEnd"/>
            <w:r w:rsidRPr="00251707">
              <w:rPr>
                <w:rFonts w:ascii="Verdana" w:hAnsi="Verdana" w:cstheme="minorHAnsi"/>
                <w:sz w:val="20"/>
                <w:szCs w:val="20"/>
              </w:rPr>
              <w:t xml:space="preserve">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5.5. Prestação de assistência ao Comité de Acompanhamento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5.6. Procurement of goods and services under Technical Assistance</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5.6. Contratação pública de bens e serviços no âmbito da assistência técnica</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6. </w:t>
            </w:r>
            <w:proofErr w:type="spellStart"/>
            <w:r w:rsidRPr="00251707">
              <w:rPr>
                <w:rFonts w:ascii="Verdana" w:hAnsi="Verdana" w:cstheme="minorHAnsi"/>
                <w:sz w:val="20"/>
                <w:szCs w:val="20"/>
              </w:rPr>
              <w:t>Evaluation</w:t>
            </w:r>
            <w:proofErr w:type="spellEnd"/>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6.1. Preparing and guiding the evaluation process (outsourced)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6. Avaliação</w:t>
            </w: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6.1. Preparação e orientação do processo de avaliação (externalizada)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6.2. </w:t>
            </w:r>
            <w:proofErr w:type="spellStart"/>
            <w:r w:rsidRPr="00251707">
              <w:rPr>
                <w:rFonts w:ascii="Verdana" w:hAnsi="Verdana" w:cstheme="minorHAnsi"/>
                <w:sz w:val="20"/>
                <w:szCs w:val="20"/>
              </w:rPr>
              <w:t>Carrying</w:t>
            </w:r>
            <w:proofErr w:type="spellEnd"/>
            <w:r w:rsidRPr="00251707">
              <w:rPr>
                <w:rFonts w:ascii="Verdana" w:hAnsi="Verdana" w:cstheme="minorHAnsi"/>
                <w:sz w:val="20"/>
                <w:szCs w:val="20"/>
              </w:rPr>
              <w:t xml:space="preserve"> out </w:t>
            </w:r>
            <w:proofErr w:type="spellStart"/>
            <w:r w:rsidRPr="00251707">
              <w:rPr>
                <w:rFonts w:ascii="Verdana" w:hAnsi="Verdana" w:cstheme="minorHAnsi"/>
                <w:sz w:val="20"/>
                <w:szCs w:val="20"/>
              </w:rPr>
              <w:t>evaluation</w:t>
            </w:r>
            <w:proofErr w:type="spellEnd"/>
            <w:r w:rsidRPr="00251707">
              <w:rPr>
                <w:rFonts w:ascii="Verdana" w:hAnsi="Verdana" w:cstheme="minorHAnsi"/>
                <w:sz w:val="20"/>
                <w:szCs w:val="20"/>
              </w:rPr>
              <w:t xml:space="preserve">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6.2. Realização de avaliações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6.3. Usage of results: involved in the identification and implementation of follow up actions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6.3. Utilização dos resultados: no âmbito da identificação e execução de ações de acompanhamento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6.4. </w:t>
            </w:r>
            <w:proofErr w:type="spellStart"/>
            <w:r w:rsidRPr="00251707">
              <w:rPr>
                <w:rFonts w:ascii="Verdana" w:hAnsi="Verdana" w:cstheme="minorHAnsi"/>
                <w:sz w:val="20"/>
                <w:szCs w:val="20"/>
              </w:rPr>
              <w:t>Ex-ante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conditionalities</w:t>
            </w:r>
            <w:proofErr w:type="spellEnd"/>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6.4. Condicionalidades </w:t>
            </w:r>
            <w:r>
              <w:rPr>
                <w:rFonts w:ascii="Verdana" w:hAnsi="Verdana" w:cstheme="minorHAnsi"/>
                <w:i/>
                <w:sz w:val="20"/>
              </w:rPr>
              <w:t xml:space="preserve">ex </w:t>
            </w:r>
            <w:proofErr w:type="gramStart"/>
            <w:r>
              <w:rPr>
                <w:rFonts w:ascii="Verdana" w:hAnsi="Verdana" w:cstheme="minorHAnsi"/>
                <w:i/>
                <w:sz w:val="20"/>
              </w:rPr>
              <w:t>ante</w:t>
            </w:r>
            <w:proofErr w:type="gramEnd"/>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6.5. Procurement of goods and services under Technical Assistance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6.5. Contratação pública de bens e serviços no âmbito da assistência técnica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7. Financial management </w:t>
            </w:r>
            <w:proofErr w:type="spellStart"/>
            <w:r w:rsidRPr="00251707">
              <w:rPr>
                <w:rFonts w:ascii="Verdana" w:hAnsi="Verdana" w:cstheme="minorHAnsi"/>
                <w:sz w:val="20"/>
                <w:szCs w:val="20"/>
              </w:rPr>
              <w:t>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project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7.1. Verification of payment claims and first level control reports at project level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7. Gestão financeira ao nível do projeto</w:t>
            </w: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7.1. Verificação dos pedidos de pagamento e relatórios de controlo de primeiro nível ao nível do projeto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7.2. Financial monitoring and on the spot verifications at project level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7.2. Acompanhamento técnico e verificações no local ao nível do projeto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7.3. Procurement of goods and services under Technical Assistance</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7.3. Contratação pública de bens e serviços no âmbito da assistência técnica</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8. Financial </w:t>
            </w:r>
            <w:r w:rsidRPr="00251707">
              <w:rPr>
                <w:rFonts w:ascii="Verdana" w:hAnsi="Verdana" w:cstheme="minorHAnsi"/>
                <w:sz w:val="20"/>
                <w:szCs w:val="20"/>
              </w:rPr>
              <w:lastRenderedPageBreak/>
              <w:t xml:space="preserve">management </w:t>
            </w:r>
            <w:proofErr w:type="spellStart"/>
            <w:r w:rsidRPr="00251707">
              <w:rPr>
                <w:rFonts w:ascii="Verdana" w:hAnsi="Verdana" w:cstheme="minorHAnsi"/>
                <w:sz w:val="20"/>
                <w:szCs w:val="20"/>
              </w:rPr>
              <w:t>on</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programme</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level</w:t>
            </w:r>
            <w:proofErr w:type="spellEnd"/>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lastRenderedPageBreak/>
              <w:t xml:space="preserve">8.1. Measurement of the financial </w:t>
            </w:r>
            <w:r w:rsidRPr="004531AC">
              <w:rPr>
                <w:rFonts w:ascii="Verdana" w:hAnsi="Verdana" w:cstheme="minorHAnsi"/>
                <w:sz w:val="20"/>
                <w:szCs w:val="20"/>
                <w:lang w:val="en-GB"/>
              </w:rPr>
              <w:lastRenderedPageBreak/>
              <w:t xml:space="preserve">performance of PA/Measure (planning, monitoring, forecasting, revising)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lastRenderedPageBreak/>
              <w:t xml:space="preserve">8. Gestão financeira ao </w:t>
            </w:r>
            <w:r>
              <w:rPr>
                <w:rFonts w:ascii="Verdana" w:hAnsi="Verdana" w:cstheme="minorHAnsi"/>
                <w:sz w:val="20"/>
              </w:rPr>
              <w:lastRenderedPageBreak/>
              <w:t>nível do programa</w:t>
            </w: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lastRenderedPageBreak/>
              <w:t xml:space="preserve">8.1. Aferição do desempenho </w:t>
            </w:r>
            <w:r>
              <w:rPr>
                <w:rFonts w:ascii="Verdana" w:hAnsi="Verdana" w:cstheme="minorHAnsi"/>
                <w:sz w:val="20"/>
              </w:rPr>
              <w:lastRenderedPageBreak/>
              <w:t>financeiro d</w:t>
            </w:r>
            <w:r w:rsidR="005D599D">
              <w:rPr>
                <w:rFonts w:ascii="Verdana" w:hAnsi="Verdana" w:cstheme="minorHAnsi"/>
                <w:sz w:val="20"/>
              </w:rPr>
              <w:t>o</w:t>
            </w:r>
            <w:r>
              <w:rPr>
                <w:rFonts w:ascii="Verdana" w:hAnsi="Verdana" w:cstheme="minorHAnsi"/>
                <w:sz w:val="20"/>
              </w:rPr>
              <w:t xml:space="preserve"> </w:t>
            </w:r>
            <w:r w:rsidR="00E6677A">
              <w:t>eixo prioritário</w:t>
            </w:r>
            <w:bookmarkStart w:id="4" w:name="_GoBack"/>
            <w:bookmarkEnd w:id="4"/>
            <w:r>
              <w:rPr>
                <w:rFonts w:ascii="Verdana" w:hAnsi="Verdana" w:cstheme="minorHAnsi"/>
                <w:sz w:val="20"/>
              </w:rPr>
              <w:t xml:space="preserve">/Medida (planificação, acompanhamento, previsão, revisão) </w:t>
            </w:r>
          </w:p>
        </w:tc>
      </w:tr>
      <w:tr w:rsidR="004531AC" w:rsidRPr="00251707" w:rsidTr="00251707">
        <w:trPr>
          <w:trHeight w:val="741"/>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8.2. Aferição do desempenho financeiro do programa operacional (planificação, acompanhamento, previsão, revisão e medidas corretivas).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8.3. Reporting to Monitoring Committee and European Commission including management declaration and annual summary (CPR 125.4(e)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8.3. Apresentação de relatórios ao Comité de Acompanhamento e à Comissão Europeia, incluindo a declaração relativa à gestão e a síntese anual dos relatórios (artigo 125.º, n.º 4, alínea e) do RDC)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8.4. Development and amendment of financial management procedures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8.4. Desenvolvimento e alteração dos procedimentos de gestão financeira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8.5. Procurement of goods and services under Technical Assistance</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8.5. Contratação pública de bens e serviços no âmbito da assistência técnica</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r w:rsidRPr="00251707">
              <w:rPr>
                <w:rFonts w:ascii="Verdana" w:hAnsi="Verdana" w:cstheme="minorHAnsi"/>
                <w:sz w:val="20"/>
                <w:szCs w:val="20"/>
              </w:rPr>
              <w:t xml:space="preserve">9. </w:t>
            </w:r>
            <w:proofErr w:type="spellStart"/>
            <w:r w:rsidRPr="00251707">
              <w:rPr>
                <w:rFonts w:ascii="Verdana" w:hAnsi="Verdana" w:cstheme="minorHAnsi"/>
                <w:sz w:val="20"/>
                <w:szCs w:val="20"/>
              </w:rPr>
              <w:t>Communication</w:t>
            </w:r>
            <w:proofErr w:type="spellEnd"/>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9.1. Preparation of the communication plan and its implementation for different stakeholders </w:t>
            </w:r>
          </w:p>
        </w:tc>
        <w:tc>
          <w:tcPr>
            <w:tcW w:w="1145"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9. Comunicação</w:t>
            </w: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9.1. Elaboração do plano de comunicação e respetiva aplicação para as diferentes </w:t>
            </w:r>
            <w:proofErr w:type="gramStart"/>
            <w:r>
              <w:rPr>
                <w:rFonts w:ascii="Verdana" w:hAnsi="Verdana" w:cstheme="minorHAnsi"/>
                <w:sz w:val="20"/>
              </w:rPr>
              <w:t>partes</w:t>
            </w:r>
            <w:proofErr w:type="gramEnd"/>
            <w:r>
              <w:rPr>
                <w:rFonts w:ascii="Verdana" w:hAnsi="Verdana" w:cstheme="minorHAnsi"/>
                <w:sz w:val="20"/>
              </w:rPr>
              <w:t xml:space="preserve"> interessadas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9.2. Building networks with different media </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9.2. Constituição de redes com diferentes meios de comunicação </w:t>
            </w:r>
          </w:p>
        </w:tc>
      </w:tr>
      <w:tr w:rsidR="004531AC" w:rsidRPr="00251707" w:rsidTr="00251707">
        <w:trPr>
          <w:trHeight w:val="345"/>
        </w:trPr>
        <w:tc>
          <w:tcPr>
            <w:tcW w:w="902" w:type="pct"/>
            <w:shd w:val="clear" w:color="000000" w:fill="FFFFFF"/>
            <w:vAlign w:val="center"/>
          </w:tcPr>
          <w:p w:rsidR="004531AC" w:rsidRPr="00251707" w:rsidRDefault="004531AC" w:rsidP="005D599D">
            <w:pPr>
              <w:spacing w:after="0"/>
              <w:rPr>
                <w:rFonts w:ascii="Verdana" w:hAnsi="Verdana" w:cstheme="minorHAnsi"/>
                <w:sz w:val="20"/>
                <w:szCs w:val="20"/>
              </w:rPr>
            </w:pPr>
          </w:p>
        </w:tc>
        <w:tc>
          <w:tcPr>
            <w:tcW w:w="170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9.3. Procurement of goods and services </w:t>
            </w:r>
            <w:r w:rsidRPr="004531AC">
              <w:rPr>
                <w:rFonts w:ascii="Verdana" w:hAnsi="Verdana" w:cstheme="minorHAnsi"/>
                <w:sz w:val="20"/>
                <w:szCs w:val="20"/>
                <w:lang w:val="en-GB"/>
              </w:rPr>
              <w:lastRenderedPageBreak/>
              <w:t>under Technical Assistance</w:t>
            </w:r>
          </w:p>
        </w:tc>
        <w:tc>
          <w:tcPr>
            <w:tcW w:w="114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p>
        </w:tc>
        <w:tc>
          <w:tcPr>
            <w:tcW w:w="1251" w:type="pct"/>
            <w:shd w:val="clear" w:color="000000" w:fill="FFFFFF"/>
            <w:vAlign w:val="center"/>
          </w:tcPr>
          <w:p w:rsidR="004531AC" w:rsidRPr="00251707" w:rsidRDefault="004531AC" w:rsidP="005D599D">
            <w:pPr>
              <w:spacing w:after="0"/>
              <w:rPr>
                <w:rFonts w:ascii="Verdana" w:hAnsi="Verdana" w:cstheme="minorHAnsi"/>
                <w:sz w:val="20"/>
                <w:szCs w:val="20"/>
              </w:rPr>
            </w:pPr>
            <w:r>
              <w:rPr>
                <w:rFonts w:ascii="Verdana" w:hAnsi="Verdana" w:cstheme="minorHAnsi"/>
                <w:sz w:val="20"/>
              </w:rPr>
              <w:t xml:space="preserve">9.3. Contratação pública de </w:t>
            </w:r>
            <w:r>
              <w:rPr>
                <w:rFonts w:ascii="Verdana" w:hAnsi="Verdana" w:cstheme="minorHAnsi"/>
                <w:sz w:val="20"/>
              </w:rPr>
              <w:lastRenderedPageBreak/>
              <w:t>bens e serviços no âmbito da assistência técnica</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8800427"/>
      <w:r>
        <w:lastRenderedPageBreak/>
        <w:t>Escala de proficiência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4531AC" w:rsidRPr="00251707" w:rsidTr="00F451DA">
        <w:trPr>
          <w:trHeight w:val="377"/>
          <w:tblHeader/>
        </w:trPr>
        <w:tc>
          <w:tcPr>
            <w:tcW w:w="2396" w:type="pct"/>
            <w:gridSpan w:val="2"/>
            <w:shd w:val="clear" w:color="auto" w:fill="44546A" w:themeFill="text2"/>
            <w:vAlign w:val="center"/>
          </w:tcPr>
          <w:p w:rsidR="004531AC" w:rsidRPr="00251707" w:rsidRDefault="004531AC" w:rsidP="005D599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2604" w:type="pct"/>
            <w:gridSpan w:val="2"/>
            <w:shd w:val="clear" w:color="auto" w:fill="44546A" w:themeFill="text2"/>
            <w:vAlign w:val="center"/>
          </w:tcPr>
          <w:p w:rsidR="004531AC" w:rsidRPr="00251707" w:rsidRDefault="004531AC" w:rsidP="005D599D">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4531AC" w:rsidRPr="00251707" w:rsidTr="006645FC">
        <w:trPr>
          <w:trHeight w:val="332"/>
          <w:tblHeader/>
        </w:trPr>
        <w:tc>
          <w:tcPr>
            <w:tcW w:w="658" w:type="pct"/>
            <w:shd w:val="clear" w:color="auto" w:fill="F2F2F2" w:themeFill="background1" w:themeFillShade="F2"/>
          </w:tcPr>
          <w:p w:rsidR="004531AC" w:rsidRPr="00251707" w:rsidRDefault="004531AC" w:rsidP="005D599D">
            <w:pPr>
              <w:spacing w:after="0" w:line="240" w:lineRule="auto"/>
              <w:rPr>
                <w:rFonts w:ascii="Verdana" w:hAnsi="Verdana" w:cstheme="minorHAnsi"/>
                <w:sz w:val="20"/>
                <w:szCs w:val="20"/>
              </w:rPr>
            </w:pPr>
            <w:proofErr w:type="spellStart"/>
            <w:r w:rsidRPr="00251707">
              <w:rPr>
                <w:rFonts w:ascii="Verdana" w:hAnsi="Verdana" w:cstheme="minorHAnsi"/>
                <w:sz w:val="20"/>
                <w:szCs w:val="20"/>
              </w:rPr>
              <w:t>Scale</w:t>
            </w:r>
            <w:proofErr w:type="spellEnd"/>
            <w:r w:rsidRPr="00251707">
              <w:rPr>
                <w:rFonts w:ascii="Verdana" w:hAnsi="Verdana" w:cstheme="minorHAnsi"/>
                <w:sz w:val="20"/>
                <w:szCs w:val="20"/>
              </w:rPr>
              <w:t xml:space="preserve"> </w:t>
            </w:r>
          </w:p>
        </w:tc>
        <w:tc>
          <w:tcPr>
            <w:tcW w:w="1738" w:type="pct"/>
            <w:shd w:val="clear" w:color="auto" w:fill="F2F2F2" w:themeFill="background1" w:themeFillShade="F2"/>
          </w:tcPr>
          <w:p w:rsidR="004531AC" w:rsidRPr="00251707" w:rsidRDefault="004531AC" w:rsidP="005D599D">
            <w:pPr>
              <w:spacing w:after="0" w:line="240" w:lineRule="auto"/>
              <w:rPr>
                <w:rFonts w:ascii="Verdana" w:hAnsi="Verdana" w:cstheme="minorHAnsi"/>
                <w:sz w:val="20"/>
                <w:szCs w:val="20"/>
              </w:rPr>
            </w:pPr>
            <w:proofErr w:type="spellStart"/>
            <w:r w:rsidRPr="00251707">
              <w:rPr>
                <w:rFonts w:ascii="Verdana" w:hAnsi="Verdana" w:cstheme="minorHAnsi"/>
                <w:sz w:val="20"/>
                <w:szCs w:val="20"/>
              </w:rPr>
              <w:t>Description</w:t>
            </w:r>
            <w:proofErr w:type="spellEnd"/>
            <w:r w:rsidRPr="00251707">
              <w:rPr>
                <w:rFonts w:ascii="Verdana" w:hAnsi="Verdana" w:cstheme="minorHAnsi"/>
                <w:sz w:val="20"/>
                <w:szCs w:val="20"/>
              </w:rPr>
              <w:t xml:space="preserve"> </w:t>
            </w:r>
          </w:p>
        </w:tc>
        <w:tc>
          <w:tcPr>
            <w:tcW w:w="590" w:type="pct"/>
            <w:shd w:val="clear" w:color="auto" w:fill="F2F2F2" w:themeFill="background1" w:themeFillShade="F2"/>
          </w:tcPr>
          <w:p w:rsidR="004531AC" w:rsidRPr="00251707" w:rsidRDefault="004531AC" w:rsidP="005D599D">
            <w:pPr>
              <w:spacing w:after="0" w:line="240" w:lineRule="auto"/>
              <w:rPr>
                <w:rFonts w:ascii="Verdana" w:hAnsi="Verdana" w:cstheme="minorHAnsi"/>
                <w:sz w:val="20"/>
                <w:szCs w:val="20"/>
              </w:rPr>
            </w:pPr>
            <w:r>
              <w:rPr>
                <w:rFonts w:ascii="Verdana" w:hAnsi="Verdana" w:cstheme="minorHAnsi"/>
                <w:sz w:val="20"/>
              </w:rPr>
              <w:t xml:space="preserve">Escala </w:t>
            </w:r>
          </w:p>
        </w:tc>
        <w:tc>
          <w:tcPr>
            <w:tcW w:w="2014" w:type="pct"/>
            <w:shd w:val="clear" w:color="auto" w:fill="F2F2F2" w:themeFill="background1" w:themeFillShade="F2"/>
          </w:tcPr>
          <w:p w:rsidR="004531AC" w:rsidRPr="00251707" w:rsidRDefault="004531AC" w:rsidP="005D599D">
            <w:pPr>
              <w:spacing w:after="0" w:line="240" w:lineRule="auto"/>
              <w:rPr>
                <w:rFonts w:ascii="Verdana" w:hAnsi="Verdana" w:cstheme="minorHAnsi"/>
                <w:sz w:val="20"/>
                <w:szCs w:val="20"/>
              </w:rPr>
            </w:pPr>
            <w:r>
              <w:rPr>
                <w:rFonts w:ascii="Verdana" w:hAnsi="Verdana" w:cstheme="minorHAnsi"/>
                <w:sz w:val="20"/>
              </w:rPr>
              <w:t xml:space="preserve">Descrição </w:t>
            </w:r>
          </w:p>
        </w:tc>
      </w:tr>
      <w:tr w:rsidR="004531AC" w:rsidRPr="00251707" w:rsidTr="004531AC">
        <w:trPr>
          <w:trHeight w:val="566"/>
        </w:trPr>
        <w:tc>
          <w:tcPr>
            <w:tcW w:w="658"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N.A. - </w:t>
            </w:r>
            <w:proofErr w:type="spellStart"/>
            <w:r w:rsidRPr="00251707">
              <w:rPr>
                <w:rFonts w:ascii="Verdana" w:hAnsi="Verdana" w:cstheme="minorHAnsi"/>
                <w:sz w:val="20"/>
                <w:szCs w:val="20"/>
              </w:rPr>
              <w:t>Not</w:t>
            </w:r>
            <w:proofErr w:type="spellEnd"/>
            <w:r w:rsidRPr="00251707">
              <w:rPr>
                <w:rFonts w:ascii="Verdana" w:hAnsi="Verdana" w:cstheme="minorHAnsi"/>
                <w:sz w:val="20"/>
                <w:szCs w:val="20"/>
              </w:rPr>
              <w:t xml:space="preserve"> </w:t>
            </w:r>
            <w:proofErr w:type="spellStart"/>
            <w:r w:rsidRPr="00251707">
              <w:rPr>
                <w:rFonts w:ascii="Verdana" w:hAnsi="Verdana" w:cstheme="minorHAnsi"/>
                <w:sz w:val="20"/>
                <w:szCs w:val="20"/>
              </w:rPr>
              <w:t>Applicable</w:t>
            </w:r>
            <w:proofErr w:type="spellEnd"/>
          </w:p>
        </w:tc>
        <w:tc>
          <w:tcPr>
            <w:tcW w:w="1738" w:type="pct"/>
            <w:shd w:val="clear" w:color="000000" w:fill="FFFFFF"/>
          </w:tcPr>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 xml:space="preserve">The competency is not applicable to the job role. </w:t>
            </w:r>
          </w:p>
        </w:tc>
        <w:tc>
          <w:tcPr>
            <w:tcW w:w="590"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N.A. — Não Aplicável</w:t>
            </w:r>
          </w:p>
        </w:tc>
        <w:tc>
          <w:tcPr>
            <w:tcW w:w="2014"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 xml:space="preserve">A competência não é aplicável à função laboral. </w:t>
            </w:r>
          </w:p>
        </w:tc>
      </w:tr>
      <w:tr w:rsidR="004531AC" w:rsidRPr="00251707" w:rsidTr="006645FC">
        <w:trPr>
          <w:trHeight w:val="908"/>
        </w:trPr>
        <w:tc>
          <w:tcPr>
            <w:tcW w:w="658"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0 – </w:t>
            </w:r>
          </w:p>
          <w:p w:rsidR="004531AC" w:rsidRPr="00251707" w:rsidRDefault="004531AC" w:rsidP="005D599D">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No </w:t>
            </w:r>
            <w:proofErr w:type="spellStart"/>
            <w:r w:rsidRPr="00251707">
              <w:rPr>
                <w:rFonts w:ascii="Verdana" w:hAnsi="Verdana" w:cstheme="minorHAnsi"/>
                <w:sz w:val="20"/>
                <w:szCs w:val="20"/>
              </w:rPr>
              <w:t>knowledge</w:t>
            </w:r>
            <w:proofErr w:type="spellEnd"/>
          </w:p>
        </w:tc>
        <w:tc>
          <w:tcPr>
            <w:tcW w:w="1738" w:type="pct"/>
            <w:shd w:val="clear" w:color="000000" w:fill="FFFFFF"/>
          </w:tcPr>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 xml:space="preserve">Nível 0 — </w:t>
            </w:r>
          </w:p>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Nenhum conhecimento</w:t>
            </w:r>
          </w:p>
        </w:tc>
        <w:tc>
          <w:tcPr>
            <w:tcW w:w="2014"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Nenhuns conhecimentos da competência ou sem capacidade para a aplicar em situações concretas.</w:t>
            </w:r>
          </w:p>
        </w:tc>
      </w:tr>
      <w:tr w:rsidR="004531AC" w:rsidRPr="00251707" w:rsidTr="006645FC">
        <w:trPr>
          <w:trHeight w:val="1421"/>
        </w:trPr>
        <w:tc>
          <w:tcPr>
            <w:tcW w:w="658"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1 - </w:t>
            </w:r>
            <w:proofErr w:type="spellStart"/>
            <w:r w:rsidRPr="00251707">
              <w:rPr>
                <w:rFonts w:ascii="Verdana" w:hAnsi="Verdana" w:cstheme="minorHAnsi"/>
                <w:sz w:val="20"/>
                <w:szCs w:val="20"/>
              </w:rPr>
              <w:t>Awareness</w:t>
            </w:r>
            <w:proofErr w:type="spellEnd"/>
          </w:p>
        </w:tc>
        <w:tc>
          <w:tcPr>
            <w:tcW w:w="1738" w:type="pct"/>
            <w:shd w:val="clear" w:color="000000" w:fill="FFFFFF"/>
          </w:tcPr>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Basic knowledge of the competency (e.g. understands general concepts and processes, is familiar with related key terminology).</w:t>
            </w:r>
          </w:p>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Nível 1 — Noções básicas</w:t>
            </w:r>
          </w:p>
        </w:tc>
        <w:tc>
          <w:tcPr>
            <w:tcW w:w="2014"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Conhecimento básico da competência (por exemplo, compreende os conceitos e procedimentos gerais, conhece a terminologia essencial associada).</w:t>
            </w:r>
          </w:p>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Capacidade para demonstrar esta competência após ter recebido instruções e orientações específicas.</w:t>
            </w:r>
          </w:p>
        </w:tc>
      </w:tr>
      <w:tr w:rsidR="004531AC" w:rsidRPr="00251707" w:rsidTr="006645FC">
        <w:trPr>
          <w:trHeight w:val="1103"/>
        </w:trPr>
        <w:tc>
          <w:tcPr>
            <w:tcW w:w="658"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2 - </w:t>
            </w:r>
            <w:proofErr w:type="spellStart"/>
            <w:r w:rsidRPr="00251707">
              <w:rPr>
                <w:rFonts w:ascii="Verdana" w:hAnsi="Verdana" w:cstheme="minorHAnsi"/>
                <w:sz w:val="20"/>
                <w:szCs w:val="20"/>
              </w:rPr>
              <w:t>Trained</w:t>
            </w:r>
            <w:proofErr w:type="spellEnd"/>
          </w:p>
        </w:tc>
        <w:tc>
          <w:tcPr>
            <w:tcW w:w="1738" w:type="pct"/>
            <w:shd w:val="clear" w:color="000000" w:fill="FFFFFF"/>
          </w:tcPr>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Good working knowledge of the competency.</w:t>
            </w:r>
            <w:r w:rsidRPr="004531AC">
              <w:rPr>
                <w:rFonts w:ascii="Verdana" w:hAnsi="Verdana" w:cstheme="minorHAnsi"/>
                <w:sz w:val="20"/>
                <w:szCs w:val="20"/>
                <w:lang w:val="en-GB"/>
              </w:rPr>
              <w:br/>
              <w:t>Ability to apply that knowledge in daily work.</w:t>
            </w:r>
          </w:p>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Nível 2 — Capacitado</w:t>
            </w:r>
          </w:p>
        </w:tc>
        <w:tc>
          <w:tcPr>
            <w:tcW w:w="2014"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Bons conhecimentos práticos da competência.</w:t>
            </w:r>
            <w:r>
              <w:rPr>
                <w:rFonts w:ascii="Verdana" w:hAnsi="Verdana" w:cstheme="minorHAnsi"/>
                <w:sz w:val="20"/>
                <w:szCs w:val="20"/>
              </w:rPr>
              <w:br/>
            </w:r>
            <w:r>
              <w:rPr>
                <w:rFonts w:ascii="Verdana" w:hAnsi="Verdana" w:cstheme="minorHAnsi"/>
                <w:sz w:val="20"/>
              </w:rPr>
              <w:t>Capacidade para aplicar estes conhecimentos no trabalho quotidiano.</w:t>
            </w:r>
          </w:p>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Capacidade para realizar atividades correntes de forma independente no que se refere a esta competência</w:t>
            </w:r>
          </w:p>
        </w:tc>
      </w:tr>
      <w:tr w:rsidR="004531AC" w:rsidRPr="00251707" w:rsidTr="005D599D">
        <w:trPr>
          <w:trHeight w:val="1103"/>
        </w:trPr>
        <w:tc>
          <w:tcPr>
            <w:tcW w:w="658" w:type="pct"/>
            <w:shd w:val="clear" w:color="000000" w:fill="FFFFFF"/>
            <w:vAlign w:val="center"/>
          </w:tcPr>
          <w:p w:rsidR="004531AC" w:rsidRPr="00251707" w:rsidRDefault="004531AC" w:rsidP="005D599D">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t>Level</w:t>
            </w:r>
            <w:proofErr w:type="spellEnd"/>
            <w:r w:rsidRPr="00251707">
              <w:rPr>
                <w:rFonts w:ascii="Verdana" w:hAnsi="Verdana" w:cstheme="minorHAnsi"/>
                <w:sz w:val="20"/>
                <w:szCs w:val="20"/>
              </w:rPr>
              <w:t xml:space="preserve"> 3 - </w:t>
            </w:r>
            <w:proofErr w:type="spellStart"/>
            <w:r w:rsidRPr="00251707">
              <w:rPr>
                <w:rFonts w:ascii="Verdana" w:hAnsi="Verdana" w:cstheme="minorHAnsi"/>
                <w:sz w:val="20"/>
                <w:szCs w:val="20"/>
              </w:rPr>
              <w:t>Intermediate</w:t>
            </w:r>
            <w:proofErr w:type="spellEnd"/>
          </w:p>
        </w:tc>
        <w:tc>
          <w:tcPr>
            <w:tcW w:w="1738" w:type="pct"/>
            <w:shd w:val="clear" w:color="000000" w:fill="FFFFFF"/>
          </w:tcPr>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Broad and in-depth knowledge and skills with regards to the competency.</w:t>
            </w:r>
            <w:r w:rsidRPr="004531AC">
              <w:rPr>
                <w:rFonts w:ascii="Verdana" w:hAnsi="Verdana" w:cstheme="minorHAnsi"/>
                <w:sz w:val="20"/>
                <w:szCs w:val="20"/>
                <w:lang w:val="en-GB"/>
              </w:rPr>
              <w:br/>
              <w:t>Ability to deal with a variety of exceptions and special cases related to the competency in an independent manner.</w:t>
            </w:r>
          </w:p>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Ability to effectively share knowledge and experience with more junior profiles.</w:t>
            </w:r>
            <w:r w:rsidRPr="004531AC">
              <w:rPr>
                <w:rFonts w:ascii="Verdana" w:hAnsi="Verdana" w:cstheme="minorHAnsi"/>
                <w:sz w:val="20"/>
                <w:szCs w:val="20"/>
                <w:lang w:val="en-GB"/>
              </w:rPr>
              <w:br/>
            </w:r>
            <w:r w:rsidRPr="004531AC">
              <w:rPr>
                <w:rFonts w:ascii="Verdana" w:hAnsi="Verdana" w:cstheme="minorHAnsi"/>
                <w:sz w:val="20"/>
                <w:szCs w:val="20"/>
                <w:lang w:val="en-GB"/>
              </w:rPr>
              <w:lastRenderedPageBreak/>
              <w:t>Confidence in serving as an advisor and is sought out to provide insight in the application of this competency.</w:t>
            </w:r>
          </w:p>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lastRenderedPageBreak/>
              <w:t>Nível 3 — Intermédio</w:t>
            </w:r>
          </w:p>
        </w:tc>
        <w:tc>
          <w:tcPr>
            <w:tcW w:w="2014"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Conhecimentos e competências vastos e aprofundados no que se refere à competência.</w:t>
            </w:r>
            <w:r>
              <w:rPr>
                <w:rFonts w:ascii="Verdana" w:hAnsi="Verdana" w:cstheme="minorHAnsi"/>
                <w:sz w:val="20"/>
                <w:szCs w:val="20"/>
              </w:rPr>
              <w:br/>
            </w:r>
            <w:r>
              <w:rPr>
                <w:rFonts w:ascii="Verdana" w:hAnsi="Verdana" w:cstheme="minorHAnsi"/>
                <w:sz w:val="20"/>
              </w:rPr>
              <w:t>Capacidade para lidar de forma independente com várias exceções e casos especiais relacionados com a competência.</w:t>
            </w:r>
          </w:p>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Capacidade para partilhar conhecimentos e experiências com profissionais mais jovens.</w:t>
            </w:r>
            <w:r>
              <w:rPr>
                <w:rFonts w:ascii="Verdana" w:hAnsi="Verdana" w:cstheme="minorHAnsi"/>
                <w:sz w:val="20"/>
                <w:szCs w:val="20"/>
              </w:rPr>
              <w:br/>
            </w:r>
            <w:r>
              <w:rPr>
                <w:rFonts w:ascii="Verdana" w:hAnsi="Verdana" w:cstheme="minorHAnsi"/>
                <w:sz w:val="20"/>
              </w:rPr>
              <w:lastRenderedPageBreak/>
              <w:t>Sente-se confiante ao prestar aconselhamento e é consultado para dar ideias sobre a aplicação desta competência.</w:t>
            </w:r>
          </w:p>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É capaz de orientar outros na aplicação desta competência, traduzindo aspetos e questões complexas relacionadas com esta competência em termos fáceis de compreender.</w:t>
            </w:r>
          </w:p>
        </w:tc>
      </w:tr>
      <w:tr w:rsidR="004531AC" w:rsidRPr="00251707" w:rsidTr="005D599D">
        <w:trPr>
          <w:trHeight w:val="1103"/>
        </w:trPr>
        <w:tc>
          <w:tcPr>
            <w:tcW w:w="658" w:type="pct"/>
            <w:shd w:val="clear" w:color="000000" w:fill="FFFFFF"/>
            <w:vAlign w:val="center"/>
          </w:tcPr>
          <w:p w:rsidR="004531AC" w:rsidRPr="00251707" w:rsidRDefault="004531AC" w:rsidP="005D599D">
            <w:pPr>
              <w:spacing w:before="60" w:after="120" w:line="240" w:lineRule="auto"/>
              <w:rPr>
                <w:rFonts w:ascii="Verdana" w:hAnsi="Verdana" w:cstheme="minorHAnsi"/>
                <w:sz w:val="20"/>
                <w:szCs w:val="20"/>
              </w:rPr>
            </w:pPr>
            <w:proofErr w:type="spellStart"/>
            <w:r w:rsidRPr="00251707">
              <w:rPr>
                <w:rFonts w:ascii="Verdana" w:hAnsi="Verdana" w:cstheme="minorHAnsi"/>
                <w:sz w:val="20"/>
                <w:szCs w:val="20"/>
              </w:rPr>
              <w:lastRenderedPageBreak/>
              <w:t>Level</w:t>
            </w:r>
            <w:proofErr w:type="spellEnd"/>
            <w:r w:rsidRPr="00251707">
              <w:rPr>
                <w:rFonts w:ascii="Verdana" w:hAnsi="Verdana" w:cstheme="minorHAnsi"/>
                <w:sz w:val="20"/>
                <w:szCs w:val="20"/>
              </w:rPr>
              <w:t xml:space="preserve"> 4 - </w:t>
            </w:r>
            <w:proofErr w:type="gramStart"/>
            <w:r w:rsidRPr="00251707">
              <w:rPr>
                <w:rFonts w:ascii="Verdana" w:hAnsi="Verdana" w:cstheme="minorHAnsi"/>
                <w:sz w:val="20"/>
                <w:szCs w:val="20"/>
              </w:rPr>
              <w:t>Expert</w:t>
            </w:r>
            <w:proofErr w:type="gramEnd"/>
          </w:p>
        </w:tc>
        <w:tc>
          <w:tcPr>
            <w:tcW w:w="1738" w:type="pct"/>
            <w:shd w:val="clear" w:color="000000" w:fill="FFFFFF"/>
          </w:tcPr>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Extensive expert knowledge and skills with regards to the competency.</w:t>
            </w:r>
          </w:p>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Ability to highlight the (dis)advantages of each of the processes related to the competency whilst linking them to the bigger picture.</w:t>
            </w:r>
          </w:p>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4531AC" w:rsidRPr="004531AC" w:rsidRDefault="004531AC" w:rsidP="005D599D">
            <w:pPr>
              <w:spacing w:before="60" w:after="120" w:line="240" w:lineRule="auto"/>
              <w:rPr>
                <w:rFonts w:ascii="Verdana" w:hAnsi="Verdana" w:cstheme="minorHAnsi"/>
                <w:sz w:val="20"/>
                <w:szCs w:val="20"/>
                <w:lang w:val="en-GB"/>
              </w:rPr>
            </w:pPr>
            <w:r w:rsidRPr="004531AC">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Nível 4 — Especialista</w:t>
            </w:r>
          </w:p>
        </w:tc>
        <w:tc>
          <w:tcPr>
            <w:tcW w:w="2014" w:type="pct"/>
            <w:shd w:val="clear" w:color="000000" w:fill="FFFFFF"/>
          </w:tcPr>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Conhecimentos e competências aprofundados e especializados no que se refere à competência.</w:t>
            </w:r>
          </w:p>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Capacidade para destacar as (</w:t>
            </w:r>
            <w:proofErr w:type="spellStart"/>
            <w:proofErr w:type="gramStart"/>
            <w:r>
              <w:rPr>
                <w:rFonts w:ascii="Verdana" w:hAnsi="Verdana" w:cstheme="minorHAnsi"/>
                <w:sz w:val="20"/>
              </w:rPr>
              <w:t>des</w:t>
            </w:r>
            <w:proofErr w:type="spellEnd"/>
            <w:r>
              <w:rPr>
                <w:rFonts w:ascii="Verdana" w:hAnsi="Verdana" w:cstheme="minorHAnsi"/>
                <w:sz w:val="20"/>
              </w:rPr>
              <w:t>)vantagens</w:t>
            </w:r>
            <w:proofErr w:type="gramEnd"/>
            <w:r>
              <w:rPr>
                <w:rFonts w:ascii="Verdana" w:hAnsi="Verdana" w:cstheme="minorHAnsi"/>
                <w:sz w:val="20"/>
              </w:rPr>
              <w:t xml:space="preserve"> de cada um dos processos relacionados com a competência, associando-as simultaneamente à situação no seu conjunto.</w:t>
            </w:r>
          </w:p>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Capacidade para prestar aconselhamento personalizado e corroborá-lo com argumentos pertinentes e contextualizados na resposta a consultas internas e externas.</w:t>
            </w:r>
          </w:p>
          <w:p w:rsidR="004531AC" w:rsidRPr="00251707" w:rsidRDefault="004531AC" w:rsidP="005D599D">
            <w:pPr>
              <w:spacing w:before="60" w:after="120" w:line="240" w:lineRule="auto"/>
              <w:rPr>
                <w:rFonts w:ascii="Verdana" w:hAnsi="Verdana" w:cstheme="minorHAnsi"/>
                <w:sz w:val="20"/>
                <w:szCs w:val="20"/>
              </w:rPr>
            </w:pPr>
            <w:r>
              <w:rPr>
                <w:rFonts w:ascii="Verdana" w:hAnsi="Verdana" w:cstheme="minorHAnsi"/>
                <w:sz w:val="20"/>
              </w:rPr>
              <w:t>Considerado pelos outros como um modelo a seguir, capaz de liderar ou ensinar outros no domínio da competência.</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8800428"/>
      <w:r>
        <w:lastRenderedPageBreak/>
        <w:t>Competências operacionais</w:t>
      </w:r>
      <w:bookmarkEnd w:id="7"/>
      <w:bookmarkEnd w:id="8"/>
    </w:p>
    <w:tbl>
      <w:tblPr>
        <w:tblW w:w="13378" w:type="dxa"/>
        <w:tblLook w:val="04A0" w:firstRow="1" w:lastRow="0" w:firstColumn="1" w:lastColumn="0" w:noHBand="0" w:noVBand="1"/>
      </w:tblPr>
      <w:tblGrid>
        <w:gridCol w:w="1676"/>
        <w:gridCol w:w="5543"/>
        <w:gridCol w:w="6159"/>
      </w:tblGrid>
      <w:tr w:rsidR="004531AC" w:rsidRPr="00251707" w:rsidTr="004531AC">
        <w:trPr>
          <w:trHeight w:val="20"/>
          <w:tblHeader/>
        </w:trPr>
        <w:tc>
          <w:tcPr>
            <w:tcW w:w="7219"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4531AC" w:rsidRPr="00251707" w:rsidRDefault="004531AC" w:rsidP="005D599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6159" w:type="dxa"/>
            <w:tcBorders>
              <w:top w:val="single" w:sz="4" w:space="0" w:color="808080"/>
              <w:left w:val="nil"/>
              <w:bottom w:val="single" w:sz="4" w:space="0" w:color="808080"/>
              <w:right w:val="single" w:sz="4" w:space="0" w:color="808080"/>
            </w:tcBorders>
            <w:shd w:val="clear" w:color="auto" w:fill="44546A" w:themeFill="text2"/>
            <w:vAlign w:val="center"/>
          </w:tcPr>
          <w:p w:rsidR="004531AC" w:rsidRPr="00251707" w:rsidRDefault="004531AC" w:rsidP="005D599D">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4531AC" w:rsidRPr="0001418D" w:rsidTr="004531AC">
        <w:trPr>
          <w:trHeight w:val="20"/>
        </w:trPr>
        <w:tc>
          <w:tcPr>
            <w:tcW w:w="16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531AC" w:rsidRPr="0001418D" w:rsidRDefault="004531AC" w:rsidP="00231B6E">
            <w:pPr>
              <w:spacing w:after="0" w:line="240" w:lineRule="auto"/>
              <w:rPr>
                <w:rFonts w:ascii="Verdana" w:eastAsia="Times New Roman" w:hAnsi="Verdana" w:cs="Times New Roman"/>
                <w:sz w:val="20"/>
                <w:szCs w:val="20"/>
              </w:rPr>
            </w:pPr>
            <w:proofErr w:type="spellStart"/>
            <w:r>
              <w:rPr>
                <w:rFonts w:ascii="Verdana" w:hAnsi="Verdana"/>
                <w:b/>
                <w:sz w:val="20"/>
              </w:rPr>
              <w:t>Code</w:t>
            </w:r>
            <w:proofErr w:type="spellEnd"/>
            <w:r>
              <w:rPr>
                <w:rFonts w:ascii="Verdana" w:hAnsi="Verdana"/>
                <w:b/>
                <w:sz w:val="20"/>
              </w:rPr>
              <w:t>/Código</w:t>
            </w:r>
          </w:p>
        </w:tc>
        <w:tc>
          <w:tcPr>
            <w:tcW w:w="5543"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531AC" w:rsidRPr="0001418D" w:rsidRDefault="004531AC" w:rsidP="005D599D">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159"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531AC" w:rsidRPr="0001418D" w:rsidRDefault="004531AC" w:rsidP="005D599D">
            <w:pPr>
              <w:spacing w:after="0" w:line="240" w:lineRule="auto"/>
              <w:rPr>
                <w:rFonts w:ascii="Verdana" w:eastAsia="Times New Roman" w:hAnsi="Verdana" w:cs="Times New Roman"/>
                <w:sz w:val="20"/>
                <w:szCs w:val="20"/>
              </w:rPr>
            </w:pPr>
            <w:r>
              <w:rPr>
                <w:rFonts w:ascii="Verdana" w:hAnsi="Verdana"/>
                <w:sz w:val="20"/>
              </w:rPr>
              <w:t>Competência</w:t>
            </w:r>
          </w:p>
        </w:tc>
      </w:tr>
      <w:tr w:rsidR="004531AC" w:rsidRPr="00251707" w:rsidTr="004531AC">
        <w:trPr>
          <w:trHeight w:val="288"/>
        </w:trPr>
        <w:tc>
          <w:tcPr>
            <w:tcW w:w="167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w:t>
            </w:r>
          </w:p>
        </w:tc>
        <w:tc>
          <w:tcPr>
            <w:tcW w:w="5543" w:type="dxa"/>
            <w:tcBorders>
              <w:top w:val="single" w:sz="4" w:space="0" w:color="808080"/>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159" w:type="dxa"/>
            <w:tcBorders>
              <w:top w:val="single" w:sz="4" w:space="0" w:color="808080"/>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Disposições gerais dos atos jurídicos nacionais ou da UE relativos aos FEEI</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Documentos estratégicos nacionais (por exemplo, estratégias nacionais de desenvolvimento, políticas setoriais e temáticas relevantes)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Elegibilidade das disposições relativas a despesas constantes dos atos jurídicos nacionais ou da UE relativos aos FEEI (regras, orientações e metodologias, incluindo o âmbito do apoio)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JS.O.C4</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Questões territoriais, como o ITI, o DLBC, o desenvolvimento urbano sustentável, as estratégias macro/regionais e o planeamento da cooperação inter-regional</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JS.O.C5</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Auxílios estatais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JS.O.C6</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Conhecimentos temáticos relevantes (legislação temática, custos, normas aplicáveis, tendências)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JS.O.C7</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Lógica de intervenção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JS.O.C8</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Indicadores de recursos, de rendimento e de resultados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JS.O.C9</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Orçamentação e estimativa de custos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JS.O.C10</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 xml:space="preserve">Conceção de instrumentos financeiros (avaliação </w:t>
            </w:r>
            <w:proofErr w:type="spellStart"/>
            <w:r>
              <w:rPr>
                <w:rFonts w:ascii="Verdana" w:hAnsi="Verdana"/>
                <w:i/>
                <w:sz w:val="20"/>
              </w:rPr>
              <w:t>ex</w:t>
            </w:r>
            <w:r>
              <w:noBreakHyphen/>
            </w:r>
            <w:r>
              <w:rPr>
                <w:rFonts w:ascii="Verdana" w:hAnsi="Verdana"/>
                <w:i/>
                <w:sz w:val="20"/>
              </w:rPr>
              <w:t>ante</w:t>
            </w:r>
            <w:proofErr w:type="spellEnd"/>
            <w:r>
              <w:rPr>
                <w:rFonts w:ascii="Verdana" w:hAnsi="Verdana"/>
                <w:sz w:val="20"/>
              </w:rPr>
              <w:t>, seleção dos IF e constituição)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JS.O.C11</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Questões horizontais (como o desenvolvimento sustentável, a igualdade, etc.)</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JS.O.C12</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Procedimentos administrativos para a aquisição de bens e serviços de assistência técnica</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JS.O.C13</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Cooperação transfronteiriça, transnacional e inter-regional e agrupamento europeu de cooperação territorial</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JS.O.C14</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Gestão da externalização das atividades de AT</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JS.O.C15</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xml:space="preserve"> and Country Specific Recommendations)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Contexto económico e processos de reforma (Semestre Europeu, programas nacionais de reforma e recomendações específicas por país)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lastRenderedPageBreak/>
              <w:t>JS.O.C16</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xml:space="preserve"> management and project cycle management</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Gestão do programa e gestão do ciclo do projeto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JS.O.C17</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Disposições relativas à gestão e execução</w:t>
            </w:r>
            <w:r>
              <w:rPr>
                <w:rFonts w:ascii="Verdana" w:hAnsi="Verdana"/>
                <w:color w:val="000000"/>
                <w:sz w:val="20"/>
              </w:rPr>
              <w:t xml:space="preserve"> constantes dos atos jurídicos nacionais ou da UE relativos aos FEEI (programação, seleção das operações, acompanhamento, controlos e auditorias, avaliação, publicidade)</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JS.O.C18</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Regras de contratação pública</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JS.O.C19</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Gestão dos riscos de fraude e de irregularidades (incluindo medidas de prevenção, deteção e atenuação)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JS.O.C20</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 xml:space="preserve">Definição e análise da organização administrativa </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JS.O.C21</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Configuração do sistema de gestão e controlo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JS.O.C22</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Avaliação da carga administrativa</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JS.O.C23</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Avaliação do desempenho do sistema dos FEEI</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JS.O.C24</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Opções de custos simplificados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JS.O.C25</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Análises custo-benefício e estudos de viabilidade</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JS.O.C26</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Avaliação do impacto ambiental (AIA) relativamente a grandes projetos e projetos de infraestruturas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JS.O.C27</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Défice de financiamento e geração de receitas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JS.O.C28</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Legislação/procedimentos relativos a grandes projetos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JS.O.C29</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Efeito de incentivo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JS.O.C30</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Instrumentos financeiros relevantes para a função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JS.O.C31</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Mecanismos de conceção e aplicação dos instrumentos financeiros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JS.O.C32</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Previsão e planificação dos objetivos de desempenho / quadro de desempenho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JS.O.C33</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Gestão de risco relacionada com os grandes projetos e os projetos de infraestruturas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JS.O.C34</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of </w:t>
            </w:r>
            <w:proofErr w:type="spellStart"/>
            <w:r w:rsidRPr="00251707">
              <w:rPr>
                <w:rFonts w:ascii="Verdana" w:eastAsia="Times New Roman" w:hAnsi="Verdana" w:cs="Times New Roman"/>
                <w:sz w:val="20"/>
                <w:szCs w:val="20"/>
                <w:lang w:val="en-US" w:bidi="he-IL"/>
              </w:rPr>
              <w:t>programme</w:t>
            </w:r>
            <w:proofErr w:type="spellEnd"/>
            <w:r w:rsidRPr="00251707">
              <w:rPr>
                <w:rFonts w:ascii="Verdana" w:eastAsia="Times New Roman" w:hAnsi="Verdana" w:cs="Times New Roman"/>
                <w:sz w:val="20"/>
                <w:szCs w:val="20"/>
                <w:lang w:val="en-US" w:bidi="he-IL"/>
              </w:rPr>
              <w:t>, priority or measure evaluation process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Gestão do programa, processo de avaliação de prioridades ou medidas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JS.O.C35</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Principais critérios de avaliação (relevância, complementaridade, coerência, eficiência e eficácia)</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JS.O.C36</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Data collection and analysis methods for evaluation of </w:t>
            </w:r>
            <w:proofErr w:type="spellStart"/>
            <w:r w:rsidRPr="00251707">
              <w:rPr>
                <w:rFonts w:ascii="Verdana" w:eastAsia="Times New Roman" w:hAnsi="Verdana" w:cs="Times New Roman"/>
                <w:sz w:val="20"/>
                <w:szCs w:val="20"/>
                <w:lang w:val="en-US" w:bidi="he-IL"/>
              </w:rPr>
              <w:t>programmes</w:t>
            </w:r>
            <w:proofErr w:type="spellEnd"/>
            <w:r w:rsidRPr="00251707">
              <w:rPr>
                <w:rFonts w:ascii="Verdana" w:eastAsia="Times New Roman" w:hAnsi="Verdana" w:cs="Times New Roman"/>
                <w:sz w:val="20"/>
                <w:szCs w:val="20"/>
                <w:lang w:val="en-US" w:bidi="he-IL"/>
              </w:rPr>
              <w:t>, priorities or measures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Metodologias de recolha e análise de dados para a avaliação de programas, prioridades ou medidas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lastRenderedPageBreak/>
              <w:t>JS.O.C37</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Planeamento, gestão e previsão orçamental</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JS.O.C38</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Despesas ao nível do projeto</w:t>
            </w:r>
            <w:r>
              <w:rPr>
                <w:rFonts w:ascii="Verdana" w:hAnsi="Verdana"/>
                <w:color w:val="000000"/>
                <w:sz w:val="20"/>
              </w:rPr>
              <w:t xml:space="preserve"> (contratos, faturas e declarações bancárias)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JS.O.C39</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Disposições relativas à comunicação</w:t>
            </w:r>
            <w:r>
              <w:rPr>
                <w:rFonts w:ascii="Verdana" w:hAnsi="Verdana"/>
                <w:color w:val="000000"/>
                <w:sz w:val="20"/>
              </w:rPr>
              <w:t xml:space="preserve"> constantes dos atos jurídicos nacionais ou da UE relativos aos FEEI</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JS.O.C40</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 xml:space="preserve">Identificação das diferentes </w:t>
            </w:r>
            <w:proofErr w:type="gramStart"/>
            <w:r>
              <w:rPr>
                <w:rFonts w:ascii="Verdana" w:hAnsi="Verdana"/>
                <w:sz w:val="20"/>
              </w:rPr>
              <w:t>partes</w:t>
            </w:r>
            <w:proofErr w:type="gramEnd"/>
            <w:r>
              <w:rPr>
                <w:rFonts w:ascii="Verdana" w:hAnsi="Verdana"/>
                <w:sz w:val="20"/>
              </w:rPr>
              <w:t xml:space="preserve"> interessadas e das respetivas necessidades de informação</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JS.O.C41</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Gestão dos meios de comunicação relevantes</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JS.O.C42</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Comunicação via Web</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JS.O.C43</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Conhecimentos técnicos relevantes para o setor</w:t>
            </w:r>
          </w:p>
        </w:tc>
      </w:tr>
      <w:tr w:rsidR="004531AC" w:rsidRPr="00251707" w:rsidTr="004531AC">
        <w:trPr>
          <w:trHeight w:val="288"/>
        </w:trPr>
        <w:tc>
          <w:tcPr>
            <w:tcW w:w="1676"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531AC" w:rsidRPr="00251707" w:rsidRDefault="004531AC" w:rsidP="00231B6E">
            <w:pPr>
              <w:spacing w:after="0" w:line="240" w:lineRule="auto"/>
              <w:rPr>
                <w:rFonts w:ascii="Verdana" w:eastAsia="Times New Roman" w:hAnsi="Verdana" w:cs="Times New Roman"/>
                <w:sz w:val="20"/>
                <w:szCs w:val="20"/>
              </w:rPr>
            </w:pPr>
            <w:r>
              <w:rPr>
                <w:rFonts w:ascii="Verdana" w:hAnsi="Verdana"/>
                <w:sz w:val="20"/>
              </w:rPr>
              <w:t>JS.O.C44</w:t>
            </w:r>
          </w:p>
        </w:tc>
        <w:tc>
          <w:tcPr>
            <w:tcW w:w="5543"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159" w:type="dxa"/>
            <w:tcBorders>
              <w:top w:val="nil"/>
              <w:left w:val="nil"/>
              <w:bottom w:val="single" w:sz="4" w:space="0" w:color="808080"/>
              <w:right w:val="single" w:sz="4" w:space="0" w:color="808080"/>
            </w:tcBorders>
            <w:shd w:val="clear" w:color="auto" w:fill="FFFFFF" w:themeFill="background1"/>
            <w:vAlign w:val="center"/>
          </w:tcPr>
          <w:p w:rsidR="004531AC" w:rsidRPr="00251707" w:rsidRDefault="004531AC" w:rsidP="005D599D">
            <w:pPr>
              <w:spacing w:after="0" w:line="240" w:lineRule="auto"/>
              <w:rPr>
                <w:rFonts w:ascii="Verdana" w:eastAsia="Times New Roman" w:hAnsi="Verdana" w:cs="Times New Roman"/>
                <w:sz w:val="20"/>
                <w:szCs w:val="20"/>
              </w:rPr>
            </w:pPr>
            <w:r>
              <w:rPr>
                <w:rFonts w:ascii="Verdana" w:hAnsi="Verdana"/>
                <w:sz w:val="20"/>
              </w:rPr>
              <w:t>Normas, procedimentos e metodologias de auditoria</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8800429"/>
      <w:r>
        <w:lastRenderedPageBreak/>
        <w:t>Competências de gestão</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4531AC" w:rsidRPr="00A40E7F" w:rsidTr="00AB57C3">
        <w:trPr>
          <w:trHeight w:val="485"/>
          <w:tblHeader/>
        </w:trPr>
        <w:tc>
          <w:tcPr>
            <w:tcW w:w="386" w:type="pct"/>
            <w:shd w:val="clear" w:color="auto" w:fill="1F3864" w:themeFill="accent5" w:themeFillShade="80"/>
          </w:tcPr>
          <w:p w:rsidR="004531AC" w:rsidRPr="00A40E7F" w:rsidRDefault="004531AC"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4531AC" w:rsidRPr="00251707" w:rsidRDefault="004531AC" w:rsidP="005D599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2396" w:type="pct"/>
            <w:gridSpan w:val="2"/>
            <w:shd w:val="clear" w:color="auto" w:fill="1F3864" w:themeFill="accent5" w:themeFillShade="80"/>
            <w:vAlign w:val="center"/>
          </w:tcPr>
          <w:p w:rsidR="004531AC" w:rsidRPr="00251707" w:rsidRDefault="004531AC" w:rsidP="005D599D">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4531AC" w:rsidRPr="00A40E7F" w:rsidTr="005D599D">
        <w:trPr>
          <w:trHeight w:val="255"/>
          <w:tblHeader/>
        </w:trPr>
        <w:tc>
          <w:tcPr>
            <w:tcW w:w="386" w:type="pct"/>
            <w:shd w:val="clear" w:color="auto" w:fill="EDEDED" w:themeFill="accent3" w:themeFillTint="33"/>
          </w:tcPr>
          <w:p w:rsidR="004531AC" w:rsidRPr="00A40E7F" w:rsidRDefault="004531AC" w:rsidP="00AD2B31">
            <w:pPr>
              <w:spacing w:after="0" w:line="240" w:lineRule="auto"/>
              <w:rPr>
                <w:rFonts w:ascii="Verdana" w:eastAsia="Times New Roman" w:hAnsi="Verdana" w:cstheme="minorHAnsi"/>
                <w:b/>
                <w:bCs/>
                <w:sz w:val="20"/>
                <w:szCs w:val="20"/>
              </w:rPr>
            </w:pPr>
            <w:proofErr w:type="spellStart"/>
            <w:r>
              <w:rPr>
                <w:rFonts w:ascii="Verdana" w:hAnsi="Verdana" w:cstheme="minorHAnsi"/>
                <w:b/>
                <w:sz w:val="20"/>
              </w:rPr>
              <w:t>Code</w:t>
            </w:r>
            <w:proofErr w:type="spellEnd"/>
            <w:r>
              <w:rPr>
                <w:rFonts w:ascii="Verdana" w:hAnsi="Verdana" w:cstheme="minorHAnsi"/>
                <w:b/>
                <w:sz w:val="20"/>
              </w:rPr>
              <w:t>/Código</w:t>
            </w:r>
          </w:p>
        </w:tc>
        <w:tc>
          <w:tcPr>
            <w:tcW w:w="793" w:type="pct"/>
            <w:shd w:val="clear" w:color="auto" w:fill="EDEDED" w:themeFill="accent3" w:themeFillTint="33"/>
            <w:noWrap/>
            <w:vAlign w:val="center"/>
          </w:tcPr>
          <w:p w:rsidR="004531AC" w:rsidRPr="00A40E7F" w:rsidRDefault="004531AC" w:rsidP="005D599D">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tcPr>
          <w:p w:rsidR="004531AC" w:rsidRPr="00A40E7F" w:rsidRDefault="004531AC" w:rsidP="005D599D">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4531AC" w:rsidRPr="00A40E7F" w:rsidRDefault="004531AC" w:rsidP="005D599D">
            <w:pPr>
              <w:spacing w:after="0" w:line="240" w:lineRule="auto"/>
              <w:jc w:val="center"/>
              <w:rPr>
                <w:rFonts w:ascii="Verdana" w:eastAsia="Times New Roman" w:hAnsi="Verdana" w:cstheme="minorHAnsi"/>
                <w:b/>
                <w:bCs/>
                <w:sz w:val="20"/>
                <w:szCs w:val="20"/>
              </w:rPr>
            </w:pPr>
            <w:r>
              <w:rPr>
                <w:rFonts w:ascii="Verdana" w:hAnsi="Verdana" w:cstheme="minorHAnsi"/>
                <w:b/>
                <w:sz w:val="20"/>
              </w:rPr>
              <w:t>Competência</w:t>
            </w:r>
          </w:p>
        </w:tc>
        <w:tc>
          <w:tcPr>
            <w:tcW w:w="1632" w:type="pct"/>
            <w:shd w:val="clear" w:color="auto" w:fill="EDEDED" w:themeFill="accent3" w:themeFillTint="33"/>
            <w:vAlign w:val="center"/>
          </w:tcPr>
          <w:p w:rsidR="004531AC" w:rsidRPr="00A40E7F" w:rsidRDefault="004531AC" w:rsidP="005D599D">
            <w:pPr>
              <w:spacing w:after="0" w:line="240" w:lineRule="auto"/>
              <w:jc w:val="center"/>
              <w:rPr>
                <w:rFonts w:ascii="Verdana" w:eastAsia="Times New Roman" w:hAnsi="Verdana" w:cstheme="minorHAnsi"/>
                <w:b/>
                <w:bCs/>
                <w:sz w:val="20"/>
                <w:szCs w:val="20"/>
              </w:rPr>
            </w:pPr>
            <w:r>
              <w:rPr>
                <w:rFonts w:ascii="Verdana" w:hAnsi="Verdana" w:cstheme="minorHAnsi"/>
                <w:b/>
                <w:sz w:val="20"/>
              </w:rPr>
              <w:t>Descrição</w:t>
            </w:r>
          </w:p>
        </w:tc>
      </w:tr>
      <w:tr w:rsidR="004531AC" w:rsidRPr="00A40E7F" w:rsidTr="004531AC">
        <w:trPr>
          <w:trHeight w:val="130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Developing others and people management</w:t>
            </w:r>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Desenvolvimento de outros trabalhadores e gestão de pessoal</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fornecer orientações e informações em tempo útil, claras e específicas e apoiar os demais na identificação das necessidades e oportunidades de desenvolvimento e formação, desenvolver as aptidões, capacidades e conhecimentos necessários para desempenhar as funções atribuídas ou resolver problemas, bem como demonstrar capacidade para gerir a atividade profissional dos trabalhadores, o seu desenvolvimento e desempenho de forma a maximizar a eficiência dos recursos humanos.</w:t>
            </w:r>
          </w:p>
        </w:tc>
      </w:tr>
      <w:tr w:rsidR="004531AC" w:rsidRPr="00A40E7F" w:rsidTr="004531AC">
        <w:trPr>
          <w:trHeight w:val="76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Decision</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making</w:t>
            </w:r>
            <w:proofErr w:type="spellEnd"/>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Tomada de decisões</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aplicar abordagens eficazes na elaboração de conclusões ou no desenvolvimento de soluções e adotar medidas em tempo útil, em coerência com os dados e informações factuais disponíveis provenientes de diferentes origens, as limitações e as possíveis consequências.</w:t>
            </w:r>
          </w:p>
        </w:tc>
      </w:tr>
      <w:tr w:rsidR="004531AC" w:rsidRPr="00A40E7F" w:rsidTr="004531AC">
        <w:trPr>
          <w:trHeight w:val="1020"/>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Delegation</w:t>
            </w:r>
            <w:proofErr w:type="spellEnd"/>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w:t>
            </w:r>
            <w:r w:rsidRPr="004531AC">
              <w:rPr>
                <w:rFonts w:ascii="Verdana" w:hAnsi="Verdana" w:cstheme="minorHAnsi"/>
                <w:sz w:val="20"/>
                <w:szCs w:val="20"/>
                <w:lang w:val="en-GB"/>
              </w:rPr>
              <w:lastRenderedPageBreak/>
              <w:t>appropriate support in a manner to maximise the organisational and individuals effectiveness.</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lastRenderedPageBreak/>
              <w:t>Delegação</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 xml:space="preserve">Demonstrar capacidade para delegar noutros a responsabilidade pela tomada de decisões e/ou tarefa, a fim de garantir uma comunicação clara sobre a atribuição e o cumprimento das responsabilidades e prestar o apoio </w:t>
            </w:r>
            <w:r>
              <w:rPr>
                <w:rFonts w:ascii="Verdana" w:hAnsi="Verdana" w:cstheme="minorHAnsi"/>
                <w:sz w:val="20"/>
              </w:rPr>
              <w:lastRenderedPageBreak/>
              <w:t>necessário de forma a maximizar a eficácia da organização e das pessoas.</w:t>
            </w:r>
          </w:p>
        </w:tc>
      </w:tr>
      <w:tr w:rsidR="004531AC" w:rsidRPr="00A40E7F" w:rsidTr="004531AC">
        <w:trPr>
          <w:trHeight w:val="76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Facilitation</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and</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communication</w:t>
            </w:r>
            <w:proofErr w:type="spellEnd"/>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Facilitação e comunicação</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suscitar a participação e a criatividade dos outros, utilizar as capacidades do grupo para levar a que se obtenha consenso no grupo, solucionar problemas, realizar tarefas e alcançar objetivos comuns de forma eficaz.</w:t>
            </w:r>
          </w:p>
        </w:tc>
      </w:tr>
      <w:tr w:rsidR="004531AC" w:rsidRPr="00A40E7F" w:rsidTr="004531AC">
        <w:trPr>
          <w:trHeight w:val="76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Leadership</w:t>
            </w:r>
            <w:proofErr w:type="spellEnd"/>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bookmarkStart w:id="11" w:name="RANGE!B8"/>
            <w:r>
              <w:rPr>
                <w:rFonts w:ascii="Verdana" w:hAnsi="Verdana" w:cstheme="minorHAnsi"/>
                <w:sz w:val="20"/>
              </w:rPr>
              <w:t>Liderança</w:t>
            </w:r>
            <w:bookmarkEnd w:id="11"/>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dinamizar e inspirar as pessoas a trabalharem rumo à visão do futuro, apresentar metas e objetivos de forma clara, definir uma orientação e finalidade para os trabalhadores e agir como catalisador para a ação.</w:t>
            </w:r>
          </w:p>
        </w:tc>
      </w:tr>
      <w:tr w:rsidR="004531AC" w:rsidRPr="00A40E7F" w:rsidTr="004531AC">
        <w:trPr>
          <w:trHeight w:val="76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Multi-level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stakeholder</w:t>
            </w:r>
            <w:proofErr w:type="spellEnd"/>
            <w:r w:rsidRPr="00A40E7F">
              <w:rPr>
                <w:rFonts w:ascii="Verdana" w:hAnsi="Verdana" w:cstheme="minorHAnsi"/>
                <w:sz w:val="20"/>
                <w:szCs w:val="20"/>
              </w:rPr>
              <w:t xml:space="preserve"> management</w:t>
            </w:r>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Gestão dos intervenientes a vários níveis</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 xml:space="preserve">Demonstrar capacidade para compreender as metas e os objetivos das várias partes interessadas, garantir a cooperação eficaz e a participação das partes interessadas (incluindo a abertura e a promoção do intercâmbio de experiências e boas práticas entre os diferentes Estados-Membros).  </w:t>
            </w:r>
          </w:p>
        </w:tc>
      </w:tr>
      <w:tr w:rsidR="004531AC" w:rsidRPr="00A40E7F" w:rsidTr="004531AC">
        <w:trPr>
          <w:trHeight w:val="76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Negotiating</w:t>
            </w:r>
            <w:proofErr w:type="spellEnd"/>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Demonstrating ability to effectively explore (facilitating discussion, asking questions, responding to objections, etc.) alternatives and </w:t>
            </w:r>
            <w:r w:rsidRPr="004531AC">
              <w:rPr>
                <w:rFonts w:ascii="Verdana" w:hAnsi="Verdana" w:cstheme="minorHAnsi"/>
                <w:sz w:val="20"/>
                <w:szCs w:val="20"/>
                <w:lang w:val="en-GB"/>
              </w:rPr>
              <w:lastRenderedPageBreak/>
              <w:t>positions of others to reach outcomes that are accepted by all parties (a win-win solution).</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lastRenderedPageBreak/>
              <w:t>Negociação</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 xml:space="preserve">Demonstrar capacidade para explorar eficazmente (facilitar o debate, fazer perguntas, responder a objeções, etc.) as alternativas e as posições dos outros </w:t>
            </w:r>
            <w:r>
              <w:rPr>
                <w:rFonts w:ascii="Verdana" w:hAnsi="Verdana" w:cstheme="minorHAnsi"/>
                <w:sz w:val="20"/>
              </w:rPr>
              <w:lastRenderedPageBreak/>
              <w:t>para alcançar resultados que sejam aceites por todas as partes (uma solução vantajosa para todos).</w:t>
            </w:r>
          </w:p>
        </w:tc>
      </w:tr>
      <w:tr w:rsidR="004531AC" w:rsidRPr="00A40E7F" w:rsidTr="004531AC">
        <w:trPr>
          <w:trHeight w:val="510"/>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Result</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orientation</w:t>
            </w:r>
            <w:proofErr w:type="spellEnd"/>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Orientação para a obtenção de resultados</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definir metas exigentes, manter a concentração e a persistência e alcançar continuamente as metas ou fornecer os resultados exigidos, mesmo em situações adversas.</w:t>
            </w:r>
          </w:p>
        </w:tc>
      </w:tr>
      <w:tr w:rsidR="004531AC" w:rsidRPr="00A40E7F" w:rsidTr="004531AC">
        <w:trPr>
          <w:trHeight w:val="76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Strategic</w:t>
            </w:r>
            <w:proofErr w:type="spellEnd"/>
            <w:r w:rsidRPr="00A40E7F">
              <w:rPr>
                <w:rFonts w:ascii="Verdana" w:hAnsi="Verdana" w:cstheme="minorHAnsi"/>
                <w:sz w:val="20"/>
                <w:szCs w:val="20"/>
              </w:rPr>
              <w:t xml:space="preserve"> management</w:t>
            </w:r>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Gestão estratégica</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tomar decisões e realizar ações que conduzam ao desenvolvimento e à aplicação de estratégias conformes com a orientação estratégica da organização e a consecução dos objetivos.</w:t>
            </w:r>
          </w:p>
        </w:tc>
      </w:tr>
      <w:tr w:rsidR="004531AC" w:rsidRPr="00A40E7F" w:rsidTr="004531AC">
        <w:trPr>
          <w:trHeight w:val="76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Risk</w:t>
            </w:r>
            <w:proofErr w:type="spellEnd"/>
            <w:r w:rsidRPr="00A40E7F">
              <w:rPr>
                <w:rFonts w:ascii="Verdana" w:hAnsi="Verdana" w:cstheme="minorHAnsi"/>
                <w:sz w:val="20"/>
                <w:szCs w:val="20"/>
              </w:rPr>
              <w:t xml:space="preserve"> management</w:t>
            </w:r>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Demonstrating ability to identify, analyse, assess and prioritize risks and to minimize, </w:t>
            </w:r>
            <w:proofErr w:type="gramStart"/>
            <w:r w:rsidRPr="004531AC">
              <w:rPr>
                <w:rFonts w:ascii="Verdana" w:hAnsi="Verdana" w:cstheme="minorHAnsi"/>
                <w:sz w:val="20"/>
                <w:szCs w:val="20"/>
                <w:lang w:val="en-GB"/>
              </w:rPr>
              <w:t>monitor</w:t>
            </w:r>
            <w:proofErr w:type="gramEnd"/>
            <w:r w:rsidRPr="004531AC">
              <w:rPr>
                <w:rFonts w:ascii="Verdana" w:hAnsi="Verdana" w:cstheme="minorHAnsi"/>
                <w:sz w:val="20"/>
                <w:szCs w:val="20"/>
                <w:lang w:val="en-GB"/>
              </w:rPr>
              <w:t>, and control the probability and/or impact of unfortunate events or to maximize the realization of opportunities.</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Gestão dos riscos</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identificar, analisar, avaliar e definir prioridades no que respeita aos riscos e minimizar, acompanhar e controlar a probabilidade e/ou o impacto de ocorrências lamentáveis ou maximizar a concretização de oportunidades.</w:t>
            </w:r>
          </w:p>
        </w:tc>
      </w:tr>
      <w:tr w:rsidR="004531AC" w:rsidRPr="00A40E7F" w:rsidTr="004531AC">
        <w:trPr>
          <w:trHeight w:val="76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Planning</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of</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resources</w:t>
            </w:r>
            <w:proofErr w:type="spellEnd"/>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Planificação dos recursos</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gerir os recursos da organização, incluindo, sem caráter exclusivo, recursos financeiros, inventário, competências humanas, meios de produção, tecnologias da informação (TI), de modo eficaz e eficiente.</w:t>
            </w:r>
          </w:p>
        </w:tc>
      </w:tr>
      <w:tr w:rsidR="004531AC" w:rsidRPr="00A40E7F" w:rsidTr="004531AC">
        <w:trPr>
          <w:trHeight w:val="765"/>
        </w:trPr>
        <w:tc>
          <w:tcPr>
            <w:tcW w:w="386" w:type="pct"/>
            <w:shd w:val="clear" w:color="000000" w:fill="FFFFFF"/>
            <w:vAlign w:val="center"/>
          </w:tcPr>
          <w:p w:rsidR="004531AC" w:rsidRPr="00A40E7F" w:rsidRDefault="004531AC"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HR Strategy development and implementation</w:t>
            </w:r>
          </w:p>
        </w:tc>
        <w:tc>
          <w:tcPr>
            <w:tcW w:w="1425"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Desenvolvimento e aplicação da estratégia de RH</w:t>
            </w:r>
          </w:p>
        </w:tc>
        <w:tc>
          <w:tcPr>
            <w:tcW w:w="1632"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tomar decisões e realizar ações que conduzam ao desenvolvimento e aplicação de estratégias de RH conformes com a orientação estratégica da organização e a consecução dos objetivos.</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800430"/>
      <w:r>
        <w:lastRenderedPageBreak/>
        <w:t>Competências profissionais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4531AC" w:rsidRPr="00A40E7F" w:rsidTr="005D599D">
        <w:trPr>
          <w:trHeight w:val="377"/>
          <w:tblHeader/>
        </w:trPr>
        <w:tc>
          <w:tcPr>
            <w:tcW w:w="2431" w:type="pct"/>
            <w:gridSpan w:val="3"/>
            <w:shd w:val="clear" w:color="auto" w:fill="1F3864" w:themeFill="accent5" w:themeFillShade="80"/>
            <w:vAlign w:val="center"/>
          </w:tcPr>
          <w:p w:rsidR="004531AC" w:rsidRPr="00251707" w:rsidRDefault="004531AC" w:rsidP="005D599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2569" w:type="pct"/>
            <w:gridSpan w:val="2"/>
            <w:shd w:val="clear" w:color="auto" w:fill="1F3864" w:themeFill="accent5" w:themeFillShade="80"/>
            <w:vAlign w:val="center"/>
          </w:tcPr>
          <w:p w:rsidR="004531AC" w:rsidRPr="00251707" w:rsidRDefault="004531AC" w:rsidP="005D599D">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4531AC" w:rsidRPr="00A40E7F" w:rsidTr="005D599D">
        <w:trPr>
          <w:trHeight w:val="219"/>
          <w:tblHeader/>
        </w:trPr>
        <w:tc>
          <w:tcPr>
            <w:tcW w:w="453" w:type="pct"/>
            <w:shd w:val="clear" w:color="auto" w:fill="EDEDED" w:themeFill="accent3" w:themeFillTint="33"/>
            <w:vAlign w:val="center"/>
          </w:tcPr>
          <w:p w:rsidR="004531AC" w:rsidRPr="00A40E7F" w:rsidRDefault="004531AC" w:rsidP="00B579F3">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Code</w:t>
            </w:r>
            <w:proofErr w:type="spellEnd"/>
            <w:r>
              <w:rPr>
                <w:rFonts w:ascii="Verdana" w:hAnsi="Verdana" w:cstheme="minorHAnsi"/>
                <w:b/>
                <w:sz w:val="20"/>
              </w:rPr>
              <w:t>/Código</w:t>
            </w:r>
          </w:p>
        </w:tc>
        <w:tc>
          <w:tcPr>
            <w:tcW w:w="726" w:type="pct"/>
            <w:shd w:val="clear" w:color="auto" w:fill="EDEDED" w:themeFill="accent3" w:themeFillTint="33"/>
            <w:noWrap/>
            <w:vAlign w:val="center"/>
          </w:tcPr>
          <w:p w:rsidR="004531AC" w:rsidRPr="00A40E7F" w:rsidRDefault="004531AC" w:rsidP="005D599D">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4531AC" w:rsidRPr="00A40E7F" w:rsidRDefault="004531AC" w:rsidP="005D599D">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4531AC" w:rsidRPr="00A40E7F" w:rsidRDefault="004531AC" w:rsidP="005D599D">
            <w:pPr>
              <w:spacing w:after="0" w:line="240" w:lineRule="auto"/>
              <w:jc w:val="center"/>
              <w:rPr>
                <w:rFonts w:ascii="Verdana" w:eastAsia="Times New Roman" w:hAnsi="Verdana" w:cstheme="minorHAnsi"/>
                <w:b/>
                <w:bCs/>
                <w:sz w:val="20"/>
                <w:szCs w:val="20"/>
              </w:rPr>
            </w:pPr>
            <w:r>
              <w:rPr>
                <w:rFonts w:ascii="Verdana" w:hAnsi="Verdana" w:cstheme="minorHAnsi"/>
                <w:b/>
                <w:sz w:val="20"/>
              </w:rPr>
              <w:t>Competência</w:t>
            </w:r>
          </w:p>
        </w:tc>
        <w:tc>
          <w:tcPr>
            <w:tcW w:w="1735" w:type="pct"/>
            <w:shd w:val="clear" w:color="auto" w:fill="EDEDED" w:themeFill="accent3" w:themeFillTint="33"/>
            <w:vAlign w:val="center"/>
          </w:tcPr>
          <w:p w:rsidR="004531AC" w:rsidRPr="00A40E7F" w:rsidRDefault="004531AC" w:rsidP="005D599D">
            <w:pPr>
              <w:spacing w:after="0" w:line="240" w:lineRule="auto"/>
              <w:jc w:val="center"/>
              <w:rPr>
                <w:rFonts w:ascii="Verdana" w:eastAsia="Times New Roman" w:hAnsi="Verdana" w:cstheme="minorHAnsi"/>
                <w:b/>
                <w:bCs/>
                <w:sz w:val="20"/>
                <w:szCs w:val="20"/>
              </w:rPr>
            </w:pPr>
            <w:r>
              <w:rPr>
                <w:rFonts w:ascii="Verdana" w:hAnsi="Verdana" w:cstheme="minorHAnsi"/>
                <w:b/>
                <w:sz w:val="20"/>
              </w:rPr>
              <w:t>Descrição</w:t>
            </w:r>
          </w:p>
        </w:tc>
      </w:tr>
      <w:tr w:rsidR="004531AC" w:rsidRPr="00A40E7F" w:rsidTr="004531AC">
        <w:trPr>
          <w:trHeight w:val="421"/>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Analytical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4531AC">
              <w:rPr>
                <w:rFonts w:ascii="Verdana" w:hAnsi="Verdana" w:cstheme="minorHAnsi"/>
                <w:sz w:val="20"/>
                <w:szCs w:val="20"/>
                <w:lang w:val="en-GB"/>
              </w:rPr>
              <w:t>effect</w:t>
            </w:r>
            <w:proofErr w:type="gramEnd"/>
            <w:r w:rsidRPr="004531AC">
              <w:rPr>
                <w:rFonts w:ascii="Verdana" w:hAnsi="Verdana" w:cstheme="minorHAnsi"/>
                <w:sz w:val="20"/>
                <w:szCs w:val="20"/>
                <w:lang w:val="en-GB"/>
              </w:rPr>
              <w:t xml:space="preserve"> relationships and arrive at conclusions or decisions.</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Competências analíticas</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Estabelecer uma abordagem lógica para fazer face a problemas complexos ou oportunidades, dividindo-os em elementos constitutivos para identificar questões subjacentes, determinar relações de causa e efeito e chegar a conclusões ou adotar decisões.</w:t>
            </w:r>
          </w:p>
        </w:tc>
      </w:tr>
      <w:tr w:rsidR="004531AC" w:rsidRPr="00A40E7F" w:rsidTr="004531AC">
        <w:trPr>
          <w:trHeight w:val="659"/>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in </w:t>
            </w:r>
            <w:proofErr w:type="spellStart"/>
            <w:r w:rsidRPr="00A40E7F">
              <w:rPr>
                <w:rFonts w:ascii="Verdana" w:hAnsi="Verdana" w:cstheme="minorHAnsi"/>
                <w:sz w:val="20"/>
                <w:szCs w:val="20"/>
              </w:rPr>
              <w:t>writing</w:t>
            </w:r>
            <w:proofErr w:type="spellEnd"/>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Comunicação por escrito</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apresentar informações e ideias por escrito de forma clara e convincente, selecionar os meios de comunicação escrita e o estilo de escrita adequados para alcançar o público-alvo, utilizar ortografia, gramática e pontuação de forma correta, bem como demonstrar capacidade de comunicação intercultural.</w:t>
            </w:r>
          </w:p>
        </w:tc>
      </w:tr>
      <w:tr w:rsidR="004531AC" w:rsidRPr="00A40E7F" w:rsidTr="004531AC">
        <w:trPr>
          <w:trHeight w:val="878"/>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Communicating</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verbally</w:t>
            </w:r>
            <w:proofErr w:type="spellEnd"/>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4531AC">
              <w:rPr>
                <w:rFonts w:ascii="Verdana" w:hAnsi="Verdana" w:cstheme="minorHAnsi"/>
                <w:sz w:val="20"/>
                <w:szCs w:val="20"/>
                <w:lang w:val="en-GB"/>
              </w:rPr>
              <w:t>audience,</w:t>
            </w:r>
            <w:proofErr w:type="gramEnd"/>
            <w:r w:rsidRPr="004531AC">
              <w:rPr>
                <w:rFonts w:ascii="Verdana" w:hAnsi="Verdana" w:cstheme="minorHAnsi"/>
                <w:sz w:val="20"/>
                <w:szCs w:val="20"/>
                <w:lang w:val="en-GB"/>
              </w:rPr>
              <w:t xml:space="preserve"> encourages two-way communication and helps them understand and retain the message, as well as demonstrating ability to </w:t>
            </w:r>
            <w:r w:rsidRPr="004531AC">
              <w:rPr>
                <w:rFonts w:ascii="Verdana" w:hAnsi="Verdana" w:cstheme="minorHAnsi"/>
                <w:sz w:val="20"/>
                <w:szCs w:val="20"/>
                <w:lang w:val="en-GB"/>
              </w:rPr>
              <w:lastRenderedPageBreak/>
              <w:t>communicate across cultures.</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lastRenderedPageBreak/>
              <w:t>Comunicação verbal</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transmitir pensamentos e ideias de forma clara a pessoas ou grupos, utilizando o discurso de forma a envolver o público, incentivar a comunicação bidirecional e apoiar a compreensão e retenção da mensagem, bem como demonstrar capacidade de comunicação intercultural.</w:t>
            </w:r>
          </w:p>
        </w:tc>
      </w:tr>
      <w:tr w:rsidR="004531AC" w:rsidRPr="00A40E7F" w:rsidTr="004531AC">
        <w:trPr>
          <w:trHeight w:val="659"/>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Conflict</w:t>
            </w:r>
            <w:proofErr w:type="spellEnd"/>
            <w:r w:rsidRPr="00A40E7F">
              <w:rPr>
                <w:rFonts w:ascii="Verdana" w:hAnsi="Verdana" w:cstheme="minorHAnsi"/>
                <w:sz w:val="20"/>
                <w:szCs w:val="20"/>
              </w:rPr>
              <w:t xml:space="preserve"> handling</w:t>
            </w:r>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Gestão de conflitos</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lidar com os outros de forma eficaz perante uma situação antagónica, reconhecendo opiniões divergentes, trazendo-as para debate aberto e recorrendo a técnicas e estilos interpessoais adequados para encontrar uma solução vantajosa para todos numa situação de conflito entre duas ou mais pessoas.</w:t>
            </w:r>
          </w:p>
        </w:tc>
      </w:tr>
      <w:tr w:rsidR="004531AC" w:rsidRPr="00A40E7F" w:rsidTr="004531AC">
        <w:trPr>
          <w:trHeight w:val="659"/>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Flexibility and adaptability to change </w:t>
            </w:r>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Flexibilidade e capacidade de adaptação às mudanças </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 xml:space="preserve">Demonstrar capacidade para se adaptar e manter a eficácia perante grandes mudanças nas tarefas laborais, no ambiente de trabalho, na estrutura e cultura da organização, nos processos, nos requisitos e noutros aspetos relacionados com o trabalho. </w:t>
            </w:r>
          </w:p>
        </w:tc>
      </w:tr>
      <w:tr w:rsidR="004531AC" w:rsidRPr="00A40E7F" w:rsidTr="004531AC">
        <w:trPr>
          <w:trHeight w:val="659"/>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Problem</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solving</w:t>
            </w:r>
            <w:proofErr w:type="spellEnd"/>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Resolução de problemas</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identificar problemas, utilizando a lógica, a intuição e dados, realizando investigações e análises adequadas e envolvendo outras pessoas (se necessário) para encontrar soluções ou tomar decisões.</w:t>
            </w:r>
          </w:p>
        </w:tc>
      </w:tr>
      <w:tr w:rsidR="004531AC" w:rsidRPr="00A40E7F" w:rsidTr="004531AC">
        <w:trPr>
          <w:trHeight w:val="659"/>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4531AC" w:rsidRPr="00A40E7F" w:rsidRDefault="004531AC" w:rsidP="005D599D">
            <w:pPr>
              <w:spacing w:after="0"/>
              <w:rPr>
                <w:rFonts w:ascii="Verdana" w:hAnsi="Verdana" w:cstheme="minorHAnsi"/>
                <w:sz w:val="20"/>
                <w:szCs w:val="20"/>
              </w:rPr>
            </w:pPr>
            <w:proofErr w:type="gramStart"/>
            <w:r w:rsidRPr="00A40E7F">
              <w:rPr>
                <w:rFonts w:ascii="Verdana" w:hAnsi="Verdana" w:cstheme="minorHAnsi"/>
                <w:sz w:val="20"/>
                <w:szCs w:val="20"/>
              </w:rPr>
              <w:t>Team</w:t>
            </w:r>
            <w:proofErr w:type="gramEnd"/>
            <w:r w:rsidRPr="00A40E7F">
              <w:rPr>
                <w:rFonts w:ascii="Verdana" w:hAnsi="Verdana" w:cstheme="minorHAnsi"/>
                <w:sz w:val="20"/>
                <w:szCs w:val="20"/>
              </w:rPr>
              <w:t xml:space="preserve"> </w:t>
            </w:r>
            <w:proofErr w:type="spellStart"/>
            <w:r w:rsidRPr="00A40E7F">
              <w:rPr>
                <w:rFonts w:ascii="Verdana" w:hAnsi="Verdana" w:cstheme="minorHAnsi"/>
                <w:sz w:val="20"/>
                <w:szCs w:val="20"/>
              </w:rPr>
              <w:t>work</w:t>
            </w:r>
            <w:proofErr w:type="spellEnd"/>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Trabalho em equipa</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trabalhar em cooperação e colaboração com colegas de diferentes unidades estruturais e posições hierárquicas para alcançar metas comuns.</w:t>
            </w:r>
          </w:p>
        </w:tc>
      </w:tr>
      <w:tr w:rsidR="004531AC" w:rsidRPr="00A40E7F" w:rsidTr="004531AC">
        <w:trPr>
          <w:trHeight w:val="439"/>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Technological</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ability</w:t>
            </w:r>
            <w:proofErr w:type="spellEnd"/>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 xml:space="preserve">Demonstrating ability to use appropriate personal computer software, information systems and other IT tools (e.g. Microsoft Office </w:t>
            </w:r>
            <w:proofErr w:type="spellStart"/>
            <w:r w:rsidRPr="004531AC">
              <w:rPr>
                <w:rFonts w:ascii="Verdana" w:hAnsi="Verdana" w:cstheme="minorHAnsi"/>
                <w:sz w:val="20"/>
                <w:szCs w:val="20"/>
                <w:lang w:val="en-GB"/>
              </w:rPr>
              <w:t>programms</w:t>
            </w:r>
            <w:proofErr w:type="spellEnd"/>
            <w:r w:rsidRPr="004531AC">
              <w:rPr>
                <w:rFonts w:ascii="Verdana" w:hAnsi="Verdana" w:cstheme="minorHAnsi"/>
                <w:sz w:val="20"/>
                <w:szCs w:val="20"/>
                <w:lang w:val="en-GB"/>
              </w:rPr>
              <w:t>) that are required to accomplish work goals.</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Capacidade tecnológica</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 xml:space="preserve">Demonstrar capacidade para utilizar </w:t>
            </w:r>
            <w:proofErr w:type="gramStart"/>
            <w:r>
              <w:rPr>
                <w:rFonts w:ascii="Verdana" w:hAnsi="Verdana" w:cstheme="minorHAnsi"/>
                <w:i/>
                <w:sz w:val="20"/>
              </w:rPr>
              <w:t>software</w:t>
            </w:r>
            <w:proofErr w:type="gramEnd"/>
            <w:r>
              <w:rPr>
                <w:rFonts w:ascii="Verdana" w:hAnsi="Verdana" w:cstheme="minorHAnsi"/>
                <w:sz w:val="20"/>
              </w:rPr>
              <w:t>, sistemas de informação e outros instrumentos informáticos adequados (por exemplo, programas Microsoft Office), necessários para a consecução dos objetivos de trabalho.</w:t>
            </w:r>
          </w:p>
        </w:tc>
      </w:tr>
      <w:tr w:rsidR="004531AC" w:rsidRPr="00A40E7F" w:rsidTr="004531AC">
        <w:trPr>
          <w:trHeight w:val="659"/>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Usage of monitoring and information system</w:t>
            </w:r>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Utilização do sistema de acompanhamento e informação</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utilizar os sistemas de acompanhamento e informação dos fundos da UE (tanto externos como internos, se disponíveis) para alcançar os objetivos de trabalho.</w:t>
            </w:r>
          </w:p>
        </w:tc>
      </w:tr>
      <w:tr w:rsidR="004531AC" w:rsidRPr="00A40E7F" w:rsidTr="004531AC">
        <w:trPr>
          <w:trHeight w:val="398"/>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Representation to the outside world</w:t>
            </w:r>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act or speak for institution in an efficient way and appropriate manner.</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Representação em contexto externo</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agir ou falar pela organização de forma eficiente e adequada.</w:t>
            </w:r>
          </w:p>
        </w:tc>
      </w:tr>
      <w:tr w:rsidR="004531AC" w:rsidRPr="00A40E7F" w:rsidTr="004531AC">
        <w:trPr>
          <w:trHeight w:val="659"/>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4531AC" w:rsidRPr="00A40E7F" w:rsidRDefault="004531AC" w:rsidP="005D599D">
            <w:pPr>
              <w:spacing w:after="0"/>
              <w:rPr>
                <w:rFonts w:ascii="Verdana" w:hAnsi="Verdana" w:cstheme="minorHAnsi"/>
                <w:sz w:val="20"/>
                <w:szCs w:val="20"/>
              </w:rPr>
            </w:pPr>
            <w:proofErr w:type="spellStart"/>
            <w:r w:rsidRPr="00A40E7F">
              <w:rPr>
                <w:rFonts w:ascii="Verdana" w:hAnsi="Verdana" w:cstheme="minorHAnsi"/>
                <w:sz w:val="20"/>
                <w:szCs w:val="20"/>
              </w:rPr>
              <w:t>Relevant</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language</w:t>
            </w:r>
            <w:proofErr w:type="spellEnd"/>
            <w:r w:rsidRPr="00A40E7F">
              <w:rPr>
                <w:rFonts w:ascii="Verdana" w:hAnsi="Verdana" w:cstheme="minorHAnsi"/>
                <w:sz w:val="20"/>
                <w:szCs w:val="20"/>
              </w:rPr>
              <w:t xml:space="preserve">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apply relevant foreign language skills in order to carry out the assigned functions and accomplish work goals.</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Competências linguísticas relevantes</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aplicar conhecimentos relevantes de línguas estrangeiras a fim de desempenhar as funções atribuídas e alcançar os objetivos laborais.</w:t>
            </w:r>
          </w:p>
        </w:tc>
      </w:tr>
      <w:tr w:rsidR="004531AC" w:rsidRPr="00A40E7F" w:rsidTr="004531AC">
        <w:trPr>
          <w:trHeight w:val="659"/>
        </w:trPr>
        <w:tc>
          <w:tcPr>
            <w:tcW w:w="453" w:type="pct"/>
            <w:shd w:val="clear" w:color="000000" w:fill="FFFFFF"/>
            <w:vAlign w:val="center"/>
          </w:tcPr>
          <w:p w:rsidR="004531AC" w:rsidRPr="00A40E7F" w:rsidRDefault="004531AC"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rsidR="004531AC" w:rsidRPr="00A40E7F" w:rsidRDefault="004531AC" w:rsidP="005D599D">
            <w:pPr>
              <w:spacing w:after="0"/>
              <w:rPr>
                <w:rFonts w:ascii="Verdana" w:hAnsi="Verdana" w:cstheme="minorHAnsi"/>
                <w:sz w:val="20"/>
                <w:szCs w:val="20"/>
              </w:rPr>
            </w:pPr>
            <w:r w:rsidRPr="00A40E7F">
              <w:rPr>
                <w:rFonts w:ascii="Verdana" w:hAnsi="Verdana" w:cstheme="minorHAnsi"/>
                <w:sz w:val="20"/>
                <w:szCs w:val="20"/>
              </w:rPr>
              <w:t xml:space="preserve">Intercultural </w:t>
            </w:r>
            <w:proofErr w:type="spellStart"/>
            <w:r w:rsidRPr="00A40E7F">
              <w:rPr>
                <w:rFonts w:ascii="Verdana" w:hAnsi="Verdana" w:cstheme="minorHAnsi"/>
                <w:sz w:val="20"/>
                <w:szCs w:val="20"/>
              </w:rPr>
              <w:t>skills</w:t>
            </w:r>
            <w:proofErr w:type="spellEnd"/>
          </w:p>
        </w:tc>
        <w:tc>
          <w:tcPr>
            <w:tcW w:w="1252" w:type="pct"/>
            <w:shd w:val="clear" w:color="000000" w:fill="FFFFFF"/>
            <w:vAlign w:val="center"/>
          </w:tcPr>
          <w:p w:rsidR="004531AC" w:rsidRPr="004531AC" w:rsidRDefault="004531AC" w:rsidP="005D599D">
            <w:pPr>
              <w:spacing w:after="0"/>
              <w:rPr>
                <w:rFonts w:ascii="Verdana" w:hAnsi="Verdana" w:cstheme="minorHAnsi"/>
                <w:sz w:val="20"/>
                <w:szCs w:val="20"/>
                <w:lang w:val="en-GB"/>
              </w:rPr>
            </w:pPr>
            <w:r w:rsidRPr="004531AC">
              <w:rPr>
                <w:rFonts w:ascii="Verdana" w:hAnsi="Verdana" w:cstheme="minorHAnsi"/>
                <w:sz w:val="20"/>
                <w:szCs w:val="20"/>
                <w:lang w:val="en-GB"/>
              </w:rPr>
              <w:t>Demonstrating ability to work in multi-cultural environment, efficiently dealing with stakeholders in EU institutions and other member states.</w:t>
            </w:r>
          </w:p>
        </w:tc>
        <w:tc>
          <w:tcPr>
            <w:tcW w:w="834"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Competências interculturais</w:t>
            </w:r>
          </w:p>
        </w:tc>
        <w:tc>
          <w:tcPr>
            <w:tcW w:w="1735" w:type="pct"/>
            <w:shd w:val="clear" w:color="000000" w:fill="FFFFFF"/>
            <w:vAlign w:val="center"/>
          </w:tcPr>
          <w:p w:rsidR="004531AC" w:rsidRPr="00A40E7F" w:rsidRDefault="004531AC" w:rsidP="005D599D">
            <w:pPr>
              <w:spacing w:after="0"/>
              <w:rPr>
                <w:rFonts w:ascii="Verdana" w:hAnsi="Verdana" w:cstheme="minorHAnsi"/>
                <w:sz w:val="20"/>
                <w:szCs w:val="20"/>
              </w:rPr>
            </w:pPr>
            <w:r>
              <w:rPr>
                <w:rFonts w:ascii="Verdana" w:hAnsi="Verdana" w:cstheme="minorHAnsi"/>
                <w:sz w:val="20"/>
              </w:rPr>
              <w:t>Demonstrar capacidade para trabalhar num ambiente multicultural, interagir de modo eficiente com as partes interessadas nas instituições da UE e nos outros Estados-Membros.</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34" w:rsidRDefault="00A25034" w:rsidP="0008776A">
      <w:pPr>
        <w:spacing w:after="0" w:line="240" w:lineRule="auto"/>
      </w:pPr>
      <w:r>
        <w:separator/>
      </w:r>
    </w:p>
  </w:endnote>
  <w:endnote w:type="continuationSeparator" w:id="0">
    <w:p w:rsidR="00A25034" w:rsidRDefault="00A25034"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5D599D" w:rsidRPr="0008776A" w:rsidRDefault="005D599D"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E6677A">
          <w:rPr>
            <w:rFonts w:asciiTheme="minorHAnsi" w:hAnsiTheme="minorHAnsi" w:cstheme="minorHAnsi"/>
            <w:noProof/>
          </w:rPr>
          <w:t>10</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34" w:rsidRDefault="00A25034" w:rsidP="0008776A">
      <w:pPr>
        <w:spacing w:after="0" w:line="240" w:lineRule="auto"/>
      </w:pPr>
      <w:r>
        <w:separator/>
      </w:r>
    </w:p>
  </w:footnote>
  <w:footnote w:type="continuationSeparator" w:id="0">
    <w:p w:rsidR="00A25034" w:rsidRDefault="00A25034"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9D" w:rsidRPr="00BF0B4F" w:rsidRDefault="005D599D"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Quadro de Competências da UE — Glossário de termos utilizados na Ferramenta de Autoavaliação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2744B"/>
    <w:rsid w:val="00047CBE"/>
    <w:rsid w:val="0008776A"/>
    <w:rsid w:val="000950D5"/>
    <w:rsid w:val="000A1ECD"/>
    <w:rsid w:val="000A35D7"/>
    <w:rsid w:val="000C44D2"/>
    <w:rsid w:val="000E47BD"/>
    <w:rsid w:val="00102D11"/>
    <w:rsid w:val="00123EE5"/>
    <w:rsid w:val="001319E4"/>
    <w:rsid w:val="001A07FE"/>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E01B9"/>
    <w:rsid w:val="002E60BC"/>
    <w:rsid w:val="00306B4F"/>
    <w:rsid w:val="00345877"/>
    <w:rsid w:val="00366D75"/>
    <w:rsid w:val="003839D5"/>
    <w:rsid w:val="003870A6"/>
    <w:rsid w:val="00390240"/>
    <w:rsid w:val="003928BC"/>
    <w:rsid w:val="003966E7"/>
    <w:rsid w:val="003C1C65"/>
    <w:rsid w:val="003F0065"/>
    <w:rsid w:val="00416AA7"/>
    <w:rsid w:val="0044373B"/>
    <w:rsid w:val="00451584"/>
    <w:rsid w:val="004531AC"/>
    <w:rsid w:val="00476CF8"/>
    <w:rsid w:val="004B0758"/>
    <w:rsid w:val="004C7C1E"/>
    <w:rsid w:val="004F71B4"/>
    <w:rsid w:val="00536145"/>
    <w:rsid w:val="00554E39"/>
    <w:rsid w:val="00584C64"/>
    <w:rsid w:val="00593463"/>
    <w:rsid w:val="005C3880"/>
    <w:rsid w:val="005D599D"/>
    <w:rsid w:val="005D6AFD"/>
    <w:rsid w:val="005D72B2"/>
    <w:rsid w:val="005F04A1"/>
    <w:rsid w:val="005F5DB2"/>
    <w:rsid w:val="006029E1"/>
    <w:rsid w:val="00614B9B"/>
    <w:rsid w:val="0062042A"/>
    <w:rsid w:val="006645FC"/>
    <w:rsid w:val="006744F9"/>
    <w:rsid w:val="006931AA"/>
    <w:rsid w:val="006C2D1C"/>
    <w:rsid w:val="006E738D"/>
    <w:rsid w:val="00716D09"/>
    <w:rsid w:val="007320E2"/>
    <w:rsid w:val="00757D2E"/>
    <w:rsid w:val="00787821"/>
    <w:rsid w:val="007D60DC"/>
    <w:rsid w:val="00822B80"/>
    <w:rsid w:val="008339CD"/>
    <w:rsid w:val="00834E93"/>
    <w:rsid w:val="0084461D"/>
    <w:rsid w:val="008806DD"/>
    <w:rsid w:val="008C4517"/>
    <w:rsid w:val="008E21AD"/>
    <w:rsid w:val="008F4A1B"/>
    <w:rsid w:val="00910BED"/>
    <w:rsid w:val="009248AB"/>
    <w:rsid w:val="009259B3"/>
    <w:rsid w:val="00927761"/>
    <w:rsid w:val="00960F73"/>
    <w:rsid w:val="009A279A"/>
    <w:rsid w:val="009E2CA5"/>
    <w:rsid w:val="00A25034"/>
    <w:rsid w:val="00A30ABC"/>
    <w:rsid w:val="00A40E7F"/>
    <w:rsid w:val="00A564CD"/>
    <w:rsid w:val="00AB57C3"/>
    <w:rsid w:val="00AB64E3"/>
    <w:rsid w:val="00AD2B31"/>
    <w:rsid w:val="00AD341D"/>
    <w:rsid w:val="00B579F3"/>
    <w:rsid w:val="00B81E04"/>
    <w:rsid w:val="00B967FA"/>
    <w:rsid w:val="00BC078C"/>
    <w:rsid w:val="00BF0B4F"/>
    <w:rsid w:val="00BF759B"/>
    <w:rsid w:val="00C1011B"/>
    <w:rsid w:val="00C971E1"/>
    <w:rsid w:val="00CC3497"/>
    <w:rsid w:val="00CD1306"/>
    <w:rsid w:val="00CD4409"/>
    <w:rsid w:val="00CE608F"/>
    <w:rsid w:val="00CF51E8"/>
    <w:rsid w:val="00CF661F"/>
    <w:rsid w:val="00CF6967"/>
    <w:rsid w:val="00D02119"/>
    <w:rsid w:val="00D27017"/>
    <w:rsid w:val="00D42D77"/>
    <w:rsid w:val="00D92F59"/>
    <w:rsid w:val="00DB27D2"/>
    <w:rsid w:val="00DE6C01"/>
    <w:rsid w:val="00E23DE5"/>
    <w:rsid w:val="00E44B41"/>
    <w:rsid w:val="00E6677A"/>
    <w:rsid w:val="00E87A35"/>
    <w:rsid w:val="00EB6450"/>
    <w:rsid w:val="00F15E49"/>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t-P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t-P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pt-P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t-P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t-P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t-P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pt-P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t-P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37F58-0939-4A21-BE33-8E8A9DE7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9</cp:revision>
  <cp:lastPrinted>2017-03-22T18:35:00Z</cp:lastPrinted>
  <dcterms:created xsi:type="dcterms:W3CDTF">2018-03-14T11:46:00Z</dcterms:created>
  <dcterms:modified xsi:type="dcterms:W3CDTF">2018-04-13T08:06:00Z</dcterms:modified>
</cp:coreProperties>
</file>