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3C076F" w:rsidP="000A1ECD">
      <w:pPr>
        <w:jc w:val="center"/>
        <w:rPr>
          <w:rFonts w:ascii="Verdana" w:hAnsi="Verdana" w:cstheme="minorHAnsi"/>
          <w:b/>
          <w:color w:val="003399"/>
          <w:kern w:val="12"/>
          <w:sz w:val="40"/>
          <w:szCs w:val="40"/>
        </w:rPr>
      </w:pPr>
      <w:r w:rsidRPr="003C076F">
        <w:rPr>
          <w:rFonts w:ascii="Verdana" w:hAnsi="Verdana" w:cstheme="minorHAnsi"/>
          <w:b/>
          <w:noProof/>
          <w:color w:val="003399"/>
          <w:kern w:val="12"/>
          <w:sz w:val="40"/>
          <w:lang w:val="en-GB" w:eastAsia="en-GB" w:bidi="ar-SA"/>
        </w:rPr>
        <w:drawing>
          <wp:inline distT="0" distB="0" distL="0" distR="0" wp14:anchorId="3E39260B" wp14:editId="7E0C6755">
            <wp:extent cx="7941259" cy="56197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945098" cy="5622467"/>
                    </a:xfrm>
                    <a:prstGeom prst="rect">
                      <a:avLst/>
                    </a:prstGeom>
                  </pic:spPr>
                </pic:pic>
              </a:graphicData>
            </a:graphic>
          </wp:inline>
        </w:drawing>
      </w:r>
    </w:p>
    <w:p w:rsidR="00251707" w:rsidRPr="00251707" w:rsidRDefault="00251707" w:rsidP="000A1ECD">
      <w:pPr>
        <w:jc w:val="center"/>
        <w:rPr>
          <w:rFonts w:ascii="Verdana" w:hAnsi="Verdana" w:cstheme="minorHAnsi"/>
          <w:b/>
          <w:color w:val="003399"/>
          <w:kern w:val="12"/>
          <w:sz w:val="40"/>
          <w:szCs w:val="40"/>
        </w:rPr>
        <w:sectPr w:rsidR="00251707" w:rsidRPr="00251707" w:rsidSect="0008776A">
          <w:headerReference w:type="default" r:id="rId10"/>
          <w:footerReference w:type="default" r:id="rId11"/>
          <w:pgSz w:w="15840" w:h="12240" w:orient="landscape"/>
          <w:pgMar w:top="1440" w:right="1440" w:bottom="1440" w:left="1440" w:header="720" w:footer="720" w:gutter="0"/>
          <w:cols w:space="720"/>
          <w:titlePg/>
          <w:docGrid w:linePitch="360"/>
        </w:sectPr>
      </w:pP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Versies van het document</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Versie</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Datum</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3 november 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Inhoudsopgave</w:t>
          </w:r>
        </w:p>
        <w:p w:rsidR="00251707" w:rsidRPr="0025756E" w:rsidRDefault="00251707" w:rsidP="00251707">
          <w:pPr>
            <w:rPr>
              <w:rFonts w:ascii="Verdana" w:hAnsi="Verdana"/>
              <w:b/>
              <w:color w:val="0070C0"/>
              <w:sz w:val="32"/>
              <w:szCs w:val="32"/>
            </w:rPr>
          </w:pPr>
        </w:p>
        <w:p w:rsidR="009B412F" w:rsidRPr="00940BAD" w:rsidRDefault="00CF51E8">
          <w:pPr>
            <w:pStyle w:val="TOC1"/>
            <w:tabs>
              <w:tab w:val="left" w:pos="440"/>
              <w:tab w:val="right" w:leader="dot" w:pos="12950"/>
            </w:tabs>
            <w:rPr>
              <w:rFonts w:eastAsiaTheme="minorEastAsia"/>
              <w:noProof/>
              <w:sz w:val="32"/>
              <w:szCs w:val="32"/>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972210" w:history="1">
            <w:r w:rsidR="009B412F" w:rsidRPr="00940BAD">
              <w:rPr>
                <w:rStyle w:val="Hyperlink"/>
                <w:noProof/>
                <w:sz w:val="32"/>
                <w:szCs w:val="32"/>
              </w:rPr>
              <w:t>1.</w:t>
            </w:r>
            <w:r w:rsidR="009B412F" w:rsidRPr="00940BAD">
              <w:rPr>
                <w:rFonts w:eastAsiaTheme="minorEastAsia"/>
                <w:noProof/>
                <w:sz w:val="32"/>
                <w:szCs w:val="32"/>
                <w:lang w:val="en-GB" w:eastAsia="en-GB" w:bidi="ar-SA"/>
              </w:rPr>
              <w:tab/>
            </w:r>
            <w:r w:rsidR="009B412F" w:rsidRPr="00940BAD">
              <w:rPr>
                <w:rStyle w:val="Hyperlink"/>
                <w:noProof/>
                <w:sz w:val="32"/>
                <w:szCs w:val="32"/>
              </w:rPr>
              <w:t>Functies</w:t>
            </w:r>
            <w:r w:rsidR="009B412F" w:rsidRPr="00940BAD">
              <w:rPr>
                <w:noProof/>
                <w:webHidden/>
                <w:sz w:val="32"/>
                <w:szCs w:val="32"/>
              </w:rPr>
              <w:tab/>
            </w:r>
            <w:r w:rsidR="009B412F" w:rsidRPr="00940BAD">
              <w:rPr>
                <w:noProof/>
                <w:webHidden/>
                <w:sz w:val="32"/>
                <w:szCs w:val="32"/>
              </w:rPr>
              <w:fldChar w:fldCharType="begin"/>
            </w:r>
            <w:r w:rsidR="009B412F" w:rsidRPr="00940BAD">
              <w:rPr>
                <w:noProof/>
                <w:webHidden/>
                <w:sz w:val="32"/>
                <w:szCs w:val="32"/>
              </w:rPr>
              <w:instrText xml:space="preserve"> PAGEREF _Toc508972210 \h </w:instrText>
            </w:r>
            <w:r w:rsidR="009B412F" w:rsidRPr="00940BAD">
              <w:rPr>
                <w:noProof/>
                <w:webHidden/>
                <w:sz w:val="32"/>
                <w:szCs w:val="32"/>
              </w:rPr>
            </w:r>
            <w:r w:rsidR="009B412F" w:rsidRPr="00940BAD">
              <w:rPr>
                <w:noProof/>
                <w:webHidden/>
                <w:sz w:val="32"/>
                <w:szCs w:val="32"/>
              </w:rPr>
              <w:fldChar w:fldCharType="separate"/>
            </w:r>
            <w:r w:rsidR="009B412F" w:rsidRPr="00940BAD">
              <w:rPr>
                <w:noProof/>
                <w:webHidden/>
                <w:sz w:val="32"/>
                <w:szCs w:val="32"/>
              </w:rPr>
              <w:t>4</w:t>
            </w:r>
            <w:r w:rsidR="009B412F" w:rsidRPr="00940BAD">
              <w:rPr>
                <w:noProof/>
                <w:webHidden/>
                <w:sz w:val="32"/>
                <w:szCs w:val="32"/>
              </w:rPr>
              <w:fldChar w:fldCharType="end"/>
            </w:r>
          </w:hyperlink>
        </w:p>
        <w:p w:rsidR="009B412F" w:rsidRPr="00940BAD" w:rsidRDefault="00FF0130">
          <w:pPr>
            <w:pStyle w:val="TOC1"/>
            <w:tabs>
              <w:tab w:val="left" w:pos="440"/>
              <w:tab w:val="right" w:leader="dot" w:pos="12950"/>
            </w:tabs>
            <w:rPr>
              <w:rFonts w:eastAsiaTheme="minorEastAsia"/>
              <w:noProof/>
              <w:sz w:val="32"/>
              <w:szCs w:val="32"/>
              <w:lang w:val="en-GB" w:eastAsia="en-GB" w:bidi="ar-SA"/>
            </w:rPr>
          </w:pPr>
          <w:hyperlink w:anchor="_Toc508972211" w:history="1">
            <w:r w:rsidR="009B412F" w:rsidRPr="00940BAD">
              <w:rPr>
                <w:rStyle w:val="Hyperlink"/>
                <w:noProof/>
                <w:sz w:val="32"/>
                <w:szCs w:val="32"/>
              </w:rPr>
              <w:t>2.</w:t>
            </w:r>
            <w:r w:rsidR="009B412F" w:rsidRPr="00940BAD">
              <w:rPr>
                <w:rFonts w:eastAsiaTheme="minorEastAsia"/>
                <w:noProof/>
                <w:sz w:val="32"/>
                <w:szCs w:val="32"/>
                <w:lang w:val="en-GB" w:eastAsia="en-GB" w:bidi="ar-SA"/>
              </w:rPr>
              <w:tab/>
            </w:r>
            <w:r w:rsidR="009B412F" w:rsidRPr="00940BAD">
              <w:rPr>
                <w:rStyle w:val="Hyperlink"/>
                <w:noProof/>
                <w:sz w:val="32"/>
                <w:szCs w:val="32"/>
              </w:rPr>
              <w:t>Taken en deeltaken</w:t>
            </w:r>
            <w:r w:rsidR="009B412F" w:rsidRPr="00940BAD">
              <w:rPr>
                <w:noProof/>
                <w:webHidden/>
                <w:sz w:val="32"/>
                <w:szCs w:val="32"/>
              </w:rPr>
              <w:tab/>
            </w:r>
            <w:r w:rsidR="009B412F" w:rsidRPr="00940BAD">
              <w:rPr>
                <w:noProof/>
                <w:webHidden/>
                <w:sz w:val="32"/>
                <w:szCs w:val="32"/>
              </w:rPr>
              <w:fldChar w:fldCharType="begin"/>
            </w:r>
            <w:r w:rsidR="009B412F" w:rsidRPr="00940BAD">
              <w:rPr>
                <w:noProof/>
                <w:webHidden/>
                <w:sz w:val="32"/>
                <w:szCs w:val="32"/>
              </w:rPr>
              <w:instrText xml:space="preserve"> PAGEREF _Toc508972211 \h </w:instrText>
            </w:r>
            <w:r w:rsidR="009B412F" w:rsidRPr="00940BAD">
              <w:rPr>
                <w:noProof/>
                <w:webHidden/>
                <w:sz w:val="32"/>
                <w:szCs w:val="32"/>
              </w:rPr>
            </w:r>
            <w:r w:rsidR="009B412F" w:rsidRPr="00940BAD">
              <w:rPr>
                <w:noProof/>
                <w:webHidden/>
                <w:sz w:val="32"/>
                <w:szCs w:val="32"/>
              </w:rPr>
              <w:fldChar w:fldCharType="separate"/>
            </w:r>
            <w:r w:rsidR="009B412F" w:rsidRPr="00940BAD">
              <w:rPr>
                <w:noProof/>
                <w:webHidden/>
                <w:sz w:val="32"/>
                <w:szCs w:val="32"/>
              </w:rPr>
              <w:t>5</w:t>
            </w:r>
            <w:r w:rsidR="009B412F" w:rsidRPr="00940BAD">
              <w:rPr>
                <w:noProof/>
                <w:webHidden/>
                <w:sz w:val="32"/>
                <w:szCs w:val="32"/>
              </w:rPr>
              <w:fldChar w:fldCharType="end"/>
            </w:r>
          </w:hyperlink>
        </w:p>
        <w:p w:rsidR="009B412F" w:rsidRPr="00940BAD" w:rsidRDefault="00FF0130">
          <w:pPr>
            <w:pStyle w:val="TOC1"/>
            <w:tabs>
              <w:tab w:val="left" w:pos="440"/>
              <w:tab w:val="right" w:leader="dot" w:pos="12950"/>
            </w:tabs>
            <w:rPr>
              <w:rFonts w:eastAsiaTheme="minorEastAsia"/>
              <w:noProof/>
              <w:sz w:val="32"/>
              <w:szCs w:val="32"/>
              <w:lang w:val="en-GB" w:eastAsia="en-GB" w:bidi="ar-SA"/>
            </w:rPr>
          </w:pPr>
          <w:hyperlink w:anchor="_Toc508972212" w:history="1">
            <w:r w:rsidR="009B412F" w:rsidRPr="00940BAD">
              <w:rPr>
                <w:rStyle w:val="Hyperlink"/>
                <w:noProof/>
                <w:sz w:val="32"/>
                <w:szCs w:val="32"/>
              </w:rPr>
              <w:t>3.</w:t>
            </w:r>
            <w:r w:rsidR="009B412F" w:rsidRPr="00940BAD">
              <w:rPr>
                <w:rFonts w:eastAsiaTheme="minorEastAsia"/>
                <w:noProof/>
                <w:sz w:val="32"/>
                <w:szCs w:val="32"/>
                <w:lang w:val="en-GB" w:eastAsia="en-GB" w:bidi="ar-SA"/>
              </w:rPr>
              <w:tab/>
            </w:r>
            <w:r w:rsidR="009B412F" w:rsidRPr="00940BAD">
              <w:rPr>
                <w:rStyle w:val="Hyperlink"/>
                <w:noProof/>
                <w:sz w:val="32"/>
                <w:szCs w:val="32"/>
              </w:rPr>
              <w:t>Vaardigheidsschaal</w:t>
            </w:r>
            <w:r w:rsidR="009B412F" w:rsidRPr="00940BAD">
              <w:rPr>
                <w:noProof/>
                <w:webHidden/>
                <w:sz w:val="32"/>
                <w:szCs w:val="32"/>
              </w:rPr>
              <w:tab/>
            </w:r>
            <w:r w:rsidR="009B412F" w:rsidRPr="00940BAD">
              <w:rPr>
                <w:noProof/>
                <w:webHidden/>
                <w:sz w:val="32"/>
                <w:szCs w:val="32"/>
              </w:rPr>
              <w:fldChar w:fldCharType="begin"/>
            </w:r>
            <w:r w:rsidR="009B412F" w:rsidRPr="00940BAD">
              <w:rPr>
                <w:noProof/>
                <w:webHidden/>
                <w:sz w:val="32"/>
                <w:szCs w:val="32"/>
              </w:rPr>
              <w:instrText xml:space="preserve"> PAGEREF _Toc508972212 \h </w:instrText>
            </w:r>
            <w:r w:rsidR="009B412F" w:rsidRPr="00940BAD">
              <w:rPr>
                <w:noProof/>
                <w:webHidden/>
                <w:sz w:val="32"/>
                <w:szCs w:val="32"/>
              </w:rPr>
            </w:r>
            <w:r w:rsidR="009B412F" w:rsidRPr="00940BAD">
              <w:rPr>
                <w:noProof/>
                <w:webHidden/>
                <w:sz w:val="32"/>
                <w:szCs w:val="32"/>
              </w:rPr>
              <w:fldChar w:fldCharType="separate"/>
            </w:r>
            <w:r w:rsidR="009B412F" w:rsidRPr="00940BAD">
              <w:rPr>
                <w:noProof/>
                <w:webHidden/>
                <w:sz w:val="32"/>
                <w:szCs w:val="32"/>
              </w:rPr>
              <w:t>9</w:t>
            </w:r>
            <w:r w:rsidR="009B412F" w:rsidRPr="00940BAD">
              <w:rPr>
                <w:noProof/>
                <w:webHidden/>
                <w:sz w:val="32"/>
                <w:szCs w:val="32"/>
              </w:rPr>
              <w:fldChar w:fldCharType="end"/>
            </w:r>
          </w:hyperlink>
        </w:p>
        <w:p w:rsidR="009B412F" w:rsidRPr="00940BAD" w:rsidRDefault="00FF0130">
          <w:pPr>
            <w:pStyle w:val="TOC1"/>
            <w:tabs>
              <w:tab w:val="left" w:pos="440"/>
              <w:tab w:val="right" w:leader="dot" w:pos="12950"/>
            </w:tabs>
            <w:rPr>
              <w:rFonts w:eastAsiaTheme="minorEastAsia"/>
              <w:noProof/>
              <w:sz w:val="32"/>
              <w:szCs w:val="32"/>
              <w:lang w:val="en-GB" w:eastAsia="en-GB" w:bidi="ar-SA"/>
            </w:rPr>
          </w:pPr>
          <w:hyperlink w:anchor="_Toc508972213" w:history="1">
            <w:r w:rsidR="009B412F" w:rsidRPr="00940BAD">
              <w:rPr>
                <w:rStyle w:val="Hyperlink"/>
                <w:noProof/>
                <w:sz w:val="32"/>
                <w:szCs w:val="32"/>
              </w:rPr>
              <w:t>4.</w:t>
            </w:r>
            <w:r w:rsidR="009B412F" w:rsidRPr="00940BAD">
              <w:rPr>
                <w:rFonts w:eastAsiaTheme="minorEastAsia"/>
                <w:noProof/>
                <w:sz w:val="32"/>
                <w:szCs w:val="32"/>
                <w:lang w:val="en-GB" w:eastAsia="en-GB" w:bidi="ar-SA"/>
              </w:rPr>
              <w:tab/>
            </w:r>
            <w:r w:rsidR="009B412F" w:rsidRPr="00940BAD">
              <w:rPr>
                <w:rStyle w:val="Hyperlink"/>
                <w:noProof/>
                <w:sz w:val="32"/>
                <w:szCs w:val="32"/>
              </w:rPr>
              <w:t>Operationele competenties</w:t>
            </w:r>
            <w:r w:rsidR="009B412F" w:rsidRPr="00940BAD">
              <w:rPr>
                <w:noProof/>
                <w:webHidden/>
                <w:sz w:val="32"/>
                <w:szCs w:val="32"/>
              </w:rPr>
              <w:tab/>
            </w:r>
            <w:r w:rsidR="009B412F" w:rsidRPr="00940BAD">
              <w:rPr>
                <w:noProof/>
                <w:webHidden/>
                <w:sz w:val="32"/>
                <w:szCs w:val="32"/>
              </w:rPr>
              <w:fldChar w:fldCharType="begin"/>
            </w:r>
            <w:r w:rsidR="009B412F" w:rsidRPr="00940BAD">
              <w:rPr>
                <w:noProof/>
                <w:webHidden/>
                <w:sz w:val="32"/>
                <w:szCs w:val="32"/>
              </w:rPr>
              <w:instrText xml:space="preserve"> PAGEREF _Toc508972213 \h </w:instrText>
            </w:r>
            <w:r w:rsidR="009B412F" w:rsidRPr="00940BAD">
              <w:rPr>
                <w:noProof/>
                <w:webHidden/>
                <w:sz w:val="32"/>
                <w:szCs w:val="32"/>
              </w:rPr>
            </w:r>
            <w:r w:rsidR="009B412F" w:rsidRPr="00940BAD">
              <w:rPr>
                <w:noProof/>
                <w:webHidden/>
                <w:sz w:val="32"/>
                <w:szCs w:val="32"/>
              </w:rPr>
              <w:fldChar w:fldCharType="separate"/>
            </w:r>
            <w:r w:rsidR="009B412F" w:rsidRPr="00940BAD">
              <w:rPr>
                <w:noProof/>
                <w:webHidden/>
                <w:sz w:val="32"/>
                <w:szCs w:val="32"/>
              </w:rPr>
              <w:t>11</w:t>
            </w:r>
            <w:r w:rsidR="009B412F" w:rsidRPr="00940BAD">
              <w:rPr>
                <w:noProof/>
                <w:webHidden/>
                <w:sz w:val="32"/>
                <w:szCs w:val="32"/>
              </w:rPr>
              <w:fldChar w:fldCharType="end"/>
            </w:r>
          </w:hyperlink>
        </w:p>
        <w:p w:rsidR="009B412F" w:rsidRPr="00940BAD" w:rsidRDefault="00FF0130">
          <w:pPr>
            <w:pStyle w:val="TOC1"/>
            <w:tabs>
              <w:tab w:val="left" w:pos="440"/>
              <w:tab w:val="right" w:leader="dot" w:pos="12950"/>
            </w:tabs>
            <w:rPr>
              <w:rFonts w:eastAsiaTheme="minorEastAsia"/>
              <w:noProof/>
              <w:sz w:val="32"/>
              <w:szCs w:val="32"/>
              <w:lang w:val="en-GB" w:eastAsia="en-GB" w:bidi="ar-SA"/>
            </w:rPr>
          </w:pPr>
          <w:hyperlink w:anchor="_Toc508972214" w:history="1">
            <w:r w:rsidR="009B412F" w:rsidRPr="00940BAD">
              <w:rPr>
                <w:rStyle w:val="Hyperlink"/>
                <w:noProof/>
                <w:sz w:val="32"/>
                <w:szCs w:val="32"/>
              </w:rPr>
              <w:t>5.</w:t>
            </w:r>
            <w:r w:rsidR="009B412F" w:rsidRPr="00940BAD">
              <w:rPr>
                <w:rFonts w:eastAsiaTheme="minorEastAsia"/>
                <w:noProof/>
                <w:sz w:val="32"/>
                <w:szCs w:val="32"/>
                <w:lang w:val="en-GB" w:eastAsia="en-GB" w:bidi="ar-SA"/>
              </w:rPr>
              <w:tab/>
            </w:r>
            <w:r w:rsidR="009B412F" w:rsidRPr="00940BAD">
              <w:rPr>
                <w:rStyle w:val="Hyperlink"/>
                <w:noProof/>
                <w:sz w:val="32"/>
                <w:szCs w:val="32"/>
              </w:rPr>
              <w:t>Managementcompetenties</w:t>
            </w:r>
            <w:r w:rsidR="009B412F" w:rsidRPr="00940BAD">
              <w:rPr>
                <w:noProof/>
                <w:webHidden/>
                <w:sz w:val="32"/>
                <w:szCs w:val="32"/>
              </w:rPr>
              <w:tab/>
            </w:r>
            <w:r w:rsidR="009B412F" w:rsidRPr="00940BAD">
              <w:rPr>
                <w:noProof/>
                <w:webHidden/>
                <w:sz w:val="32"/>
                <w:szCs w:val="32"/>
              </w:rPr>
              <w:fldChar w:fldCharType="begin"/>
            </w:r>
            <w:r w:rsidR="009B412F" w:rsidRPr="00940BAD">
              <w:rPr>
                <w:noProof/>
                <w:webHidden/>
                <w:sz w:val="32"/>
                <w:szCs w:val="32"/>
              </w:rPr>
              <w:instrText xml:space="preserve"> PAGEREF _Toc508972214 \h </w:instrText>
            </w:r>
            <w:r w:rsidR="009B412F" w:rsidRPr="00940BAD">
              <w:rPr>
                <w:noProof/>
                <w:webHidden/>
                <w:sz w:val="32"/>
                <w:szCs w:val="32"/>
              </w:rPr>
            </w:r>
            <w:r w:rsidR="009B412F" w:rsidRPr="00940BAD">
              <w:rPr>
                <w:noProof/>
                <w:webHidden/>
                <w:sz w:val="32"/>
                <w:szCs w:val="32"/>
              </w:rPr>
              <w:fldChar w:fldCharType="separate"/>
            </w:r>
            <w:r w:rsidR="009B412F" w:rsidRPr="00940BAD">
              <w:rPr>
                <w:noProof/>
                <w:webHidden/>
                <w:sz w:val="32"/>
                <w:szCs w:val="32"/>
              </w:rPr>
              <w:t>14</w:t>
            </w:r>
            <w:r w:rsidR="009B412F" w:rsidRPr="00940BAD">
              <w:rPr>
                <w:noProof/>
                <w:webHidden/>
                <w:sz w:val="32"/>
                <w:szCs w:val="32"/>
              </w:rPr>
              <w:fldChar w:fldCharType="end"/>
            </w:r>
          </w:hyperlink>
        </w:p>
        <w:p w:rsidR="009B412F" w:rsidRDefault="00FF0130">
          <w:pPr>
            <w:pStyle w:val="TOC1"/>
            <w:tabs>
              <w:tab w:val="left" w:pos="440"/>
              <w:tab w:val="right" w:leader="dot" w:pos="12950"/>
            </w:tabs>
            <w:rPr>
              <w:rFonts w:eastAsiaTheme="minorEastAsia"/>
              <w:noProof/>
              <w:lang w:val="en-GB" w:eastAsia="en-GB" w:bidi="ar-SA"/>
            </w:rPr>
          </w:pPr>
          <w:hyperlink w:anchor="_Toc508972215" w:history="1">
            <w:r w:rsidR="009B412F" w:rsidRPr="00940BAD">
              <w:rPr>
                <w:rStyle w:val="Hyperlink"/>
                <w:noProof/>
                <w:sz w:val="32"/>
                <w:szCs w:val="32"/>
              </w:rPr>
              <w:t>6.</w:t>
            </w:r>
            <w:r w:rsidR="009B412F" w:rsidRPr="00940BAD">
              <w:rPr>
                <w:rFonts w:eastAsiaTheme="minorEastAsia"/>
                <w:noProof/>
                <w:sz w:val="32"/>
                <w:szCs w:val="32"/>
                <w:lang w:val="en-GB" w:eastAsia="en-GB" w:bidi="ar-SA"/>
              </w:rPr>
              <w:tab/>
            </w:r>
            <w:r w:rsidR="009B412F" w:rsidRPr="00940BAD">
              <w:rPr>
                <w:rStyle w:val="Hyperlink"/>
                <w:noProof/>
                <w:sz w:val="32"/>
                <w:szCs w:val="32"/>
              </w:rPr>
              <w:t>Professionele competenties</w:t>
            </w:r>
            <w:r w:rsidR="009B412F" w:rsidRPr="00940BAD">
              <w:rPr>
                <w:noProof/>
                <w:webHidden/>
                <w:sz w:val="32"/>
                <w:szCs w:val="32"/>
              </w:rPr>
              <w:tab/>
            </w:r>
            <w:r w:rsidR="009B412F" w:rsidRPr="00940BAD">
              <w:rPr>
                <w:noProof/>
                <w:webHidden/>
                <w:sz w:val="32"/>
                <w:szCs w:val="32"/>
              </w:rPr>
              <w:fldChar w:fldCharType="begin"/>
            </w:r>
            <w:r w:rsidR="009B412F" w:rsidRPr="00940BAD">
              <w:rPr>
                <w:noProof/>
                <w:webHidden/>
                <w:sz w:val="32"/>
                <w:szCs w:val="32"/>
              </w:rPr>
              <w:instrText xml:space="preserve"> PAGEREF _Toc508972215 \h </w:instrText>
            </w:r>
            <w:r w:rsidR="009B412F" w:rsidRPr="00940BAD">
              <w:rPr>
                <w:noProof/>
                <w:webHidden/>
                <w:sz w:val="32"/>
                <w:szCs w:val="32"/>
              </w:rPr>
            </w:r>
            <w:r w:rsidR="009B412F" w:rsidRPr="00940BAD">
              <w:rPr>
                <w:noProof/>
                <w:webHidden/>
                <w:sz w:val="32"/>
                <w:szCs w:val="32"/>
              </w:rPr>
              <w:fldChar w:fldCharType="separate"/>
            </w:r>
            <w:r w:rsidR="009B412F" w:rsidRPr="00940BAD">
              <w:rPr>
                <w:noProof/>
                <w:webHidden/>
                <w:sz w:val="32"/>
                <w:szCs w:val="32"/>
              </w:rPr>
              <w:t>18</w:t>
            </w:r>
            <w:r w:rsidR="009B412F" w:rsidRPr="00940BAD">
              <w:rPr>
                <w:noProof/>
                <w:webHidden/>
                <w:sz w:val="32"/>
                <w:szCs w:val="32"/>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bookmarkStart w:id="0" w:name="_GoBack"/>
      <w:bookmarkEnd w:id="0"/>
    </w:p>
    <w:p w:rsidR="00CD1306" w:rsidRPr="00B81E04" w:rsidRDefault="000C44D2" w:rsidP="00B81E04">
      <w:pPr>
        <w:pStyle w:val="Heading1"/>
      </w:pPr>
      <w:bookmarkStart w:id="1" w:name="_Toc494963494"/>
      <w:bookmarkStart w:id="2" w:name="_Toc508972210"/>
      <w:r>
        <w:lastRenderedPageBreak/>
        <w:t>Functies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2"/>
        <w:gridCol w:w="2809"/>
        <w:gridCol w:w="1911"/>
        <w:gridCol w:w="6847"/>
      </w:tblGrid>
      <w:tr w:rsidR="006931AA" w:rsidRPr="00251707" w:rsidTr="00940BAD">
        <w:trPr>
          <w:trHeight w:val="467"/>
        </w:trPr>
        <w:tc>
          <w:tcPr>
            <w:tcW w:w="1751"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3249"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940BAD" w:rsidRPr="00251707" w:rsidTr="00940BAD">
        <w:trPr>
          <w:trHeight w:val="440"/>
        </w:trPr>
        <w:tc>
          <w:tcPr>
            <w:tcW w:w="709" w:type="pct"/>
            <w:shd w:val="clear" w:color="auto" w:fill="F2F2F2" w:themeFill="background1" w:themeFillShade="F2"/>
            <w:vAlign w:val="center"/>
            <w:hideMark/>
          </w:tcPr>
          <w:p w:rsidR="00940BAD" w:rsidRPr="00251707" w:rsidRDefault="00940BAD" w:rsidP="00940BAD">
            <w:pPr>
              <w:spacing w:after="0"/>
              <w:rPr>
                <w:rFonts w:ascii="Verdana" w:hAnsi="Verdana" w:cstheme="minorHAnsi"/>
                <w:sz w:val="20"/>
                <w:szCs w:val="20"/>
              </w:rPr>
            </w:pPr>
            <w:proofErr w:type="gramStart"/>
            <w:r w:rsidRPr="00251707">
              <w:rPr>
                <w:rFonts w:ascii="Verdana" w:hAnsi="Verdana" w:cstheme="minorHAnsi"/>
                <w:sz w:val="20"/>
                <w:szCs w:val="20"/>
              </w:rPr>
              <w:t>Job</w:t>
            </w:r>
            <w:proofErr w:type="gramEnd"/>
            <w:r w:rsidRPr="00251707">
              <w:rPr>
                <w:rFonts w:ascii="Verdana" w:hAnsi="Verdana" w:cstheme="minorHAnsi"/>
                <w:sz w:val="20"/>
                <w:szCs w:val="20"/>
              </w:rPr>
              <w:t xml:space="preserve"> </w:t>
            </w:r>
            <w:proofErr w:type="spellStart"/>
            <w:r w:rsidRPr="00251707">
              <w:rPr>
                <w:rFonts w:ascii="Verdana" w:hAnsi="Verdana" w:cstheme="minorHAnsi"/>
                <w:sz w:val="20"/>
                <w:szCs w:val="20"/>
              </w:rPr>
              <w:t>Role</w:t>
            </w:r>
            <w:proofErr w:type="spellEnd"/>
          </w:p>
        </w:tc>
        <w:tc>
          <w:tcPr>
            <w:tcW w:w="1042" w:type="pct"/>
            <w:shd w:val="clear" w:color="auto" w:fill="F2F2F2" w:themeFill="background1" w:themeFillShade="F2"/>
            <w:vAlign w:val="center"/>
          </w:tcPr>
          <w:p w:rsidR="00940BAD" w:rsidRPr="00251707" w:rsidRDefault="00940BAD" w:rsidP="00940BAD">
            <w:pPr>
              <w:spacing w:after="0"/>
              <w:rPr>
                <w:rFonts w:ascii="Verdana" w:hAnsi="Verdana" w:cstheme="minorHAnsi"/>
                <w:sz w:val="20"/>
                <w:szCs w:val="20"/>
              </w:rPr>
            </w:pPr>
            <w:proofErr w:type="spellStart"/>
            <w:r w:rsidRPr="00251707">
              <w:rPr>
                <w:rFonts w:ascii="Verdana" w:hAnsi="Verdana" w:cstheme="minorHAnsi"/>
                <w:sz w:val="20"/>
                <w:szCs w:val="20"/>
              </w:rPr>
              <w:t>Description</w:t>
            </w:r>
            <w:proofErr w:type="spellEnd"/>
          </w:p>
        </w:tc>
        <w:tc>
          <w:tcPr>
            <w:tcW w:w="709" w:type="pct"/>
            <w:shd w:val="clear" w:color="auto" w:fill="F2F2F2" w:themeFill="background1" w:themeFillShade="F2"/>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Functie</w:t>
            </w:r>
          </w:p>
        </w:tc>
        <w:tc>
          <w:tcPr>
            <w:tcW w:w="2540" w:type="pct"/>
            <w:shd w:val="clear" w:color="auto" w:fill="F2F2F2" w:themeFill="background1" w:themeFillShade="F2"/>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Omschrijving</w:t>
            </w:r>
          </w:p>
        </w:tc>
      </w:tr>
      <w:tr w:rsidR="00940BAD" w:rsidRPr="00251707" w:rsidTr="00940BAD">
        <w:trPr>
          <w:trHeight w:val="1250"/>
        </w:trPr>
        <w:tc>
          <w:tcPr>
            <w:tcW w:w="709" w:type="pct"/>
            <w:shd w:val="clear" w:color="000000" w:fill="FFFFFF"/>
            <w:vAlign w:val="center"/>
            <w:hideMark/>
          </w:tcPr>
          <w:p w:rsidR="00940BAD" w:rsidRPr="00251707" w:rsidRDefault="00940BAD" w:rsidP="00940BAD">
            <w:pPr>
              <w:spacing w:after="0"/>
              <w:rPr>
                <w:rFonts w:ascii="Verdana" w:hAnsi="Verdana" w:cstheme="minorHAnsi"/>
                <w:sz w:val="20"/>
                <w:szCs w:val="20"/>
              </w:rPr>
            </w:pPr>
            <w:proofErr w:type="spellStart"/>
            <w:r w:rsidRPr="00251707">
              <w:rPr>
                <w:rFonts w:ascii="Verdana" w:hAnsi="Verdana" w:cstheme="minorHAnsi"/>
                <w:sz w:val="20"/>
                <w:szCs w:val="20"/>
              </w:rPr>
              <w:t>Decision</w:t>
            </w:r>
            <w:proofErr w:type="spellEnd"/>
            <w:r w:rsidRPr="00251707">
              <w:rPr>
                <w:rFonts w:ascii="Verdana" w:hAnsi="Verdana" w:cstheme="minorHAnsi"/>
                <w:sz w:val="20"/>
                <w:szCs w:val="20"/>
              </w:rPr>
              <w:t xml:space="preserve">-making </w:t>
            </w:r>
            <w:proofErr w:type="gramStart"/>
            <w:r w:rsidRPr="00251707">
              <w:rPr>
                <w:rFonts w:ascii="Verdana" w:hAnsi="Verdana" w:cstheme="minorHAnsi"/>
                <w:sz w:val="20"/>
                <w:szCs w:val="20"/>
              </w:rPr>
              <w:t>level</w:t>
            </w:r>
            <w:proofErr w:type="gramEnd"/>
          </w:p>
        </w:tc>
        <w:tc>
          <w:tcPr>
            <w:tcW w:w="1042"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This is the head of the organization or persons that act on relatively high strategic management levels</w:t>
            </w:r>
          </w:p>
        </w:tc>
        <w:tc>
          <w:tcPr>
            <w:tcW w:w="709"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Besluitvormers</w:t>
            </w:r>
          </w:p>
        </w:tc>
        <w:tc>
          <w:tcPr>
            <w:tcW w:w="2540"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Het hoofd van de organisatie of de personen die werken op een vrij hoog strategisch managementniveau</w:t>
            </w:r>
          </w:p>
        </w:tc>
      </w:tr>
      <w:tr w:rsidR="00940BAD" w:rsidRPr="00251707" w:rsidTr="00940BAD">
        <w:trPr>
          <w:trHeight w:val="1871"/>
        </w:trPr>
        <w:tc>
          <w:tcPr>
            <w:tcW w:w="709" w:type="pct"/>
            <w:shd w:val="clear" w:color="000000" w:fill="FFFFFF"/>
            <w:vAlign w:val="center"/>
            <w:hideMark/>
          </w:tcPr>
          <w:p w:rsidR="00940BAD" w:rsidRPr="00251707" w:rsidRDefault="00940BAD" w:rsidP="00940BAD">
            <w:pPr>
              <w:spacing w:after="0"/>
              <w:rPr>
                <w:rFonts w:ascii="Verdana" w:hAnsi="Verdana" w:cstheme="minorHAnsi"/>
                <w:sz w:val="20"/>
                <w:szCs w:val="20"/>
              </w:rPr>
            </w:pPr>
            <w:proofErr w:type="spellStart"/>
            <w:r w:rsidRPr="00251707">
              <w:rPr>
                <w:rFonts w:ascii="Verdana" w:hAnsi="Verdana" w:cstheme="minorHAnsi"/>
                <w:sz w:val="20"/>
                <w:szCs w:val="20"/>
              </w:rPr>
              <w:t>Supervisory</w:t>
            </w:r>
            <w:proofErr w:type="spellEnd"/>
            <w:r w:rsidRPr="00251707">
              <w:rPr>
                <w:rFonts w:ascii="Verdana" w:hAnsi="Verdana" w:cstheme="minorHAnsi"/>
                <w:sz w:val="20"/>
                <w:szCs w:val="20"/>
              </w:rPr>
              <w:t xml:space="preserve"> </w:t>
            </w:r>
            <w:proofErr w:type="gramStart"/>
            <w:r w:rsidRPr="00251707">
              <w:rPr>
                <w:rFonts w:ascii="Verdana" w:hAnsi="Verdana" w:cstheme="minorHAnsi"/>
                <w:sz w:val="20"/>
                <w:szCs w:val="20"/>
              </w:rPr>
              <w:t>level</w:t>
            </w:r>
            <w:proofErr w:type="gramEnd"/>
          </w:p>
        </w:tc>
        <w:tc>
          <w:tcPr>
            <w:tcW w:w="1042"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09"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Leidinggevenden</w:t>
            </w:r>
          </w:p>
        </w:tc>
        <w:tc>
          <w:tcPr>
            <w:tcW w:w="2540"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Personen die werken in het middenkader, die verantwoordelijk zijn voor een groep mensen en die niet rechtstreeks betrokken zijn bij de operationele uitvoering van het programma, bijvoorbeeld het hoofd van een organisatorische eenheid</w:t>
            </w:r>
          </w:p>
        </w:tc>
      </w:tr>
      <w:tr w:rsidR="00940BAD" w:rsidRPr="00251707" w:rsidTr="00940BAD">
        <w:trPr>
          <w:trHeight w:val="1439"/>
        </w:trPr>
        <w:tc>
          <w:tcPr>
            <w:tcW w:w="709" w:type="pct"/>
            <w:shd w:val="clear" w:color="000000" w:fill="FFFFFF"/>
            <w:vAlign w:val="center"/>
            <w:hideMark/>
          </w:tcPr>
          <w:p w:rsidR="00940BAD" w:rsidRPr="00251707" w:rsidRDefault="00940BAD" w:rsidP="00940BAD">
            <w:pPr>
              <w:spacing w:after="0"/>
              <w:rPr>
                <w:rFonts w:ascii="Verdana" w:hAnsi="Verdana" w:cstheme="minorHAnsi"/>
                <w:sz w:val="20"/>
                <w:szCs w:val="20"/>
              </w:rPr>
            </w:pPr>
            <w:proofErr w:type="spellStart"/>
            <w:r w:rsidRPr="00251707">
              <w:rPr>
                <w:rFonts w:ascii="Verdana" w:hAnsi="Verdana" w:cstheme="minorHAnsi"/>
                <w:sz w:val="20"/>
                <w:szCs w:val="20"/>
              </w:rPr>
              <w:t>Operational</w:t>
            </w:r>
            <w:proofErr w:type="spellEnd"/>
            <w:r w:rsidRPr="00251707">
              <w:rPr>
                <w:rFonts w:ascii="Verdana" w:hAnsi="Verdana" w:cstheme="minorHAnsi"/>
                <w:sz w:val="20"/>
                <w:szCs w:val="20"/>
              </w:rPr>
              <w:t xml:space="preserve"> </w:t>
            </w:r>
            <w:proofErr w:type="gramStart"/>
            <w:r w:rsidRPr="00251707">
              <w:rPr>
                <w:rFonts w:ascii="Verdana" w:hAnsi="Verdana" w:cstheme="minorHAnsi"/>
                <w:sz w:val="20"/>
                <w:szCs w:val="20"/>
              </w:rPr>
              <w:t>level</w:t>
            </w:r>
            <w:proofErr w:type="gramEnd"/>
          </w:p>
        </w:tc>
        <w:tc>
          <w:tcPr>
            <w:tcW w:w="1042"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These are the experts that are directly working on the different tasks and sub-tasks within the organization</w:t>
            </w:r>
          </w:p>
        </w:tc>
        <w:tc>
          <w:tcPr>
            <w:tcW w:w="709"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Operationele werknemers</w:t>
            </w:r>
          </w:p>
        </w:tc>
        <w:tc>
          <w:tcPr>
            <w:tcW w:w="2540"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Dit zijn de deskundigen die zich rechtstreeks bezighouden met de verschillende taken en deeltaken binnen de organisatie</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3" w:name="_Toc494963495"/>
      <w:bookmarkStart w:id="4" w:name="_Toc508972211"/>
      <w:r>
        <w:lastRenderedPageBreak/>
        <w:t>Taken en deeltaken</w:t>
      </w:r>
      <w:bookmarkEnd w:id="3"/>
      <w:bookmarkEnd w:id="4"/>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8"/>
        <w:gridCol w:w="4214"/>
        <w:gridCol w:w="2740"/>
        <w:gridCol w:w="4174"/>
      </w:tblGrid>
      <w:tr w:rsidR="006931AA" w:rsidRPr="00251707" w:rsidTr="00940BAD">
        <w:trPr>
          <w:trHeight w:val="345"/>
          <w:tblHeader/>
        </w:trPr>
        <w:tc>
          <w:tcPr>
            <w:tcW w:w="238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261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940BAD" w:rsidRPr="00251707" w:rsidTr="00940BAD">
        <w:trPr>
          <w:trHeight w:val="345"/>
          <w:tblHeader/>
        </w:trPr>
        <w:tc>
          <w:tcPr>
            <w:tcW w:w="793" w:type="pct"/>
            <w:shd w:val="clear" w:color="auto" w:fill="F2F2F2" w:themeFill="background1" w:themeFillShade="F2"/>
            <w:vAlign w:val="center"/>
          </w:tcPr>
          <w:p w:rsidR="00940BAD" w:rsidRPr="00251707" w:rsidRDefault="00940BAD" w:rsidP="00940BAD">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593" w:type="pct"/>
            <w:shd w:val="clear" w:color="auto" w:fill="F2F2F2" w:themeFill="background1" w:themeFillShade="F2"/>
            <w:vAlign w:val="center"/>
          </w:tcPr>
          <w:p w:rsidR="00940BAD" w:rsidRPr="00251707" w:rsidRDefault="00940BAD" w:rsidP="00940BAD">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036" w:type="pct"/>
            <w:shd w:val="clear" w:color="auto" w:fill="F2F2F2" w:themeFill="background1" w:themeFillShade="F2"/>
            <w:vAlign w:val="center"/>
          </w:tcPr>
          <w:p w:rsidR="00940BAD" w:rsidRPr="00251707" w:rsidRDefault="00940BAD" w:rsidP="00940BAD">
            <w:pPr>
              <w:spacing w:after="0" w:line="240" w:lineRule="auto"/>
              <w:rPr>
                <w:rFonts w:ascii="Verdana" w:eastAsia="Times New Roman" w:hAnsi="Verdana" w:cstheme="minorHAnsi"/>
                <w:b/>
                <w:bCs/>
                <w:sz w:val="20"/>
                <w:szCs w:val="20"/>
              </w:rPr>
            </w:pPr>
            <w:r>
              <w:rPr>
                <w:rFonts w:ascii="Verdana" w:hAnsi="Verdana" w:cstheme="minorHAnsi"/>
                <w:b/>
                <w:sz w:val="20"/>
              </w:rPr>
              <w:t>Taken</w:t>
            </w:r>
          </w:p>
        </w:tc>
        <w:tc>
          <w:tcPr>
            <w:tcW w:w="1578" w:type="pct"/>
            <w:shd w:val="clear" w:color="auto" w:fill="F2F2F2" w:themeFill="background1" w:themeFillShade="F2"/>
            <w:vAlign w:val="center"/>
          </w:tcPr>
          <w:p w:rsidR="00940BAD" w:rsidRPr="00251707" w:rsidRDefault="00940BAD" w:rsidP="00940BAD">
            <w:pPr>
              <w:spacing w:after="0" w:line="240" w:lineRule="auto"/>
              <w:rPr>
                <w:rFonts w:ascii="Verdana" w:eastAsia="Times New Roman" w:hAnsi="Verdana" w:cstheme="minorHAnsi"/>
                <w:b/>
                <w:bCs/>
                <w:sz w:val="20"/>
                <w:szCs w:val="20"/>
              </w:rPr>
            </w:pPr>
            <w:r>
              <w:rPr>
                <w:rFonts w:ascii="Verdana" w:hAnsi="Verdana" w:cstheme="minorHAnsi"/>
                <w:b/>
                <w:sz w:val="20"/>
              </w:rPr>
              <w:t>Deeltaak</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1. </w:t>
            </w:r>
            <w:proofErr w:type="gramStart"/>
            <w:r w:rsidRPr="00251707">
              <w:rPr>
                <w:rFonts w:ascii="Verdana" w:hAnsi="Verdana" w:cstheme="minorHAnsi"/>
                <w:sz w:val="20"/>
                <w:szCs w:val="20"/>
              </w:rPr>
              <w:t xml:space="preserve">Programming   </w:t>
            </w:r>
            <w:proofErr w:type="gramEnd"/>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1.1. Inter-institutional coordination and stakeholder involvement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1. </w:t>
            </w:r>
            <w:proofErr w:type="gramStart"/>
            <w:r>
              <w:rPr>
                <w:rFonts w:ascii="Verdana" w:hAnsi="Verdana" w:cstheme="minorHAnsi"/>
                <w:sz w:val="20"/>
              </w:rPr>
              <w:t xml:space="preserve">Programmering   </w:t>
            </w:r>
            <w:proofErr w:type="gramEnd"/>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1.1. </w:t>
            </w:r>
            <w:proofErr w:type="spellStart"/>
            <w:r>
              <w:rPr>
                <w:rFonts w:ascii="Verdana" w:hAnsi="Verdana" w:cstheme="minorHAnsi"/>
                <w:sz w:val="20"/>
              </w:rPr>
              <w:t>Interinstitutionele</w:t>
            </w:r>
            <w:proofErr w:type="spellEnd"/>
            <w:r>
              <w:rPr>
                <w:rFonts w:ascii="Verdana" w:hAnsi="Verdana" w:cstheme="minorHAnsi"/>
                <w:sz w:val="20"/>
              </w:rPr>
              <w:t xml:space="preserve"> coördinatie en betrokkenheid van belanghebbenden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251707" w:rsidRDefault="00940BAD" w:rsidP="00940BAD">
            <w:pPr>
              <w:spacing w:after="0"/>
              <w:rPr>
                <w:rFonts w:ascii="Verdana" w:hAnsi="Verdana" w:cstheme="minorHAnsi"/>
                <w:sz w:val="20"/>
                <w:szCs w:val="20"/>
              </w:rPr>
            </w:pPr>
            <w:proofErr w:type="gramStart"/>
            <w:r w:rsidRPr="00251707">
              <w:rPr>
                <w:rFonts w:ascii="Verdana" w:hAnsi="Verdana" w:cstheme="minorHAnsi"/>
                <w:sz w:val="20"/>
                <w:szCs w:val="20"/>
              </w:rPr>
              <w:t xml:space="preserve">1.2.  </w:t>
            </w:r>
            <w:proofErr w:type="spellStart"/>
            <w:proofErr w:type="gramEnd"/>
            <w:r w:rsidRPr="00251707">
              <w:rPr>
                <w:rFonts w:ascii="Verdana" w:hAnsi="Verdana" w:cstheme="minorHAnsi"/>
                <w:sz w:val="20"/>
                <w:szCs w:val="20"/>
              </w:rPr>
              <w:t>Preparation</w:t>
            </w:r>
            <w:proofErr w:type="spellEnd"/>
            <w:r w:rsidRPr="00251707">
              <w:rPr>
                <w:rFonts w:ascii="Verdana" w:hAnsi="Verdana" w:cstheme="minorHAnsi"/>
                <w:sz w:val="20"/>
                <w:szCs w:val="20"/>
              </w:rPr>
              <w:t xml:space="preserve"> of </w:t>
            </w:r>
            <w:proofErr w:type="spellStart"/>
            <w:r w:rsidRPr="00251707">
              <w:rPr>
                <w:rFonts w:ascii="Verdana" w:hAnsi="Verdana" w:cstheme="minorHAnsi"/>
                <w:sz w:val="20"/>
                <w:szCs w:val="20"/>
              </w:rPr>
              <w:t>the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1.2. Voorbereiding van het programma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1.3. Management of the evaluation process (ex-ante)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1.3. Beheer van de evaluatieprocedure (ex-ante)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1.4. </w:t>
            </w:r>
            <w:proofErr w:type="spellStart"/>
            <w:r w:rsidRPr="00251707">
              <w:rPr>
                <w:rFonts w:ascii="Verdana" w:hAnsi="Verdana" w:cstheme="minorHAnsi"/>
                <w:sz w:val="20"/>
                <w:szCs w:val="20"/>
              </w:rPr>
              <w:t>Negotiation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with</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the</w:t>
            </w:r>
            <w:proofErr w:type="spellEnd"/>
            <w:r w:rsidRPr="00251707">
              <w:rPr>
                <w:rFonts w:ascii="Verdana" w:hAnsi="Verdana" w:cstheme="minorHAnsi"/>
                <w:sz w:val="20"/>
                <w:szCs w:val="20"/>
              </w:rPr>
              <w:t xml:space="preserve"> EC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1.4. Onderhandelingen met de EC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1.5 Procurement of goods and services under Technical Assistance</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Aanschaf van goederen en diensten in het kader van technische bijstand</w:t>
            </w:r>
          </w:p>
        </w:tc>
      </w:tr>
      <w:tr w:rsidR="00940BAD" w:rsidRPr="00251707" w:rsidTr="00940BAD">
        <w:trPr>
          <w:trHeight w:val="345"/>
        </w:trPr>
        <w:tc>
          <w:tcPr>
            <w:tcW w:w="7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2. System set-up, development of procedures and tools</w:t>
            </w: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2.1. Development of the description of management and control systems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2. Opzet van het systeem, ontwikkeling van procedures en tools</w:t>
            </w: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2.1. Uitwerking van de beschrijving van beheers- en controlesystemen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2.2. Legal system </w:t>
            </w:r>
            <w:proofErr w:type="gramStart"/>
            <w:r w:rsidRPr="00251707">
              <w:rPr>
                <w:rFonts w:ascii="Verdana" w:hAnsi="Verdana" w:cstheme="minorHAnsi"/>
                <w:sz w:val="20"/>
                <w:szCs w:val="20"/>
              </w:rPr>
              <w:t xml:space="preserve">set-up  </w:t>
            </w:r>
            <w:proofErr w:type="gramEnd"/>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2.2. Opbouw van het rechtssysteem</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2.3  Development of the procedures and tools for Programme implementation</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2.3 Ontwikkeling van de procedures en tools voor de uitvoering van het programma</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2.4. Development and maintenance of monitoring and information systems and e-cohesion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2.4. Ontwikkeling en onderhoud van het monitoring- en informatiesysteem en e-cohesie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2.5 Development of institutional and administrative capacity</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2.5 Ontwikkeling van de institutionele en administratieve capaciteit</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2.6. Procurement of goods and services under Technical Assistance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2.6. Aanschaf van goederen en diensten in het kader van technische bijstand </w:t>
            </w:r>
          </w:p>
        </w:tc>
      </w:tr>
      <w:tr w:rsidR="00940BAD" w:rsidRPr="00251707" w:rsidTr="00940BAD">
        <w:trPr>
          <w:trHeight w:val="345"/>
        </w:trPr>
        <w:tc>
          <w:tcPr>
            <w:tcW w:w="7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3. Project generation, preparation of calls for proposals, project </w:t>
            </w:r>
            <w:r w:rsidRPr="00F54E8B">
              <w:rPr>
                <w:rFonts w:ascii="Verdana" w:hAnsi="Verdana" w:cstheme="minorHAnsi"/>
                <w:sz w:val="20"/>
                <w:szCs w:val="20"/>
                <w:lang w:val="en-GB"/>
              </w:rPr>
              <w:lastRenderedPageBreak/>
              <w:t>selection and contracting</w:t>
            </w: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lastRenderedPageBreak/>
              <w:t xml:space="preserve">3.1 Supporting applicants in relation to technical and financial aspects of project requirements, including capacity building at beneficiary level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3. Aanmaak van projecten, voorbereiding van </w:t>
            </w:r>
            <w:proofErr w:type="gramStart"/>
            <w:r>
              <w:rPr>
                <w:rFonts w:ascii="Verdana" w:hAnsi="Verdana" w:cstheme="minorHAnsi"/>
                <w:sz w:val="20"/>
              </w:rPr>
              <w:t>de</w:t>
            </w:r>
            <w:proofErr w:type="gramEnd"/>
            <w:r>
              <w:rPr>
                <w:rFonts w:ascii="Verdana" w:hAnsi="Verdana" w:cstheme="minorHAnsi"/>
                <w:sz w:val="20"/>
              </w:rPr>
              <w:t xml:space="preserve"> oproepen tot het indienen van voorstellen, selectie van </w:t>
            </w:r>
            <w:r>
              <w:rPr>
                <w:rFonts w:ascii="Verdana" w:hAnsi="Verdana" w:cstheme="minorHAnsi"/>
                <w:sz w:val="20"/>
              </w:rPr>
              <w:lastRenderedPageBreak/>
              <w:t>projecten en aanbesteding</w:t>
            </w: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lastRenderedPageBreak/>
              <w:t xml:space="preserve">3.1 Steunverlening aan aanvragers met betrekking tot de technische en financiële aspecten van projectvereisten, met inbegrip van capaciteitsopbouw op het niveau van </w:t>
            </w:r>
            <w:r>
              <w:rPr>
                <w:rFonts w:ascii="Verdana" w:hAnsi="Verdana" w:cstheme="minorHAnsi"/>
                <w:sz w:val="20"/>
              </w:rPr>
              <w:lastRenderedPageBreak/>
              <w:t xml:space="preserve">de begunstigden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3.2. Preparation of proposals for selection criteria and selection procedures </w:t>
            </w:r>
          </w:p>
        </w:tc>
        <w:tc>
          <w:tcPr>
            <w:tcW w:w="1036" w:type="pct"/>
            <w:shd w:val="clear" w:color="000000" w:fill="FFFFFF"/>
            <w:vAlign w:val="center"/>
          </w:tcPr>
          <w:p w:rsidR="00940BAD" w:rsidRPr="00F54E8B" w:rsidRDefault="00940BAD" w:rsidP="006931AA">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3.2. Voorbereiding van voorstellen voor selectiecriteria en -procedures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3.3. Preparation / modification of guidelines for applicants </w:t>
            </w:r>
          </w:p>
        </w:tc>
        <w:tc>
          <w:tcPr>
            <w:tcW w:w="1036" w:type="pct"/>
            <w:shd w:val="clear" w:color="000000" w:fill="FFFFFF"/>
            <w:vAlign w:val="center"/>
          </w:tcPr>
          <w:p w:rsidR="00940BAD" w:rsidRPr="00F54E8B" w:rsidRDefault="00940BAD" w:rsidP="006931AA">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3.3. Voorbereiding/wijziging van richtsnoeren voor aanvragers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3.4. Administrative and eligibility check (completeness of the package and compliance with relevant laws and regulations) </w:t>
            </w:r>
          </w:p>
        </w:tc>
        <w:tc>
          <w:tcPr>
            <w:tcW w:w="1036" w:type="pct"/>
            <w:shd w:val="clear" w:color="000000" w:fill="FFFFFF"/>
            <w:vAlign w:val="center"/>
          </w:tcPr>
          <w:p w:rsidR="00940BAD" w:rsidRPr="00F54E8B" w:rsidRDefault="00940BAD" w:rsidP="006931AA">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3.4. Administratieve controle en </w:t>
            </w:r>
            <w:proofErr w:type="spellStart"/>
            <w:r>
              <w:rPr>
                <w:rFonts w:ascii="Verdana" w:hAnsi="Verdana" w:cstheme="minorHAnsi"/>
                <w:sz w:val="20"/>
              </w:rPr>
              <w:t>subsidiabiliteitscontrole</w:t>
            </w:r>
            <w:proofErr w:type="spellEnd"/>
            <w:r>
              <w:rPr>
                <w:rFonts w:ascii="Verdana" w:hAnsi="Verdana" w:cstheme="minorHAnsi"/>
                <w:sz w:val="20"/>
              </w:rPr>
              <w:t xml:space="preserve"> (volledigheid van het pakket en naleving van de desbetreffende wet- en regelgeving) </w:t>
            </w:r>
          </w:p>
        </w:tc>
      </w:tr>
      <w:tr w:rsidR="00940BAD" w:rsidRPr="00251707" w:rsidTr="00940BAD">
        <w:trPr>
          <w:trHeight w:val="345"/>
        </w:trPr>
        <w:tc>
          <w:tcPr>
            <w:tcW w:w="793" w:type="pct"/>
            <w:shd w:val="clear" w:color="000000" w:fill="FFFFFF"/>
            <w:vAlign w:val="center"/>
          </w:tcPr>
          <w:p w:rsidR="00940BAD" w:rsidRPr="00251707" w:rsidRDefault="00940BAD" w:rsidP="006931AA">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036" w:type="pct"/>
            <w:shd w:val="clear" w:color="000000" w:fill="FFFFFF"/>
            <w:vAlign w:val="center"/>
          </w:tcPr>
          <w:p w:rsidR="00940BAD" w:rsidRPr="00F54E8B" w:rsidRDefault="00940BAD" w:rsidP="006931AA">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3.5. Evaluatie (aanvragen beoordelen, rechtsvorderingen beheren, lijst van projecten opstellen, resultaten meedelen aan besluitvormers en aanvragers) </w:t>
            </w:r>
          </w:p>
        </w:tc>
      </w:tr>
      <w:tr w:rsidR="00940BAD" w:rsidRPr="00251707" w:rsidTr="00940BAD">
        <w:trPr>
          <w:trHeight w:val="345"/>
        </w:trPr>
        <w:tc>
          <w:tcPr>
            <w:tcW w:w="793" w:type="pct"/>
            <w:shd w:val="clear" w:color="000000" w:fill="FFFFFF"/>
            <w:vAlign w:val="center"/>
          </w:tcPr>
          <w:p w:rsidR="00940BAD" w:rsidRPr="00251707" w:rsidRDefault="00940BAD" w:rsidP="006931AA">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3.6. Development and amendment of procedures </w:t>
            </w:r>
          </w:p>
        </w:tc>
        <w:tc>
          <w:tcPr>
            <w:tcW w:w="1036" w:type="pct"/>
            <w:shd w:val="clear" w:color="000000" w:fill="FFFFFF"/>
            <w:vAlign w:val="center"/>
          </w:tcPr>
          <w:p w:rsidR="00940BAD" w:rsidRPr="00F54E8B" w:rsidRDefault="00940BAD" w:rsidP="006931AA">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3.6. Ontwikkeling en wijziging van procedures </w:t>
            </w:r>
          </w:p>
        </w:tc>
      </w:tr>
      <w:tr w:rsidR="00940BAD" w:rsidRPr="00251707" w:rsidTr="00940BAD">
        <w:trPr>
          <w:trHeight w:val="345"/>
        </w:trPr>
        <w:tc>
          <w:tcPr>
            <w:tcW w:w="793" w:type="pct"/>
            <w:shd w:val="clear" w:color="000000" w:fill="FFFFFF"/>
            <w:vAlign w:val="center"/>
          </w:tcPr>
          <w:p w:rsidR="00940BAD" w:rsidRPr="00251707" w:rsidRDefault="00940BAD" w:rsidP="006931AA">
            <w:pPr>
              <w:spacing w:after="0"/>
              <w:rPr>
                <w:rFonts w:ascii="Verdana" w:hAnsi="Verdana" w:cstheme="minorHAnsi"/>
                <w:sz w:val="20"/>
                <w:szCs w:val="20"/>
              </w:rPr>
            </w:pPr>
          </w:p>
        </w:tc>
        <w:tc>
          <w:tcPr>
            <w:tcW w:w="15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3.7. Awareness </w:t>
            </w:r>
            <w:proofErr w:type="spellStart"/>
            <w:r w:rsidRPr="00251707">
              <w:rPr>
                <w:rFonts w:ascii="Verdana" w:hAnsi="Verdana" w:cstheme="minorHAnsi"/>
                <w:sz w:val="20"/>
                <w:szCs w:val="20"/>
              </w:rPr>
              <w:t>and</w:t>
            </w:r>
            <w:proofErr w:type="spellEnd"/>
            <w:r w:rsidRPr="00251707">
              <w:rPr>
                <w:rFonts w:ascii="Verdana" w:hAnsi="Verdana" w:cstheme="minorHAnsi"/>
                <w:sz w:val="20"/>
                <w:szCs w:val="20"/>
              </w:rPr>
              <w:t xml:space="preserve"> support </w:t>
            </w:r>
            <w:proofErr w:type="spellStart"/>
            <w:r w:rsidRPr="00251707">
              <w:rPr>
                <w:rFonts w:ascii="Verdana" w:hAnsi="Verdana" w:cstheme="minorHAnsi"/>
                <w:sz w:val="20"/>
                <w:szCs w:val="20"/>
              </w:rPr>
              <w:t>activities</w:t>
            </w:r>
            <w:proofErr w:type="spellEnd"/>
          </w:p>
        </w:tc>
        <w:tc>
          <w:tcPr>
            <w:tcW w:w="1036" w:type="pct"/>
            <w:shd w:val="clear" w:color="000000" w:fill="FFFFFF"/>
            <w:vAlign w:val="center"/>
          </w:tcPr>
          <w:p w:rsidR="00940BAD" w:rsidRPr="00251707" w:rsidRDefault="00940BAD" w:rsidP="006931AA">
            <w:pPr>
              <w:spacing w:after="0"/>
              <w:rPr>
                <w:rFonts w:ascii="Verdana" w:hAnsi="Verdana" w:cstheme="minorHAnsi"/>
                <w:sz w:val="20"/>
                <w:szCs w:val="20"/>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3.7. Bewustmakings- en ondersteuningsactiviteiten</w:t>
            </w:r>
          </w:p>
        </w:tc>
      </w:tr>
      <w:tr w:rsidR="00940BAD" w:rsidRPr="00251707" w:rsidTr="00940BAD">
        <w:trPr>
          <w:trHeight w:val="345"/>
        </w:trPr>
        <w:tc>
          <w:tcPr>
            <w:tcW w:w="793" w:type="pct"/>
            <w:shd w:val="clear" w:color="000000" w:fill="FFFFFF"/>
            <w:vAlign w:val="center"/>
          </w:tcPr>
          <w:p w:rsidR="00940BAD" w:rsidRPr="00251707" w:rsidRDefault="00940BAD" w:rsidP="006931AA">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3.8. Procurement of goods and services under Technical Assistance </w:t>
            </w:r>
          </w:p>
        </w:tc>
        <w:tc>
          <w:tcPr>
            <w:tcW w:w="1036" w:type="pct"/>
            <w:shd w:val="clear" w:color="000000" w:fill="FFFFFF"/>
            <w:vAlign w:val="center"/>
          </w:tcPr>
          <w:p w:rsidR="00940BAD" w:rsidRPr="00F54E8B" w:rsidRDefault="00940BAD" w:rsidP="006931AA">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3.8. Aanschaf van goederen en diensten in het kader van technische bijstand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4. Monitoring on project </w:t>
            </w:r>
            <w:proofErr w:type="gramStart"/>
            <w:r w:rsidRPr="00251707">
              <w:rPr>
                <w:rFonts w:ascii="Verdana" w:hAnsi="Verdana" w:cstheme="minorHAnsi"/>
                <w:sz w:val="20"/>
                <w:szCs w:val="20"/>
              </w:rPr>
              <w:t>level</w:t>
            </w:r>
            <w:proofErr w:type="gramEnd"/>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4.1. Technical monitoring and on the spot verifications at project level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4. Monitoring op projectniveau</w:t>
            </w: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4.1. Technisch toezicht en verificaties ter plaatse op projectniveau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4.2. Providing advice to beneficiaries on project implementation issues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4.2. Verstrekken van advies aan begunstigden over problemen met de uitvoering van projecten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4.3. </w:t>
            </w:r>
            <w:proofErr w:type="spellStart"/>
            <w:r w:rsidRPr="00251707">
              <w:rPr>
                <w:rFonts w:ascii="Verdana" w:hAnsi="Verdana" w:cstheme="minorHAnsi"/>
                <w:sz w:val="20"/>
                <w:szCs w:val="20"/>
              </w:rPr>
              <w:t>Finding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and</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reporting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irregularities</w:t>
            </w:r>
            <w:proofErr w:type="spellEnd"/>
            <w:r w:rsidRPr="00251707">
              <w:rPr>
                <w:rFonts w:ascii="Verdana" w:hAnsi="Verdana" w:cstheme="minorHAnsi"/>
                <w:sz w:val="20"/>
                <w:szCs w:val="20"/>
              </w:rPr>
              <w:t xml:space="preserve">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4.3. Opsporen en melden van onregelmatigheden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4.4 Procurement of goods and services under Technical Assistance</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4.4. Aanschaf van goederen en diensten in het kader van technische </w:t>
            </w:r>
            <w:r>
              <w:rPr>
                <w:rFonts w:ascii="Verdana" w:hAnsi="Verdana" w:cstheme="minorHAnsi"/>
                <w:sz w:val="20"/>
              </w:rPr>
              <w:lastRenderedPageBreak/>
              <w:t>bijstand</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lastRenderedPageBreak/>
              <w:t xml:space="preserve">5. Monitoring on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roofErr w:type="gramStart"/>
            <w:r w:rsidRPr="00251707">
              <w:rPr>
                <w:rFonts w:ascii="Verdana" w:hAnsi="Verdana" w:cstheme="minorHAnsi"/>
                <w:sz w:val="20"/>
                <w:szCs w:val="20"/>
              </w:rPr>
              <w:t>level</w:t>
            </w:r>
            <w:proofErr w:type="gramEnd"/>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5.1. Measurement of the performance of the PA/Measure (planning, monitoring, forecasting, revising)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5. Monitoring op programmaniveau</w:t>
            </w:r>
          </w:p>
        </w:tc>
        <w:tc>
          <w:tcPr>
            <w:tcW w:w="1578" w:type="pct"/>
            <w:shd w:val="clear" w:color="000000" w:fill="FFFFFF"/>
            <w:vAlign w:val="center"/>
          </w:tcPr>
          <w:p w:rsidR="00940BAD" w:rsidRPr="00251707" w:rsidRDefault="00940BAD" w:rsidP="000C2289">
            <w:pPr>
              <w:spacing w:after="0"/>
              <w:rPr>
                <w:rFonts w:ascii="Verdana" w:hAnsi="Verdana" w:cstheme="minorHAnsi"/>
                <w:sz w:val="20"/>
                <w:szCs w:val="20"/>
              </w:rPr>
            </w:pPr>
            <w:r>
              <w:rPr>
                <w:rFonts w:ascii="Verdana" w:hAnsi="Verdana" w:cstheme="minorHAnsi"/>
                <w:sz w:val="20"/>
              </w:rPr>
              <w:t xml:space="preserve">5.1. Beoordeling van de uitvoering van de </w:t>
            </w:r>
            <w:proofErr w:type="spellStart"/>
            <w:r>
              <w:rPr>
                <w:rFonts w:ascii="Verdana" w:hAnsi="Verdana" w:cstheme="minorHAnsi"/>
                <w:sz w:val="20"/>
              </w:rPr>
              <w:t>p</w:t>
            </w:r>
            <w:r w:rsidR="000C2289">
              <w:rPr>
                <w:rFonts w:ascii="Verdana" w:hAnsi="Verdana" w:cstheme="minorHAnsi"/>
                <w:sz w:val="20"/>
              </w:rPr>
              <w:t>rioriteitsas</w:t>
            </w:r>
            <w:proofErr w:type="spellEnd"/>
            <w:r>
              <w:rPr>
                <w:rFonts w:ascii="Verdana" w:hAnsi="Verdana" w:cstheme="minorHAnsi"/>
                <w:sz w:val="20"/>
              </w:rPr>
              <w:t xml:space="preserve">/maatregel (planning, monitoring, prognose, herziening)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5.2. Beoordeling van de uitvoering van het operationele programma (planning, monitoring, prognose, herziening en corrigerende maatregelen)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5.3. Reporting to the Monitoring Committee and European Commission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5.3. Rapportering aan het toezichtcomité en de Europese Commissie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5.4. Development and amendment of monitoring procedures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5.4. Ontwikkeling en wijziging van toezichtprocedures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5.5. </w:t>
            </w:r>
            <w:proofErr w:type="spellStart"/>
            <w:r w:rsidRPr="00251707">
              <w:rPr>
                <w:rFonts w:ascii="Verdana" w:hAnsi="Verdana" w:cstheme="minorHAnsi"/>
                <w:sz w:val="20"/>
                <w:szCs w:val="20"/>
              </w:rPr>
              <w:t>Supporting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the</w:t>
            </w:r>
            <w:proofErr w:type="spellEnd"/>
            <w:r w:rsidRPr="00251707">
              <w:rPr>
                <w:rFonts w:ascii="Verdana" w:hAnsi="Verdana" w:cstheme="minorHAnsi"/>
                <w:sz w:val="20"/>
                <w:szCs w:val="20"/>
              </w:rPr>
              <w:t xml:space="preserve"> Monitoring </w:t>
            </w:r>
            <w:proofErr w:type="spellStart"/>
            <w:r w:rsidRPr="00251707">
              <w:rPr>
                <w:rFonts w:ascii="Verdana" w:hAnsi="Verdana" w:cstheme="minorHAnsi"/>
                <w:sz w:val="20"/>
                <w:szCs w:val="20"/>
              </w:rPr>
              <w:t>Committee</w:t>
            </w:r>
            <w:proofErr w:type="spellEnd"/>
            <w:r w:rsidRPr="00251707">
              <w:rPr>
                <w:rFonts w:ascii="Verdana" w:hAnsi="Verdana" w:cstheme="minorHAnsi"/>
                <w:sz w:val="20"/>
                <w:szCs w:val="20"/>
              </w:rPr>
              <w:t xml:space="preserve">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5.5. Steunverlening aan het toezichtcomité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5.6. Procurement of goods and services under Technical Assistance</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5.6. Aanschaf van goederen en diensten in het kader van technische bijstand</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6. Evaluation</w:t>
            </w: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6.1. Preparing and guiding the evaluation process (outsourced)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6. Evaluatie</w:t>
            </w: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6.1. Voorbereiding en aansturing van de evaluatieprocedure (uitbesteed)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6.2. </w:t>
            </w:r>
            <w:proofErr w:type="spellStart"/>
            <w:r w:rsidRPr="00251707">
              <w:rPr>
                <w:rFonts w:ascii="Verdana" w:hAnsi="Verdana" w:cstheme="minorHAnsi"/>
                <w:sz w:val="20"/>
                <w:szCs w:val="20"/>
              </w:rPr>
              <w:t>Carrying</w:t>
            </w:r>
            <w:proofErr w:type="spellEnd"/>
            <w:r w:rsidRPr="00251707">
              <w:rPr>
                <w:rFonts w:ascii="Verdana" w:hAnsi="Verdana" w:cstheme="minorHAnsi"/>
                <w:sz w:val="20"/>
                <w:szCs w:val="20"/>
              </w:rPr>
              <w:t xml:space="preserve"> out </w:t>
            </w:r>
            <w:proofErr w:type="spellStart"/>
            <w:r w:rsidRPr="00251707">
              <w:rPr>
                <w:rFonts w:ascii="Verdana" w:hAnsi="Verdana" w:cstheme="minorHAnsi"/>
                <w:sz w:val="20"/>
                <w:szCs w:val="20"/>
              </w:rPr>
              <w:t>evaluation</w:t>
            </w:r>
            <w:proofErr w:type="spellEnd"/>
            <w:r w:rsidRPr="00251707">
              <w:rPr>
                <w:rFonts w:ascii="Verdana" w:hAnsi="Verdana" w:cstheme="minorHAnsi"/>
                <w:sz w:val="20"/>
                <w:szCs w:val="20"/>
              </w:rPr>
              <w:t xml:space="preserve">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6.2. Uitvoering van de evaluatie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6.3. Usage of results: involved in the identification and implementation of follow up actions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6.3. Gebruik van resultaten: betrokken bij het vaststellen en uitvoeren van vervolgacties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6.4. Ex-ante </w:t>
            </w:r>
            <w:proofErr w:type="spellStart"/>
            <w:r w:rsidRPr="00251707">
              <w:rPr>
                <w:rFonts w:ascii="Verdana" w:hAnsi="Verdana" w:cstheme="minorHAnsi"/>
                <w:sz w:val="20"/>
                <w:szCs w:val="20"/>
              </w:rPr>
              <w:t>conditionalities</w:t>
            </w:r>
            <w:proofErr w:type="spellEnd"/>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6.4. Ex-antevoorwaarden</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6.5. Procurement of goods and services under Technical Assistance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6.5. Aanschaf van goederen en diensten in het kader van technische bijstand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7. Financial management on </w:t>
            </w:r>
            <w:r w:rsidRPr="00251707">
              <w:rPr>
                <w:rFonts w:ascii="Verdana" w:hAnsi="Verdana" w:cstheme="minorHAnsi"/>
                <w:sz w:val="20"/>
                <w:szCs w:val="20"/>
              </w:rPr>
              <w:lastRenderedPageBreak/>
              <w:t xml:space="preserve">project </w:t>
            </w:r>
            <w:proofErr w:type="gramStart"/>
            <w:r w:rsidRPr="00251707">
              <w:rPr>
                <w:rFonts w:ascii="Verdana" w:hAnsi="Verdana" w:cstheme="minorHAnsi"/>
                <w:sz w:val="20"/>
                <w:szCs w:val="20"/>
              </w:rPr>
              <w:t>level</w:t>
            </w:r>
            <w:proofErr w:type="gramEnd"/>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lastRenderedPageBreak/>
              <w:t xml:space="preserve">7.1. Verification of payment claims and first level control reports at project </w:t>
            </w:r>
            <w:r w:rsidRPr="00F54E8B">
              <w:rPr>
                <w:rFonts w:ascii="Verdana" w:hAnsi="Verdana" w:cstheme="minorHAnsi"/>
                <w:sz w:val="20"/>
                <w:szCs w:val="20"/>
                <w:lang w:val="en-GB"/>
              </w:rPr>
              <w:lastRenderedPageBreak/>
              <w:t xml:space="preserve">level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lastRenderedPageBreak/>
              <w:t>7. Financieel beheer op projectniveau</w:t>
            </w: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7.1. Verificatie van betalingsaanvragen en controleverslagen van het eerste </w:t>
            </w:r>
            <w:r>
              <w:rPr>
                <w:rFonts w:ascii="Verdana" w:hAnsi="Verdana" w:cstheme="minorHAnsi"/>
                <w:sz w:val="20"/>
              </w:rPr>
              <w:lastRenderedPageBreak/>
              <w:t xml:space="preserve">niveau op projectniveau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7.2. Financial monitoring and on the spot verifications at project level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7.2. Financieel toezicht en verificaties ter plaatse op projectniveau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7.3. Procurement of goods and services under Technical Assistance</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7.3. Aanschaf van goederen en diensten in het kader van technische bijstand</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 xml:space="preserve">8. Financial management on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roofErr w:type="gramStart"/>
            <w:r w:rsidRPr="00251707">
              <w:rPr>
                <w:rFonts w:ascii="Verdana" w:hAnsi="Verdana" w:cstheme="minorHAnsi"/>
                <w:sz w:val="20"/>
                <w:szCs w:val="20"/>
              </w:rPr>
              <w:t>level</w:t>
            </w:r>
            <w:proofErr w:type="gramEnd"/>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8.1. Measurement of the financial performance of PA/Measure (planning, monitoring, forecasting, revising)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8. Financieel beheer op programmaniveau</w:t>
            </w:r>
          </w:p>
        </w:tc>
        <w:tc>
          <w:tcPr>
            <w:tcW w:w="1578" w:type="pct"/>
            <w:shd w:val="clear" w:color="000000" w:fill="FFFFFF"/>
            <w:vAlign w:val="center"/>
          </w:tcPr>
          <w:p w:rsidR="00940BAD" w:rsidRPr="00251707" w:rsidRDefault="00940BAD" w:rsidP="000C2289">
            <w:pPr>
              <w:spacing w:after="0"/>
              <w:rPr>
                <w:rFonts w:ascii="Verdana" w:hAnsi="Verdana" w:cstheme="minorHAnsi"/>
                <w:sz w:val="20"/>
                <w:szCs w:val="20"/>
              </w:rPr>
            </w:pPr>
            <w:r>
              <w:rPr>
                <w:rFonts w:ascii="Verdana" w:hAnsi="Verdana" w:cstheme="minorHAnsi"/>
                <w:sz w:val="20"/>
              </w:rPr>
              <w:t xml:space="preserve">8.1. Beoordeling van de geldelijke nakoming van de </w:t>
            </w:r>
            <w:r w:rsidR="000C2289">
              <w:rPr>
                <w:rFonts w:ascii="Verdana" w:hAnsi="Verdana" w:cstheme="minorHAnsi"/>
                <w:sz w:val="20"/>
              </w:rPr>
              <w:t>prioriteitsas</w:t>
            </w:r>
            <w:r>
              <w:rPr>
                <w:rFonts w:ascii="Verdana" w:hAnsi="Verdana" w:cstheme="minorHAnsi"/>
                <w:sz w:val="20"/>
              </w:rPr>
              <w:t xml:space="preserve">/maatregel (planning, monitoring, prognose, herziening) </w:t>
            </w:r>
          </w:p>
        </w:tc>
      </w:tr>
      <w:tr w:rsidR="00940BAD" w:rsidRPr="00251707" w:rsidTr="00940BAD">
        <w:trPr>
          <w:trHeight w:val="741"/>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8.2. Measurement of the financial performance of the Operational Programme (planning, monitoring, forecasting, revising and corrective actions).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8.2. Beoordeling van de geldelijke nakoming van het operationele programma (planning, monitoring, prognose, herziening en corrigerende maatregelen)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8.3. Reporting to Monitoring Committee and European Commission including management declaration and annual summary (CPR 125.4(e)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8.3. Rapportering aan het toezichtcomité en de Europese Commissie, met inbegrip van een </w:t>
            </w:r>
            <w:proofErr w:type="spellStart"/>
            <w:r>
              <w:rPr>
                <w:rFonts w:ascii="Verdana" w:hAnsi="Verdana" w:cstheme="minorHAnsi"/>
                <w:sz w:val="20"/>
              </w:rPr>
              <w:t>beheersverklaring</w:t>
            </w:r>
            <w:proofErr w:type="spellEnd"/>
            <w:r>
              <w:rPr>
                <w:rFonts w:ascii="Verdana" w:hAnsi="Verdana" w:cstheme="minorHAnsi"/>
                <w:sz w:val="20"/>
              </w:rPr>
              <w:t xml:space="preserve"> en jaarlijkse samenvatting (GB-richtlijn, artikel 125, lid 4, onder e))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8.4. Development and amendment of financial management procedures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8.4. Ontwikkeling en wijziging van procedures voor financieel beheer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8.5. Procurement of goods and services under Technical Assistance</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8.5. Aanschaf van goederen en diensten in het kader van technische bijstand</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r w:rsidRPr="00251707">
              <w:rPr>
                <w:rFonts w:ascii="Verdana" w:hAnsi="Verdana" w:cstheme="minorHAnsi"/>
                <w:sz w:val="20"/>
                <w:szCs w:val="20"/>
              </w:rPr>
              <w:t>9. Communication</w:t>
            </w: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9.1. Preparation of the communication plan and its implementation for different stakeholders </w:t>
            </w:r>
          </w:p>
        </w:tc>
        <w:tc>
          <w:tcPr>
            <w:tcW w:w="1036"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9. Communicatie</w:t>
            </w: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9.1. Uitwerking van een communicatieplan en de uitvoering ervan voor verscheidene belanghebbenden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9.2. Building networks with different media </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 xml:space="preserve">9.2. Uitbouw van netwerken met verschillende media </w:t>
            </w:r>
          </w:p>
        </w:tc>
      </w:tr>
      <w:tr w:rsidR="00940BAD" w:rsidRPr="00251707" w:rsidTr="00940BAD">
        <w:trPr>
          <w:trHeight w:val="345"/>
        </w:trPr>
        <w:tc>
          <w:tcPr>
            <w:tcW w:w="793" w:type="pct"/>
            <w:shd w:val="clear" w:color="000000" w:fill="FFFFFF"/>
            <w:vAlign w:val="center"/>
          </w:tcPr>
          <w:p w:rsidR="00940BAD" w:rsidRPr="00251707" w:rsidRDefault="00940BAD" w:rsidP="00940BAD">
            <w:pPr>
              <w:spacing w:after="0"/>
              <w:rPr>
                <w:rFonts w:ascii="Verdana" w:hAnsi="Verdana" w:cstheme="minorHAnsi"/>
                <w:sz w:val="20"/>
                <w:szCs w:val="20"/>
              </w:rPr>
            </w:pPr>
          </w:p>
        </w:tc>
        <w:tc>
          <w:tcPr>
            <w:tcW w:w="1593" w:type="pct"/>
            <w:shd w:val="clear" w:color="000000" w:fill="FFFFFF"/>
            <w:vAlign w:val="center"/>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9.3. Procurement of goods and services under Technical Assistance</w:t>
            </w:r>
          </w:p>
        </w:tc>
        <w:tc>
          <w:tcPr>
            <w:tcW w:w="1036" w:type="pct"/>
            <w:shd w:val="clear" w:color="000000" w:fill="FFFFFF"/>
            <w:vAlign w:val="center"/>
          </w:tcPr>
          <w:p w:rsidR="00940BAD" w:rsidRPr="00F54E8B" w:rsidRDefault="00940BAD" w:rsidP="00940BAD">
            <w:pPr>
              <w:spacing w:after="0"/>
              <w:rPr>
                <w:rFonts w:ascii="Verdana" w:hAnsi="Verdana" w:cstheme="minorHAnsi"/>
                <w:sz w:val="20"/>
                <w:szCs w:val="20"/>
                <w:lang w:val="en-GB"/>
              </w:rPr>
            </w:pPr>
          </w:p>
        </w:tc>
        <w:tc>
          <w:tcPr>
            <w:tcW w:w="1578" w:type="pct"/>
            <w:shd w:val="clear" w:color="000000" w:fill="FFFFFF"/>
            <w:vAlign w:val="center"/>
          </w:tcPr>
          <w:p w:rsidR="00940BAD" w:rsidRPr="00251707" w:rsidRDefault="00940BAD" w:rsidP="00940BAD">
            <w:pPr>
              <w:spacing w:after="0"/>
              <w:rPr>
                <w:rFonts w:ascii="Verdana" w:hAnsi="Verdana" w:cstheme="minorHAnsi"/>
                <w:sz w:val="20"/>
                <w:szCs w:val="20"/>
              </w:rPr>
            </w:pPr>
            <w:r>
              <w:rPr>
                <w:rFonts w:ascii="Verdana" w:hAnsi="Verdana" w:cstheme="minorHAnsi"/>
                <w:sz w:val="20"/>
              </w:rPr>
              <w:t>9.3. Aanschaf van goederen en diensten in het kader van technische bijstand</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8972212"/>
      <w:r>
        <w:lastRenderedPageBreak/>
        <w:t>Vaardigheidsschaal</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940BAD" w:rsidRPr="00251707" w:rsidTr="006645FC">
        <w:trPr>
          <w:trHeight w:val="332"/>
          <w:tblHeader/>
        </w:trPr>
        <w:tc>
          <w:tcPr>
            <w:tcW w:w="658" w:type="pct"/>
            <w:shd w:val="clear" w:color="auto" w:fill="F2F2F2" w:themeFill="background1" w:themeFillShade="F2"/>
          </w:tcPr>
          <w:p w:rsidR="00940BAD" w:rsidRPr="00251707" w:rsidRDefault="00940BAD" w:rsidP="00940BAD">
            <w:pPr>
              <w:spacing w:after="0" w:line="240" w:lineRule="auto"/>
              <w:rPr>
                <w:rFonts w:ascii="Verdana" w:hAnsi="Verdana" w:cstheme="minorHAnsi"/>
                <w:sz w:val="20"/>
                <w:szCs w:val="20"/>
              </w:rPr>
            </w:pPr>
            <w:proofErr w:type="spellStart"/>
            <w:r w:rsidRPr="00251707">
              <w:rPr>
                <w:rFonts w:ascii="Verdana" w:hAnsi="Verdana" w:cstheme="minorHAnsi"/>
                <w:sz w:val="20"/>
                <w:szCs w:val="20"/>
              </w:rPr>
              <w:t>Scale</w:t>
            </w:r>
            <w:proofErr w:type="spellEnd"/>
            <w:r w:rsidRPr="00251707">
              <w:rPr>
                <w:rFonts w:ascii="Verdana" w:hAnsi="Verdana" w:cstheme="minorHAnsi"/>
                <w:sz w:val="20"/>
                <w:szCs w:val="20"/>
              </w:rPr>
              <w:t xml:space="preserve"> </w:t>
            </w:r>
          </w:p>
        </w:tc>
        <w:tc>
          <w:tcPr>
            <w:tcW w:w="1738" w:type="pct"/>
            <w:shd w:val="clear" w:color="auto" w:fill="F2F2F2" w:themeFill="background1" w:themeFillShade="F2"/>
          </w:tcPr>
          <w:p w:rsidR="00940BAD" w:rsidRPr="00251707" w:rsidRDefault="00940BAD" w:rsidP="00940BAD">
            <w:pPr>
              <w:spacing w:after="0" w:line="240" w:lineRule="auto"/>
              <w:rPr>
                <w:rFonts w:ascii="Verdana" w:hAnsi="Verdana" w:cstheme="minorHAnsi"/>
                <w:sz w:val="20"/>
                <w:szCs w:val="20"/>
              </w:rPr>
            </w:pPr>
            <w:proofErr w:type="spellStart"/>
            <w:r w:rsidRPr="00251707">
              <w:rPr>
                <w:rFonts w:ascii="Verdana" w:hAnsi="Verdana" w:cstheme="minorHAnsi"/>
                <w:sz w:val="20"/>
                <w:szCs w:val="20"/>
              </w:rPr>
              <w:t>Description</w:t>
            </w:r>
            <w:proofErr w:type="spellEnd"/>
            <w:r w:rsidRPr="00251707">
              <w:rPr>
                <w:rFonts w:ascii="Verdana" w:hAnsi="Verdana" w:cstheme="minorHAnsi"/>
                <w:sz w:val="20"/>
                <w:szCs w:val="20"/>
              </w:rPr>
              <w:t xml:space="preserve"> </w:t>
            </w:r>
          </w:p>
        </w:tc>
        <w:tc>
          <w:tcPr>
            <w:tcW w:w="590" w:type="pct"/>
            <w:shd w:val="clear" w:color="auto" w:fill="F2F2F2" w:themeFill="background1" w:themeFillShade="F2"/>
          </w:tcPr>
          <w:p w:rsidR="00940BAD" w:rsidRPr="00251707" w:rsidRDefault="00940BAD" w:rsidP="00940BAD">
            <w:pPr>
              <w:spacing w:after="0" w:line="240" w:lineRule="auto"/>
              <w:rPr>
                <w:rFonts w:ascii="Verdana" w:hAnsi="Verdana" w:cstheme="minorHAnsi"/>
                <w:sz w:val="20"/>
                <w:szCs w:val="20"/>
              </w:rPr>
            </w:pPr>
            <w:r>
              <w:rPr>
                <w:rFonts w:ascii="Verdana" w:hAnsi="Verdana" w:cstheme="minorHAnsi"/>
                <w:sz w:val="20"/>
              </w:rPr>
              <w:t xml:space="preserve">Schaal </w:t>
            </w:r>
          </w:p>
        </w:tc>
        <w:tc>
          <w:tcPr>
            <w:tcW w:w="2014" w:type="pct"/>
            <w:shd w:val="clear" w:color="auto" w:fill="F2F2F2" w:themeFill="background1" w:themeFillShade="F2"/>
          </w:tcPr>
          <w:p w:rsidR="00940BAD" w:rsidRPr="00251707" w:rsidRDefault="00940BAD" w:rsidP="00940BAD">
            <w:pPr>
              <w:spacing w:after="0" w:line="240" w:lineRule="auto"/>
              <w:rPr>
                <w:rFonts w:ascii="Verdana" w:hAnsi="Verdana" w:cstheme="minorHAnsi"/>
                <w:sz w:val="20"/>
                <w:szCs w:val="20"/>
              </w:rPr>
            </w:pPr>
            <w:r>
              <w:rPr>
                <w:rFonts w:ascii="Verdana" w:hAnsi="Verdana" w:cstheme="minorHAnsi"/>
                <w:sz w:val="20"/>
              </w:rPr>
              <w:t xml:space="preserve">Omschrijving </w:t>
            </w:r>
          </w:p>
        </w:tc>
      </w:tr>
      <w:tr w:rsidR="00940BAD" w:rsidRPr="00251707" w:rsidTr="006645FC">
        <w:trPr>
          <w:trHeight w:val="566"/>
        </w:trPr>
        <w:tc>
          <w:tcPr>
            <w:tcW w:w="658"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N.A. - </w:t>
            </w:r>
            <w:proofErr w:type="spellStart"/>
            <w:r w:rsidRPr="00251707">
              <w:rPr>
                <w:rFonts w:ascii="Verdana" w:hAnsi="Verdana" w:cstheme="minorHAnsi"/>
                <w:sz w:val="20"/>
                <w:szCs w:val="20"/>
              </w:rPr>
              <w:t>Not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Applicable</w:t>
            </w:r>
            <w:proofErr w:type="spellEnd"/>
          </w:p>
        </w:tc>
        <w:tc>
          <w:tcPr>
            <w:tcW w:w="1738" w:type="pct"/>
            <w:shd w:val="clear" w:color="000000" w:fill="FFFFFF"/>
            <w:hideMark/>
          </w:tcPr>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 xml:space="preserve">The competency is not applicable to the job role. </w:t>
            </w:r>
          </w:p>
        </w:tc>
        <w:tc>
          <w:tcPr>
            <w:tcW w:w="590"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n.v.t. = niet van toepassing</w:t>
            </w:r>
          </w:p>
        </w:tc>
        <w:tc>
          <w:tcPr>
            <w:tcW w:w="2014"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 xml:space="preserve">De competentie is niet van toepassing op de functie. </w:t>
            </w:r>
          </w:p>
        </w:tc>
      </w:tr>
      <w:tr w:rsidR="00940BAD" w:rsidRPr="00251707" w:rsidTr="006645FC">
        <w:trPr>
          <w:trHeight w:val="908"/>
        </w:trPr>
        <w:tc>
          <w:tcPr>
            <w:tcW w:w="658"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proofErr w:type="gramStart"/>
            <w:r w:rsidRPr="00251707">
              <w:rPr>
                <w:rFonts w:ascii="Verdana" w:hAnsi="Verdana" w:cstheme="minorHAnsi"/>
                <w:sz w:val="20"/>
                <w:szCs w:val="20"/>
              </w:rPr>
              <w:t>Level</w:t>
            </w:r>
            <w:proofErr w:type="gramEnd"/>
            <w:r w:rsidRPr="00251707">
              <w:rPr>
                <w:rFonts w:ascii="Verdana" w:hAnsi="Verdana" w:cstheme="minorHAnsi"/>
                <w:sz w:val="20"/>
                <w:szCs w:val="20"/>
              </w:rPr>
              <w:t xml:space="preserve"> 0 – </w:t>
            </w:r>
          </w:p>
          <w:p w:rsidR="00940BAD" w:rsidRPr="00251707" w:rsidRDefault="00940BAD" w:rsidP="00940BAD">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No </w:t>
            </w:r>
            <w:proofErr w:type="spellStart"/>
            <w:r w:rsidRPr="00251707">
              <w:rPr>
                <w:rFonts w:ascii="Verdana" w:hAnsi="Verdana" w:cstheme="minorHAnsi"/>
                <w:sz w:val="20"/>
                <w:szCs w:val="20"/>
              </w:rPr>
              <w:t>knowledge</w:t>
            </w:r>
            <w:proofErr w:type="spellEnd"/>
          </w:p>
        </w:tc>
        <w:tc>
          <w:tcPr>
            <w:tcW w:w="1738" w:type="pct"/>
            <w:shd w:val="clear" w:color="000000" w:fill="FFFFFF"/>
          </w:tcPr>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 xml:space="preserve">Niveau 0 – </w:t>
            </w:r>
          </w:p>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Geen kennis</w:t>
            </w:r>
          </w:p>
        </w:tc>
        <w:tc>
          <w:tcPr>
            <w:tcW w:w="2014"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Geen kennis van de competentie of geen vermogen om die kennis toe te passen in reële situaties.</w:t>
            </w:r>
          </w:p>
        </w:tc>
      </w:tr>
      <w:tr w:rsidR="00940BAD" w:rsidRPr="00251707" w:rsidTr="006645FC">
        <w:trPr>
          <w:trHeight w:val="1421"/>
        </w:trPr>
        <w:tc>
          <w:tcPr>
            <w:tcW w:w="658"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proofErr w:type="gramStart"/>
            <w:r w:rsidRPr="00251707">
              <w:rPr>
                <w:rFonts w:ascii="Verdana" w:hAnsi="Verdana" w:cstheme="minorHAnsi"/>
                <w:sz w:val="20"/>
                <w:szCs w:val="20"/>
              </w:rPr>
              <w:t>Level</w:t>
            </w:r>
            <w:proofErr w:type="gramEnd"/>
            <w:r w:rsidRPr="00251707">
              <w:rPr>
                <w:rFonts w:ascii="Verdana" w:hAnsi="Verdana" w:cstheme="minorHAnsi"/>
                <w:sz w:val="20"/>
                <w:szCs w:val="20"/>
              </w:rPr>
              <w:t xml:space="preserve"> 1 - Awareness</w:t>
            </w:r>
          </w:p>
        </w:tc>
        <w:tc>
          <w:tcPr>
            <w:tcW w:w="1738" w:type="pct"/>
            <w:shd w:val="clear" w:color="000000" w:fill="FFFFFF"/>
          </w:tcPr>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Basic knowledge of the competency (e.g. understands general concepts and processes, is familiar with related key terminology).</w:t>
            </w:r>
          </w:p>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Niveau 1 - Basiskennis</w:t>
            </w:r>
          </w:p>
        </w:tc>
        <w:tc>
          <w:tcPr>
            <w:tcW w:w="2014"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Basiskennis van de competentie (bv. begrijpt algemene concepten en procedures, is vertrouwd met de belangrijkste bijbehorende termen).</w:t>
            </w:r>
          </w:p>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Vermogen om deze competentie aan te wenden nadat specifieke instructies en richtsnoeren worden gegeven.</w:t>
            </w:r>
          </w:p>
        </w:tc>
      </w:tr>
      <w:tr w:rsidR="00940BAD" w:rsidRPr="00251707" w:rsidTr="006645FC">
        <w:trPr>
          <w:trHeight w:val="1103"/>
        </w:trPr>
        <w:tc>
          <w:tcPr>
            <w:tcW w:w="658"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proofErr w:type="gramStart"/>
            <w:r w:rsidRPr="00251707">
              <w:rPr>
                <w:rFonts w:ascii="Verdana" w:hAnsi="Verdana" w:cstheme="minorHAnsi"/>
                <w:sz w:val="20"/>
                <w:szCs w:val="20"/>
              </w:rPr>
              <w:t>Level</w:t>
            </w:r>
            <w:proofErr w:type="gramEnd"/>
            <w:r w:rsidRPr="00251707">
              <w:rPr>
                <w:rFonts w:ascii="Verdana" w:hAnsi="Verdana" w:cstheme="minorHAnsi"/>
                <w:sz w:val="20"/>
                <w:szCs w:val="20"/>
              </w:rPr>
              <w:t xml:space="preserve"> 2 - </w:t>
            </w:r>
            <w:proofErr w:type="spellStart"/>
            <w:r w:rsidRPr="00251707">
              <w:rPr>
                <w:rFonts w:ascii="Verdana" w:hAnsi="Verdana" w:cstheme="minorHAnsi"/>
                <w:sz w:val="20"/>
                <w:szCs w:val="20"/>
              </w:rPr>
              <w:t>Trained</w:t>
            </w:r>
            <w:proofErr w:type="spellEnd"/>
          </w:p>
        </w:tc>
        <w:tc>
          <w:tcPr>
            <w:tcW w:w="1738" w:type="pct"/>
            <w:shd w:val="clear" w:color="000000" w:fill="FFFFFF"/>
          </w:tcPr>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Good working knowledge of the competency.</w:t>
            </w:r>
            <w:r w:rsidRPr="00F54E8B">
              <w:rPr>
                <w:rFonts w:ascii="Verdana" w:hAnsi="Verdana" w:cstheme="minorHAnsi"/>
                <w:sz w:val="20"/>
                <w:szCs w:val="20"/>
                <w:lang w:val="en-GB"/>
              </w:rPr>
              <w:br/>
              <w:t>Ability to apply that knowledge in daily work.</w:t>
            </w:r>
          </w:p>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Niveau 2 - Opgeleid</w:t>
            </w:r>
          </w:p>
        </w:tc>
        <w:tc>
          <w:tcPr>
            <w:tcW w:w="2014"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Goede actieve kennis van de competentie.</w:t>
            </w:r>
            <w:r>
              <w:rPr>
                <w:rFonts w:ascii="Verdana" w:hAnsi="Verdana" w:cstheme="minorHAnsi"/>
                <w:sz w:val="20"/>
                <w:szCs w:val="20"/>
              </w:rPr>
              <w:br/>
            </w:r>
            <w:r>
              <w:rPr>
                <w:rFonts w:ascii="Verdana" w:hAnsi="Verdana" w:cstheme="minorHAnsi"/>
                <w:sz w:val="20"/>
              </w:rPr>
              <w:t>Vermogen om die kennis toe te passen voor dagelijkse taken.</w:t>
            </w:r>
          </w:p>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Vermogen om zelfstandig standaardactiviteiten met betrekking tot deze competentie uit te oefenen</w:t>
            </w:r>
          </w:p>
        </w:tc>
      </w:tr>
      <w:tr w:rsidR="00940BAD" w:rsidRPr="00251707" w:rsidTr="00940BAD">
        <w:trPr>
          <w:trHeight w:val="1103"/>
        </w:trPr>
        <w:tc>
          <w:tcPr>
            <w:tcW w:w="658" w:type="pct"/>
            <w:shd w:val="clear" w:color="000000" w:fill="FFFFFF"/>
            <w:vAlign w:val="center"/>
          </w:tcPr>
          <w:p w:rsidR="00940BAD" w:rsidRPr="00251707" w:rsidRDefault="00940BAD" w:rsidP="00940BAD">
            <w:pPr>
              <w:spacing w:before="60" w:after="120" w:line="240" w:lineRule="auto"/>
              <w:rPr>
                <w:rFonts w:ascii="Verdana" w:hAnsi="Verdana" w:cstheme="minorHAnsi"/>
                <w:sz w:val="20"/>
                <w:szCs w:val="20"/>
              </w:rPr>
            </w:pPr>
            <w:proofErr w:type="gramStart"/>
            <w:r w:rsidRPr="00251707">
              <w:rPr>
                <w:rFonts w:ascii="Verdana" w:hAnsi="Verdana" w:cstheme="minorHAnsi"/>
                <w:sz w:val="20"/>
                <w:szCs w:val="20"/>
              </w:rPr>
              <w:t>Level</w:t>
            </w:r>
            <w:proofErr w:type="gramEnd"/>
            <w:r w:rsidRPr="00251707">
              <w:rPr>
                <w:rFonts w:ascii="Verdana" w:hAnsi="Verdana" w:cstheme="minorHAnsi"/>
                <w:sz w:val="20"/>
                <w:szCs w:val="20"/>
              </w:rPr>
              <w:t xml:space="preserve"> 3 - </w:t>
            </w:r>
            <w:proofErr w:type="spellStart"/>
            <w:r w:rsidRPr="00251707">
              <w:rPr>
                <w:rFonts w:ascii="Verdana" w:hAnsi="Verdana" w:cstheme="minorHAnsi"/>
                <w:sz w:val="20"/>
                <w:szCs w:val="20"/>
              </w:rPr>
              <w:t>Intermediate</w:t>
            </w:r>
            <w:proofErr w:type="spellEnd"/>
          </w:p>
        </w:tc>
        <w:tc>
          <w:tcPr>
            <w:tcW w:w="1738" w:type="pct"/>
            <w:shd w:val="clear" w:color="000000" w:fill="FFFFFF"/>
          </w:tcPr>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Broad and in-depth knowledge and skills with regards to the competency.</w:t>
            </w:r>
            <w:r w:rsidRPr="00F54E8B">
              <w:rPr>
                <w:rFonts w:ascii="Verdana" w:hAnsi="Verdana" w:cstheme="minorHAnsi"/>
                <w:sz w:val="20"/>
                <w:szCs w:val="20"/>
                <w:lang w:val="en-GB"/>
              </w:rPr>
              <w:br/>
              <w:t>Ability to deal with a variety of exceptions and special cases related to the competency in an independent manner.</w:t>
            </w:r>
          </w:p>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Ability to effectively share knowledge and experience with more junior profiles.</w:t>
            </w:r>
            <w:r w:rsidRPr="00F54E8B">
              <w:rPr>
                <w:rFonts w:ascii="Verdana" w:hAnsi="Verdana" w:cstheme="minorHAnsi"/>
                <w:sz w:val="20"/>
                <w:szCs w:val="20"/>
                <w:lang w:val="en-GB"/>
              </w:rPr>
              <w:br/>
              <w:t xml:space="preserve">Confidence in serving as an advisor and is </w:t>
            </w:r>
            <w:r w:rsidRPr="00F54E8B">
              <w:rPr>
                <w:rFonts w:ascii="Verdana" w:hAnsi="Verdana" w:cstheme="minorHAnsi"/>
                <w:sz w:val="20"/>
                <w:szCs w:val="20"/>
                <w:lang w:val="en-GB"/>
              </w:rPr>
              <w:lastRenderedPageBreak/>
              <w:t>sought out to provide insight in the application of this competency.</w:t>
            </w:r>
          </w:p>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lastRenderedPageBreak/>
              <w:t>Niveau 3 - Gemiddeld</w:t>
            </w:r>
          </w:p>
        </w:tc>
        <w:tc>
          <w:tcPr>
            <w:tcW w:w="2014"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Ruime en grondige kennis en vaardigheden met betrekking tot de competentie.</w:t>
            </w:r>
            <w:r>
              <w:rPr>
                <w:rFonts w:ascii="Verdana" w:hAnsi="Verdana" w:cstheme="minorHAnsi"/>
                <w:sz w:val="20"/>
                <w:szCs w:val="20"/>
              </w:rPr>
              <w:br/>
            </w:r>
            <w:r>
              <w:rPr>
                <w:rFonts w:ascii="Verdana" w:hAnsi="Verdana" w:cstheme="minorHAnsi"/>
                <w:sz w:val="20"/>
              </w:rPr>
              <w:t>Vermogen om zelfstandig het hoofd te bieden aan diverse uitzonderingen en bijzondere gevallen met betrekking tot de competentie.</w:t>
            </w:r>
          </w:p>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Vermogen om doeltreffend kennis en ervaring te delen met minder ervaren collega’s.</w:t>
            </w:r>
            <w:r>
              <w:rPr>
                <w:rFonts w:ascii="Verdana" w:hAnsi="Verdana" w:cstheme="minorHAnsi"/>
                <w:sz w:val="20"/>
                <w:szCs w:val="20"/>
              </w:rPr>
              <w:br/>
            </w:r>
            <w:r>
              <w:rPr>
                <w:rFonts w:ascii="Verdana" w:hAnsi="Verdana" w:cstheme="minorHAnsi"/>
                <w:sz w:val="20"/>
              </w:rPr>
              <w:t xml:space="preserve">Treedt met vertrouwen op als adviseur en wordt </w:t>
            </w:r>
            <w:r>
              <w:rPr>
                <w:rFonts w:ascii="Verdana" w:hAnsi="Verdana" w:cstheme="minorHAnsi"/>
                <w:sz w:val="20"/>
              </w:rPr>
              <w:lastRenderedPageBreak/>
              <w:t>geraadpleegd om licht te werpen op de toepassing van deze competentie.</w:t>
            </w:r>
          </w:p>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Is in staat om anderen te coachen over de toepassing van deze competentie door complexe nuances en vraagstukken met betrekking tot deze competentie te vertalen in eenvoudig te begrijpen termen.</w:t>
            </w:r>
          </w:p>
        </w:tc>
      </w:tr>
      <w:tr w:rsidR="00940BAD" w:rsidRPr="00251707" w:rsidTr="00940BAD">
        <w:trPr>
          <w:trHeight w:val="1103"/>
        </w:trPr>
        <w:tc>
          <w:tcPr>
            <w:tcW w:w="658" w:type="pct"/>
            <w:shd w:val="clear" w:color="000000" w:fill="FFFFFF"/>
            <w:vAlign w:val="center"/>
          </w:tcPr>
          <w:p w:rsidR="00940BAD" w:rsidRPr="00251707" w:rsidRDefault="00940BAD" w:rsidP="00940BAD">
            <w:pPr>
              <w:spacing w:before="60" w:after="120" w:line="240" w:lineRule="auto"/>
              <w:rPr>
                <w:rFonts w:ascii="Verdana" w:hAnsi="Verdana" w:cstheme="minorHAnsi"/>
                <w:sz w:val="20"/>
                <w:szCs w:val="20"/>
              </w:rPr>
            </w:pPr>
            <w:proofErr w:type="gramStart"/>
            <w:r w:rsidRPr="00251707">
              <w:rPr>
                <w:rFonts w:ascii="Verdana" w:hAnsi="Verdana" w:cstheme="minorHAnsi"/>
                <w:sz w:val="20"/>
                <w:szCs w:val="20"/>
              </w:rPr>
              <w:lastRenderedPageBreak/>
              <w:t>Level</w:t>
            </w:r>
            <w:proofErr w:type="gramEnd"/>
            <w:r w:rsidRPr="00251707">
              <w:rPr>
                <w:rFonts w:ascii="Verdana" w:hAnsi="Verdana" w:cstheme="minorHAnsi"/>
                <w:sz w:val="20"/>
                <w:szCs w:val="20"/>
              </w:rPr>
              <w:t xml:space="preserve"> 4 - Expert</w:t>
            </w:r>
          </w:p>
        </w:tc>
        <w:tc>
          <w:tcPr>
            <w:tcW w:w="1738" w:type="pct"/>
            <w:shd w:val="clear" w:color="000000" w:fill="FFFFFF"/>
          </w:tcPr>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Extensive expert knowledge and skills with regards to the competency.</w:t>
            </w:r>
          </w:p>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Ability to highlight the (dis)advantages of each of the processes related to the competency whilst linking them to the bigger picture.</w:t>
            </w:r>
          </w:p>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940BAD" w:rsidRPr="00F54E8B" w:rsidRDefault="00940BAD" w:rsidP="00940BAD">
            <w:pPr>
              <w:spacing w:before="60" w:after="120" w:line="240" w:lineRule="auto"/>
              <w:rPr>
                <w:rFonts w:ascii="Verdana" w:hAnsi="Verdana" w:cstheme="minorHAnsi"/>
                <w:sz w:val="20"/>
                <w:szCs w:val="20"/>
                <w:lang w:val="en-GB"/>
              </w:rPr>
            </w:pPr>
            <w:r w:rsidRPr="00F54E8B">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Niveau 4 - Deskundig</w:t>
            </w:r>
          </w:p>
        </w:tc>
        <w:tc>
          <w:tcPr>
            <w:tcW w:w="2014" w:type="pct"/>
            <w:shd w:val="clear" w:color="000000" w:fill="FFFFFF"/>
          </w:tcPr>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Uitgebreide deskundige kennis en vaardigheden met betrekking tot de competentie.</w:t>
            </w:r>
          </w:p>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Vermogen om de voor- en nadelen te benoemen voor elk van de processen met betrekking tot de competentie en ze te koppelen aan het grotere geheel.</w:t>
            </w:r>
          </w:p>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 xml:space="preserve">Vermogen om advies op maat te verstrekken en om dat advies te onderbouwen met relevante en </w:t>
            </w:r>
            <w:proofErr w:type="spellStart"/>
            <w:r>
              <w:rPr>
                <w:rFonts w:ascii="Verdana" w:hAnsi="Verdana" w:cstheme="minorHAnsi"/>
                <w:sz w:val="20"/>
              </w:rPr>
              <w:t>contextspecifieke</w:t>
            </w:r>
            <w:proofErr w:type="spellEnd"/>
            <w:r>
              <w:rPr>
                <w:rFonts w:ascii="Verdana" w:hAnsi="Verdana" w:cstheme="minorHAnsi"/>
                <w:sz w:val="20"/>
              </w:rPr>
              <w:t xml:space="preserve"> argumenten wanneer interne en externe vragen worden beantwoord.</w:t>
            </w:r>
          </w:p>
          <w:p w:rsidR="00940BAD" w:rsidRPr="00251707" w:rsidRDefault="00940BAD" w:rsidP="00940BAD">
            <w:pPr>
              <w:spacing w:before="60" w:after="120" w:line="240" w:lineRule="auto"/>
              <w:rPr>
                <w:rFonts w:ascii="Verdana" w:hAnsi="Verdana" w:cstheme="minorHAnsi"/>
                <w:sz w:val="20"/>
                <w:szCs w:val="20"/>
              </w:rPr>
            </w:pPr>
            <w:r>
              <w:rPr>
                <w:rFonts w:ascii="Verdana" w:hAnsi="Verdana" w:cstheme="minorHAnsi"/>
                <w:sz w:val="20"/>
              </w:rPr>
              <w:t>Wordt door anderen gezien als rolmodel dat anderen kan aansturen of opleiden op het vlak van de competentie.</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8972213"/>
      <w:r>
        <w:lastRenderedPageBreak/>
        <w:t>Operationele competenties</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940BAD">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940BAD" w:rsidRPr="0001418D" w:rsidTr="00940BAD">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940BAD" w:rsidRPr="0001418D" w:rsidRDefault="00940BAD" w:rsidP="00231B6E">
            <w:pPr>
              <w:spacing w:after="0" w:line="240" w:lineRule="auto"/>
              <w:rPr>
                <w:rFonts w:ascii="Verdana" w:eastAsia="Times New Roman" w:hAnsi="Verdana" w:cs="Times New Roman"/>
                <w:sz w:val="20"/>
                <w:szCs w:val="20"/>
              </w:rPr>
            </w:pPr>
            <w:r>
              <w:rPr>
                <w:rFonts w:ascii="Verdana" w:hAnsi="Verdana"/>
                <w:b/>
                <w:sz w:val="20"/>
              </w:rPr>
              <w:t>Code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940BAD" w:rsidRPr="0001418D" w:rsidRDefault="00940BAD" w:rsidP="00940BAD">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940BAD" w:rsidRPr="0001418D" w:rsidRDefault="00940BAD" w:rsidP="00940BAD">
            <w:pPr>
              <w:spacing w:after="0" w:line="240" w:lineRule="auto"/>
              <w:rPr>
                <w:rFonts w:ascii="Verdana" w:eastAsia="Times New Roman" w:hAnsi="Verdana" w:cs="Times New Roman"/>
                <w:sz w:val="20"/>
                <w:szCs w:val="20"/>
              </w:rPr>
            </w:pPr>
            <w:r>
              <w:rPr>
                <w:rFonts w:ascii="Verdana" w:hAnsi="Verdana"/>
                <w:sz w:val="20"/>
              </w:rPr>
              <w:t>Competentie</w:t>
            </w:r>
          </w:p>
        </w:tc>
      </w:tr>
      <w:tr w:rsidR="00940BAD" w:rsidRPr="00251707" w:rsidTr="00940BAD">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w:t>
            </w:r>
            <w:proofErr w:type="gramEnd"/>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Algemene bepalingen</w:t>
            </w:r>
            <w:r>
              <w:rPr>
                <w:rFonts w:ascii="Verdana" w:hAnsi="Verdana"/>
                <w:color w:val="000000"/>
                <w:sz w:val="20"/>
              </w:rPr>
              <w:t xml:space="preserve"> van Europese/nationale rechtshandelingen </w:t>
            </w:r>
            <w:proofErr w:type="gramStart"/>
            <w:r>
              <w:rPr>
                <w:rFonts w:ascii="Verdana" w:hAnsi="Verdana"/>
                <w:color w:val="000000"/>
                <w:sz w:val="20"/>
              </w:rPr>
              <w:t>inzake</w:t>
            </w:r>
            <w:proofErr w:type="gramEnd"/>
            <w:r>
              <w:rPr>
                <w:rFonts w:ascii="Verdana" w:hAnsi="Verdana"/>
                <w:color w:val="000000"/>
                <w:sz w:val="20"/>
              </w:rPr>
              <w:t xml:space="preserve"> ESIF</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Nationale strategische documenten (bv. nationale ontwikkelingsstrategieën, relevante thematische en sectorale beleidslijnen)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 xml:space="preserve">Bepalingen </w:t>
            </w:r>
            <w:proofErr w:type="gramStart"/>
            <w:r>
              <w:rPr>
                <w:rFonts w:ascii="Verdana" w:hAnsi="Verdana"/>
                <w:sz w:val="20"/>
              </w:rPr>
              <w:t>omtrent</w:t>
            </w:r>
            <w:proofErr w:type="gramEnd"/>
            <w:r>
              <w:rPr>
                <w:rFonts w:ascii="Verdana" w:hAnsi="Verdana"/>
                <w:sz w:val="20"/>
              </w:rPr>
              <w:t xml:space="preserve"> </w:t>
            </w:r>
            <w:proofErr w:type="spellStart"/>
            <w:r>
              <w:rPr>
                <w:rFonts w:ascii="Verdana" w:hAnsi="Verdana"/>
                <w:sz w:val="20"/>
              </w:rPr>
              <w:t>subsidiabiliteit</w:t>
            </w:r>
            <w:proofErr w:type="spellEnd"/>
            <w:r>
              <w:rPr>
                <w:rFonts w:ascii="Verdana" w:hAnsi="Verdana"/>
                <w:sz w:val="20"/>
              </w:rPr>
              <w:t xml:space="preserve"> van de uitgaven in de Europese/nationale rechtshandelingen inzake ESIF (regels, richtsnoeren en methodologieën, met inbegrip van het toepassingsgebied van de steunverlening)</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Territoriale vraagstukken, zoals geïntegreerde territoriale investeringen, vanuit de gemeenschap geleide lokale ontwikkeling, duurzame stadsontwikkeling, macrostrategieën, regionale strategieën en planning van interregionale samenwerking</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proofErr w:type="gramStart"/>
            <w:r>
              <w:rPr>
                <w:rFonts w:ascii="Verdana" w:hAnsi="Verdana"/>
                <w:sz w:val="20"/>
              </w:rPr>
              <w:t>Staatssteun</w:t>
            </w:r>
            <w:proofErr w:type="gramEnd"/>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Relevante thematische kennis (thematische wetgeving, kosten, geldende normen, trends)</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Interventielogica</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Input-, output-, resultaatindicatoren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Begroting en kostenraming</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Ontwerp van financiële instrumenten (ex-antebeoordeling, selectie van financiële instrumenten en opzet)</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Horizontale vraagstukken (zoals duurzame ontwikkeling, gelijkheid enz.)</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Administratieve procedures voor de aanschaf van goederen en diensten van technische bijstand</w:t>
            </w:r>
          </w:p>
        </w:tc>
      </w:tr>
      <w:tr w:rsidR="00940BAD"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Grensoverschrijdende, transnationale en interregionale samenwerking en Europese Groepering voor Territoriale Samenwerking</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 xml:space="preserve">Beheer van de uitbesteding van activiteiten </w:t>
            </w:r>
            <w:proofErr w:type="gramStart"/>
            <w:r>
              <w:rPr>
                <w:rFonts w:ascii="Verdana" w:hAnsi="Verdana"/>
                <w:sz w:val="20"/>
              </w:rPr>
              <w:t>inzake</w:t>
            </w:r>
            <w:proofErr w:type="gramEnd"/>
            <w:r>
              <w:rPr>
                <w:rFonts w:ascii="Verdana" w:hAnsi="Verdana"/>
                <w:sz w:val="20"/>
              </w:rPr>
              <w:t xml:space="preserve"> technische bijstand</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Economic environment and reform processes </w:t>
            </w:r>
            <w:r w:rsidRPr="00251707">
              <w:rPr>
                <w:rFonts w:ascii="Verdana" w:eastAsia="Times New Roman" w:hAnsi="Verdana" w:cs="Times New Roman"/>
                <w:sz w:val="20"/>
                <w:szCs w:val="20"/>
                <w:lang w:val="en-US" w:bidi="he-IL"/>
              </w:rPr>
              <w:lastRenderedPageBreak/>
              <w:t xml:space="preserve">(European Semester, National Reform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lastRenderedPageBreak/>
              <w:t xml:space="preserve">Economisch klimaat en hervormingsprocessen (Europees </w:t>
            </w:r>
            <w:r>
              <w:rPr>
                <w:rFonts w:ascii="Verdana" w:hAnsi="Verdana"/>
                <w:sz w:val="20"/>
              </w:rPr>
              <w:lastRenderedPageBreak/>
              <w:t xml:space="preserve">semester, nationale hervormingsprogramma’s en </w:t>
            </w:r>
            <w:proofErr w:type="spellStart"/>
            <w:r>
              <w:rPr>
                <w:rFonts w:ascii="Verdana" w:hAnsi="Verdana"/>
                <w:sz w:val="20"/>
              </w:rPr>
              <w:t>landspecifieke</w:t>
            </w:r>
            <w:proofErr w:type="spellEnd"/>
            <w:r>
              <w:rPr>
                <w:rFonts w:ascii="Verdana" w:hAnsi="Verdana"/>
                <w:sz w:val="20"/>
              </w:rPr>
              <w:t xml:space="preserve"> aanbevelingen)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lastRenderedPageBreak/>
              <w:t>JS.O</w:t>
            </w:r>
            <w:proofErr w:type="gramStart"/>
            <w:r>
              <w:rPr>
                <w:rFonts w:ascii="Verdana" w:hAnsi="Verdana"/>
                <w:sz w:val="20"/>
              </w:rPr>
              <w:t>.C16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proofErr w:type="spellStart"/>
            <w:r w:rsidRPr="00251707">
              <w:rPr>
                <w:rFonts w:ascii="Verdana" w:eastAsia="Times New Roman" w:hAnsi="Verdana" w:cs="Times New Roman"/>
                <w:sz w:val="20"/>
                <w:szCs w:val="20"/>
                <w:lang w:val="en-US" w:bidi="he-IL"/>
              </w:rPr>
              <w:t>Programme</w:t>
            </w:r>
            <w:proofErr w:type="spellEnd"/>
            <w:r w:rsidRPr="00251707">
              <w:rPr>
                <w:rFonts w:ascii="Verdana" w:eastAsia="Times New Roman" w:hAnsi="Verdana" w:cs="Times New Roman"/>
                <w:sz w:val="20"/>
                <w:szCs w:val="20"/>
                <w:lang w:val="en-US" w:bidi="he-IL"/>
              </w:rPr>
              <w:t xml:space="preserv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Programmabeheer en projectcyclusbeheer</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 xml:space="preserve">Beheers- en uitvoeringsbepalingen </w:t>
            </w:r>
            <w:r>
              <w:rPr>
                <w:rFonts w:ascii="Verdana" w:hAnsi="Verdana"/>
                <w:color w:val="000000"/>
                <w:sz w:val="20"/>
              </w:rPr>
              <w:t xml:space="preserve">in de Europese/nationale rechtshandelingen </w:t>
            </w:r>
            <w:proofErr w:type="gramStart"/>
            <w:r>
              <w:rPr>
                <w:rFonts w:ascii="Verdana" w:hAnsi="Verdana"/>
                <w:color w:val="000000"/>
                <w:sz w:val="20"/>
              </w:rPr>
              <w:t>inzake</w:t>
            </w:r>
            <w:proofErr w:type="gramEnd"/>
            <w:r>
              <w:rPr>
                <w:rFonts w:ascii="Verdana" w:hAnsi="Verdana"/>
                <w:color w:val="000000"/>
                <w:sz w:val="20"/>
              </w:rPr>
              <w:t xml:space="preserve"> ESIF (programmering, selectie van concrete acties, monitoring, controles en audits, evaluatie, publiciteit)</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 xml:space="preserve">Regels </w:t>
            </w:r>
            <w:proofErr w:type="gramStart"/>
            <w:r>
              <w:rPr>
                <w:rFonts w:ascii="Verdana" w:hAnsi="Verdana"/>
                <w:sz w:val="20"/>
              </w:rPr>
              <w:t>inzake</w:t>
            </w:r>
            <w:proofErr w:type="gramEnd"/>
            <w:r>
              <w:rPr>
                <w:rFonts w:ascii="Verdana" w:hAnsi="Verdana"/>
                <w:sz w:val="20"/>
              </w:rPr>
              <w:t xml:space="preserve"> overheidsopdrachten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 xml:space="preserve">Frauderisicobeheer (incl. preventie, opsporing en </w:t>
            </w:r>
            <w:proofErr w:type="spellStart"/>
            <w:r>
              <w:rPr>
                <w:rFonts w:ascii="Verdana" w:hAnsi="Verdana"/>
                <w:sz w:val="20"/>
              </w:rPr>
              <w:t>risicobeperkende</w:t>
            </w:r>
            <w:proofErr w:type="spellEnd"/>
            <w:r>
              <w:rPr>
                <w:rFonts w:ascii="Verdana" w:hAnsi="Verdana"/>
                <w:sz w:val="20"/>
              </w:rPr>
              <w:t xml:space="preserve"> maatregelen)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 xml:space="preserve">Definiëring en herziening van administratieve organisatie </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Opzet van het beheers- en controlesysteem</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Beoordeling van de administratieve lasten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Beoordeling van de ESIF-systeemprestaties</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Vereenvoudigde kostenopties</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Kosten-batenanalyse en haalbaarheidsstudies</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Milieueffectbeoordeling (MEB) voor grootschalige projecten en infrastructuurprojecten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Financieringstekort en inkomstengeneratie</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Procedures/wetgeving voor grootschalige projecten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.C29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Stimulerend effect</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.C30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Financiële instrumenten die relevant zijn voor de functie</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.C31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Ontwerp en uitvoeringsmechanismen van financiële instrumenten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.C32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Prognose en planning van prestatiedoelstellingen/prestatiekader</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.C33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Risicobeheer met betrekking tot grootschalige projecten en infrastructuurprojecten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.C34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of </w:t>
            </w:r>
            <w:proofErr w:type="spellStart"/>
            <w:r w:rsidRPr="00251707">
              <w:rPr>
                <w:rFonts w:ascii="Verdana" w:eastAsia="Times New Roman" w:hAnsi="Verdana" w:cs="Times New Roman"/>
                <w:sz w:val="20"/>
                <w:szCs w:val="20"/>
                <w:lang w:val="en-US" w:bidi="he-IL"/>
              </w:rPr>
              <w:t>programme</w:t>
            </w:r>
            <w:proofErr w:type="spellEnd"/>
            <w:r w:rsidRPr="00251707">
              <w:rPr>
                <w:rFonts w:ascii="Verdana" w:eastAsia="Times New Roman"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Beheer van de evaluatieprocedure van het programma, de prioriteiten of de maatregelen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.C35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Belangrijkste evaluatiecriteria (relevantie, complementariteit, consistentie, efficiëntie en effectiviteit)</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.C36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Data collection and analysis methods for evaluation </w:t>
            </w:r>
            <w:r w:rsidRPr="00251707">
              <w:rPr>
                <w:rFonts w:ascii="Verdana" w:eastAsia="Times New Roman" w:hAnsi="Verdana" w:cs="Times New Roman"/>
                <w:sz w:val="20"/>
                <w:szCs w:val="20"/>
                <w:lang w:val="en-US" w:bidi="he-IL"/>
              </w:rPr>
              <w:lastRenderedPageBreak/>
              <w:t xml:space="preserve">of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lastRenderedPageBreak/>
              <w:t xml:space="preserve">Gegevensverzameling en analysemethoden voor de </w:t>
            </w:r>
            <w:r>
              <w:rPr>
                <w:rFonts w:ascii="Verdana" w:hAnsi="Verdana"/>
                <w:sz w:val="20"/>
              </w:rPr>
              <w:lastRenderedPageBreak/>
              <w:t>evaluatie van programma’s, prioriteiten of maatregelen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lastRenderedPageBreak/>
              <w:t>JS.O</w:t>
            </w:r>
            <w:proofErr w:type="gramStart"/>
            <w:r>
              <w:rPr>
                <w:rFonts w:ascii="Verdana" w:hAnsi="Verdana"/>
                <w:sz w:val="20"/>
              </w:rPr>
              <w:t>.C37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Begrotingsplanning, -beheer en -prognose</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.C38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Uitgaven op projectniveau</w:t>
            </w:r>
            <w:r>
              <w:rPr>
                <w:rFonts w:ascii="Verdana" w:hAnsi="Verdana"/>
                <w:color w:val="000000"/>
                <w:sz w:val="20"/>
              </w:rPr>
              <w:t xml:space="preserve"> (contractfacturen, rekeningafschriften)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.C39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 xml:space="preserve">Communicatiebepalingen </w:t>
            </w:r>
            <w:r>
              <w:rPr>
                <w:rFonts w:ascii="Verdana" w:hAnsi="Verdana"/>
                <w:color w:val="000000"/>
                <w:sz w:val="20"/>
              </w:rPr>
              <w:t xml:space="preserve">in de Europese/nationale rechtshandelingen </w:t>
            </w:r>
            <w:proofErr w:type="gramStart"/>
            <w:r>
              <w:rPr>
                <w:rFonts w:ascii="Verdana" w:hAnsi="Verdana"/>
                <w:color w:val="000000"/>
                <w:sz w:val="20"/>
              </w:rPr>
              <w:t>inzake</w:t>
            </w:r>
            <w:proofErr w:type="gramEnd"/>
            <w:r>
              <w:rPr>
                <w:rFonts w:ascii="Verdana" w:hAnsi="Verdana"/>
                <w:color w:val="000000"/>
                <w:sz w:val="20"/>
              </w:rPr>
              <w:t xml:space="preserve"> ESIF</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.C40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Identificatie van de verschillende belanghebbenden en hun informatiebehoeften</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.C41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Beheer van relevante media</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.C42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proofErr w:type="spellStart"/>
            <w:r>
              <w:rPr>
                <w:rFonts w:ascii="Verdana" w:hAnsi="Verdana"/>
                <w:sz w:val="20"/>
              </w:rPr>
              <w:t>Webcommunicatie</w:t>
            </w:r>
            <w:proofErr w:type="spellEnd"/>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.C43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Technische kennis binnen de sector</w:t>
            </w:r>
          </w:p>
        </w:tc>
      </w:tr>
      <w:tr w:rsidR="00940BAD" w:rsidRPr="00251707" w:rsidTr="00940BA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40BAD" w:rsidRPr="00251707" w:rsidRDefault="00940BAD"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.C44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940BAD" w:rsidRPr="00251707" w:rsidRDefault="00940BAD" w:rsidP="00940BA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40BAD" w:rsidRPr="00251707" w:rsidRDefault="00940BAD" w:rsidP="00940BAD">
            <w:pPr>
              <w:spacing w:after="0" w:line="240" w:lineRule="auto"/>
              <w:rPr>
                <w:rFonts w:ascii="Verdana" w:eastAsia="Times New Roman" w:hAnsi="Verdana" w:cs="Times New Roman"/>
                <w:sz w:val="20"/>
                <w:szCs w:val="20"/>
              </w:rPr>
            </w:pPr>
            <w:r>
              <w:rPr>
                <w:rFonts w:ascii="Verdana" w:hAnsi="Verdana"/>
                <w:sz w:val="20"/>
              </w:rPr>
              <w:t>Auditnormen, -procedures en -methodologieën</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8972214"/>
      <w:r>
        <w:lastRenderedPageBreak/>
        <w:t>Managementcompetenties</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940BAD" w:rsidRPr="00A40E7F" w:rsidTr="00940BAD">
        <w:trPr>
          <w:trHeight w:val="255"/>
          <w:tblHeader/>
        </w:trPr>
        <w:tc>
          <w:tcPr>
            <w:tcW w:w="386" w:type="pct"/>
            <w:shd w:val="clear" w:color="auto" w:fill="EDEDED" w:themeFill="accent3" w:themeFillTint="33"/>
          </w:tcPr>
          <w:p w:rsidR="00940BAD" w:rsidRPr="00A40E7F" w:rsidRDefault="00940BAD" w:rsidP="00AD2B31">
            <w:pPr>
              <w:spacing w:after="0" w:line="240" w:lineRule="auto"/>
              <w:rPr>
                <w:rFonts w:ascii="Verdana" w:eastAsia="Times New Roman" w:hAnsi="Verdana" w:cstheme="minorHAnsi"/>
                <w:b/>
                <w:bCs/>
                <w:sz w:val="20"/>
                <w:szCs w:val="20"/>
              </w:rPr>
            </w:pPr>
            <w:r>
              <w:rPr>
                <w:rFonts w:ascii="Verdana" w:hAnsi="Verdana" w:cstheme="minorHAnsi"/>
                <w:b/>
                <w:sz w:val="20"/>
              </w:rPr>
              <w:t>Code</w:t>
            </w:r>
          </w:p>
        </w:tc>
        <w:tc>
          <w:tcPr>
            <w:tcW w:w="793" w:type="pct"/>
            <w:shd w:val="clear" w:color="auto" w:fill="EDEDED" w:themeFill="accent3" w:themeFillTint="33"/>
            <w:noWrap/>
            <w:vAlign w:val="center"/>
            <w:hideMark/>
          </w:tcPr>
          <w:p w:rsidR="00940BAD" w:rsidRPr="00A40E7F" w:rsidRDefault="00940BAD" w:rsidP="00940BAD">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hideMark/>
          </w:tcPr>
          <w:p w:rsidR="00940BAD" w:rsidRPr="00A40E7F" w:rsidRDefault="00940BAD" w:rsidP="00940BAD">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940BAD" w:rsidRPr="00A40E7F" w:rsidRDefault="00940BAD" w:rsidP="00940BAD">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Competentie</w:t>
            </w:r>
          </w:p>
        </w:tc>
        <w:tc>
          <w:tcPr>
            <w:tcW w:w="1632" w:type="pct"/>
            <w:shd w:val="clear" w:color="auto" w:fill="EDEDED" w:themeFill="accent3" w:themeFillTint="33"/>
            <w:vAlign w:val="center"/>
          </w:tcPr>
          <w:p w:rsidR="00940BAD" w:rsidRPr="00A40E7F" w:rsidRDefault="00940BAD" w:rsidP="00940BAD">
            <w:pPr>
              <w:spacing w:after="0" w:line="240" w:lineRule="auto"/>
              <w:jc w:val="center"/>
              <w:rPr>
                <w:rFonts w:ascii="Verdana" w:eastAsia="Times New Roman" w:hAnsi="Verdana" w:cstheme="minorHAnsi"/>
                <w:b/>
                <w:bCs/>
                <w:sz w:val="20"/>
                <w:szCs w:val="20"/>
              </w:rPr>
            </w:pPr>
            <w:r>
              <w:rPr>
                <w:rFonts w:ascii="Verdana" w:hAnsi="Verdana" w:cstheme="minorHAnsi"/>
                <w:b/>
                <w:sz w:val="20"/>
              </w:rPr>
              <w:t>Omschrijving</w:t>
            </w:r>
          </w:p>
        </w:tc>
      </w:tr>
      <w:tr w:rsidR="00940BAD" w:rsidRPr="00A40E7F" w:rsidTr="00940BAD">
        <w:trPr>
          <w:trHeight w:val="1305"/>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w:t>
            </w:r>
            <w:proofErr w:type="gramEnd"/>
          </w:p>
        </w:tc>
        <w:tc>
          <w:tcPr>
            <w:tcW w:w="793"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Developing others and people management</w:t>
            </w:r>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Anderen doen groeien en personeelsbeheer</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Blijk geven van het vermogen om aan anderen tijdige, duidelijke en specifieke richtsnoeren en feedback te verstrekken en om hen te ondersteunen bij het vaststellen van hun ontwikkelings- en opleidingsbehoeften en -mogelijkheden; hun kennis, vaardigheden en capaciteiten om de toegewezen taken te kunnen volbrengen of problemen te kunnen oplossen, tot ontwikkeling brengen; en blijk geven van het vermogen om de werkzaamheden van werknemers, hun ontwikkeling en prestaties in goede banen te leiden zodat personele middelen zo efficiënt mogelijk worden ingezet.</w:t>
            </w:r>
          </w:p>
        </w:tc>
      </w:tr>
      <w:tr w:rsidR="00940BAD" w:rsidRPr="00A40E7F" w:rsidTr="00940BAD">
        <w:trPr>
          <w:trHeight w:val="765"/>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.C2</w:t>
            </w:r>
            <w:proofErr w:type="gramEnd"/>
          </w:p>
        </w:tc>
        <w:tc>
          <w:tcPr>
            <w:tcW w:w="793" w:type="pct"/>
            <w:shd w:val="clear" w:color="000000" w:fill="FFFFFF"/>
            <w:vAlign w:val="center"/>
            <w:hideMark/>
          </w:tcPr>
          <w:p w:rsidR="00940BAD" w:rsidRPr="00A40E7F" w:rsidRDefault="00940BAD" w:rsidP="00940BAD">
            <w:pPr>
              <w:spacing w:after="0"/>
              <w:rPr>
                <w:rFonts w:ascii="Verdana" w:hAnsi="Verdana" w:cstheme="minorHAnsi"/>
                <w:sz w:val="20"/>
                <w:szCs w:val="20"/>
              </w:rPr>
            </w:pPr>
            <w:proofErr w:type="spellStart"/>
            <w:r w:rsidRPr="00A40E7F">
              <w:rPr>
                <w:rFonts w:ascii="Verdana" w:hAnsi="Verdana" w:cstheme="minorHAnsi"/>
                <w:sz w:val="20"/>
                <w:szCs w:val="20"/>
              </w:rPr>
              <w:t>Decision</w:t>
            </w:r>
            <w:proofErr w:type="spellEnd"/>
            <w:r w:rsidRPr="00A40E7F">
              <w:rPr>
                <w:rFonts w:ascii="Verdana" w:hAnsi="Verdana" w:cstheme="minorHAnsi"/>
                <w:sz w:val="20"/>
                <w:szCs w:val="20"/>
              </w:rPr>
              <w:t xml:space="preserve"> making</w:t>
            </w:r>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Besluitvorming</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Blijk geven van het vermogen om op een efficiënte manier conclusies te trekken of oplossingen uit te werken, en om tijdig actie te ondernemen die strookt met de beschikbare gegevens en feiten die afkomstig zijn van verscheidene bronnen, beperkingen en mogelijke gevolgen.</w:t>
            </w:r>
          </w:p>
        </w:tc>
      </w:tr>
      <w:tr w:rsidR="00940BAD" w:rsidRPr="00A40E7F" w:rsidTr="00940BAD">
        <w:trPr>
          <w:trHeight w:val="1020"/>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.C3</w:t>
            </w:r>
            <w:proofErr w:type="gramEnd"/>
          </w:p>
        </w:tc>
        <w:tc>
          <w:tcPr>
            <w:tcW w:w="793" w:type="pct"/>
            <w:shd w:val="clear" w:color="000000" w:fill="FFFFFF"/>
            <w:vAlign w:val="center"/>
            <w:hideMark/>
          </w:tcPr>
          <w:p w:rsidR="00940BAD" w:rsidRPr="00A40E7F" w:rsidRDefault="00940BAD" w:rsidP="00940BAD">
            <w:pPr>
              <w:spacing w:after="0"/>
              <w:rPr>
                <w:rFonts w:ascii="Verdana" w:hAnsi="Verdana" w:cstheme="minorHAnsi"/>
                <w:sz w:val="20"/>
                <w:szCs w:val="20"/>
              </w:rPr>
            </w:pPr>
            <w:proofErr w:type="spellStart"/>
            <w:r w:rsidRPr="00A40E7F">
              <w:rPr>
                <w:rFonts w:ascii="Verdana" w:hAnsi="Verdana" w:cstheme="minorHAnsi"/>
                <w:sz w:val="20"/>
                <w:szCs w:val="20"/>
              </w:rPr>
              <w:t>Delegation</w:t>
            </w:r>
            <w:proofErr w:type="spellEnd"/>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w:t>
            </w:r>
            <w:r w:rsidRPr="00F54E8B">
              <w:rPr>
                <w:rFonts w:ascii="Verdana" w:hAnsi="Verdana" w:cstheme="minorHAnsi"/>
                <w:sz w:val="20"/>
                <w:szCs w:val="20"/>
                <w:lang w:val="en-GB"/>
              </w:rPr>
              <w:lastRenderedPageBreak/>
              <w:t>appropriate support in a manner to maximise the organisational and individuals effectiveness.</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lastRenderedPageBreak/>
              <w:t>Delegatie</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 xml:space="preserve">Blijk geven van het vermogen om de verantwoordelijkheid voor de besluitvorming en/of taken aan anderen toe te wijzen, om duidelijk te communiceren over de toewijzing en nakoming van verantwoordelijkheden, </w:t>
            </w:r>
            <w:r>
              <w:rPr>
                <w:rFonts w:ascii="Verdana" w:hAnsi="Verdana" w:cstheme="minorHAnsi"/>
                <w:sz w:val="20"/>
              </w:rPr>
              <w:lastRenderedPageBreak/>
              <w:t>en om de nodige steun te verlenen om organisaties en individuele werknemers zo doeltreffend mogelijk te laten werken.</w:t>
            </w:r>
          </w:p>
        </w:tc>
      </w:tr>
      <w:tr w:rsidR="00940BAD" w:rsidRPr="00A40E7F" w:rsidTr="00940BAD">
        <w:trPr>
          <w:trHeight w:val="765"/>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.C4</w:t>
            </w:r>
            <w:proofErr w:type="gramEnd"/>
          </w:p>
        </w:tc>
        <w:tc>
          <w:tcPr>
            <w:tcW w:w="793" w:type="pct"/>
            <w:shd w:val="clear" w:color="000000" w:fill="FFFFFF"/>
            <w:vAlign w:val="center"/>
            <w:hideMark/>
          </w:tcPr>
          <w:p w:rsidR="00940BAD" w:rsidRPr="00A40E7F" w:rsidRDefault="00940BAD" w:rsidP="00940BAD">
            <w:pPr>
              <w:spacing w:after="0"/>
              <w:rPr>
                <w:rFonts w:ascii="Verdana" w:hAnsi="Verdana" w:cstheme="minorHAnsi"/>
                <w:sz w:val="20"/>
                <w:szCs w:val="20"/>
              </w:rPr>
            </w:pPr>
            <w:proofErr w:type="spellStart"/>
            <w:r w:rsidRPr="00A40E7F">
              <w:rPr>
                <w:rFonts w:ascii="Verdana" w:hAnsi="Verdana" w:cstheme="minorHAnsi"/>
                <w:sz w:val="20"/>
                <w:szCs w:val="20"/>
              </w:rPr>
              <w:t>Facilitation</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and</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communication</w:t>
            </w:r>
            <w:proofErr w:type="spellEnd"/>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Ondersteuning en communicatie</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Blijk geven van het vermogen om anderen te betrekken en hun creativiteit te stimuleren, om de capaciteiten van de groep aan te wenden om de groep naar een consensus te leiden, om problemen doeltreffend op te lossen, om taken en gemeenschappelijke doelstellingen te verwezenlijken.</w:t>
            </w:r>
          </w:p>
        </w:tc>
      </w:tr>
      <w:tr w:rsidR="00940BAD" w:rsidRPr="00A40E7F" w:rsidTr="00940BAD">
        <w:trPr>
          <w:trHeight w:val="765"/>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.C5</w:t>
            </w:r>
            <w:proofErr w:type="gramEnd"/>
          </w:p>
        </w:tc>
        <w:tc>
          <w:tcPr>
            <w:tcW w:w="793" w:type="pct"/>
            <w:shd w:val="clear" w:color="000000" w:fill="FFFFFF"/>
            <w:vAlign w:val="center"/>
            <w:hideMark/>
          </w:tcPr>
          <w:p w:rsidR="00940BAD" w:rsidRPr="00A40E7F" w:rsidRDefault="00940BAD" w:rsidP="00940BAD">
            <w:pPr>
              <w:spacing w:after="0"/>
              <w:rPr>
                <w:rFonts w:ascii="Verdana" w:hAnsi="Verdana" w:cstheme="minorHAnsi"/>
                <w:sz w:val="20"/>
                <w:szCs w:val="20"/>
              </w:rPr>
            </w:pPr>
            <w:bookmarkStart w:id="11" w:name="RANGE!B8"/>
            <w:proofErr w:type="spellStart"/>
            <w:r w:rsidRPr="00A40E7F">
              <w:rPr>
                <w:rFonts w:ascii="Verdana" w:hAnsi="Verdana" w:cstheme="minorHAnsi"/>
                <w:sz w:val="20"/>
                <w:szCs w:val="20"/>
              </w:rPr>
              <w:t>Leadership</w:t>
            </w:r>
            <w:bookmarkEnd w:id="11"/>
            <w:proofErr w:type="spellEnd"/>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Leiderschap</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Blijk geven van het vermogen om personen aan te moedigen en te inspireren om de toekomstvisie te verwezenlijken, om doelstellingen duidelijk te presenteren, om werknemers te sturen en hen een doel te geven en om hen te motiveren voor actie.</w:t>
            </w:r>
          </w:p>
        </w:tc>
      </w:tr>
      <w:tr w:rsidR="00940BAD" w:rsidRPr="00A40E7F" w:rsidTr="00940BAD">
        <w:trPr>
          <w:trHeight w:val="765"/>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.C6</w:t>
            </w:r>
            <w:proofErr w:type="gramEnd"/>
          </w:p>
        </w:tc>
        <w:tc>
          <w:tcPr>
            <w:tcW w:w="793" w:type="pct"/>
            <w:shd w:val="clear" w:color="000000" w:fill="FFFFFF"/>
            <w:vAlign w:val="center"/>
            <w:hideMark/>
          </w:tcPr>
          <w:p w:rsidR="00940BAD" w:rsidRPr="00A40E7F" w:rsidRDefault="00940BAD" w:rsidP="00940BAD">
            <w:pPr>
              <w:spacing w:after="0"/>
              <w:rPr>
                <w:rFonts w:ascii="Verdana" w:hAnsi="Verdana" w:cstheme="minorHAnsi"/>
                <w:sz w:val="20"/>
                <w:szCs w:val="20"/>
              </w:rPr>
            </w:pPr>
            <w:r w:rsidRPr="00A40E7F">
              <w:rPr>
                <w:rFonts w:ascii="Verdana" w:hAnsi="Verdana" w:cstheme="minorHAnsi"/>
                <w:sz w:val="20"/>
                <w:szCs w:val="20"/>
              </w:rPr>
              <w:t>Multi-level stakeholder management</w:t>
            </w:r>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Omgang met belanghebbenden op meerdere niveaus</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Blijk geven van het vermogen om de doelstellingen van uiteenlopende belanghebbenden te begrijpen, om efficiënt samen te werken en belanghebbenden te betrekken (incl. een open en stimulerende uitwisseling van goede praktijken tussen verschillende lidstaten).</w:t>
            </w:r>
          </w:p>
        </w:tc>
      </w:tr>
      <w:tr w:rsidR="00940BAD" w:rsidRPr="00A40E7F" w:rsidTr="00940BAD">
        <w:trPr>
          <w:trHeight w:val="765"/>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.C7</w:t>
            </w:r>
            <w:proofErr w:type="gramEnd"/>
          </w:p>
        </w:tc>
        <w:tc>
          <w:tcPr>
            <w:tcW w:w="793" w:type="pct"/>
            <w:shd w:val="clear" w:color="000000" w:fill="FFFFFF"/>
            <w:vAlign w:val="center"/>
            <w:hideMark/>
          </w:tcPr>
          <w:p w:rsidR="00940BAD" w:rsidRPr="00A40E7F" w:rsidRDefault="00940BAD" w:rsidP="00940BAD">
            <w:pPr>
              <w:spacing w:after="0"/>
              <w:rPr>
                <w:rFonts w:ascii="Verdana" w:hAnsi="Verdana" w:cstheme="minorHAnsi"/>
                <w:sz w:val="20"/>
                <w:szCs w:val="20"/>
              </w:rPr>
            </w:pPr>
            <w:proofErr w:type="spellStart"/>
            <w:r w:rsidRPr="00A40E7F">
              <w:rPr>
                <w:rFonts w:ascii="Verdana" w:hAnsi="Verdana" w:cstheme="minorHAnsi"/>
                <w:sz w:val="20"/>
                <w:szCs w:val="20"/>
              </w:rPr>
              <w:t>Negotiating</w:t>
            </w:r>
            <w:proofErr w:type="spellEnd"/>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Demonstrating ability to effectively explore (facilitating discussion, asking questions, responding to objections, etc.) alternatives and </w:t>
            </w:r>
            <w:r w:rsidRPr="00F54E8B">
              <w:rPr>
                <w:rFonts w:ascii="Verdana" w:hAnsi="Verdana" w:cstheme="minorHAnsi"/>
                <w:sz w:val="20"/>
                <w:szCs w:val="20"/>
                <w:lang w:val="en-GB"/>
              </w:rPr>
              <w:lastRenderedPageBreak/>
              <w:t>positions of others to reach outcomes that are accepted by all parties (a win-win solution).</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lastRenderedPageBreak/>
              <w:t>Onderhandelen</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 xml:space="preserve">Blijk geven van het vermogen om alternatieven en standpunten van anderen doeltreffend te onderzoeken (gesprekken op gang brengen, vragen </w:t>
            </w:r>
            <w:r>
              <w:rPr>
                <w:rFonts w:ascii="Verdana" w:hAnsi="Verdana" w:cstheme="minorHAnsi"/>
                <w:sz w:val="20"/>
              </w:rPr>
              <w:lastRenderedPageBreak/>
              <w:t>stellen, antwoorden op bezwaren enz.) om resultaten te behalen die door alle partijen worden aanvaard (een win-winsituatie).</w:t>
            </w:r>
          </w:p>
        </w:tc>
      </w:tr>
      <w:tr w:rsidR="00940BAD" w:rsidRPr="00A40E7F" w:rsidTr="00940BAD">
        <w:trPr>
          <w:trHeight w:val="510"/>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.C8</w:t>
            </w:r>
            <w:proofErr w:type="gramEnd"/>
          </w:p>
        </w:tc>
        <w:tc>
          <w:tcPr>
            <w:tcW w:w="793" w:type="pct"/>
            <w:shd w:val="clear" w:color="000000" w:fill="FFFFFF"/>
            <w:vAlign w:val="center"/>
            <w:hideMark/>
          </w:tcPr>
          <w:p w:rsidR="00940BAD" w:rsidRPr="00A40E7F" w:rsidRDefault="00940BAD" w:rsidP="00940BAD">
            <w:pPr>
              <w:spacing w:after="0"/>
              <w:rPr>
                <w:rFonts w:ascii="Verdana" w:hAnsi="Verdana" w:cstheme="minorHAnsi"/>
                <w:sz w:val="20"/>
                <w:szCs w:val="20"/>
              </w:rPr>
            </w:pPr>
            <w:proofErr w:type="spellStart"/>
            <w:r w:rsidRPr="00A40E7F">
              <w:rPr>
                <w:rFonts w:ascii="Verdana" w:hAnsi="Verdana" w:cstheme="minorHAnsi"/>
                <w:sz w:val="20"/>
                <w:szCs w:val="20"/>
              </w:rPr>
              <w:t>Result</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orientation</w:t>
            </w:r>
            <w:proofErr w:type="spellEnd"/>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Resultaatgerichtheid</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Blijk geven van het vermogen om uitdagende doelen te stellen, om door te zetten en gericht te blijven werken en om voortdurend de doelstellingen te behalen of de vereiste resultaten te leveren, zelfs bij tegenslagen.</w:t>
            </w:r>
          </w:p>
        </w:tc>
      </w:tr>
      <w:tr w:rsidR="00940BAD" w:rsidRPr="00A40E7F" w:rsidTr="00940BAD">
        <w:trPr>
          <w:trHeight w:val="765"/>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.C9</w:t>
            </w:r>
            <w:proofErr w:type="gramEnd"/>
          </w:p>
        </w:tc>
        <w:tc>
          <w:tcPr>
            <w:tcW w:w="793" w:type="pct"/>
            <w:shd w:val="clear" w:color="000000" w:fill="FFFFFF"/>
            <w:vAlign w:val="center"/>
            <w:hideMark/>
          </w:tcPr>
          <w:p w:rsidR="00940BAD" w:rsidRPr="00A40E7F" w:rsidRDefault="00940BAD" w:rsidP="00940BAD">
            <w:pPr>
              <w:spacing w:after="0"/>
              <w:rPr>
                <w:rFonts w:ascii="Verdana" w:hAnsi="Verdana" w:cstheme="minorHAnsi"/>
                <w:sz w:val="20"/>
                <w:szCs w:val="20"/>
              </w:rPr>
            </w:pPr>
            <w:r w:rsidRPr="00A40E7F">
              <w:rPr>
                <w:rFonts w:ascii="Verdana" w:hAnsi="Verdana" w:cstheme="minorHAnsi"/>
                <w:sz w:val="20"/>
                <w:szCs w:val="20"/>
              </w:rPr>
              <w:t>Strategic management</w:t>
            </w:r>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Strategisch beheer</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Blijk geven van het vermogen om beslissingen te nemen en acties te ondernemen die leiden tot de ontwikkeling en uitvoering van strategieën die zijn afgestemd op de strategische koers van de organisatie en de te behalen doelstellingen.</w:t>
            </w:r>
          </w:p>
        </w:tc>
      </w:tr>
      <w:tr w:rsidR="00940BAD" w:rsidRPr="00A40E7F" w:rsidTr="00940BAD">
        <w:trPr>
          <w:trHeight w:val="765"/>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.C10</w:t>
            </w:r>
            <w:proofErr w:type="gramEnd"/>
          </w:p>
        </w:tc>
        <w:tc>
          <w:tcPr>
            <w:tcW w:w="793" w:type="pct"/>
            <w:shd w:val="clear" w:color="000000" w:fill="FFFFFF"/>
            <w:vAlign w:val="center"/>
            <w:hideMark/>
          </w:tcPr>
          <w:p w:rsidR="00940BAD" w:rsidRPr="00A40E7F" w:rsidRDefault="00940BAD" w:rsidP="00940BAD">
            <w:pPr>
              <w:spacing w:after="0"/>
              <w:rPr>
                <w:rFonts w:ascii="Verdana" w:hAnsi="Verdana" w:cstheme="minorHAnsi"/>
                <w:sz w:val="20"/>
                <w:szCs w:val="20"/>
              </w:rPr>
            </w:pPr>
            <w:r w:rsidRPr="00A40E7F">
              <w:rPr>
                <w:rFonts w:ascii="Verdana" w:hAnsi="Verdana" w:cstheme="minorHAnsi"/>
                <w:sz w:val="20"/>
                <w:szCs w:val="20"/>
              </w:rPr>
              <w:t>Risk management</w:t>
            </w:r>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 xml:space="preserve">Demonstrating ability to identify, analyse, assess and prioritize risks and to minimize, </w:t>
            </w:r>
            <w:proofErr w:type="gramStart"/>
            <w:r w:rsidRPr="00F54E8B">
              <w:rPr>
                <w:rFonts w:ascii="Verdana" w:hAnsi="Verdana" w:cstheme="minorHAnsi"/>
                <w:sz w:val="20"/>
                <w:szCs w:val="20"/>
                <w:lang w:val="en-GB"/>
              </w:rPr>
              <w:t>monitor</w:t>
            </w:r>
            <w:proofErr w:type="gramEnd"/>
            <w:r w:rsidRPr="00F54E8B">
              <w:rPr>
                <w:rFonts w:ascii="Verdana" w:hAnsi="Verdana" w:cstheme="minorHAnsi"/>
                <w:sz w:val="20"/>
                <w:szCs w:val="20"/>
                <w:lang w:val="en-GB"/>
              </w:rPr>
              <w:t>, and control the probability and/or impact of unfortunate events or to maximize the realization of opportunities.</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Risicobeheer</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Blijk geven van het vermogen om risico’s in kaart te brengen, te analyseren, te beoordelen en te prioriteren, en om de kans op en/of de impact van ongunstige gebeurtenissen te beperken, te monitoren en te beheersen of om kansen maximaal te benutten.</w:t>
            </w:r>
          </w:p>
        </w:tc>
      </w:tr>
      <w:tr w:rsidR="00940BAD" w:rsidRPr="00A40E7F" w:rsidTr="00940BAD">
        <w:trPr>
          <w:trHeight w:val="765"/>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.C11</w:t>
            </w:r>
            <w:proofErr w:type="gramEnd"/>
          </w:p>
        </w:tc>
        <w:tc>
          <w:tcPr>
            <w:tcW w:w="793" w:type="pct"/>
            <w:shd w:val="clear" w:color="000000" w:fill="FFFFFF"/>
            <w:vAlign w:val="center"/>
            <w:hideMark/>
          </w:tcPr>
          <w:p w:rsidR="00940BAD" w:rsidRPr="00A40E7F" w:rsidRDefault="00940BAD" w:rsidP="00940BAD">
            <w:pPr>
              <w:spacing w:after="0"/>
              <w:rPr>
                <w:rFonts w:ascii="Verdana" w:hAnsi="Verdana" w:cstheme="minorHAnsi"/>
                <w:sz w:val="20"/>
                <w:szCs w:val="20"/>
              </w:rPr>
            </w:pPr>
            <w:r w:rsidRPr="00A40E7F">
              <w:rPr>
                <w:rFonts w:ascii="Verdana" w:hAnsi="Verdana" w:cstheme="minorHAnsi"/>
                <w:sz w:val="20"/>
                <w:szCs w:val="20"/>
              </w:rPr>
              <w:t>Planning of resources</w:t>
            </w:r>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Planning van middelen</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Blijk geven van het vermogen om de middelen van de organisatie efficiënt en doeltreffend te beheren, waaronder, maar niet beperkt tot, financiële middelen, voorraad, menselijke vaardigheden, productiemiddelen en informatietechnologie (IT).</w:t>
            </w:r>
          </w:p>
        </w:tc>
      </w:tr>
      <w:tr w:rsidR="00940BAD" w:rsidRPr="00A40E7F" w:rsidTr="00940BAD">
        <w:trPr>
          <w:trHeight w:val="765"/>
        </w:trPr>
        <w:tc>
          <w:tcPr>
            <w:tcW w:w="386" w:type="pct"/>
            <w:shd w:val="clear" w:color="000000" w:fill="FFFFFF"/>
            <w:vAlign w:val="center"/>
          </w:tcPr>
          <w:p w:rsidR="00940BAD" w:rsidRPr="00A40E7F" w:rsidRDefault="00940BAD"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.C12</w:t>
            </w:r>
            <w:proofErr w:type="gramEnd"/>
          </w:p>
        </w:tc>
        <w:tc>
          <w:tcPr>
            <w:tcW w:w="793"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HR Strategy development and implementation</w:t>
            </w:r>
          </w:p>
        </w:tc>
        <w:tc>
          <w:tcPr>
            <w:tcW w:w="1425" w:type="pct"/>
            <w:shd w:val="clear" w:color="000000" w:fill="FFFFFF"/>
            <w:vAlign w:val="center"/>
            <w:hideMark/>
          </w:tcPr>
          <w:p w:rsidR="00940BAD" w:rsidRPr="00F54E8B" w:rsidRDefault="00940BAD" w:rsidP="00940BAD">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Ontwikkeling en uitvoering van HR-strategie</w:t>
            </w:r>
          </w:p>
        </w:tc>
        <w:tc>
          <w:tcPr>
            <w:tcW w:w="1632" w:type="pct"/>
            <w:shd w:val="clear" w:color="000000" w:fill="FFFFFF"/>
            <w:vAlign w:val="center"/>
          </w:tcPr>
          <w:p w:rsidR="00940BAD" w:rsidRPr="00A40E7F" w:rsidRDefault="00940BAD" w:rsidP="00940BAD">
            <w:pPr>
              <w:spacing w:after="0"/>
              <w:rPr>
                <w:rFonts w:ascii="Verdana" w:hAnsi="Verdana" w:cstheme="minorHAnsi"/>
                <w:sz w:val="20"/>
                <w:szCs w:val="20"/>
              </w:rPr>
            </w:pPr>
            <w:r>
              <w:rPr>
                <w:rFonts w:ascii="Verdana" w:hAnsi="Verdana" w:cstheme="minorHAnsi"/>
                <w:sz w:val="20"/>
              </w:rPr>
              <w:t>Blijk geven van het vermogen om beslissingen te nemen en acties te ondernemen die leiden tot de ontwikkeling en uitvoering van HR-strategieën die zijn afgestemd op de strategische koers van de organisatie en de te behalen doelstellingen.</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8972215"/>
      <w:r>
        <w:lastRenderedPageBreak/>
        <w:t>Professionele competenties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F54E8B" w:rsidRPr="00A40E7F" w:rsidTr="00940BAD">
        <w:trPr>
          <w:trHeight w:val="219"/>
          <w:tblHeader/>
        </w:trPr>
        <w:tc>
          <w:tcPr>
            <w:tcW w:w="453" w:type="pct"/>
            <w:shd w:val="clear" w:color="auto" w:fill="EDEDED" w:themeFill="accent3" w:themeFillTint="33"/>
            <w:vAlign w:val="center"/>
          </w:tcPr>
          <w:p w:rsidR="00F54E8B" w:rsidRPr="00A40E7F" w:rsidRDefault="00F54E8B"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Code</w:t>
            </w:r>
          </w:p>
        </w:tc>
        <w:tc>
          <w:tcPr>
            <w:tcW w:w="726" w:type="pct"/>
            <w:shd w:val="clear" w:color="auto" w:fill="EDEDED" w:themeFill="accent3" w:themeFillTint="33"/>
            <w:noWrap/>
            <w:vAlign w:val="center"/>
            <w:hideMark/>
          </w:tcPr>
          <w:p w:rsidR="00F54E8B" w:rsidRPr="00A40E7F" w:rsidRDefault="00F54E8B" w:rsidP="003E49F3">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F54E8B" w:rsidRPr="00A40E7F" w:rsidRDefault="00F54E8B" w:rsidP="003E49F3">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F54E8B" w:rsidRPr="00A40E7F" w:rsidRDefault="00F54E8B" w:rsidP="00940BAD">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Competentie</w:t>
            </w:r>
          </w:p>
        </w:tc>
        <w:tc>
          <w:tcPr>
            <w:tcW w:w="1735" w:type="pct"/>
            <w:shd w:val="clear" w:color="auto" w:fill="EDEDED" w:themeFill="accent3" w:themeFillTint="33"/>
            <w:vAlign w:val="center"/>
          </w:tcPr>
          <w:p w:rsidR="00F54E8B" w:rsidRPr="00A40E7F" w:rsidRDefault="00F54E8B" w:rsidP="00940BAD">
            <w:pPr>
              <w:spacing w:after="0" w:line="240" w:lineRule="auto"/>
              <w:jc w:val="center"/>
              <w:rPr>
                <w:rFonts w:ascii="Verdana" w:eastAsia="Times New Roman" w:hAnsi="Verdana" w:cstheme="minorHAnsi"/>
                <w:b/>
                <w:bCs/>
                <w:sz w:val="20"/>
                <w:szCs w:val="20"/>
              </w:rPr>
            </w:pPr>
            <w:r>
              <w:rPr>
                <w:rFonts w:ascii="Verdana" w:hAnsi="Verdana" w:cstheme="minorHAnsi"/>
                <w:b/>
                <w:sz w:val="20"/>
              </w:rPr>
              <w:t>Omschrijving</w:t>
            </w:r>
          </w:p>
        </w:tc>
      </w:tr>
      <w:tr w:rsidR="00F54E8B" w:rsidRPr="00A40E7F" w:rsidTr="00940BAD">
        <w:trPr>
          <w:trHeight w:val="421"/>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w:t>
            </w:r>
            <w:proofErr w:type="gramEnd"/>
          </w:p>
        </w:tc>
        <w:tc>
          <w:tcPr>
            <w:tcW w:w="726" w:type="pct"/>
            <w:shd w:val="clear" w:color="000000" w:fill="FFFFFF"/>
            <w:vAlign w:val="center"/>
          </w:tcPr>
          <w:p w:rsidR="00F54E8B" w:rsidRPr="00A40E7F" w:rsidRDefault="00F54E8B" w:rsidP="003E49F3">
            <w:pPr>
              <w:spacing w:after="0"/>
              <w:rPr>
                <w:rFonts w:ascii="Verdana" w:hAnsi="Verdana" w:cstheme="minorHAnsi"/>
                <w:sz w:val="20"/>
                <w:szCs w:val="20"/>
              </w:rPr>
            </w:pPr>
            <w:proofErr w:type="spellStart"/>
            <w:r w:rsidRPr="00A40E7F">
              <w:rPr>
                <w:rFonts w:ascii="Verdana" w:hAnsi="Verdana" w:cstheme="minorHAnsi"/>
                <w:sz w:val="20"/>
                <w:szCs w:val="20"/>
              </w:rPr>
              <w:t>Analytical</w:t>
            </w:r>
            <w:proofErr w:type="spellEnd"/>
            <w:r w:rsidRPr="00A40E7F">
              <w:rPr>
                <w:rFonts w:ascii="Verdana" w:hAnsi="Verdana" w:cstheme="minorHAnsi"/>
                <w:sz w:val="20"/>
                <w:szCs w:val="20"/>
              </w:rPr>
              <w:t xml:space="preserve"> skills</w:t>
            </w:r>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F54E8B">
              <w:rPr>
                <w:rFonts w:ascii="Verdana" w:hAnsi="Verdana" w:cstheme="minorHAnsi"/>
                <w:sz w:val="20"/>
                <w:szCs w:val="20"/>
                <w:lang w:val="en-GB"/>
              </w:rPr>
              <w:t>effect</w:t>
            </w:r>
            <w:proofErr w:type="gramEnd"/>
            <w:r w:rsidRPr="00F54E8B">
              <w:rPr>
                <w:rFonts w:ascii="Verdana" w:hAnsi="Verdana" w:cstheme="minorHAnsi"/>
                <w:sz w:val="20"/>
                <w:szCs w:val="20"/>
                <w:lang w:val="en-GB"/>
              </w:rPr>
              <w:t xml:space="preserve"> relationships and arrive at conclusions or decisions.</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Analytische vaardigheden</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Een logische benadering uitwerken om complexe problemen aan te pakken of kansen te grijpen door ze volledig te analyseren om de achterliggende kwesties te identificeren, het causaal verband te bepalen en tot conclusies of beslissingen te komen.</w:t>
            </w:r>
          </w:p>
        </w:tc>
      </w:tr>
      <w:tr w:rsidR="00F54E8B" w:rsidRPr="00A40E7F" w:rsidTr="00940BAD">
        <w:trPr>
          <w:trHeight w:val="659"/>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.C2</w:t>
            </w:r>
            <w:proofErr w:type="gramEnd"/>
          </w:p>
        </w:tc>
        <w:tc>
          <w:tcPr>
            <w:tcW w:w="726" w:type="pct"/>
            <w:shd w:val="clear" w:color="000000" w:fill="FFFFFF"/>
            <w:vAlign w:val="center"/>
          </w:tcPr>
          <w:p w:rsidR="00F54E8B" w:rsidRPr="00A40E7F" w:rsidRDefault="00F54E8B" w:rsidP="003E49F3">
            <w:pPr>
              <w:spacing w:after="0"/>
              <w:rPr>
                <w:rFonts w:ascii="Verdana" w:hAnsi="Verdana" w:cstheme="minorHAnsi"/>
                <w:sz w:val="20"/>
                <w:szCs w:val="20"/>
              </w:rPr>
            </w:pPr>
            <w:proofErr w:type="spellStart"/>
            <w:r w:rsidRPr="00A40E7F">
              <w:rPr>
                <w:rFonts w:ascii="Verdana" w:hAnsi="Verdana" w:cstheme="minorHAnsi"/>
                <w:sz w:val="20"/>
                <w:szCs w:val="20"/>
              </w:rPr>
              <w:t>Communicating</w:t>
            </w:r>
            <w:proofErr w:type="spellEnd"/>
            <w:r w:rsidRPr="00A40E7F">
              <w:rPr>
                <w:rFonts w:ascii="Verdana" w:hAnsi="Verdana" w:cstheme="minorHAnsi"/>
                <w:sz w:val="20"/>
                <w:szCs w:val="20"/>
              </w:rPr>
              <w:t xml:space="preserve"> in </w:t>
            </w:r>
            <w:proofErr w:type="spellStart"/>
            <w:r w:rsidRPr="00A40E7F">
              <w:rPr>
                <w:rFonts w:ascii="Verdana" w:hAnsi="Verdana" w:cstheme="minorHAnsi"/>
                <w:sz w:val="20"/>
                <w:szCs w:val="20"/>
              </w:rPr>
              <w:t>writing</w:t>
            </w:r>
            <w:proofErr w:type="spellEnd"/>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Schriftelijke communicatie</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Blijk geven van het vermogen om informatie en ideeën duidelijk en overtuigend schriftelijk te presenteren; het geschikte schriftelijke communicatiemiddel en de geschikte schrijfstijl kiezen om de doelgroep te bereiken; de juiste spelling, grammatica en interpunctie gebruiken; en eveneens blijk geven van het vermogen om over de culturen heen te communiceren.</w:t>
            </w:r>
          </w:p>
        </w:tc>
      </w:tr>
      <w:tr w:rsidR="00F54E8B" w:rsidRPr="00A40E7F" w:rsidTr="00940BAD">
        <w:trPr>
          <w:trHeight w:val="878"/>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.C3</w:t>
            </w:r>
            <w:proofErr w:type="gramEnd"/>
          </w:p>
        </w:tc>
        <w:tc>
          <w:tcPr>
            <w:tcW w:w="726" w:type="pct"/>
            <w:shd w:val="clear" w:color="000000" w:fill="FFFFFF"/>
            <w:vAlign w:val="center"/>
          </w:tcPr>
          <w:p w:rsidR="00F54E8B" w:rsidRPr="00A40E7F" w:rsidRDefault="00F54E8B" w:rsidP="003E49F3">
            <w:pPr>
              <w:spacing w:after="0"/>
              <w:rPr>
                <w:rFonts w:ascii="Verdana" w:hAnsi="Verdana" w:cstheme="minorHAnsi"/>
                <w:sz w:val="20"/>
                <w:szCs w:val="20"/>
              </w:rPr>
            </w:pPr>
            <w:proofErr w:type="spellStart"/>
            <w:r w:rsidRPr="00A40E7F">
              <w:rPr>
                <w:rFonts w:ascii="Verdana" w:hAnsi="Verdana" w:cstheme="minorHAnsi"/>
                <w:sz w:val="20"/>
                <w:szCs w:val="20"/>
              </w:rPr>
              <w:t>Communicating</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verbally</w:t>
            </w:r>
            <w:proofErr w:type="spellEnd"/>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F54E8B">
              <w:rPr>
                <w:rFonts w:ascii="Verdana" w:hAnsi="Verdana" w:cstheme="minorHAnsi"/>
                <w:sz w:val="20"/>
                <w:szCs w:val="20"/>
                <w:lang w:val="en-GB"/>
              </w:rPr>
              <w:t>audience,</w:t>
            </w:r>
            <w:proofErr w:type="gramEnd"/>
            <w:r w:rsidRPr="00F54E8B">
              <w:rPr>
                <w:rFonts w:ascii="Verdana" w:hAnsi="Verdana" w:cstheme="minorHAnsi"/>
                <w:sz w:val="20"/>
                <w:szCs w:val="20"/>
                <w:lang w:val="en-GB"/>
              </w:rPr>
              <w:t xml:space="preserve"> encourages two-way communication and helps them understand and retain the message, as well as demonstrating ability to </w:t>
            </w:r>
            <w:r w:rsidRPr="00F54E8B">
              <w:rPr>
                <w:rFonts w:ascii="Verdana" w:hAnsi="Verdana" w:cstheme="minorHAnsi"/>
                <w:sz w:val="20"/>
                <w:szCs w:val="20"/>
                <w:lang w:val="en-GB"/>
              </w:rPr>
              <w:lastRenderedPageBreak/>
              <w:t>communicate across cultures.</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lastRenderedPageBreak/>
              <w:t>Verbale communicatie</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Blijk geven van het vermogen om gedachten en ideeën duidelijk te uiten zodat de doelgroep zich aangesproken voelt, wederzijdse communicatie op gang wordt gebracht en de doelgroep de boodschap beter kan begrijpen en onthouden; en eveneens blijk geven van het vermogen om over de culturen heen te communiceren.</w:t>
            </w:r>
          </w:p>
        </w:tc>
      </w:tr>
      <w:tr w:rsidR="00F54E8B" w:rsidRPr="00A40E7F" w:rsidTr="00940BAD">
        <w:trPr>
          <w:trHeight w:val="659"/>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.C4</w:t>
            </w:r>
            <w:proofErr w:type="gramEnd"/>
          </w:p>
        </w:tc>
        <w:tc>
          <w:tcPr>
            <w:tcW w:w="726" w:type="pct"/>
            <w:shd w:val="clear" w:color="000000" w:fill="FFFFFF"/>
            <w:vAlign w:val="center"/>
          </w:tcPr>
          <w:p w:rsidR="00F54E8B" w:rsidRPr="00A40E7F" w:rsidRDefault="00F54E8B" w:rsidP="003E49F3">
            <w:pPr>
              <w:spacing w:after="0"/>
              <w:rPr>
                <w:rFonts w:ascii="Verdana" w:hAnsi="Verdana" w:cstheme="minorHAnsi"/>
                <w:sz w:val="20"/>
                <w:szCs w:val="20"/>
              </w:rPr>
            </w:pPr>
            <w:r w:rsidRPr="00A40E7F">
              <w:rPr>
                <w:rFonts w:ascii="Verdana" w:hAnsi="Verdana" w:cstheme="minorHAnsi"/>
                <w:sz w:val="20"/>
                <w:szCs w:val="20"/>
              </w:rPr>
              <w:t>Conflict handling</w:t>
            </w:r>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Conflictoplossing</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Blijk geven van het vermogen om op een doeltreffende manier om te gaan met anderen in een vijandige situatie door oog te hebben voor verschillende meningen, ze openlijk te bespreken en een gepaste interpersoonlijke stijl en techniek aan te wenden om een win-winsituatie te creëren bij een conflict tussen twee of meer personen.</w:t>
            </w:r>
          </w:p>
        </w:tc>
      </w:tr>
      <w:tr w:rsidR="00F54E8B" w:rsidRPr="00A40E7F" w:rsidTr="00940BAD">
        <w:trPr>
          <w:trHeight w:val="659"/>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.C5</w:t>
            </w:r>
            <w:proofErr w:type="gramEnd"/>
          </w:p>
        </w:tc>
        <w:tc>
          <w:tcPr>
            <w:tcW w:w="726"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Flexibility and adaptability to change </w:t>
            </w:r>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Flexibiliteit en aanpassingsvermogen </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 xml:space="preserve">Blijk geven van het vermogen om zich aan te passen en doeltreffend te blijven werken wanneer werktaken, de werkomgeving, organisatiestructuur en -cultuur, processen, vereisten en andere </w:t>
            </w:r>
            <w:proofErr w:type="spellStart"/>
            <w:r>
              <w:rPr>
                <w:rFonts w:ascii="Verdana" w:hAnsi="Verdana" w:cstheme="minorHAnsi"/>
                <w:sz w:val="20"/>
              </w:rPr>
              <w:t>werkgerelateerde</w:t>
            </w:r>
            <w:proofErr w:type="spellEnd"/>
            <w:r>
              <w:rPr>
                <w:rFonts w:ascii="Verdana" w:hAnsi="Verdana" w:cstheme="minorHAnsi"/>
                <w:sz w:val="20"/>
              </w:rPr>
              <w:t xml:space="preserve"> aspecten aanzienlijk veranderen. </w:t>
            </w:r>
          </w:p>
        </w:tc>
      </w:tr>
      <w:tr w:rsidR="00F54E8B" w:rsidRPr="00A40E7F" w:rsidTr="00940BAD">
        <w:trPr>
          <w:trHeight w:val="659"/>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.C6</w:t>
            </w:r>
            <w:proofErr w:type="gramEnd"/>
          </w:p>
        </w:tc>
        <w:tc>
          <w:tcPr>
            <w:tcW w:w="726" w:type="pct"/>
            <w:shd w:val="clear" w:color="000000" w:fill="FFFFFF"/>
            <w:vAlign w:val="center"/>
          </w:tcPr>
          <w:p w:rsidR="00F54E8B" w:rsidRPr="00A40E7F" w:rsidRDefault="00F54E8B" w:rsidP="003E49F3">
            <w:pPr>
              <w:spacing w:after="0"/>
              <w:rPr>
                <w:rFonts w:ascii="Verdana" w:hAnsi="Verdana" w:cstheme="minorHAnsi"/>
                <w:sz w:val="20"/>
                <w:szCs w:val="20"/>
              </w:rPr>
            </w:pPr>
            <w:proofErr w:type="spellStart"/>
            <w:r w:rsidRPr="00A40E7F">
              <w:rPr>
                <w:rFonts w:ascii="Verdana" w:hAnsi="Verdana" w:cstheme="minorHAnsi"/>
                <w:sz w:val="20"/>
                <w:szCs w:val="20"/>
              </w:rPr>
              <w:t>Problem</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solving</w:t>
            </w:r>
            <w:proofErr w:type="spellEnd"/>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proofErr w:type="gramStart"/>
            <w:r>
              <w:rPr>
                <w:rFonts w:ascii="Verdana" w:hAnsi="Verdana" w:cstheme="minorHAnsi"/>
                <w:sz w:val="20"/>
              </w:rPr>
              <w:t>Probleemoplossing</w:t>
            </w:r>
            <w:proofErr w:type="gramEnd"/>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 xml:space="preserve">Blijk geven van het vermogen om problemen in kaart te brengen door gebruik te maken van logica, </w:t>
            </w:r>
            <w:proofErr w:type="spellStart"/>
            <w:r>
              <w:rPr>
                <w:rFonts w:ascii="Verdana" w:hAnsi="Verdana" w:cstheme="minorHAnsi"/>
                <w:sz w:val="20"/>
              </w:rPr>
              <w:t>intuïtie</w:t>
            </w:r>
            <w:proofErr w:type="spellEnd"/>
            <w:r>
              <w:rPr>
                <w:rFonts w:ascii="Verdana" w:hAnsi="Verdana" w:cstheme="minorHAnsi"/>
                <w:sz w:val="20"/>
              </w:rPr>
              <w:t xml:space="preserve"> en gegevens, door de geschikte analysen en zoekopdrachten uit te voeren en door anderen (indien nodig) te betrekken om tot oplossingen of beslissingen te komen.</w:t>
            </w:r>
          </w:p>
        </w:tc>
      </w:tr>
      <w:tr w:rsidR="00F54E8B" w:rsidRPr="00A40E7F" w:rsidTr="00940BAD">
        <w:trPr>
          <w:trHeight w:val="659"/>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.C7</w:t>
            </w:r>
            <w:proofErr w:type="gramEnd"/>
          </w:p>
        </w:tc>
        <w:tc>
          <w:tcPr>
            <w:tcW w:w="726" w:type="pct"/>
            <w:shd w:val="clear" w:color="000000" w:fill="FFFFFF"/>
            <w:vAlign w:val="center"/>
          </w:tcPr>
          <w:p w:rsidR="00F54E8B" w:rsidRPr="00A40E7F" w:rsidRDefault="00F54E8B" w:rsidP="003E49F3">
            <w:pPr>
              <w:spacing w:after="0"/>
              <w:rPr>
                <w:rFonts w:ascii="Verdana" w:hAnsi="Verdana" w:cstheme="minorHAnsi"/>
                <w:sz w:val="20"/>
                <w:szCs w:val="20"/>
              </w:rPr>
            </w:pPr>
            <w:r w:rsidRPr="00A40E7F">
              <w:rPr>
                <w:rFonts w:ascii="Verdana" w:hAnsi="Verdana" w:cstheme="minorHAnsi"/>
                <w:sz w:val="20"/>
                <w:szCs w:val="20"/>
              </w:rPr>
              <w:t xml:space="preserve">Team </w:t>
            </w:r>
            <w:proofErr w:type="spellStart"/>
            <w:r w:rsidRPr="00A40E7F">
              <w:rPr>
                <w:rFonts w:ascii="Verdana" w:hAnsi="Verdana" w:cstheme="minorHAnsi"/>
                <w:sz w:val="20"/>
                <w:szCs w:val="20"/>
              </w:rPr>
              <w:t>work</w:t>
            </w:r>
            <w:proofErr w:type="spellEnd"/>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Teamwork</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Blijk geven van het vermogen om samen te werken met andere collega’s van verschillende structurele eenheden en rangen om de gemeenschappelijke doelstellingen te behalen.</w:t>
            </w:r>
          </w:p>
        </w:tc>
      </w:tr>
      <w:tr w:rsidR="00F54E8B" w:rsidRPr="00A40E7F" w:rsidTr="00940BAD">
        <w:trPr>
          <w:trHeight w:val="439"/>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.C8</w:t>
            </w:r>
            <w:proofErr w:type="gramEnd"/>
          </w:p>
        </w:tc>
        <w:tc>
          <w:tcPr>
            <w:tcW w:w="726" w:type="pct"/>
            <w:shd w:val="clear" w:color="000000" w:fill="FFFFFF"/>
            <w:vAlign w:val="center"/>
          </w:tcPr>
          <w:p w:rsidR="00F54E8B" w:rsidRPr="00A40E7F" w:rsidRDefault="00F54E8B" w:rsidP="003E49F3">
            <w:pPr>
              <w:spacing w:after="0"/>
              <w:rPr>
                <w:rFonts w:ascii="Verdana" w:hAnsi="Verdana" w:cstheme="minorHAnsi"/>
                <w:sz w:val="20"/>
                <w:szCs w:val="20"/>
              </w:rPr>
            </w:pPr>
            <w:proofErr w:type="spellStart"/>
            <w:r w:rsidRPr="00A40E7F">
              <w:rPr>
                <w:rFonts w:ascii="Verdana" w:hAnsi="Verdana" w:cstheme="minorHAnsi"/>
                <w:sz w:val="20"/>
                <w:szCs w:val="20"/>
              </w:rPr>
              <w:t>Technological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ability</w:t>
            </w:r>
            <w:proofErr w:type="spellEnd"/>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 xml:space="preserve">Demonstrating ability to use appropriate personal computer software, information systems and other IT tools (e.g. Microsoft Office </w:t>
            </w:r>
            <w:proofErr w:type="spellStart"/>
            <w:r w:rsidRPr="00F54E8B">
              <w:rPr>
                <w:rFonts w:ascii="Verdana" w:hAnsi="Verdana" w:cstheme="minorHAnsi"/>
                <w:sz w:val="20"/>
                <w:szCs w:val="20"/>
                <w:lang w:val="en-GB"/>
              </w:rPr>
              <w:t>programms</w:t>
            </w:r>
            <w:proofErr w:type="spellEnd"/>
            <w:r w:rsidRPr="00F54E8B">
              <w:rPr>
                <w:rFonts w:ascii="Verdana" w:hAnsi="Verdana" w:cstheme="minorHAnsi"/>
                <w:sz w:val="20"/>
                <w:szCs w:val="20"/>
                <w:lang w:val="en-GB"/>
              </w:rPr>
              <w:t>) that are required to accomplish work goals.</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Technologische vaardigheden</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Blijk geven van het vermogen om de geschikte computersoftware, informatiesystemen en andere IT-tools (bv. programma’s van Microsoft Office) te gebruiken die nodig zijn om werkdoelstellingen te behalen.</w:t>
            </w:r>
          </w:p>
        </w:tc>
      </w:tr>
      <w:tr w:rsidR="00F54E8B" w:rsidRPr="00A40E7F" w:rsidTr="00940BAD">
        <w:trPr>
          <w:trHeight w:val="659"/>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.C9</w:t>
            </w:r>
            <w:proofErr w:type="gramEnd"/>
          </w:p>
        </w:tc>
        <w:tc>
          <w:tcPr>
            <w:tcW w:w="726"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Usage of monitoring and information system</w:t>
            </w:r>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Gebruik van het monitoring- en informatiesysteem</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Blijk geven van het vermogen om de monitoring- en informatiesystemen van EU-fondsen te gebruiken (zowel extern als intern, indien beschikbaar) om de werkdoelstellingen te behalen.</w:t>
            </w:r>
          </w:p>
        </w:tc>
      </w:tr>
      <w:tr w:rsidR="00F54E8B" w:rsidRPr="00A40E7F" w:rsidTr="00940BAD">
        <w:trPr>
          <w:trHeight w:val="398"/>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.C10</w:t>
            </w:r>
            <w:proofErr w:type="gramEnd"/>
          </w:p>
        </w:tc>
        <w:tc>
          <w:tcPr>
            <w:tcW w:w="726"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Representation to the outside world</w:t>
            </w:r>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Vertegenwoordiging naar de buitenwereld toe</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Blijk geven van het vermogen om doeltreffend en gepast te handelen en te spreken uit naam van een instelling.</w:t>
            </w:r>
          </w:p>
        </w:tc>
      </w:tr>
      <w:tr w:rsidR="00F54E8B" w:rsidRPr="00A40E7F" w:rsidTr="00940BAD">
        <w:trPr>
          <w:trHeight w:val="659"/>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.C11</w:t>
            </w:r>
            <w:proofErr w:type="gramEnd"/>
          </w:p>
        </w:tc>
        <w:tc>
          <w:tcPr>
            <w:tcW w:w="726" w:type="pct"/>
            <w:shd w:val="clear" w:color="000000" w:fill="FFFFFF"/>
            <w:vAlign w:val="center"/>
          </w:tcPr>
          <w:p w:rsidR="00F54E8B" w:rsidRPr="00A40E7F" w:rsidRDefault="00F54E8B" w:rsidP="003E49F3">
            <w:pPr>
              <w:spacing w:after="0"/>
              <w:rPr>
                <w:rFonts w:ascii="Verdana" w:hAnsi="Verdana" w:cstheme="minorHAnsi"/>
                <w:sz w:val="20"/>
                <w:szCs w:val="20"/>
              </w:rPr>
            </w:pPr>
            <w:r w:rsidRPr="00A40E7F">
              <w:rPr>
                <w:rFonts w:ascii="Verdana" w:hAnsi="Verdana" w:cstheme="minorHAnsi"/>
                <w:sz w:val="20"/>
                <w:szCs w:val="20"/>
              </w:rPr>
              <w:t xml:space="preserve">Relevant </w:t>
            </w:r>
            <w:proofErr w:type="spellStart"/>
            <w:r w:rsidRPr="00A40E7F">
              <w:rPr>
                <w:rFonts w:ascii="Verdana" w:hAnsi="Verdana" w:cstheme="minorHAnsi"/>
                <w:sz w:val="20"/>
                <w:szCs w:val="20"/>
              </w:rPr>
              <w:t>language</w:t>
            </w:r>
            <w:proofErr w:type="spellEnd"/>
            <w:r w:rsidRPr="00A40E7F">
              <w:rPr>
                <w:rFonts w:ascii="Verdana" w:hAnsi="Verdana" w:cstheme="minorHAnsi"/>
                <w:sz w:val="20"/>
                <w:szCs w:val="20"/>
              </w:rPr>
              <w:t xml:space="preserve"> skills</w:t>
            </w:r>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Demonstrating ability to apply relevant foreign language skills in order to carry out the assigned functions and accomplish work goals.</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Relevante taalvaardigheden</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Blijk geven van het vermogen om de relevante vreemde talen te spreken voor het uitvoeren van de toegewezen taken en het behalen van de werkdoelstellingen.</w:t>
            </w:r>
          </w:p>
        </w:tc>
      </w:tr>
      <w:tr w:rsidR="00F54E8B" w:rsidRPr="00A40E7F" w:rsidTr="00940BAD">
        <w:trPr>
          <w:trHeight w:val="659"/>
        </w:trPr>
        <w:tc>
          <w:tcPr>
            <w:tcW w:w="453" w:type="pct"/>
            <w:shd w:val="clear" w:color="000000" w:fill="FFFFFF"/>
            <w:vAlign w:val="center"/>
          </w:tcPr>
          <w:p w:rsidR="00F54E8B" w:rsidRPr="00A40E7F" w:rsidRDefault="00F54E8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.C12</w:t>
            </w:r>
            <w:proofErr w:type="gramEnd"/>
          </w:p>
        </w:tc>
        <w:tc>
          <w:tcPr>
            <w:tcW w:w="726" w:type="pct"/>
            <w:shd w:val="clear" w:color="000000" w:fill="FFFFFF"/>
            <w:vAlign w:val="center"/>
          </w:tcPr>
          <w:p w:rsidR="00F54E8B" w:rsidRPr="00A40E7F" w:rsidRDefault="00F54E8B" w:rsidP="003E49F3">
            <w:pPr>
              <w:spacing w:after="0"/>
              <w:rPr>
                <w:rFonts w:ascii="Verdana" w:hAnsi="Verdana" w:cstheme="minorHAnsi"/>
                <w:sz w:val="20"/>
                <w:szCs w:val="20"/>
              </w:rPr>
            </w:pPr>
            <w:proofErr w:type="spellStart"/>
            <w:r w:rsidRPr="00A40E7F">
              <w:rPr>
                <w:rFonts w:ascii="Verdana" w:hAnsi="Verdana" w:cstheme="minorHAnsi"/>
                <w:sz w:val="20"/>
                <w:szCs w:val="20"/>
              </w:rPr>
              <w:t>Intercultural</w:t>
            </w:r>
            <w:proofErr w:type="spellEnd"/>
            <w:r w:rsidRPr="00A40E7F">
              <w:rPr>
                <w:rFonts w:ascii="Verdana" w:hAnsi="Verdana" w:cstheme="minorHAnsi"/>
                <w:sz w:val="20"/>
                <w:szCs w:val="20"/>
              </w:rPr>
              <w:t xml:space="preserve"> skills</w:t>
            </w:r>
          </w:p>
        </w:tc>
        <w:tc>
          <w:tcPr>
            <w:tcW w:w="1252" w:type="pct"/>
            <w:shd w:val="clear" w:color="000000" w:fill="FFFFFF"/>
            <w:vAlign w:val="center"/>
          </w:tcPr>
          <w:p w:rsidR="00F54E8B" w:rsidRPr="00F54E8B" w:rsidRDefault="00F54E8B" w:rsidP="003E49F3">
            <w:pPr>
              <w:spacing w:after="0"/>
              <w:rPr>
                <w:rFonts w:ascii="Verdana" w:hAnsi="Verdana" w:cstheme="minorHAnsi"/>
                <w:sz w:val="20"/>
                <w:szCs w:val="20"/>
                <w:lang w:val="en-GB"/>
              </w:rPr>
            </w:pPr>
            <w:r w:rsidRPr="00F54E8B">
              <w:rPr>
                <w:rFonts w:ascii="Verdana" w:hAnsi="Verdana" w:cstheme="minorHAnsi"/>
                <w:sz w:val="20"/>
                <w:szCs w:val="20"/>
                <w:lang w:val="en-GB"/>
              </w:rPr>
              <w:t xml:space="preserve">Demonstrating ability to work in multi-cultural environment, </w:t>
            </w:r>
            <w:r w:rsidRPr="00F54E8B">
              <w:rPr>
                <w:rFonts w:ascii="Verdana" w:hAnsi="Verdana" w:cstheme="minorHAnsi"/>
                <w:sz w:val="20"/>
                <w:szCs w:val="20"/>
                <w:lang w:val="en-GB"/>
              </w:rPr>
              <w:lastRenderedPageBreak/>
              <w:t>efficiently dealing with stakeholders in EU institutions and other member states.</w:t>
            </w:r>
          </w:p>
        </w:tc>
        <w:tc>
          <w:tcPr>
            <w:tcW w:w="834"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lastRenderedPageBreak/>
              <w:t>Interculturele vaardigheden</w:t>
            </w:r>
          </w:p>
        </w:tc>
        <w:tc>
          <w:tcPr>
            <w:tcW w:w="1735" w:type="pct"/>
            <w:shd w:val="clear" w:color="000000" w:fill="FFFFFF"/>
            <w:vAlign w:val="center"/>
          </w:tcPr>
          <w:p w:rsidR="00F54E8B" w:rsidRPr="00A40E7F" w:rsidRDefault="00F54E8B" w:rsidP="00940BAD">
            <w:pPr>
              <w:spacing w:after="0"/>
              <w:rPr>
                <w:rFonts w:ascii="Verdana" w:hAnsi="Verdana" w:cstheme="minorHAnsi"/>
                <w:sz w:val="20"/>
                <w:szCs w:val="20"/>
              </w:rPr>
            </w:pPr>
            <w:r>
              <w:rPr>
                <w:rFonts w:ascii="Verdana" w:hAnsi="Verdana" w:cstheme="minorHAnsi"/>
                <w:sz w:val="20"/>
              </w:rPr>
              <w:t xml:space="preserve">Blijk geven van het vermogen om te werken in een multiculturele omgeving en </w:t>
            </w:r>
            <w:r>
              <w:rPr>
                <w:rFonts w:ascii="Verdana" w:hAnsi="Verdana" w:cstheme="minorHAnsi"/>
                <w:sz w:val="20"/>
              </w:rPr>
              <w:lastRenderedPageBreak/>
              <w:t>om efficiënt om te gaan met belanghebbenden in EU-instellingen en andere lidstaten.</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AD" w:rsidRDefault="00940BAD" w:rsidP="0008776A">
      <w:pPr>
        <w:spacing w:after="0" w:line="240" w:lineRule="auto"/>
      </w:pPr>
      <w:r>
        <w:separator/>
      </w:r>
    </w:p>
  </w:endnote>
  <w:endnote w:type="continuationSeparator" w:id="0">
    <w:p w:rsidR="00940BAD" w:rsidRDefault="00940BAD"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940BAD" w:rsidRPr="0008776A" w:rsidRDefault="00940BAD"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FF0130">
          <w:rPr>
            <w:rFonts w:asciiTheme="minorHAnsi" w:hAnsiTheme="minorHAnsi" w:cstheme="minorHAnsi"/>
            <w:noProof/>
          </w:rPr>
          <w:t>8</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AD" w:rsidRDefault="00940BAD" w:rsidP="0008776A">
      <w:pPr>
        <w:spacing w:after="0" w:line="240" w:lineRule="auto"/>
      </w:pPr>
      <w:r>
        <w:separator/>
      </w:r>
    </w:p>
  </w:footnote>
  <w:footnote w:type="continuationSeparator" w:id="0">
    <w:p w:rsidR="00940BAD" w:rsidRDefault="00940BAD"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AD" w:rsidRPr="00BF0B4F" w:rsidRDefault="00940BAD"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EU-competentiekader - Verklarende woordenlijst van de termen die worden gebruikt in de zelfbeoordelingstool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C2289"/>
    <w:rsid w:val="000C44D2"/>
    <w:rsid w:val="000E47BD"/>
    <w:rsid w:val="00123EE5"/>
    <w:rsid w:val="001319E4"/>
    <w:rsid w:val="001B2537"/>
    <w:rsid w:val="001B5122"/>
    <w:rsid w:val="001B5ADB"/>
    <w:rsid w:val="001C3AC2"/>
    <w:rsid w:val="001C491D"/>
    <w:rsid w:val="001D4E04"/>
    <w:rsid w:val="001D7CC2"/>
    <w:rsid w:val="001F0D1D"/>
    <w:rsid w:val="00206F86"/>
    <w:rsid w:val="00231B6E"/>
    <w:rsid w:val="00245DED"/>
    <w:rsid w:val="0024769A"/>
    <w:rsid w:val="00251707"/>
    <w:rsid w:val="0025756E"/>
    <w:rsid w:val="002717F0"/>
    <w:rsid w:val="00272779"/>
    <w:rsid w:val="002A4AB7"/>
    <w:rsid w:val="002E01B9"/>
    <w:rsid w:val="00306B4F"/>
    <w:rsid w:val="003447FA"/>
    <w:rsid w:val="00345877"/>
    <w:rsid w:val="00366D75"/>
    <w:rsid w:val="003839D5"/>
    <w:rsid w:val="003870A6"/>
    <w:rsid w:val="00390240"/>
    <w:rsid w:val="003928BC"/>
    <w:rsid w:val="003966E7"/>
    <w:rsid w:val="003C076F"/>
    <w:rsid w:val="003F0065"/>
    <w:rsid w:val="00416AA7"/>
    <w:rsid w:val="0044373B"/>
    <w:rsid w:val="00476CF8"/>
    <w:rsid w:val="004B0758"/>
    <w:rsid w:val="004F71B4"/>
    <w:rsid w:val="00536145"/>
    <w:rsid w:val="00554E39"/>
    <w:rsid w:val="00584C64"/>
    <w:rsid w:val="005C3880"/>
    <w:rsid w:val="005D6AFD"/>
    <w:rsid w:val="005D72B2"/>
    <w:rsid w:val="005F04A1"/>
    <w:rsid w:val="005F5DB2"/>
    <w:rsid w:val="006029E1"/>
    <w:rsid w:val="00614B9B"/>
    <w:rsid w:val="0062042A"/>
    <w:rsid w:val="006645FC"/>
    <w:rsid w:val="006744F9"/>
    <w:rsid w:val="006931AA"/>
    <w:rsid w:val="006C2D1C"/>
    <w:rsid w:val="006E738D"/>
    <w:rsid w:val="00716D09"/>
    <w:rsid w:val="007320E2"/>
    <w:rsid w:val="00757D2E"/>
    <w:rsid w:val="00787821"/>
    <w:rsid w:val="007D60DC"/>
    <w:rsid w:val="00822B80"/>
    <w:rsid w:val="008339CD"/>
    <w:rsid w:val="00834E93"/>
    <w:rsid w:val="0084461D"/>
    <w:rsid w:val="008806DD"/>
    <w:rsid w:val="008A7E17"/>
    <w:rsid w:val="008C4517"/>
    <w:rsid w:val="008E21AD"/>
    <w:rsid w:val="008F4A1B"/>
    <w:rsid w:val="00910BED"/>
    <w:rsid w:val="009248AB"/>
    <w:rsid w:val="009259B3"/>
    <w:rsid w:val="00927761"/>
    <w:rsid w:val="00940BAD"/>
    <w:rsid w:val="009A279A"/>
    <w:rsid w:val="009B412F"/>
    <w:rsid w:val="009E2CA5"/>
    <w:rsid w:val="00A30ABC"/>
    <w:rsid w:val="00A40E7F"/>
    <w:rsid w:val="00A564CD"/>
    <w:rsid w:val="00AB57C3"/>
    <w:rsid w:val="00AB64E3"/>
    <w:rsid w:val="00AD2B31"/>
    <w:rsid w:val="00AD341D"/>
    <w:rsid w:val="00B579F3"/>
    <w:rsid w:val="00B81E04"/>
    <w:rsid w:val="00B967FA"/>
    <w:rsid w:val="00BC078C"/>
    <w:rsid w:val="00BF0B4F"/>
    <w:rsid w:val="00BF759B"/>
    <w:rsid w:val="00C1011B"/>
    <w:rsid w:val="00C971E1"/>
    <w:rsid w:val="00CC3497"/>
    <w:rsid w:val="00CD1306"/>
    <w:rsid w:val="00CE608F"/>
    <w:rsid w:val="00CF51E8"/>
    <w:rsid w:val="00CF661F"/>
    <w:rsid w:val="00CF6967"/>
    <w:rsid w:val="00D02119"/>
    <w:rsid w:val="00D27017"/>
    <w:rsid w:val="00D42D77"/>
    <w:rsid w:val="00D92F59"/>
    <w:rsid w:val="00DB27D2"/>
    <w:rsid w:val="00DE6C01"/>
    <w:rsid w:val="00E44B41"/>
    <w:rsid w:val="00E87A35"/>
    <w:rsid w:val="00EB6450"/>
    <w:rsid w:val="00F15E49"/>
    <w:rsid w:val="00F40B43"/>
    <w:rsid w:val="00F451DA"/>
    <w:rsid w:val="00F50847"/>
    <w:rsid w:val="00F54E8B"/>
    <w:rsid w:val="00F74AE6"/>
    <w:rsid w:val="00F863CF"/>
    <w:rsid w:val="00F93A46"/>
    <w:rsid w:val="00FC0AA0"/>
    <w:rsid w:val="00FD6840"/>
    <w:rsid w:val="00FF01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nl-N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nl-N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nl-N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nl-N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nl-N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nl-N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nl-N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nl-N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3E0E-A759-40D1-93BA-DE7D5589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22</Pages>
  <Words>4851</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26</cp:revision>
  <cp:lastPrinted>2017-03-22T18:35:00Z</cp:lastPrinted>
  <dcterms:created xsi:type="dcterms:W3CDTF">2017-10-04T14:59:00Z</dcterms:created>
  <dcterms:modified xsi:type="dcterms:W3CDTF">2018-04-13T07:47:00Z</dcterms:modified>
</cp:coreProperties>
</file>