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07" w:rsidRPr="00251707" w:rsidRDefault="007C2348" w:rsidP="000A1ECD">
      <w:pPr>
        <w:jc w:val="center"/>
        <w:rPr>
          <w:rFonts w:ascii="Verdana" w:hAnsi="Verdana" w:cstheme="minorHAnsi"/>
          <w:b/>
          <w:color w:val="003399"/>
          <w:kern w:val="12"/>
          <w:sz w:val="40"/>
          <w:szCs w:val="40"/>
        </w:rPr>
        <w:sectPr w:rsidR="00251707" w:rsidRPr="00251707" w:rsidSect="0008776A">
          <w:headerReference w:type="default" r:id="rId8"/>
          <w:footerReference w:type="default" r:id="rId9"/>
          <w:pgSz w:w="15840" w:h="12240" w:orient="landscape"/>
          <w:pgMar w:top="1440" w:right="1440" w:bottom="1440" w:left="1440" w:header="720" w:footer="720" w:gutter="0"/>
          <w:cols w:space="720"/>
          <w:titlePg/>
          <w:docGrid w:linePitch="360"/>
        </w:sectPr>
      </w:pPr>
      <w:r w:rsidRPr="007C2348">
        <w:rPr>
          <w:rFonts w:ascii="Verdana" w:hAnsi="Verdana" w:cstheme="minorHAnsi"/>
          <w:b/>
          <w:noProof/>
          <w:color w:val="003399"/>
          <w:kern w:val="12"/>
          <w:sz w:val="40"/>
          <w:szCs w:val="40"/>
          <w:lang w:val="en-GB" w:eastAsia="en-GB" w:bidi="ar-SA"/>
        </w:rPr>
        <w:drawing>
          <wp:inline distT="0" distB="0" distL="0" distR="0" wp14:anchorId="7ECC9894" wp14:editId="3015C8C7">
            <wp:extent cx="8172450" cy="6810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173592" cy="6811327"/>
                    </a:xfrm>
                    <a:prstGeom prst="rect">
                      <a:avLst/>
                    </a:prstGeom>
                  </pic:spPr>
                </pic:pic>
              </a:graphicData>
            </a:graphic>
          </wp:inline>
        </w:drawing>
      </w:r>
    </w:p>
    <w:p w:rsidR="00B81E04" w:rsidRPr="00385389" w:rsidRDefault="00B81E04" w:rsidP="00B81E04">
      <w:pPr>
        <w:rPr>
          <w:rFonts w:ascii="Verdana" w:hAnsi="Verdana" w:cstheme="minorHAnsi"/>
          <w:b/>
          <w:color w:val="003399"/>
          <w:kern w:val="12"/>
          <w:sz w:val="32"/>
          <w:szCs w:val="40"/>
        </w:rPr>
      </w:pPr>
      <w:r>
        <w:rPr>
          <w:rFonts w:ascii="Verdana" w:hAnsi="Verdana" w:cstheme="minorHAnsi"/>
          <w:b/>
          <w:color w:val="003399"/>
          <w:kern w:val="12"/>
          <w:sz w:val="32"/>
        </w:rPr>
        <w:lastRenderedPageBreak/>
        <w:t>Verzije dokumenta</w:t>
      </w:r>
    </w:p>
    <w:tbl>
      <w:tblPr>
        <w:tblStyle w:val="TableGrid"/>
        <w:tblW w:w="5000" w:type="pct"/>
        <w:tblInd w:w="0" w:type="dxa"/>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Verzija</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Datum</w:t>
            </w: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Pr>
                <w:rFonts w:cstheme="minorHAnsi"/>
                <w:sz w:val="20"/>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1B2537">
            <w:pPr>
              <w:rPr>
                <w:rFonts w:cstheme="minorHAnsi"/>
                <w:sz w:val="20"/>
                <w:szCs w:val="32"/>
              </w:rPr>
            </w:pPr>
            <w:r>
              <w:rPr>
                <w:rFonts w:cstheme="minorHAnsi"/>
                <w:sz w:val="20"/>
              </w:rPr>
              <w:t>3. studenoga 2017.</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rFonts w:ascii="Verdana" w:hAnsi="Verdana"/>
          <w:b/>
          <w:bCs/>
          <w:noProof/>
        </w:rPr>
      </w:sdtEndPr>
      <w:sdtContent>
        <w:p w:rsidR="00251707" w:rsidRPr="00B81E04" w:rsidRDefault="00251707" w:rsidP="00251707">
          <w:pPr>
            <w:rPr>
              <w:rFonts w:ascii="Verdana" w:hAnsi="Verdana" w:cstheme="minorHAnsi"/>
              <w:b/>
              <w:color w:val="003399"/>
              <w:kern w:val="12"/>
              <w:sz w:val="32"/>
              <w:szCs w:val="40"/>
            </w:rPr>
          </w:pPr>
          <w:r>
            <w:rPr>
              <w:rFonts w:ascii="Verdana" w:hAnsi="Verdana" w:cstheme="minorHAnsi"/>
              <w:b/>
              <w:color w:val="003399"/>
              <w:kern w:val="12"/>
              <w:sz w:val="32"/>
            </w:rPr>
            <w:t>Sadržaj</w:t>
          </w:r>
        </w:p>
        <w:p w:rsidR="00251707" w:rsidRPr="0025756E" w:rsidRDefault="00251707" w:rsidP="00251707">
          <w:pPr>
            <w:rPr>
              <w:rFonts w:ascii="Verdana" w:hAnsi="Verdana"/>
              <w:b/>
              <w:color w:val="0070C0"/>
              <w:sz w:val="32"/>
              <w:szCs w:val="32"/>
            </w:rPr>
          </w:pPr>
        </w:p>
        <w:p w:rsidR="007C2348" w:rsidRDefault="00CF51E8">
          <w:pPr>
            <w:pStyle w:val="TOC1"/>
            <w:tabs>
              <w:tab w:val="left" w:pos="440"/>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374093" w:history="1">
            <w:r w:rsidR="007C2348" w:rsidRPr="009C07D5">
              <w:rPr>
                <w:rStyle w:val="Hyperlink"/>
                <w:noProof/>
              </w:rPr>
              <w:t>1.</w:t>
            </w:r>
            <w:r w:rsidR="007C2348">
              <w:rPr>
                <w:rFonts w:eastAsiaTheme="minorEastAsia"/>
                <w:noProof/>
                <w:lang w:val="en-GB" w:eastAsia="en-GB" w:bidi="ar-SA"/>
              </w:rPr>
              <w:tab/>
            </w:r>
            <w:r w:rsidR="007C2348" w:rsidRPr="009C07D5">
              <w:rPr>
                <w:rStyle w:val="Hyperlink"/>
                <w:noProof/>
              </w:rPr>
              <w:t>Radna mjesta</w:t>
            </w:r>
            <w:r w:rsidR="007C2348">
              <w:rPr>
                <w:noProof/>
                <w:webHidden/>
              </w:rPr>
              <w:tab/>
            </w:r>
            <w:r w:rsidR="007C2348">
              <w:rPr>
                <w:noProof/>
                <w:webHidden/>
              </w:rPr>
              <w:fldChar w:fldCharType="begin"/>
            </w:r>
            <w:r w:rsidR="007C2348">
              <w:rPr>
                <w:noProof/>
                <w:webHidden/>
              </w:rPr>
              <w:instrText xml:space="preserve"> PAGEREF _Toc508374093 \h </w:instrText>
            </w:r>
            <w:r w:rsidR="007C2348">
              <w:rPr>
                <w:noProof/>
                <w:webHidden/>
              </w:rPr>
            </w:r>
            <w:r w:rsidR="007C2348">
              <w:rPr>
                <w:noProof/>
                <w:webHidden/>
              </w:rPr>
              <w:fldChar w:fldCharType="separate"/>
            </w:r>
            <w:r w:rsidR="007C2348">
              <w:rPr>
                <w:noProof/>
                <w:webHidden/>
              </w:rPr>
              <w:t>4</w:t>
            </w:r>
            <w:r w:rsidR="007C2348">
              <w:rPr>
                <w:noProof/>
                <w:webHidden/>
              </w:rPr>
              <w:fldChar w:fldCharType="end"/>
            </w:r>
          </w:hyperlink>
        </w:p>
        <w:p w:rsidR="007C2348" w:rsidRDefault="00A22F87">
          <w:pPr>
            <w:pStyle w:val="TOC1"/>
            <w:tabs>
              <w:tab w:val="left" w:pos="440"/>
              <w:tab w:val="right" w:leader="dot" w:pos="12950"/>
            </w:tabs>
            <w:rPr>
              <w:rFonts w:eastAsiaTheme="minorEastAsia"/>
              <w:noProof/>
              <w:lang w:val="en-GB" w:eastAsia="en-GB" w:bidi="ar-SA"/>
            </w:rPr>
          </w:pPr>
          <w:hyperlink w:anchor="_Toc508374094" w:history="1">
            <w:r w:rsidR="007C2348" w:rsidRPr="009C07D5">
              <w:rPr>
                <w:rStyle w:val="Hyperlink"/>
                <w:noProof/>
              </w:rPr>
              <w:t>2.</w:t>
            </w:r>
            <w:r w:rsidR="007C2348">
              <w:rPr>
                <w:rFonts w:eastAsiaTheme="minorEastAsia"/>
                <w:noProof/>
                <w:lang w:val="en-GB" w:eastAsia="en-GB" w:bidi="ar-SA"/>
              </w:rPr>
              <w:tab/>
            </w:r>
            <w:r w:rsidR="007C2348" w:rsidRPr="009C07D5">
              <w:rPr>
                <w:rStyle w:val="Hyperlink"/>
                <w:noProof/>
              </w:rPr>
              <w:t>Zadaće i podzadaće</w:t>
            </w:r>
            <w:r w:rsidR="007C2348">
              <w:rPr>
                <w:noProof/>
                <w:webHidden/>
              </w:rPr>
              <w:tab/>
            </w:r>
            <w:r w:rsidR="007C2348">
              <w:rPr>
                <w:noProof/>
                <w:webHidden/>
              </w:rPr>
              <w:fldChar w:fldCharType="begin"/>
            </w:r>
            <w:r w:rsidR="007C2348">
              <w:rPr>
                <w:noProof/>
                <w:webHidden/>
              </w:rPr>
              <w:instrText xml:space="preserve"> PAGEREF _Toc508374094 \h </w:instrText>
            </w:r>
            <w:r w:rsidR="007C2348">
              <w:rPr>
                <w:noProof/>
                <w:webHidden/>
              </w:rPr>
            </w:r>
            <w:r w:rsidR="007C2348">
              <w:rPr>
                <w:noProof/>
                <w:webHidden/>
              </w:rPr>
              <w:fldChar w:fldCharType="separate"/>
            </w:r>
            <w:r w:rsidR="007C2348">
              <w:rPr>
                <w:noProof/>
                <w:webHidden/>
              </w:rPr>
              <w:t>5</w:t>
            </w:r>
            <w:r w:rsidR="007C2348">
              <w:rPr>
                <w:noProof/>
                <w:webHidden/>
              </w:rPr>
              <w:fldChar w:fldCharType="end"/>
            </w:r>
          </w:hyperlink>
        </w:p>
        <w:p w:rsidR="007C2348" w:rsidRDefault="00A22F87">
          <w:pPr>
            <w:pStyle w:val="TOC1"/>
            <w:tabs>
              <w:tab w:val="left" w:pos="440"/>
              <w:tab w:val="right" w:leader="dot" w:pos="12950"/>
            </w:tabs>
            <w:rPr>
              <w:rFonts w:eastAsiaTheme="minorEastAsia"/>
              <w:noProof/>
              <w:lang w:val="en-GB" w:eastAsia="en-GB" w:bidi="ar-SA"/>
            </w:rPr>
          </w:pPr>
          <w:hyperlink w:anchor="_Toc508374095" w:history="1">
            <w:r w:rsidR="007C2348" w:rsidRPr="009C07D5">
              <w:rPr>
                <w:rStyle w:val="Hyperlink"/>
                <w:noProof/>
              </w:rPr>
              <w:t>3.</w:t>
            </w:r>
            <w:r w:rsidR="007C2348">
              <w:rPr>
                <w:rFonts w:eastAsiaTheme="minorEastAsia"/>
                <w:noProof/>
                <w:lang w:val="en-GB" w:eastAsia="en-GB" w:bidi="ar-SA"/>
              </w:rPr>
              <w:tab/>
            </w:r>
            <w:r w:rsidR="007C2348" w:rsidRPr="009C07D5">
              <w:rPr>
                <w:rStyle w:val="Hyperlink"/>
                <w:noProof/>
              </w:rPr>
              <w:t>Ljestvica stručnosti</w:t>
            </w:r>
            <w:r w:rsidR="007C2348">
              <w:rPr>
                <w:noProof/>
                <w:webHidden/>
              </w:rPr>
              <w:tab/>
            </w:r>
            <w:r w:rsidR="007C2348">
              <w:rPr>
                <w:noProof/>
                <w:webHidden/>
              </w:rPr>
              <w:fldChar w:fldCharType="begin"/>
            </w:r>
            <w:r w:rsidR="007C2348">
              <w:rPr>
                <w:noProof/>
                <w:webHidden/>
              </w:rPr>
              <w:instrText xml:space="preserve"> PAGEREF _Toc508374095 \h </w:instrText>
            </w:r>
            <w:r w:rsidR="007C2348">
              <w:rPr>
                <w:noProof/>
                <w:webHidden/>
              </w:rPr>
            </w:r>
            <w:r w:rsidR="007C2348">
              <w:rPr>
                <w:noProof/>
                <w:webHidden/>
              </w:rPr>
              <w:fldChar w:fldCharType="separate"/>
            </w:r>
            <w:r w:rsidR="007C2348">
              <w:rPr>
                <w:noProof/>
                <w:webHidden/>
              </w:rPr>
              <w:t>10</w:t>
            </w:r>
            <w:r w:rsidR="007C2348">
              <w:rPr>
                <w:noProof/>
                <w:webHidden/>
              </w:rPr>
              <w:fldChar w:fldCharType="end"/>
            </w:r>
          </w:hyperlink>
        </w:p>
        <w:p w:rsidR="007C2348" w:rsidRDefault="00A22F87">
          <w:pPr>
            <w:pStyle w:val="TOC1"/>
            <w:tabs>
              <w:tab w:val="left" w:pos="440"/>
              <w:tab w:val="right" w:leader="dot" w:pos="12950"/>
            </w:tabs>
            <w:rPr>
              <w:rFonts w:eastAsiaTheme="minorEastAsia"/>
              <w:noProof/>
              <w:lang w:val="en-GB" w:eastAsia="en-GB" w:bidi="ar-SA"/>
            </w:rPr>
          </w:pPr>
          <w:hyperlink w:anchor="_Toc508374096" w:history="1">
            <w:r w:rsidR="007C2348" w:rsidRPr="009C07D5">
              <w:rPr>
                <w:rStyle w:val="Hyperlink"/>
                <w:noProof/>
              </w:rPr>
              <w:t>4.</w:t>
            </w:r>
            <w:r w:rsidR="007C2348">
              <w:rPr>
                <w:rFonts w:eastAsiaTheme="minorEastAsia"/>
                <w:noProof/>
                <w:lang w:val="en-GB" w:eastAsia="en-GB" w:bidi="ar-SA"/>
              </w:rPr>
              <w:tab/>
            </w:r>
            <w:r w:rsidR="007C2348" w:rsidRPr="009C07D5">
              <w:rPr>
                <w:rStyle w:val="Hyperlink"/>
                <w:noProof/>
              </w:rPr>
              <w:t>Operativne kompetencije</w:t>
            </w:r>
            <w:r w:rsidR="007C2348">
              <w:rPr>
                <w:noProof/>
                <w:webHidden/>
              </w:rPr>
              <w:tab/>
            </w:r>
            <w:r w:rsidR="007C2348">
              <w:rPr>
                <w:noProof/>
                <w:webHidden/>
              </w:rPr>
              <w:fldChar w:fldCharType="begin"/>
            </w:r>
            <w:r w:rsidR="007C2348">
              <w:rPr>
                <w:noProof/>
                <w:webHidden/>
              </w:rPr>
              <w:instrText xml:space="preserve"> PAGEREF _Toc508374096 \h </w:instrText>
            </w:r>
            <w:r w:rsidR="007C2348">
              <w:rPr>
                <w:noProof/>
                <w:webHidden/>
              </w:rPr>
            </w:r>
            <w:r w:rsidR="007C2348">
              <w:rPr>
                <w:noProof/>
                <w:webHidden/>
              </w:rPr>
              <w:fldChar w:fldCharType="separate"/>
            </w:r>
            <w:r w:rsidR="007C2348">
              <w:rPr>
                <w:noProof/>
                <w:webHidden/>
              </w:rPr>
              <w:t>12</w:t>
            </w:r>
            <w:r w:rsidR="007C2348">
              <w:rPr>
                <w:noProof/>
                <w:webHidden/>
              </w:rPr>
              <w:fldChar w:fldCharType="end"/>
            </w:r>
          </w:hyperlink>
        </w:p>
        <w:p w:rsidR="007C2348" w:rsidRDefault="00A22F87">
          <w:pPr>
            <w:pStyle w:val="TOC1"/>
            <w:tabs>
              <w:tab w:val="left" w:pos="440"/>
              <w:tab w:val="right" w:leader="dot" w:pos="12950"/>
            </w:tabs>
            <w:rPr>
              <w:rFonts w:eastAsiaTheme="minorEastAsia"/>
              <w:noProof/>
              <w:lang w:val="en-GB" w:eastAsia="en-GB" w:bidi="ar-SA"/>
            </w:rPr>
          </w:pPr>
          <w:hyperlink w:anchor="_Toc508374097" w:history="1">
            <w:r w:rsidR="007C2348" w:rsidRPr="009C07D5">
              <w:rPr>
                <w:rStyle w:val="Hyperlink"/>
                <w:noProof/>
              </w:rPr>
              <w:t>5.</w:t>
            </w:r>
            <w:r w:rsidR="007C2348">
              <w:rPr>
                <w:rFonts w:eastAsiaTheme="minorEastAsia"/>
                <w:noProof/>
                <w:lang w:val="en-GB" w:eastAsia="en-GB" w:bidi="ar-SA"/>
              </w:rPr>
              <w:tab/>
            </w:r>
            <w:r w:rsidR="007C2348" w:rsidRPr="009C07D5">
              <w:rPr>
                <w:rStyle w:val="Hyperlink"/>
                <w:noProof/>
              </w:rPr>
              <w:t>Upravljačke kompetencije</w:t>
            </w:r>
            <w:r w:rsidR="007C2348">
              <w:rPr>
                <w:noProof/>
                <w:webHidden/>
              </w:rPr>
              <w:tab/>
            </w:r>
            <w:r w:rsidR="007C2348">
              <w:rPr>
                <w:noProof/>
                <w:webHidden/>
              </w:rPr>
              <w:fldChar w:fldCharType="begin"/>
            </w:r>
            <w:r w:rsidR="007C2348">
              <w:rPr>
                <w:noProof/>
                <w:webHidden/>
              </w:rPr>
              <w:instrText xml:space="preserve"> PAGEREF _Toc508374097 \h </w:instrText>
            </w:r>
            <w:r w:rsidR="007C2348">
              <w:rPr>
                <w:noProof/>
                <w:webHidden/>
              </w:rPr>
            </w:r>
            <w:r w:rsidR="007C2348">
              <w:rPr>
                <w:noProof/>
                <w:webHidden/>
              </w:rPr>
              <w:fldChar w:fldCharType="separate"/>
            </w:r>
            <w:r w:rsidR="007C2348">
              <w:rPr>
                <w:noProof/>
                <w:webHidden/>
              </w:rPr>
              <w:t>15</w:t>
            </w:r>
            <w:r w:rsidR="007C2348">
              <w:rPr>
                <w:noProof/>
                <w:webHidden/>
              </w:rPr>
              <w:fldChar w:fldCharType="end"/>
            </w:r>
          </w:hyperlink>
        </w:p>
        <w:p w:rsidR="007C2348" w:rsidRDefault="00A22F87">
          <w:pPr>
            <w:pStyle w:val="TOC1"/>
            <w:tabs>
              <w:tab w:val="left" w:pos="440"/>
              <w:tab w:val="right" w:leader="dot" w:pos="12950"/>
            </w:tabs>
            <w:rPr>
              <w:rFonts w:eastAsiaTheme="minorEastAsia"/>
              <w:noProof/>
              <w:lang w:val="en-GB" w:eastAsia="en-GB" w:bidi="ar-SA"/>
            </w:rPr>
          </w:pPr>
          <w:hyperlink w:anchor="_Toc508374098" w:history="1">
            <w:r w:rsidR="007C2348" w:rsidRPr="009C07D5">
              <w:rPr>
                <w:rStyle w:val="Hyperlink"/>
                <w:noProof/>
              </w:rPr>
              <w:t>6.</w:t>
            </w:r>
            <w:r w:rsidR="007C2348">
              <w:rPr>
                <w:rFonts w:eastAsiaTheme="minorEastAsia"/>
                <w:noProof/>
                <w:lang w:val="en-GB" w:eastAsia="en-GB" w:bidi="ar-SA"/>
              </w:rPr>
              <w:tab/>
            </w:r>
            <w:r w:rsidR="007C2348" w:rsidRPr="009C07D5">
              <w:rPr>
                <w:rStyle w:val="Hyperlink"/>
                <w:noProof/>
              </w:rPr>
              <w:t>Stručne kompetencije</w:t>
            </w:r>
            <w:r w:rsidR="007C2348">
              <w:rPr>
                <w:noProof/>
                <w:webHidden/>
              </w:rPr>
              <w:tab/>
            </w:r>
            <w:r w:rsidR="007C2348">
              <w:rPr>
                <w:noProof/>
                <w:webHidden/>
              </w:rPr>
              <w:fldChar w:fldCharType="begin"/>
            </w:r>
            <w:r w:rsidR="007C2348">
              <w:rPr>
                <w:noProof/>
                <w:webHidden/>
              </w:rPr>
              <w:instrText xml:space="preserve"> PAGEREF _Toc508374098 \h </w:instrText>
            </w:r>
            <w:r w:rsidR="007C2348">
              <w:rPr>
                <w:noProof/>
                <w:webHidden/>
              </w:rPr>
            </w:r>
            <w:r w:rsidR="007C2348">
              <w:rPr>
                <w:noProof/>
                <w:webHidden/>
              </w:rPr>
              <w:fldChar w:fldCharType="separate"/>
            </w:r>
            <w:r w:rsidR="007C2348">
              <w:rPr>
                <w:noProof/>
                <w:webHidden/>
              </w:rPr>
              <w:t>19</w:t>
            </w:r>
            <w:r w:rsidR="007C2348">
              <w:rPr>
                <w:noProof/>
                <w:webHidden/>
              </w:rPr>
              <w:fldChar w:fldCharType="end"/>
            </w:r>
          </w:hyperlink>
        </w:p>
        <w:p w:rsidR="0025756E" w:rsidRPr="0025756E"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p>
    <w:p w:rsidR="00CD1306" w:rsidRPr="00B81E04" w:rsidRDefault="000C44D2" w:rsidP="00B81E04">
      <w:pPr>
        <w:pStyle w:val="Heading1"/>
      </w:pPr>
      <w:bookmarkStart w:id="0" w:name="_Toc494963494"/>
      <w:bookmarkStart w:id="1" w:name="_Toc508374093"/>
      <w:r>
        <w:lastRenderedPageBreak/>
        <w:t>Radna mjesta</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355"/>
        <w:gridCol w:w="1322"/>
        <w:gridCol w:w="7391"/>
      </w:tblGrid>
      <w:tr w:rsidR="006931AA" w:rsidRPr="00251707" w:rsidTr="009C72B5">
        <w:trPr>
          <w:trHeight w:val="467"/>
        </w:trPr>
        <w:tc>
          <w:tcPr>
            <w:tcW w:w="1763"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engleski</w:t>
            </w:r>
          </w:p>
        </w:tc>
        <w:tc>
          <w:tcPr>
            <w:tcW w:w="3237"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hrvatski</w:t>
            </w:r>
          </w:p>
        </w:tc>
      </w:tr>
      <w:tr w:rsidR="009C72B5" w:rsidRPr="00251707" w:rsidTr="009C72B5">
        <w:trPr>
          <w:trHeight w:val="440"/>
        </w:trPr>
        <w:tc>
          <w:tcPr>
            <w:tcW w:w="513" w:type="pct"/>
            <w:shd w:val="clear" w:color="auto" w:fill="F2F2F2" w:themeFill="background1" w:themeFillShade="F2"/>
            <w:vAlign w:val="center"/>
            <w:hideMark/>
          </w:tcPr>
          <w:p w:rsidR="009C72B5" w:rsidRPr="001B2DD4" w:rsidRDefault="009C72B5" w:rsidP="009C72B5">
            <w:pPr>
              <w:spacing w:after="0"/>
              <w:rPr>
                <w:rFonts w:ascii="Verdana" w:hAnsi="Verdana" w:cstheme="minorHAnsi"/>
                <w:sz w:val="20"/>
                <w:szCs w:val="20"/>
              </w:rPr>
            </w:pPr>
            <w:r w:rsidRPr="001B2DD4">
              <w:rPr>
                <w:rFonts w:ascii="Verdana" w:hAnsi="Verdana" w:cstheme="minorHAnsi"/>
                <w:sz w:val="20"/>
                <w:szCs w:val="20"/>
              </w:rPr>
              <w:t>Job Role</w:t>
            </w:r>
          </w:p>
        </w:tc>
        <w:tc>
          <w:tcPr>
            <w:tcW w:w="1250" w:type="pct"/>
            <w:shd w:val="clear" w:color="auto" w:fill="F2F2F2" w:themeFill="background1" w:themeFillShade="F2"/>
            <w:vAlign w:val="center"/>
          </w:tcPr>
          <w:p w:rsidR="009C72B5" w:rsidRPr="001B2DD4" w:rsidRDefault="009C72B5" w:rsidP="009C72B5">
            <w:pPr>
              <w:spacing w:after="0"/>
              <w:rPr>
                <w:rFonts w:ascii="Verdana" w:hAnsi="Verdana" w:cstheme="minorHAnsi"/>
                <w:sz w:val="20"/>
                <w:szCs w:val="20"/>
              </w:rPr>
            </w:pPr>
            <w:r w:rsidRPr="001B2DD4">
              <w:rPr>
                <w:rFonts w:ascii="Verdana" w:hAnsi="Verdana" w:cstheme="minorHAnsi"/>
                <w:sz w:val="20"/>
                <w:szCs w:val="20"/>
              </w:rPr>
              <w:t>Description</w:t>
            </w:r>
          </w:p>
        </w:tc>
        <w:tc>
          <w:tcPr>
            <w:tcW w:w="490" w:type="pct"/>
            <w:shd w:val="clear" w:color="auto" w:fill="F2F2F2" w:themeFill="background1" w:themeFillShade="F2"/>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Radno mjesto</w:t>
            </w:r>
          </w:p>
        </w:tc>
        <w:tc>
          <w:tcPr>
            <w:tcW w:w="2746" w:type="pct"/>
            <w:shd w:val="clear" w:color="auto" w:fill="F2F2F2" w:themeFill="background1" w:themeFillShade="F2"/>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Opis</w:t>
            </w:r>
          </w:p>
        </w:tc>
      </w:tr>
      <w:tr w:rsidR="009C72B5" w:rsidRPr="00251707" w:rsidTr="009C72B5">
        <w:trPr>
          <w:trHeight w:val="1250"/>
        </w:trPr>
        <w:tc>
          <w:tcPr>
            <w:tcW w:w="513" w:type="pct"/>
            <w:shd w:val="clear" w:color="000000" w:fill="FFFFFF"/>
            <w:vAlign w:val="center"/>
            <w:hideMark/>
          </w:tcPr>
          <w:p w:rsidR="009C72B5" w:rsidRPr="001B2DD4" w:rsidRDefault="009C72B5" w:rsidP="009C72B5">
            <w:pPr>
              <w:spacing w:after="0"/>
              <w:rPr>
                <w:rFonts w:ascii="Verdana" w:hAnsi="Verdana" w:cstheme="minorHAnsi"/>
                <w:sz w:val="20"/>
                <w:szCs w:val="20"/>
              </w:rPr>
            </w:pPr>
            <w:r w:rsidRPr="001B2DD4">
              <w:rPr>
                <w:rFonts w:ascii="Verdana" w:hAnsi="Verdana" w:cstheme="minorHAnsi"/>
                <w:sz w:val="20"/>
                <w:szCs w:val="20"/>
              </w:rPr>
              <w:t>Decision-making level</w:t>
            </w:r>
          </w:p>
        </w:tc>
        <w:tc>
          <w:tcPr>
            <w:tcW w:w="1250" w:type="pct"/>
            <w:shd w:val="clear" w:color="000000" w:fill="FFFFFF"/>
            <w:vAlign w:val="center"/>
          </w:tcPr>
          <w:p w:rsidR="009C72B5" w:rsidRPr="001B2DD4" w:rsidRDefault="009C72B5" w:rsidP="009C72B5">
            <w:pPr>
              <w:spacing w:after="0"/>
              <w:rPr>
                <w:rFonts w:ascii="Verdana" w:hAnsi="Verdana" w:cstheme="minorHAnsi"/>
                <w:sz w:val="20"/>
                <w:szCs w:val="20"/>
              </w:rPr>
            </w:pPr>
            <w:r w:rsidRPr="001B2DD4">
              <w:rPr>
                <w:rFonts w:ascii="Verdana" w:hAnsi="Verdana" w:cstheme="minorHAnsi"/>
                <w:sz w:val="20"/>
                <w:szCs w:val="20"/>
              </w:rPr>
              <w:t>This is the head of the organization or persons that act on relatively high strategic management levels</w:t>
            </w:r>
          </w:p>
        </w:tc>
        <w:tc>
          <w:tcPr>
            <w:tcW w:w="490"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Razina donošenja odluka</w:t>
            </w:r>
          </w:p>
        </w:tc>
        <w:tc>
          <w:tcPr>
            <w:tcW w:w="2746"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Čelnik organizacije ili osobe koje rade na relativno visokoj strateškoj razini upravljanja</w:t>
            </w:r>
          </w:p>
        </w:tc>
      </w:tr>
      <w:tr w:rsidR="009C72B5" w:rsidRPr="00251707" w:rsidTr="009C72B5">
        <w:trPr>
          <w:trHeight w:val="1871"/>
        </w:trPr>
        <w:tc>
          <w:tcPr>
            <w:tcW w:w="513" w:type="pct"/>
            <w:shd w:val="clear" w:color="000000" w:fill="FFFFFF"/>
            <w:vAlign w:val="center"/>
            <w:hideMark/>
          </w:tcPr>
          <w:p w:rsidR="009C72B5" w:rsidRPr="001B2DD4" w:rsidRDefault="009C72B5" w:rsidP="009C72B5">
            <w:pPr>
              <w:spacing w:after="0"/>
              <w:rPr>
                <w:rFonts w:ascii="Verdana" w:hAnsi="Verdana" w:cstheme="minorHAnsi"/>
                <w:sz w:val="20"/>
                <w:szCs w:val="20"/>
              </w:rPr>
            </w:pPr>
            <w:r w:rsidRPr="001B2DD4">
              <w:rPr>
                <w:rFonts w:ascii="Verdana" w:hAnsi="Verdana" w:cstheme="minorHAnsi"/>
                <w:sz w:val="20"/>
                <w:szCs w:val="20"/>
              </w:rPr>
              <w:t>Supervisory level</w:t>
            </w:r>
          </w:p>
        </w:tc>
        <w:tc>
          <w:tcPr>
            <w:tcW w:w="1250" w:type="pct"/>
            <w:shd w:val="clear" w:color="000000" w:fill="FFFFFF"/>
            <w:vAlign w:val="center"/>
          </w:tcPr>
          <w:p w:rsidR="009C72B5" w:rsidRPr="001B2DD4" w:rsidRDefault="009C72B5" w:rsidP="009C72B5">
            <w:pPr>
              <w:spacing w:after="0"/>
              <w:rPr>
                <w:rFonts w:ascii="Verdana" w:hAnsi="Verdana" w:cstheme="minorHAnsi"/>
                <w:sz w:val="20"/>
                <w:szCs w:val="20"/>
              </w:rPr>
            </w:pPr>
            <w:r w:rsidRPr="001B2DD4">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490"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Razina nadzora</w:t>
            </w:r>
          </w:p>
        </w:tc>
        <w:tc>
          <w:tcPr>
            <w:tcW w:w="2746"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Srednja razina upravljanja – osoba je odgovorna za skupinu zaposlenika i ne sudjeluje izravno u operativnoj provedbi programa, na primjer voditelji ustrojstvenih jedinica</w:t>
            </w:r>
          </w:p>
        </w:tc>
      </w:tr>
      <w:tr w:rsidR="009C72B5" w:rsidRPr="00251707" w:rsidTr="009C72B5">
        <w:trPr>
          <w:trHeight w:val="1439"/>
        </w:trPr>
        <w:tc>
          <w:tcPr>
            <w:tcW w:w="513" w:type="pct"/>
            <w:shd w:val="clear" w:color="000000" w:fill="FFFFFF"/>
            <w:vAlign w:val="center"/>
            <w:hideMark/>
          </w:tcPr>
          <w:p w:rsidR="009C72B5" w:rsidRPr="001B2DD4" w:rsidRDefault="009C72B5" w:rsidP="009C72B5">
            <w:pPr>
              <w:spacing w:after="0"/>
              <w:rPr>
                <w:rFonts w:ascii="Verdana" w:hAnsi="Verdana" w:cstheme="minorHAnsi"/>
                <w:sz w:val="20"/>
                <w:szCs w:val="20"/>
              </w:rPr>
            </w:pPr>
            <w:r w:rsidRPr="001B2DD4">
              <w:rPr>
                <w:rFonts w:ascii="Verdana" w:hAnsi="Verdana" w:cstheme="minorHAnsi"/>
                <w:sz w:val="20"/>
                <w:szCs w:val="20"/>
              </w:rPr>
              <w:t>Operational level</w:t>
            </w:r>
          </w:p>
        </w:tc>
        <w:tc>
          <w:tcPr>
            <w:tcW w:w="1250" w:type="pct"/>
            <w:shd w:val="clear" w:color="000000" w:fill="FFFFFF"/>
            <w:vAlign w:val="center"/>
          </w:tcPr>
          <w:p w:rsidR="009C72B5" w:rsidRPr="001B2DD4" w:rsidRDefault="009C72B5" w:rsidP="009C72B5">
            <w:pPr>
              <w:spacing w:after="0"/>
              <w:rPr>
                <w:rFonts w:ascii="Verdana" w:hAnsi="Verdana" w:cstheme="minorHAnsi"/>
                <w:sz w:val="20"/>
                <w:szCs w:val="20"/>
              </w:rPr>
            </w:pPr>
            <w:r w:rsidRPr="001B2DD4">
              <w:rPr>
                <w:rFonts w:ascii="Verdana" w:hAnsi="Verdana" w:cstheme="minorHAnsi"/>
                <w:sz w:val="20"/>
                <w:szCs w:val="20"/>
              </w:rPr>
              <w:t>These are the experts that are directly working on the different tasks and sub-tasks within the organization</w:t>
            </w:r>
          </w:p>
        </w:tc>
        <w:tc>
          <w:tcPr>
            <w:tcW w:w="490"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Operativna razina</w:t>
            </w:r>
          </w:p>
        </w:tc>
        <w:tc>
          <w:tcPr>
            <w:tcW w:w="2746"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Stručnjaci koji izravno rade na različitim zadaćama i podzadaćama u organizaciji</w:t>
            </w:r>
          </w:p>
        </w:tc>
      </w:tr>
    </w:tbl>
    <w:p w:rsidR="003928BC" w:rsidRPr="00251707" w:rsidRDefault="003928BC">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CF6967" w:rsidRPr="00251707" w:rsidRDefault="000C44D2" w:rsidP="00B81E04">
      <w:pPr>
        <w:pStyle w:val="Heading1"/>
      </w:pPr>
      <w:bookmarkStart w:id="2" w:name="_Toc494963495"/>
      <w:bookmarkStart w:id="3" w:name="_Toc508374094"/>
      <w:r>
        <w:lastRenderedPageBreak/>
        <w:t>Zadaće i podzadaće</w:t>
      </w:r>
      <w:bookmarkEnd w:id="2"/>
      <w:bookmarkEnd w:id="3"/>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502"/>
        <w:gridCol w:w="3029"/>
        <w:gridCol w:w="3309"/>
      </w:tblGrid>
      <w:tr w:rsidR="006931AA" w:rsidRPr="00251707" w:rsidTr="00251707">
        <w:trPr>
          <w:trHeight w:val="345"/>
          <w:tblHeader/>
        </w:trPr>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engleski</w:t>
            </w:r>
          </w:p>
        </w:tc>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hrvatski</w:t>
            </w:r>
          </w:p>
        </w:tc>
      </w:tr>
      <w:tr w:rsidR="009C72B5" w:rsidRPr="00251707" w:rsidTr="00251707">
        <w:trPr>
          <w:trHeight w:val="345"/>
          <w:tblHeader/>
        </w:trPr>
        <w:tc>
          <w:tcPr>
            <w:tcW w:w="902" w:type="pct"/>
            <w:shd w:val="clear" w:color="auto" w:fill="F2F2F2" w:themeFill="background1" w:themeFillShade="F2"/>
            <w:vAlign w:val="center"/>
          </w:tcPr>
          <w:p w:rsidR="009C72B5" w:rsidRPr="00251707" w:rsidRDefault="009C72B5" w:rsidP="009C72B5">
            <w:pPr>
              <w:spacing w:after="0" w:line="240" w:lineRule="auto"/>
              <w:rPr>
                <w:rFonts w:ascii="Verdana" w:eastAsia="Times New Roman" w:hAnsi="Verdana" w:cstheme="minorHAnsi"/>
                <w:b/>
                <w:bCs/>
                <w:sz w:val="20"/>
                <w:szCs w:val="20"/>
                <w:lang w:val="en-US"/>
              </w:rPr>
            </w:pPr>
            <w:r w:rsidRPr="00251707">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9C72B5" w:rsidRPr="00251707" w:rsidRDefault="009C72B5" w:rsidP="009C72B5">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Sub-t</w:t>
            </w:r>
            <w:r w:rsidRPr="00251707">
              <w:rPr>
                <w:rFonts w:ascii="Verdana" w:eastAsia="Times New Roman" w:hAnsi="Verdana" w:cstheme="minorHAnsi"/>
                <w:b/>
                <w:bCs/>
                <w:sz w:val="20"/>
                <w:szCs w:val="20"/>
                <w:lang w:val="en-US"/>
              </w:rPr>
              <w:t>ask</w:t>
            </w:r>
          </w:p>
        </w:tc>
        <w:tc>
          <w:tcPr>
            <w:tcW w:w="1145" w:type="pct"/>
            <w:shd w:val="clear" w:color="auto" w:fill="F2F2F2" w:themeFill="background1" w:themeFillShade="F2"/>
            <w:vAlign w:val="center"/>
          </w:tcPr>
          <w:p w:rsidR="009C72B5" w:rsidRPr="00251707" w:rsidRDefault="009C72B5" w:rsidP="009C72B5">
            <w:pPr>
              <w:spacing w:after="0" w:line="240" w:lineRule="auto"/>
              <w:rPr>
                <w:rFonts w:ascii="Verdana" w:eastAsia="Times New Roman" w:hAnsi="Verdana" w:cstheme="minorHAnsi"/>
                <w:b/>
                <w:bCs/>
                <w:sz w:val="20"/>
                <w:szCs w:val="20"/>
              </w:rPr>
            </w:pPr>
            <w:r>
              <w:rPr>
                <w:rFonts w:ascii="Verdana" w:hAnsi="Verdana" w:cstheme="minorHAnsi"/>
                <w:b/>
                <w:sz w:val="20"/>
              </w:rPr>
              <w:t>Zadaće</w:t>
            </w:r>
          </w:p>
        </w:tc>
        <w:tc>
          <w:tcPr>
            <w:tcW w:w="1251" w:type="pct"/>
            <w:shd w:val="clear" w:color="auto" w:fill="F2F2F2" w:themeFill="background1" w:themeFillShade="F2"/>
            <w:vAlign w:val="center"/>
          </w:tcPr>
          <w:p w:rsidR="009C72B5" w:rsidRPr="00251707" w:rsidRDefault="009C72B5" w:rsidP="009C72B5">
            <w:pPr>
              <w:spacing w:after="0" w:line="240" w:lineRule="auto"/>
              <w:rPr>
                <w:rFonts w:ascii="Verdana" w:eastAsia="Times New Roman" w:hAnsi="Verdana" w:cstheme="minorHAnsi"/>
                <w:b/>
                <w:bCs/>
                <w:sz w:val="20"/>
                <w:szCs w:val="20"/>
              </w:rPr>
            </w:pPr>
            <w:r>
              <w:rPr>
                <w:rFonts w:ascii="Verdana" w:hAnsi="Verdana" w:cstheme="minorHAnsi"/>
                <w:b/>
                <w:sz w:val="20"/>
              </w:rPr>
              <w:t>Podzadaća</w:t>
            </w:r>
          </w:p>
        </w:tc>
      </w:tr>
      <w:tr w:rsidR="009C72B5" w:rsidRPr="00251707" w:rsidTr="00251707">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 xml:space="preserve">1. Programming   </w:t>
            </w:r>
          </w:p>
        </w:tc>
        <w:tc>
          <w:tcPr>
            <w:tcW w:w="17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 xml:space="preserve">1.1. Inter-institutional coordination and stakeholder involvement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1. Izrada programa   </w:t>
            </w: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1.1. Međuinstitucijska koordinacija i sudjelovanje dionika </w:t>
            </w:r>
          </w:p>
        </w:tc>
      </w:tr>
      <w:tr w:rsidR="009C72B5" w:rsidRPr="00251707" w:rsidTr="00251707">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 xml:space="preserve">1.2.  Preparation of the Programme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1.2.  Priprema programa </w:t>
            </w:r>
          </w:p>
        </w:tc>
      </w:tr>
      <w:tr w:rsidR="009C72B5" w:rsidRPr="00251707" w:rsidTr="00251707">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 xml:space="preserve">1.3. Management of the evaluation process (ex-ante)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1.3. Upravljanje postupkom evaluacije </w:t>
            </w:r>
            <w:r>
              <w:rPr>
                <w:rFonts w:ascii="Verdana" w:hAnsi="Verdana" w:cstheme="minorHAnsi"/>
                <w:i/>
                <w:sz w:val="20"/>
              </w:rPr>
              <w:t>(ex ante)</w:t>
            </w:r>
            <w:r>
              <w:rPr>
                <w:rFonts w:ascii="Verdana" w:hAnsi="Verdana" w:cstheme="minorHAnsi"/>
                <w:sz w:val="20"/>
              </w:rPr>
              <w:t xml:space="preserve"> </w:t>
            </w:r>
          </w:p>
        </w:tc>
      </w:tr>
      <w:tr w:rsidR="009C72B5" w:rsidRPr="00251707" w:rsidTr="00251707">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 xml:space="preserve">1.4. Negotiation with the EC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1.4. Pregovaranje s EK-om </w:t>
            </w:r>
          </w:p>
        </w:tc>
      </w:tr>
      <w:tr w:rsidR="009C72B5" w:rsidRPr="00251707" w:rsidTr="00251707">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1.5 Procurement of goods and services under Technical Assistance</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1.5. Nabava robe i usluga u okviru tehničke pomoći</w:t>
            </w:r>
          </w:p>
        </w:tc>
      </w:tr>
      <w:tr w:rsidR="009C72B5" w:rsidRPr="00251707" w:rsidTr="00251707">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2. System set-up, development of procedures and tools</w:t>
            </w:r>
          </w:p>
        </w:tc>
        <w:tc>
          <w:tcPr>
            <w:tcW w:w="17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 xml:space="preserve">2.1. Development of the description of management and control systems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2. Uspostava sustava, razvoj postupaka i alata</w:t>
            </w: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2.1. Razvoj opisa upravljačkih i kontrolnih sustava </w:t>
            </w:r>
          </w:p>
        </w:tc>
      </w:tr>
      <w:tr w:rsidR="009C72B5" w:rsidRPr="00251707" w:rsidTr="00251707">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 xml:space="preserve">2.2. Legal system set-up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2.2. Uspostava pravnog sustava  </w:t>
            </w:r>
          </w:p>
        </w:tc>
      </w:tr>
      <w:tr w:rsidR="009C72B5" w:rsidRPr="00251707" w:rsidTr="00251707">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2.3  Development of the procedures and tools for Programme implementation</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2.3. Razvoj postupaka i alata za provedbu programa</w:t>
            </w:r>
          </w:p>
        </w:tc>
      </w:tr>
      <w:tr w:rsidR="009C72B5" w:rsidRPr="00251707" w:rsidTr="00251707">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 xml:space="preserve">2.4. Development and maintenance of monitoring and information systems and e-cohesion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397E64" w:rsidP="00397E64">
            <w:pPr>
              <w:spacing w:after="0"/>
              <w:rPr>
                <w:rFonts w:ascii="Verdana" w:hAnsi="Verdana" w:cstheme="minorHAnsi"/>
                <w:sz w:val="20"/>
                <w:szCs w:val="20"/>
              </w:rPr>
            </w:pPr>
            <w:r>
              <w:rPr>
                <w:rFonts w:ascii="Verdana" w:hAnsi="Verdana" w:cstheme="minorHAnsi"/>
                <w:sz w:val="20"/>
              </w:rPr>
              <w:t>2.4. Razvoj sustava za praćenje, informacijskih sustava</w:t>
            </w:r>
            <w:r w:rsidR="009C72B5">
              <w:rPr>
                <w:rFonts w:ascii="Verdana" w:hAnsi="Verdana" w:cstheme="minorHAnsi"/>
                <w:sz w:val="20"/>
              </w:rPr>
              <w:t xml:space="preserve"> i e-kohezije i njihovo održavanje </w:t>
            </w:r>
          </w:p>
        </w:tc>
      </w:tr>
      <w:tr w:rsidR="009C72B5" w:rsidRPr="00251707" w:rsidTr="00251707">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2.5 Development of institutional and administrative capacity</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2.5. Razvoj institucijskih i administrativnih kapaciteta</w:t>
            </w:r>
          </w:p>
        </w:tc>
      </w:tr>
      <w:tr w:rsidR="009C72B5" w:rsidRPr="00251707" w:rsidTr="00251707">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 xml:space="preserve">2.6. Procurement of goods and services under Technical Assistance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2.6. Nabava robe i usluga u okviru tehničke pomoći </w:t>
            </w:r>
          </w:p>
        </w:tc>
      </w:tr>
      <w:tr w:rsidR="009C72B5" w:rsidRPr="00251707" w:rsidTr="00251707">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 xml:space="preserve">3. Project generation, preparation of calls for proposals, project selection and </w:t>
            </w:r>
            <w:r w:rsidRPr="00251707">
              <w:rPr>
                <w:rFonts w:ascii="Verdana" w:hAnsi="Verdana" w:cstheme="minorHAnsi"/>
                <w:sz w:val="20"/>
                <w:szCs w:val="20"/>
              </w:rPr>
              <w:lastRenderedPageBreak/>
              <w:t>contracting</w:t>
            </w:r>
          </w:p>
        </w:tc>
        <w:tc>
          <w:tcPr>
            <w:tcW w:w="17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lastRenderedPageBreak/>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3. Izrada projekta, priprema poziva na podnošenje prijedloga, odabir projekta i ugovaranje</w:t>
            </w: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3.1. Pružanje potpore podnositeljima u pogledu tehničkih i financijskih aspekata projektnih zahtjeva, uključujući izgradnju </w:t>
            </w:r>
            <w:r>
              <w:rPr>
                <w:rFonts w:ascii="Verdana" w:hAnsi="Verdana" w:cstheme="minorHAnsi"/>
                <w:sz w:val="20"/>
              </w:rPr>
              <w:lastRenderedPageBreak/>
              <w:t xml:space="preserve">kapaciteta na razini korisnika </w:t>
            </w:r>
          </w:p>
        </w:tc>
      </w:tr>
      <w:tr w:rsidR="009C72B5" w:rsidRPr="00251707" w:rsidTr="00251707">
        <w:trPr>
          <w:trHeight w:val="345"/>
        </w:trPr>
        <w:tc>
          <w:tcPr>
            <w:tcW w:w="902"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702" w:type="pct"/>
            <w:shd w:val="clear" w:color="000000" w:fill="FFFFFF"/>
            <w:vAlign w:val="center"/>
          </w:tcPr>
          <w:p w:rsidR="009C72B5" w:rsidRPr="00251707" w:rsidRDefault="009C72B5" w:rsidP="006931AA">
            <w:pPr>
              <w:spacing w:after="0"/>
              <w:rPr>
                <w:rFonts w:ascii="Verdana" w:hAnsi="Verdana" w:cstheme="minorHAnsi"/>
                <w:sz w:val="20"/>
                <w:szCs w:val="20"/>
              </w:rPr>
            </w:pPr>
            <w:r w:rsidRPr="00251707">
              <w:rPr>
                <w:rFonts w:ascii="Verdana" w:hAnsi="Verdana" w:cstheme="minorHAnsi"/>
                <w:sz w:val="20"/>
                <w:szCs w:val="20"/>
              </w:rPr>
              <w:t>3.2. Preparation of proposals for selection criteria and selection procedures</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3.2. Priprema prijedloga za kriterije za odabir i postupke odabira </w:t>
            </w:r>
          </w:p>
        </w:tc>
      </w:tr>
      <w:tr w:rsidR="009C72B5" w:rsidRPr="00251707" w:rsidTr="009C72B5">
        <w:trPr>
          <w:trHeight w:val="345"/>
        </w:trPr>
        <w:tc>
          <w:tcPr>
            <w:tcW w:w="902"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3.3. Preparation / modification of guidelines for applicants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3.3. Priprema / izmjena smjernica za podnositelje </w:t>
            </w:r>
          </w:p>
        </w:tc>
      </w:tr>
      <w:tr w:rsidR="009C72B5" w:rsidRPr="00251707" w:rsidTr="009C72B5">
        <w:trPr>
          <w:trHeight w:val="345"/>
        </w:trPr>
        <w:tc>
          <w:tcPr>
            <w:tcW w:w="902"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3.4. Administrative and eligibility check (completeness of the package and compliance with relevant laws and regulations) </w:t>
            </w:r>
          </w:p>
        </w:tc>
        <w:tc>
          <w:tcPr>
            <w:tcW w:w="1145"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3.4. Administrativna provjera i provjera prihvatljivosti (potpunost paketa i usklađenost s relevantnim zakonima i propisima) </w:t>
            </w:r>
          </w:p>
        </w:tc>
      </w:tr>
      <w:tr w:rsidR="009C72B5" w:rsidRPr="00251707" w:rsidTr="009C72B5">
        <w:trPr>
          <w:trHeight w:val="345"/>
        </w:trPr>
        <w:tc>
          <w:tcPr>
            <w:tcW w:w="902"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3.5. Ocjenjivanje (bodovanje prijava, upravljanje žalbama, sastavljanje popisa projekata, priopćavanje rezultata donositeljima odluka i podnositeljima zahtjeva) </w:t>
            </w:r>
          </w:p>
        </w:tc>
      </w:tr>
      <w:tr w:rsidR="009C72B5" w:rsidRPr="00251707" w:rsidTr="009C72B5">
        <w:trPr>
          <w:trHeight w:val="345"/>
        </w:trPr>
        <w:tc>
          <w:tcPr>
            <w:tcW w:w="902"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3.6. Development and amendment of procedures </w:t>
            </w:r>
          </w:p>
        </w:tc>
        <w:tc>
          <w:tcPr>
            <w:tcW w:w="1145"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3.6. Razvoj postupaka i njihova izmjena </w:t>
            </w:r>
          </w:p>
        </w:tc>
      </w:tr>
      <w:tr w:rsidR="009C72B5" w:rsidRPr="00251707" w:rsidTr="009C72B5">
        <w:trPr>
          <w:trHeight w:val="345"/>
        </w:trPr>
        <w:tc>
          <w:tcPr>
            <w:tcW w:w="902"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3.7. Awareness and support activities</w:t>
            </w:r>
          </w:p>
        </w:tc>
        <w:tc>
          <w:tcPr>
            <w:tcW w:w="1145"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3.7. Aktivnosti podizanja razine svijesti i potpore</w:t>
            </w:r>
          </w:p>
        </w:tc>
      </w:tr>
      <w:tr w:rsidR="009C72B5" w:rsidRPr="00251707" w:rsidTr="009C72B5">
        <w:trPr>
          <w:trHeight w:val="345"/>
        </w:trPr>
        <w:tc>
          <w:tcPr>
            <w:tcW w:w="902"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3.8. Procurement of goods and services under Technical Assistance </w:t>
            </w:r>
          </w:p>
        </w:tc>
        <w:tc>
          <w:tcPr>
            <w:tcW w:w="1145"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3.8. Nabava robe i usluga u okviru tehničke pomoći </w:t>
            </w:r>
          </w:p>
        </w:tc>
      </w:tr>
      <w:tr w:rsidR="009C72B5" w:rsidRPr="00251707" w:rsidTr="009C72B5">
        <w:trPr>
          <w:trHeight w:val="345"/>
        </w:trPr>
        <w:tc>
          <w:tcPr>
            <w:tcW w:w="902" w:type="pct"/>
            <w:shd w:val="clear" w:color="000000" w:fill="FFFFFF"/>
            <w:vAlign w:val="center"/>
          </w:tcPr>
          <w:p w:rsidR="009C72B5" w:rsidRPr="00251707" w:rsidRDefault="009C72B5" w:rsidP="006931AA">
            <w:pPr>
              <w:spacing w:after="0"/>
              <w:rPr>
                <w:rFonts w:ascii="Verdana" w:hAnsi="Verdana" w:cstheme="minorHAnsi"/>
                <w:sz w:val="20"/>
                <w:szCs w:val="20"/>
              </w:rPr>
            </w:pPr>
            <w:r>
              <w:rPr>
                <w:rFonts w:ascii="Verdana" w:hAnsi="Verdana" w:cstheme="minorHAnsi"/>
                <w:sz w:val="20"/>
              </w:rPr>
              <w:t>4. Praćenje na razini projekta</w:t>
            </w:r>
          </w:p>
        </w:tc>
        <w:tc>
          <w:tcPr>
            <w:tcW w:w="1702" w:type="pct"/>
            <w:shd w:val="clear" w:color="000000" w:fill="FFFFFF"/>
          </w:tcPr>
          <w:p w:rsidR="009C72B5" w:rsidRPr="00C1295F" w:rsidRDefault="009C72B5" w:rsidP="009C72B5">
            <w:r w:rsidRPr="00C1295F">
              <w:t xml:space="preserve">4.1. Technical monitoring and on the spot verifications at project level </w:t>
            </w:r>
          </w:p>
        </w:tc>
        <w:tc>
          <w:tcPr>
            <w:tcW w:w="1145" w:type="pct"/>
            <w:shd w:val="clear" w:color="000000" w:fill="FFFFFF"/>
            <w:vAlign w:val="center"/>
          </w:tcPr>
          <w:p w:rsidR="009C72B5" w:rsidRPr="00251707" w:rsidRDefault="009C72B5" w:rsidP="006931AA">
            <w:pPr>
              <w:spacing w:after="0"/>
              <w:rPr>
                <w:rFonts w:ascii="Verdana" w:hAnsi="Verdana" w:cstheme="minorHAnsi"/>
                <w:sz w:val="20"/>
                <w:szCs w:val="20"/>
              </w:rPr>
            </w:pPr>
            <w:r>
              <w:rPr>
                <w:rFonts w:ascii="Verdana" w:hAnsi="Verdana" w:cstheme="minorHAnsi"/>
                <w:sz w:val="20"/>
              </w:rPr>
              <w:t>4. Praćenje na razini projekta</w:t>
            </w: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4.1. Tehničko praćenje i provjere na licu mjesta na razini projekta </w:t>
            </w:r>
          </w:p>
        </w:tc>
      </w:tr>
      <w:tr w:rsidR="009C72B5" w:rsidRPr="00251707" w:rsidTr="009C72B5">
        <w:trPr>
          <w:trHeight w:val="345"/>
        </w:trPr>
        <w:tc>
          <w:tcPr>
            <w:tcW w:w="902"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4.2. Providing advice to beneficiaries on project implementation issues </w:t>
            </w:r>
          </w:p>
        </w:tc>
        <w:tc>
          <w:tcPr>
            <w:tcW w:w="1145"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4.2. Davanje savjeta korisnicima o pitanjima provedbe projekta </w:t>
            </w:r>
          </w:p>
        </w:tc>
      </w:tr>
      <w:tr w:rsidR="009C72B5" w:rsidRPr="00251707" w:rsidTr="009C72B5">
        <w:trPr>
          <w:trHeight w:val="345"/>
        </w:trPr>
        <w:tc>
          <w:tcPr>
            <w:tcW w:w="902"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4.3. Finding and reporting irregularities </w:t>
            </w:r>
          </w:p>
        </w:tc>
        <w:tc>
          <w:tcPr>
            <w:tcW w:w="1145"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4.3. Pronalaženje nepravilnosti i njihovo prijavljivanje </w:t>
            </w:r>
          </w:p>
        </w:tc>
      </w:tr>
      <w:tr w:rsidR="009C72B5" w:rsidRPr="00251707" w:rsidTr="009C72B5">
        <w:trPr>
          <w:trHeight w:val="345"/>
        </w:trPr>
        <w:tc>
          <w:tcPr>
            <w:tcW w:w="902"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4.4 Procurement of goods and services under Technical Assistance</w:t>
            </w:r>
          </w:p>
        </w:tc>
        <w:tc>
          <w:tcPr>
            <w:tcW w:w="1145"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4.4. Nabava robe i usluga u okviru tehničke pomoći</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5. Monitoring on programme level</w:t>
            </w:r>
          </w:p>
        </w:tc>
        <w:tc>
          <w:tcPr>
            <w:tcW w:w="1702" w:type="pct"/>
            <w:shd w:val="clear" w:color="000000" w:fill="FFFFFF"/>
          </w:tcPr>
          <w:p w:rsidR="009C72B5" w:rsidRPr="00C1295F" w:rsidRDefault="009C72B5" w:rsidP="009C72B5">
            <w:r w:rsidRPr="00C1295F">
              <w:t xml:space="preserve">5.1. Measurement of the performance of the PA/Measure (planning, monitoring, forecasting, revising)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5. Praćenje na razini programa</w:t>
            </w: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5.1. Mjerenje uspješnosti </w:t>
            </w:r>
            <w:r w:rsidR="00A22F87">
              <w:rPr>
                <w:rFonts w:ascii="Verdana" w:hAnsi="Verdana" w:cstheme="minorHAnsi"/>
                <w:sz w:val="20"/>
              </w:rPr>
              <w:t>prioritetne</w:t>
            </w:r>
            <w:r w:rsidR="00A22F87">
              <w:rPr>
                <w:color w:val="1F497D"/>
              </w:rPr>
              <w:t xml:space="preserve"> </w:t>
            </w:r>
            <w:r w:rsidR="00A22F87">
              <w:rPr>
                <w:rFonts w:ascii="Verdana" w:hAnsi="Verdana" w:cstheme="minorHAnsi"/>
                <w:sz w:val="20"/>
              </w:rPr>
              <w:t>osi</w:t>
            </w:r>
            <w:r>
              <w:rPr>
                <w:rFonts w:ascii="Verdana" w:hAnsi="Verdana" w:cstheme="minorHAnsi"/>
                <w:sz w:val="20"/>
              </w:rPr>
              <w:t xml:space="preserve">/mjere (planiranje, praćenje, predviđanje, revidiranje) </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5.2. Measurement of the performance of the Operational Programme (planning, monitoring, forecasting, revising and corrective actions)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5.2. Mjerenje uspješnosti operativnog programa (planiranje, praćenje, predviđanje, revidiranje) </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5.3. Reporting to the Monitoring Committee and European Commission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5.3. Izvješćivanje Odbora za praćenje i Europske komisije </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5.4. Development and amendment of monitoring procedures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5.4. Razvoj postupaka praćenja i njihova izmjena </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5.5. Supporting the Monitoring Committee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5.5. Podupiranje Odbora za praćenje </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5.6. Procurement of goods and services under Technical Assistance</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5.6. Nabava robe i usluga u okviru tehničke pomoći</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6. Evaluation</w:t>
            </w:r>
          </w:p>
        </w:tc>
        <w:tc>
          <w:tcPr>
            <w:tcW w:w="1702" w:type="pct"/>
            <w:shd w:val="clear" w:color="000000" w:fill="FFFFFF"/>
          </w:tcPr>
          <w:p w:rsidR="009C72B5" w:rsidRPr="00C1295F" w:rsidRDefault="009C72B5" w:rsidP="009C72B5">
            <w:r w:rsidRPr="00C1295F">
              <w:t xml:space="preserve">6.1. Preparing and guiding the evaluation process (outsourced)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6. Evaluacija</w:t>
            </w: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6.1. Priprema i vođenje postupka evaluacije (vanjski suradnici) </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6.2. Carrying out evaluation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6.2. Provođenje evaluacije </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6.3. Usage of results: involved in the identification and implementation of follow up </w:t>
            </w:r>
            <w:r w:rsidRPr="00C1295F">
              <w:lastRenderedPageBreak/>
              <w:t xml:space="preserve">actions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6.3. Uporaba rezultata: uključenost u identifikaciju i provedbu daljnjih mjera </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6.4. Ex-ante conditionalities</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6.4. </w:t>
            </w:r>
            <w:r>
              <w:rPr>
                <w:rFonts w:ascii="Verdana" w:hAnsi="Verdana" w:cstheme="minorHAnsi"/>
                <w:i/>
                <w:sz w:val="20"/>
              </w:rPr>
              <w:t>Ex ante</w:t>
            </w:r>
            <w:r>
              <w:rPr>
                <w:rFonts w:ascii="Verdana" w:hAnsi="Verdana" w:cstheme="minorHAnsi"/>
                <w:sz w:val="20"/>
              </w:rPr>
              <w:t xml:space="preserve"> uvjeti</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6.5. Procurement of goods and services under Technical Assistance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6.5. Nabava robe i usluga u okviru tehničke pomoći </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7. Financial management on project level</w:t>
            </w:r>
          </w:p>
        </w:tc>
        <w:tc>
          <w:tcPr>
            <w:tcW w:w="1702" w:type="pct"/>
            <w:shd w:val="clear" w:color="000000" w:fill="FFFFFF"/>
          </w:tcPr>
          <w:p w:rsidR="009C72B5" w:rsidRPr="00C1295F" w:rsidRDefault="009C72B5" w:rsidP="009C72B5">
            <w:r w:rsidRPr="00C1295F">
              <w:t xml:space="preserve">7.1. Verification of payment claims and first level control reports at project level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7. Financijsko upravljanje na razini projekta</w:t>
            </w: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7.1. Provjera zahtjeva za plaćanje i izvješća o kontroli prve razine na razini projekta </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7.2. Financial monitoring and on the spot verifications at project level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7.2. Financijsko praćenje i provjere na licu mjesta na razini projekta </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7.3. Procurement of goods and services under Technical Assistance</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7.3. Nabava robe i usluga u okviru tehničke pomoći</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8. Financial management on programme level</w:t>
            </w:r>
          </w:p>
        </w:tc>
        <w:tc>
          <w:tcPr>
            <w:tcW w:w="1702" w:type="pct"/>
            <w:shd w:val="clear" w:color="000000" w:fill="FFFFFF"/>
          </w:tcPr>
          <w:p w:rsidR="009C72B5" w:rsidRPr="00C1295F" w:rsidRDefault="009C72B5" w:rsidP="009C72B5">
            <w:r w:rsidRPr="00C1295F">
              <w:t xml:space="preserve">8.1. Measurement of the financial performance of PA/Measure (planning, monitoring, forecasting, revising)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8. Financijsko upravljanje na razini programa</w:t>
            </w: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8.1. Praćenje financijskih rezultata </w:t>
            </w:r>
            <w:r w:rsidR="00A22F87">
              <w:rPr>
                <w:rFonts w:ascii="Verdana" w:hAnsi="Verdana" w:cstheme="minorHAnsi"/>
                <w:sz w:val="20"/>
              </w:rPr>
              <w:t>prioritetne</w:t>
            </w:r>
            <w:r w:rsidR="00A22F87">
              <w:rPr>
                <w:color w:val="1F497D"/>
              </w:rPr>
              <w:t xml:space="preserve"> </w:t>
            </w:r>
            <w:r w:rsidR="00A22F87">
              <w:rPr>
                <w:rFonts w:ascii="Verdana" w:hAnsi="Verdana" w:cstheme="minorHAnsi"/>
                <w:sz w:val="20"/>
              </w:rPr>
              <w:t>osi</w:t>
            </w:r>
            <w:bookmarkStart w:id="4" w:name="_GoBack"/>
            <w:bookmarkEnd w:id="4"/>
            <w:r>
              <w:rPr>
                <w:rFonts w:ascii="Verdana" w:hAnsi="Verdana" w:cstheme="minorHAnsi"/>
                <w:sz w:val="20"/>
              </w:rPr>
              <w:t xml:space="preserve">/mjere (planiranje, praćenje, predviđanje, revidiranje) </w:t>
            </w:r>
          </w:p>
        </w:tc>
      </w:tr>
      <w:tr w:rsidR="009C72B5" w:rsidRPr="00251707" w:rsidTr="009C72B5">
        <w:trPr>
          <w:trHeight w:val="741"/>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8.2. Measurement of the financial performance of the Operational Programme (planning, monitoring, forecasting, revising and corrective actions).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8.2. Mjerenje financijskih rezultata operativnog programa (planiranje, praćenje, predviđanje, revidiranje i korektivne mjere) </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8.3. Reporting to Monitoring Committee and European Commission including management declaration and annual summary (CPR 125.4(e)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8.3. Izvješćivanje Odbora za praćenje i Europske komisije, uključujući izjavu o upravljanju i godišnji sažetak (CPR 125.4(e) </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8.4. Development and amendment of financial management procedures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8.4. Razvoj i izmjena postupaka financijskog upravljanja </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8.5. Procurement of goods and services under Technical Assistance</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8.5. Nabava robe i usluga u okviru tehničke pomoći</w:t>
            </w:r>
          </w:p>
        </w:tc>
      </w:tr>
      <w:tr w:rsidR="009C72B5" w:rsidRPr="00251707" w:rsidTr="009C72B5">
        <w:trPr>
          <w:trHeight w:val="345"/>
        </w:trPr>
        <w:tc>
          <w:tcPr>
            <w:tcW w:w="902" w:type="pct"/>
            <w:shd w:val="clear" w:color="000000" w:fill="FFFFFF"/>
            <w:vAlign w:val="center"/>
          </w:tcPr>
          <w:p w:rsidR="009C72B5" w:rsidRPr="00251707" w:rsidRDefault="009C72B5" w:rsidP="009C72B5">
            <w:pPr>
              <w:spacing w:after="0"/>
              <w:rPr>
                <w:rFonts w:ascii="Verdana" w:hAnsi="Verdana" w:cstheme="minorHAnsi"/>
                <w:sz w:val="20"/>
                <w:szCs w:val="20"/>
              </w:rPr>
            </w:pPr>
            <w:r w:rsidRPr="00251707">
              <w:rPr>
                <w:rFonts w:ascii="Verdana" w:hAnsi="Verdana" w:cstheme="minorHAnsi"/>
                <w:sz w:val="20"/>
                <w:szCs w:val="20"/>
              </w:rPr>
              <w:t>9. Communication</w:t>
            </w:r>
          </w:p>
        </w:tc>
        <w:tc>
          <w:tcPr>
            <w:tcW w:w="1702" w:type="pct"/>
            <w:shd w:val="clear" w:color="000000" w:fill="FFFFFF"/>
          </w:tcPr>
          <w:p w:rsidR="009C72B5" w:rsidRPr="00C1295F" w:rsidRDefault="009C72B5" w:rsidP="009C72B5">
            <w:r w:rsidRPr="00C1295F">
              <w:t xml:space="preserve">9.1. Preparation of the communication plan and its implementation for different stakeholders </w:t>
            </w:r>
          </w:p>
        </w:tc>
        <w:tc>
          <w:tcPr>
            <w:tcW w:w="1145"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9. Komunikacija</w:t>
            </w: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9.1. Izrada komunikacijskog plana i njihova provedba u pogledu različitih dionika </w:t>
            </w:r>
          </w:p>
        </w:tc>
      </w:tr>
      <w:tr w:rsidR="009C72B5" w:rsidRPr="00251707" w:rsidTr="009C72B5">
        <w:trPr>
          <w:trHeight w:val="345"/>
        </w:trPr>
        <w:tc>
          <w:tcPr>
            <w:tcW w:w="902"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702" w:type="pct"/>
            <w:shd w:val="clear" w:color="000000" w:fill="FFFFFF"/>
          </w:tcPr>
          <w:p w:rsidR="009C72B5" w:rsidRPr="00C1295F" w:rsidRDefault="009C72B5" w:rsidP="009C72B5">
            <w:r w:rsidRPr="00C1295F">
              <w:t xml:space="preserve">9.2. Building networks with different media </w:t>
            </w:r>
          </w:p>
        </w:tc>
        <w:tc>
          <w:tcPr>
            <w:tcW w:w="1145"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 xml:space="preserve">9.2. Izgradnja mreža s različitim medijima </w:t>
            </w:r>
          </w:p>
        </w:tc>
      </w:tr>
      <w:tr w:rsidR="009C72B5" w:rsidRPr="00251707" w:rsidTr="009C72B5">
        <w:trPr>
          <w:trHeight w:val="345"/>
        </w:trPr>
        <w:tc>
          <w:tcPr>
            <w:tcW w:w="902"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702" w:type="pct"/>
            <w:shd w:val="clear" w:color="000000" w:fill="FFFFFF"/>
          </w:tcPr>
          <w:p w:rsidR="009C72B5" w:rsidRDefault="009C72B5" w:rsidP="009C72B5">
            <w:r w:rsidRPr="00C1295F">
              <w:t>9.3. Procurement of goods and services under Technical Assistance</w:t>
            </w:r>
          </w:p>
        </w:tc>
        <w:tc>
          <w:tcPr>
            <w:tcW w:w="1145" w:type="pct"/>
            <w:shd w:val="clear" w:color="000000" w:fill="FFFFFF"/>
            <w:vAlign w:val="center"/>
          </w:tcPr>
          <w:p w:rsidR="009C72B5" w:rsidRPr="00251707" w:rsidRDefault="009C72B5" w:rsidP="006931AA">
            <w:pPr>
              <w:spacing w:after="0"/>
              <w:rPr>
                <w:rFonts w:ascii="Verdana" w:hAnsi="Verdana" w:cstheme="minorHAnsi"/>
                <w:sz w:val="20"/>
                <w:szCs w:val="20"/>
              </w:rPr>
            </w:pPr>
          </w:p>
        </w:tc>
        <w:tc>
          <w:tcPr>
            <w:tcW w:w="1251" w:type="pct"/>
            <w:shd w:val="clear" w:color="000000" w:fill="FFFFFF"/>
            <w:vAlign w:val="center"/>
          </w:tcPr>
          <w:p w:rsidR="009C72B5" w:rsidRPr="00251707" w:rsidRDefault="009C72B5" w:rsidP="009C72B5">
            <w:pPr>
              <w:spacing w:after="0"/>
              <w:rPr>
                <w:rFonts w:ascii="Verdana" w:hAnsi="Verdana" w:cstheme="minorHAnsi"/>
                <w:sz w:val="20"/>
                <w:szCs w:val="20"/>
              </w:rPr>
            </w:pPr>
            <w:r>
              <w:rPr>
                <w:rFonts w:ascii="Verdana" w:hAnsi="Verdana" w:cstheme="minorHAnsi"/>
                <w:sz w:val="20"/>
              </w:rPr>
              <w:t>9.3. Nabava robe i usluga u okviru tehničke pomoći</w:t>
            </w:r>
          </w:p>
        </w:tc>
      </w:tr>
    </w:tbl>
    <w:p w:rsidR="000C44D2" w:rsidRPr="00251707" w:rsidRDefault="000C44D2">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822B80" w:rsidRPr="00251707" w:rsidRDefault="00822B80" w:rsidP="00B81E04">
      <w:pPr>
        <w:pStyle w:val="Heading1"/>
      </w:pPr>
      <w:bookmarkStart w:id="5" w:name="_Toc494963496"/>
      <w:bookmarkStart w:id="6" w:name="_Toc508374095"/>
      <w:r>
        <w:lastRenderedPageBreak/>
        <w:t>Ljestvica stručnosti</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51707" w:rsidTr="00F451DA">
        <w:trPr>
          <w:trHeight w:val="377"/>
          <w:tblHeader/>
        </w:trPr>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engleski</w:t>
            </w:r>
          </w:p>
        </w:tc>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hrvatski</w:t>
            </w:r>
          </w:p>
        </w:tc>
      </w:tr>
      <w:tr w:rsidR="0044373B" w:rsidRPr="00251707" w:rsidTr="006645FC">
        <w:trPr>
          <w:trHeight w:val="332"/>
          <w:tblHeader/>
        </w:trPr>
        <w:tc>
          <w:tcPr>
            <w:tcW w:w="658" w:type="pct"/>
            <w:shd w:val="clear" w:color="auto" w:fill="F2F2F2" w:themeFill="background1" w:themeFillShade="F2"/>
          </w:tcPr>
          <w:p w:rsidR="0044373B" w:rsidRPr="00251707" w:rsidRDefault="00740E5A" w:rsidP="00AD2B31">
            <w:pPr>
              <w:spacing w:after="0" w:line="240" w:lineRule="auto"/>
              <w:rPr>
                <w:rFonts w:ascii="Verdana" w:hAnsi="Verdana" w:cstheme="minorHAnsi"/>
                <w:sz w:val="20"/>
                <w:szCs w:val="20"/>
              </w:rPr>
            </w:pPr>
            <w:r>
              <w:rPr>
                <w:rFonts w:ascii="Verdana" w:hAnsi="Verdana" w:cstheme="minorHAnsi"/>
                <w:sz w:val="20"/>
              </w:rPr>
              <w:t>Scale</w:t>
            </w:r>
            <w:r w:rsidR="0044373B">
              <w:rPr>
                <w:rFonts w:ascii="Verdana" w:hAnsi="Verdana" w:cstheme="minorHAnsi"/>
                <w:sz w:val="20"/>
              </w:rPr>
              <w:t xml:space="preserve"> </w:t>
            </w:r>
          </w:p>
        </w:tc>
        <w:tc>
          <w:tcPr>
            <w:tcW w:w="1738" w:type="pct"/>
            <w:shd w:val="clear" w:color="auto" w:fill="F2F2F2" w:themeFill="background1" w:themeFillShade="F2"/>
          </w:tcPr>
          <w:p w:rsidR="0044373B" w:rsidRPr="00251707" w:rsidRDefault="00740E5A" w:rsidP="006645FC">
            <w:pPr>
              <w:spacing w:after="0" w:line="240" w:lineRule="auto"/>
              <w:rPr>
                <w:rFonts w:ascii="Verdana" w:hAnsi="Verdana" w:cstheme="minorHAnsi"/>
                <w:sz w:val="20"/>
                <w:szCs w:val="20"/>
              </w:rPr>
            </w:pPr>
            <w:r>
              <w:rPr>
                <w:rFonts w:ascii="Verdana" w:hAnsi="Verdana" w:cstheme="minorHAnsi"/>
                <w:sz w:val="20"/>
              </w:rPr>
              <w:t>Description</w:t>
            </w:r>
          </w:p>
        </w:tc>
        <w:tc>
          <w:tcPr>
            <w:tcW w:w="590" w:type="pct"/>
            <w:shd w:val="clear" w:color="auto" w:fill="F2F2F2" w:themeFill="background1" w:themeFillShade="F2"/>
          </w:tcPr>
          <w:p w:rsidR="0044373B" w:rsidRPr="00251707" w:rsidRDefault="0044373B" w:rsidP="00AD2B31">
            <w:pPr>
              <w:spacing w:after="0" w:line="240" w:lineRule="auto"/>
              <w:rPr>
                <w:rFonts w:ascii="Verdana" w:hAnsi="Verdana" w:cstheme="minorHAnsi"/>
                <w:sz w:val="20"/>
                <w:szCs w:val="20"/>
              </w:rPr>
            </w:pPr>
          </w:p>
        </w:tc>
        <w:tc>
          <w:tcPr>
            <w:tcW w:w="2014" w:type="pct"/>
            <w:shd w:val="clear" w:color="auto" w:fill="F2F2F2" w:themeFill="background1" w:themeFillShade="F2"/>
          </w:tcPr>
          <w:p w:rsidR="0044373B" w:rsidRPr="00251707" w:rsidRDefault="0044373B" w:rsidP="00AD2B31">
            <w:pPr>
              <w:spacing w:after="0" w:line="240" w:lineRule="auto"/>
              <w:rPr>
                <w:rFonts w:ascii="Verdana" w:hAnsi="Verdana" w:cstheme="minorHAnsi"/>
                <w:sz w:val="20"/>
                <w:szCs w:val="20"/>
              </w:rPr>
            </w:pPr>
          </w:p>
        </w:tc>
      </w:tr>
      <w:tr w:rsidR="00740E5A" w:rsidRPr="00251707" w:rsidTr="006645FC">
        <w:trPr>
          <w:trHeight w:val="566"/>
        </w:trPr>
        <w:tc>
          <w:tcPr>
            <w:tcW w:w="658" w:type="pct"/>
            <w:shd w:val="clear" w:color="000000" w:fill="FFFFFF"/>
          </w:tcPr>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N.A. - Not Applicable</w:t>
            </w:r>
          </w:p>
        </w:tc>
        <w:tc>
          <w:tcPr>
            <w:tcW w:w="1738" w:type="pct"/>
            <w:shd w:val="clear" w:color="000000" w:fill="FFFFFF"/>
            <w:hideMark/>
          </w:tcPr>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The competency is not applicable to the job role. </w:t>
            </w:r>
          </w:p>
        </w:tc>
        <w:tc>
          <w:tcPr>
            <w:tcW w:w="590" w:type="pct"/>
            <w:shd w:val="clear" w:color="000000" w:fill="FFFFFF"/>
          </w:tcPr>
          <w:p w:rsidR="00740E5A" w:rsidRPr="00251707" w:rsidRDefault="00740E5A" w:rsidP="0044373B">
            <w:pPr>
              <w:spacing w:before="60" w:after="120" w:line="240" w:lineRule="auto"/>
              <w:rPr>
                <w:rFonts w:ascii="Verdana" w:hAnsi="Verdana" w:cstheme="minorHAnsi"/>
                <w:sz w:val="20"/>
                <w:szCs w:val="20"/>
              </w:rPr>
            </w:pPr>
          </w:p>
        </w:tc>
        <w:tc>
          <w:tcPr>
            <w:tcW w:w="2014" w:type="pct"/>
            <w:shd w:val="clear" w:color="000000" w:fill="FFFFFF"/>
          </w:tcPr>
          <w:p w:rsidR="00740E5A" w:rsidRPr="00EC24FD" w:rsidRDefault="00740E5A" w:rsidP="008937AE">
            <w:r w:rsidRPr="00EC24FD">
              <w:t xml:space="preserve">Kompetencija se ne primjenjuje na radno mjesto. </w:t>
            </w:r>
          </w:p>
        </w:tc>
      </w:tr>
      <w:tr w:rsidR="00740E5A" w:rsidRPr="00251707" w:rsidTr="006645FC">
        <w:trPr>
          <w:trHeight w:val="908"/>
        </w:trPr>
        <w:tc>
          <w:tcPr>
            <w:tcW w:w="658" w:type="pct"/>
            <w:shd w:val="clear" w:color="000000" w:fill="FFFFFF"/>
          </w:tcPr>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Level 0 – </w:t>
            </w:r>
          </w:p>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No knowledge</w:t>
            </w:r>
          </w:p>
        </w:tc>
        <w:tc>
          <w:tcPr>
            <w:tcW w:w="1738" w:type="pct"/>
            <w:shd w:val="clear" w:color="000000" w:fill="FFFFFF"/>
          </w:tcPr>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No knowledge of the competency or no ability to apply it in real situations.</w:t>
            </w:r>
          </w:p>
        </w:tc>
        <w:tc>
          <w:tcPr>
            <w:tcW w:w="590" w:type="pct"/>
            <w:shd w:val="clear" w:color="000000" w:fill="FFFFFF"/>
          </w:tcPr>
          <w:p w:rsidR="00740E5A" w:rsidRPr="00251707" w:rsidRDefault="00740E5A" w:rsidP="0044373B">
            <w:pPr>
              <w:spacing w:before="60" w:after="120" w:line="240" w:lineRule="auto"/>
              <w:rPr>
                <w:rFonts w:ascii="Verdana" w:hAnsi="Verdana" w:cstheme="minorHAnsi"/>
                <w:sz w:val="20"/>
                <w:szCs w:val="20"/>
              </w:rPr>
            </w:pPr>
          </w:p>
        </w:tc>
        <w:tc>
          <w:tcPr>
            <w:tcW w:w="2014" w:type="pct"/>
            <w:shd w:val="clear" w:color="000000" w:fill="FFFFFF"/>
          </w:tcPr>
          <w:p w:rsidR="00740E5A" w:rsidRPr="00EC24FD" w:rsidRDefault="00740E5A" w:rsidP="008937AE">
            <w:r w:rsidRPr="00EC24FD">
              <w:t>Nema kompetenciju ili ju nema sposobnosti primjenjivati u stvarnim situacijama.</w:t>
            </w:r>
          </w:p>
        </w:tc>
      </w:tr>
      <w:tr w:rsidR="00740E5A" w:rsidRPr="00251707" w:rsidTr="006645FC">
        <w:trPr>
          <w:trHeight w:val="1421"/>
        </w:trPr>
        <w:tc>
          <w:tcPr>
            <w:tcW w:w="658" w:type="pct"/>
            <w:shd w:val="clear" w:color="000000" w:fill="FFFFFF"/>
          </w:tcPr>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Level 1 - Awareness</w:t>
            </w:r>
          </w:p>
        </w:tc>
        <w:tc>
          <w:tcPr>
            <w:tcW w:w="1738" w:type="pct"/>
            <w:shd w:val="clear" w:color="000000" w:fill="FFFFFF"/>
          </w:tcPr>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Basic knowledge of the competency (e.g. understands general concepts and processes, is familiar with related key terminology).</w:t>
            </w:r>
          </w:p>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740E5A" w:rsidRPr="00251707" w:rsidRDefault="00740E5A" w:rsidP="0044373B">
            <w:pPr>
              <w:spacing w:before="60" w:after="120" w:line="240" w:lineRule="auto"/>
              <w:rPr>
                <w:rFonts w:ascii="Verdana" w:hAnsi="Verdana" w:cstheme="minorHAnsi"/>
                <w:sz w:val="20"/>
                <w:szCs w:val="20"/>
              </w:rPr>
            </w:pPr>
          </w:p>
        </w:tc>
        <w:tc>
          <w:tcPr>
            <w:tcW w:w="2014" w:type="pct"/>
            <w:shd w:val="clear" w:color="000000" w:fill="FFFFFF"/>
          </w:tcPr>
          <w:p w:rsidR="00740E5A" w:rsidRPr="00EC24FD" w:rsidRDefault="00740E5A" w:rsidP="008937AE">
            <w:r w:rsidRPr="00EC24FD">
              <w:t>Osnovna razina  kompetencije (npr. razumijevanje općih pojmova i postupaka, upoznatost s povezanom ključnom terminologijom).</w:t>
            </w:r>
            <w:r>
              <w:t xml:space="preserve"> </w:t>
            </w:r>
            <w:r w:rsidRPr="00EC24FD">
              <w:t>Sposobnost pokazivanja te kompetencije nakon dobivanja posebnih uputa i smjernica.</w:t>
            </w:r>
          </w:p>
        </w:tc>
      </w:tr>
      <w:tr w:rsidR="00740E5A" w:rsidRPr="00251707" w:rsidTr="006645FC">
        <w:trPr>
          <w:trHeight w:val="1103"/>
        </w:trPr>
        <w:tc>
          <w:tcPr>
            <w:tcW w:w="658" w:type="pct"/>
            <w:shd w:val="clear" w:color="000000" w:fill="FFFFFF"/>
          </w:tcPr>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Level 2 - Trained</w:t>
            </w:r>
          </w:p>
        </w:tc>
        <w:tc>
          <w:tcPr>
            <w:tcW w:w="1738" w:type="pct"/>
            <w:shd w:val="clear" w:color="000000" w:fill="FFFFFF"/>
          </w:tcPr>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Good working knowledge of the competency.</w:t>
            </w:r>
            <w:r w:rsidRPr="00251707">
              <w:rPr>
                <w:rFonts w:ascii="Verdana" w:hAnsi="Verdana" w:cstheme="minorHAnsi"/>
                <w:sz w:val="20"/>
                <w:szCs w:val="20"/>
              </w:rPr>
              <w:br/>
              <w:t>Ability to apply that knowledge in daily work.</w:t>
            </w:r>
          </w:p>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740E5A" w:rsidRPr="00251707" w:rsidRDefault="00740E5A" w:rsidP="0044373B">
            <w:pPr>
              <w:spacing w:before="60" w:after="120" w:line="240" w:lineRule="auto"/>
              <w:rPr>
                <w:rFonts w:ascii="Verdana" w:hAnsi="Verdana" w:cstheme="minorHAnsi"/>
                <w:sz w:val="20"/>
                <w:szCs w:val="20"/>
              </w:rPr>
            </w:pPr>
          </w:p>
        </w:tc>
        <w:tc>
          <w:tcPr>
            <w:tcW w:w="2014" w:type="pct"/>
            <w:shd w:val="clear" w:color="000000" w:fill="FFFFFF"/>
          </w:tcPr>
          <w:p w:rsidR="00740E5A" w:rsidRDefault="00740E5A" w:rsidP="000B3366">
            <w:r>
              <w:t>Dobra radna razina kompetencije.</w:t>
            </w:r>
          </w:p>
          <w:p w:rsidR="00740E5A" w:rsidRDefault="00740E5A" w:rsidP="000B3366">
            <w:r>
              <w:t>Sposobnost primjene tog znanja u svakodnevnom radu.</w:t>
            </w:r>
          </w:p>
          <w:p w:rsidR="00740E5A" w:rsidRPr="00EC24FD" w:rsidRDefault="00740E5A" w:rsidP="000B3366">
            <w:r>
              <w:t>Sposobnost neovisnog obavljanja standardnih aktivnosti povezanih s tom kompetencijom</w:t>
            </w:r>
          </w:p>
        </w:tc>
      </w:tr>
      <w:tr w:rsidR="00740E5A" w:rsidRPr="00251707" w:rsidTr="006645FC">
        <w:trPr>
          <w:trHeight w:val="1103"/>
        </w:trPr>
        <w:tc>
          <w:tcPr>
            <w:tcW w:w="658" w:type="pct"/>
            <w:shd w:val="clear" w:color="000000" w:fill="FFFFFF"/>
            <w:vAlign w:val="center"/>
          </w:tcPr>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Level 3 - Intermediate</w:t>
            </w:r>
          </w:p>
        </w:tc>
        <w:tc>
          <w:tcPr>
            <w:tcW w:w="1738" w:type="pct"/>
            <w:shd w:val="clear" w:color="000000" w:fill="FFFFFF"/>
          </w:tcPr>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Broad and in-depth knowledge and skills with regards to the competency.</w:t>
            </w:r>
            <w:r w:rsidRPr="00251707">
              <w:rPr>
                <w:rFonts w:ascii="Verdana" w:hAnsi="Verdana" w:cstheme="minorHAnsi"/>
                <w:sz w:val="20"/>
                <w:szCs w:val="20"/>
              </w:rPr>
              <w:br/>
              <w:t>Ability to deal with a variety of exceptions and special cases related to the competency in an independent manner.</w:t>
            </w:r>
          </w:p>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Ability to effectively share knowledge and experience with more junior profiles.</w:t>
            </w:r>
            <w:r w:rsidRPr="00251707">
              <w:rPr>
                <w:rFonts w:ascii="Verdana" w:hAnsi="Verdana" w:cstheme="minorHAnsi"/>
                <w:sz w:val="20"/>
                <w:szCs w:val="20"/>
              </w:rPr>
              <w:br/>
              <w:t xml:space="preserve">Confidence in serving as an advisor and is sought out to provide insight in the </w:t>
            </w:r>
            <w:r w:rsidRPr="00251707">
              <w:rPr>
                <w:rFonts w:ascii="Verdana" w:hAnsi="Verdana" w:cstheme="minorHAnsi"/>
                <w:sz w:val="20"/>
                <w:szCs w:val="20"/>
              </w:rPr>
              <w:lastRenderedPageBreak/>
              <w:t>application of this competency.</w:t>
            </w:r>
          </w:p>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tcPr>
          <w:p w:rsidR="00740E5A" w:rsidRPr="00251707" w:rsidRDefault="00740E5A" w:rsidP="0044373B">
            <w:pPr>
              <w:spacing w:before="60" w:after="120" w:line="240" w:lineRule="auto"/>
              <w:rPr>
                <w:rFonts w:ascii="Verdana" w:hAnsi="Verdana" w:cstheme="minorHAnsi"/>
                <w:sz w:val="20"/>
                <w:szCs w:val="20"/>
              </w:rPr>
            </w:pPr>
          </w:p>
        </w:tc>
        <w:tc>
          <w:tcPr>
            <w:tcW w:w="2014" w:type="pct"/>
            <w:shd w:val="clear" w:color="000000" w:fill="FFFFFF"/>
          </w:tcPr>
          <w:p w:rsidR="00740E5A" w:rsidRDefault="00740E5A" w:rsidP="000B3366">
            <w:r>
              <w:t>Opsežno i dubinski usvojio kompetenciju i vještine povezane s kompetencijom.</w:t>
            </w:r>
          </w:p>
          <w:p w:rsidR="00740E5A" w:rsidRDefault="00740E5A" w:rsidP="000B3366">
            <w:r>
              <w:t>Sposobnost neovisnog rješavanja različitih iznimaka i posebnih slučajeva povezanih s kompetencijom.</w:t>
            </w:r>
          </w:p>
          <w:p w:rsidR="00740E5A" w:rsidRDefault="00740E5A" w:rsidP="000B3366">
            <w:r>
              <w:t>Sposobnost učinkovite razmjene znanja i iskustva s neiskusnijim zaposlenicima.</w:t>
            </w:r>
          </w:p>
          <w:p w:rsidR="00740E5A" w:rsidRPr="00251707" w:rsidRDefault="00740E5A" w:rsidP="000B3366">
            <w:pPr>
              <w:spacing w:before="60" w:after="120" w:line="240" w:lineRule="auto"/>
              <w:rPr>
                <w:rFonts w:ascii="Verdana" w:hAnsi="Verdana" w:cstheme="minorHAnsi"/>
                <w:sz w:val="20"/>
                <w:szCs w:val="20"/>
              </w:rPr>
            </w:pPr>
            <w:r>
              <w:lastRenderedPageBreak/>
              <w:t xml:space="preserve">Samouvjereno obavljanje savjetničke uloge i pružanje uvida u primjenu ove </w:t>
            </w:r>
            <w:r>
              <w:rPr>
                <w:rFonts w:ascii="Verdana" w:hAnsi="Verdana" w:cstheme="minorHAnsi"/>
                <w:sz w:val="20"/>
              </w:rPr>
              <w:t>kompetencije.</w:t>
            </w:r>
          </w:p>
          <w:p w:rsidR="00740E5A" w:rsidRPr="00EC24FD" w:rsidRDefault="00740E5A" w:rsidP="000B3366">
            <w:r>
              <w:rPr>
                <w:rFonts w:ascii="Verdana" w:hAnsi="Verdana" w:cstheme="minorHAnsi"/>
                <w:sz w:val="20"/>
              </w:rPr>
              <w:t>Sposoban je osposobljavati druge za primjenu te kompetencije prevođenjem složenih nijansi i pitanja povezanih s ovom kompetencijom u lako razumljive pojmove.</w:t>
            </w:r>
          </w:p>
        </w:tc>
      </w:tr>
      <w:tr w:rsidR="00740E5A" w:rsidRPr="00251707" w:rsidTr="006645FC">
        <w:trPr>
          <w:trHeight w:val="1103"/>
        </w:trPr>
        <w:tc>
          <w:tcPr>
            <w:tcW w:w="658" w:type="pct"/>
            <w:shd w:val="clear" w:color="000000" w:fill="FFFFFF"/>
            <w:vAlign w:val="center"/>
          </w:tcPr>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lastRenderedPageBreak/>
              <w:t>Level 4 - Expert</w:t>
            </w:r>
          </w:p>
        </w:tc>
        <w:tc>
          <w:tcPr>
            <w:tcW w:w="1738" w:type="pct"/>
            <w:shd w:val="clear" w:color="000000" w:fill="FFFFFF"/>
          </w:tcPr>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Extensive expert knowledge and skills with regards to the competency.</w:t>
            </w:r>
          </w:p>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Ability to highlight the (dis)advantages of each of the processes related to the competency whilst linking them to the bigger picture.</w:t>
            </w:r>
          </w:p>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Ability to provide tailored advice and to support the advice with relevant and context specific arguments when responding to internal and external queries.</w:t>
            </w:r>
          </w:p>
          <w:p w:rsidR="00740E5A" w:rsidRPr="00251707" w:rsidRDefault="00740E5A" w:rsidP="000D5558">
            <w:pPr>
              <w:spacing w:before="60" w:after="120" w:line="240" w:lineRule="auto"/>
              <w:rPr>
                <w:rFonts w:ascii="Verdana" w:hAnsi="Verdana" w:cstheme="minorHAnsi"/>
                <w:sz w:val="20"/>
                <w:szCs w:val="20"/>
              </w:rPr>
            </w:pPr>
            <w:r w:rsidRPr="00251707">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tcPr>
          <w:p w:rsidR="00740E5A" w:rsidRPr="00874777" w:rsidRDefault="00740E5A" w:rsidP="00051B1B">
            <w:r w:rsidRPr="00874777">
              <w:t>Razina 4. – Stručna razina znanja</w:t>
            </w:r>
          </w:p>
        </w:tc>
        <w:tc>
          <w:tcPr>
            <w:tcW w:w="2014" w:type="pct"/>
            <w:shd w:val="clear" w:color="000000" w:fill="FFFFFF"/>
          </w:tcPr>
          <w:p w:rsidR="00740E5A" w:rsidRPr="00251707" w:rsidRDefault="00740E5A" w:rsidP="000B3366">
            <w:pPr>
              <w:spacing w:before="60" w:after="120" w:line="240" w:lineRule="auto"/>
              <w:rPr>
                <w:rFonts w:ascii="Verdana" w:hAnsi="Verdana" w:cstheme="minorHAnsi"/>
                <w:sz w:val="20"/>
                <w:szCs w:val="20"/>
              </w:rPr>
            </w:pPr>
            <w:r w:rsidRPr="00874777">
              <w:t>Opsežno stručno znanje i vještine povezani s kompetencijom.</w:t>
            </w:r>
            <w:r>
              <w:t xml:space="preserve"> </w:t>
            </w:r>
            <w:r>
              <w:rPr>
                <w:rFonts w:ascii="Verdana" w:hAnsi="Verdana" w:cstheme="minorHAnsi"/>
                <w:sz w:val="20"/>
              </w:rPr>
              <w:t>Sposobnost isticanja prednosti (nedostataka) svakog postupka povezanog s kompetencijom i njihovo povezivanje sa širom slikom.</w:t>
            </w:r>
          </w:p>
          <w:p w:rsidR="00740E5A" w:rsidRPr="00251707" w:rsidRDefault="00740E5A" w:rsidP="000B3366">
            <w:pPr>
              <w:spacing w:before="60" w:after="120" w:line="240" w:lineRule="auto"/>
              <w:rPr>
                <w:rFonts w:ascii="Verdana" w:hAnsi="Verdana" w:cstheme="minorHAnsi"/>
                <w:sz w:val="20"/>
                <w:szCs w:val="20"/>
              </w:rPr>
            </w:pPr>
            <w:r>
              <w:rPr>
                <w:rFonts w:ascii="Verdana" w:hAnsi="Verdana" w:cstheme="minorHAnsi"/>
                <w:sz w:val="20"/>
              </w:rPr>
              <w:t>Sposobnost pružanja prilagođenih savjeta i potkrjepljivanja savjeta relevantnim argumentima specifičnima za kontekst pri davanju odgovora na unutarnje i vanjske upite.</w:t>
            </w:r>
          </w:p>
          <w:p w:rsidR="00740E5A" w:rsidRPr="00874777" w:rsidRDefault="00740E5A" w:rsidP="000B3366">
            <w:r>
              <w:rPr>
                <w:rFonts w:ascii="Verdana" w:hAnsi="Verdana" w:cstheme="minorHAnsi"/>
                <w:sz w:val="20"/>
              </w:rPr>
              <w:t>Drugi ga smatraju uzorom koji može predvoditi druge ili ih podučavati u području kompetencije.</w:t>
            </w:r>
          </w:p>
        </w:tc>
      </w:tr>
    </w:tbl>
    <w:p w:rsidR="0044373B" w:rsidRPr="00251707" w:rsidRDefault="0044373B" w:rsidP="0044373B">
      <w:pPr>
        <w:rPr>
          <w:rFonts w:ascii="Verdana" w:hAnsi="Verdana"/>
        </w:rPr>
      </w:pPr>
    </w:p>
    <w:p w:rsidR="0044373B" w:rsidRPr="00251707" w:rsidRDefault="0044373B" w:rsidP="0044373B">
      <w:pPr>
        <w:rPr>
          <w:rFonts w:ascii="Verdana" w:hAnsi="Verdana"/>
        </w:rPr>
      </w:pPr>
    </w:p>
    <w:p w:rsidR="006645FC" w:rsidRPr="00251707" w:rsidRDefault="006645FC" w:rsidP="00B81E04">
      <w:pPr>
        <w:pStyle w:val="Heading1"/>
        <w:sectPr w:rsidR="006645FC" w:rsidRPr="00251707" w:rsidSect="00CD1306">
          <w:pgSz w:w="15840" w:h="12240" w:orient="landscape"/>
          <w:pgMar w:top="1440" w:right="1440" w:bottom="1440" w:left="1440" w:header="720" w:footer="720" w:gutter="0"/>
          <w:cols w:space="720"/>
          <w:docGrid w:linePitch="360"/>
        </w:sectPr>
      </w:pPr>
    </w:p>
    <w:p w:rsidR="00CD1306" w:rsidRPr="00251707" w:rsidRDefault="00CD1306" w:rsidP="00B81E04">
      <w:pPr>
        <w:pStyle w:val="Heading1"/>
      </w:pPr>
      <w:bookmarkStart w:id="7" w:name="_Toc494963497"/>
      <w:bookmarkStart w:id="8" w:name="_Toc508374096"/>
      <w:r>
        <w:lastRenderedPageBreak/>
        <w:t>Operativne kompetencije</w:t>
      </w:r>
      <w:bookmarkEnd w:id="7"/>
      <w:bookmarkEnd w:id="8"/>
    </w:p>
    <w:tbl>
      <w:tblPr>
        <w:tblW w:w="13378" w:type="dxa"/>
        <w:tblLook w:val="04A0" w:firstRow="1" w:lastRow="0" w:firstColumn="1" w:lastColumn="0" w:noHBand="0" w:noVBand="1"/>
      </w:tblPr>
      <w:tblGrid>
        <w:gridCol w:w="1424"/>
        <w:gridCol w:w="5634"/>
        <w:gridCol w:w="6320"/>
      </w:tblGrid>
      <w:tr w:rsidR="0001418D" w:rsidRPr="00251707" w:rsidTr="009C72B5">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engleski</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hrvatski</w:t>
            </w:r>
          </w:p>
        </w:tc>
      </w:tr>
      <w:tr w:rsidR="00740E5A" w:rsidRPr="0001418D" w:rsidTr="0001418D">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740E5A" w:rsidRPr="0001418D" w:rsidRDefault="00740E5A" w:rsidP="00231B6E">
            <w:pPr>
              <w:spacing w:after="0" w:line="240" w:lineRule="auto"/>
              <w:rPr>
                <w:rFonts w:ascii="Verdana" w:eastAsia="Times New Roman" w:hAnsi="Verdana" w:cs="Times New Roman"/>
                <w:sz w:val="20"/>
                <w:szCs w:val="20"/>
              </w:rPr>
            </w:pPr>
            <w:r>
              <w:rPr>
                <w:rFonts w:ascii="Verdana" w:hAnsi="Verdana"/>
                <w:b/>
                <w:sz w:val="20"/>
              </w:rPr>
              <w:t>Code</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740E5A" w:rsidRPr="0001418D" w:rsidRDefault="00740E5A" w:rsidP="000D5558">
            <w:pPr>
              <w:spacing w:after="0" w:line="240" w:lineRule="auto"/>
              <w:rPr>
                <w:rFonts w:ascii="Verdana" w:eastAsia="Times New Roman" w:hAnsi="Verdana" w:cs="Times New Roman"/>
                <w:sz w:val="20"/>
                <w:szCs w:val="20"/>
                <w:lang w:val="en-US" w:bidi="he-IL"/>
              </w:rPr>
            </w:pPr>
            <w:r w:rsidRPr="0001418D">
              <w:rPr>
                <w:rFonts w:ascii="Verdana" w:eastAsia="Times New Roman" w:hAnsi="Verdana" w:cs="Times New Roman"/>
                <w:sz w:val="20"/>
                <w:szCs w:val="20"/>
                <w:lang w:val="en-US" w:bidi="he-IL"/>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tcPr>
          <w:p w:rsidR="00740E5A" w:rsidRPr="0001418D" w:rsidRDefault="00740E5A" w:rsidP="00231B6E">
            <w:pPr>
              <w:spacing w:after="0" w:line="240" w:lineRule="auto"/>
              <w:rPr>
                <w:rFonts w:ascii="Verdana" w:eastAsia="Times New Roman" w:hAnsi="Verdana" w:cs="Times New Roman"/>
                <w:sz w:val="20"/>
                <w:szCs w:val="20"/>
              </w:rPr>
            </w:pPr>
          </w:p>
        </w:tc>
      </w:tr>
      <w:tr w:rsidR="00740E5A" w:rsidRPr="00251707" w:rsidTr="00AB57C3">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General provisions</w:t>
            </w:r>
            <w:r w:rsidRPr="00251707">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tcPr>
          <w:p w:rsidR="00740E5A" w:rsidRPr="00080F52" w:rsidRDefault="00740E5A" w:rsidP="006F09DA">
            <w:r w:rsidRPr="00080F52">
              <w:t>Opće odredbe ESIF-a EU-a/ nacionalni pravni akti</w:t>
            </w:r>
          </w:p>
        </w:tc>
      </w:tr>
      <w:tr w:rsidR="00740E5A"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tcPr>
          <w:p w:rsidR="00740E5A" w:rsidRPr="00080F52" w:rsidRDefault="00740E5A" w:rsidP="006F09DA">
            <w:r w:rsidRPr="00080F52">
              <w:t>Nacionalni strateški dokumenti (npr. nacionalne razvojne strategije, relevantne tematske i sektorske politike)</w:t>
            </w:r>
          </w:p>
        </w:tc>
      </w:tr>
      <w:tr w:rsidR="00740E5A"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Eligibility of expenditure provisions </w:t>
            </w:r>
            <w:r w:rsidRPr="00251707">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tcPr>
          <w:p w:rsidR="00740E5A" w:rsidRPr="00080F52" w:rsidRDefault="00740E5A" w:rsidP="006F09DA">
            <w:r w:rsidRPr="00080F52">
              <w:t>Odredbe o prihvatljivosti rashoda iz ESIF-a EU-a / nacionalnih pravnih akata (pravila, smjernica i metodologija, uključujući područje primjene potpore)</w:t>
            </w:r>
          </w:p>
        </w:tc>
      </w:tr>
      <w:tr w:rsidR="00740E5A"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tcPr>
          <w:p w:rsidR="00740E5A" w:rsidRPr="00080F52" w:rsidRDefault="00740E5A" w:rsidP="006F09DA">
            <w:r w:rsidRPr="00080F52">
              <w:t>Teritorijalna pitanja, kao što su ITI, CLLD, održivi urbani razvoj, makro/regionalne strategije i planiranje međuregionalne suradnje</w:t>
            </w:r>
          </w:p>
        </w:tc>
      </w:tr>
      <w:tr w:rsidR="00740E5A"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tcPr>
          <w:p w:rsidR="00740E5A" w:rsidRPr="00080F52" w:rsidRDefault="00740E5A" w:rsidP="006F09DA">
            <w:r w:rsidRPr="00080F52">
              <w:t>Državne potpore</w:t>
            </w:r>
          </w:p>
        </w:tc>
      </w:tr>
      <w:tr w:rsidR="00740E5A"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tcPr>
          <w:p w:rsidR="00740E5A" w:rsidRPr="00080F52" w:rsidRDefault="00740E5A" w:rsidP="006F09DA">
            <w:r w:rsidRPr="00080F52">
              <w:t>Relevantno tematsko znanje (tematsko zakonodavstvo, troškovi, primjenjivi standardi, trendovi)</w:t>
            </w:r>
          </w:p>
        </w:tc>
      </w:tr>
      <w:tr w:rsidR="00740E5A"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tcPr>
          <w:p w:rsidR="00740E5A" w:rsidRPr="00080F52" w:rsidRDefault="00740E5A" w:rsidP="006F09DA">
            <w:r w:rsidRPr="00080F52">
              <w:t>Logika intervencije</w:t>
            </w:r>
          </w:p>
        </w:tc>
      </w:tr>
      <w:tr w:rsidR="00740E5A"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tcPr>
          <w:p w:rsidR="00740E5A" w:rsidRPr="00080F52" w:rsidRDefault="00740E5A" w:rsidP="006F09DA">
            <w:r w:rsidRPr="00080F52">
              <w:t>Pokazatelji ulaznih vrijednosti, izlaznih vrijednosti, rezultata</w:t>
            </w:r>
          </w:p>
        </w:tc>
      </w:tr>
      <w:tr w:rsidR="00740E5A"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tcPr>
          <w:p w:rsidR="00740E5A" w:rsidRPr="00080F52" w:rsidRDefault="00740E5A" w:rsidP="006F09DA">
            <w:r w:rsidRPr="00080F52">
              <w:t>Izrada proračuna i procjena troška</w:t>
            </w:r>
          </w:p>
        </w:tc>
      </w:tr>
      <w:tr w:rsidR="00740E5A"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(ex</w:t>
            </w:r>
            <w:r w:rsidRPr="00251707">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tcPr>
          <w:p w:rsidR="00740E5A" w:rsidRPr="00080F52" w:rsidRDefault="00740E5A" w:rsidP="006F09DA">
            <w:r w:rsidRPr="00080F52">
              <w:t>Oblikovanje financijskih instrumenata (ex-ante procjena, odabir i uspostava financijskih instrumenata)</w:t>
            </w:r>
          </w:p>
        </w:tc>
      </w:tr>
      <w:tr w:rsidR="00740E5A"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tcPr>
          <w:p w:rsidR="00740E5A" w:rsidRPr="00080F52" w:rsidRDefault="00740E5A" w:rsidP="006F09DA">
            <w:r w:rsidRPr="00080F52">
              <w:t>Horizontalna pitanja (kao što je održivi razvoj, jednakost itd.)</w:t>
            </w:r>
          </w:p>
        </w:tc>
      </w:tr>
      <w:tr w:rsidR="00740E5A"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tcPr>
          <w:p w:rsidR="00740E5A" w:rsidRPr="00080F52" w:rsidRDefault="00740E5A" w:rsidP="006F09DA">
            <w:r w:rsidRPr="00080F52">
              <w:t>Administrativni postupci za nabavu robe i usluga iz tehničke pomoći</w:t>
            </w:r>
          </w:p>
        </w:tc>
      </w:tr>
      <w:tr w:rsidR="00740E5A"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tcPr>
          <w:p w:rsidR="00740E5A" w:rsidRPr="00080F52" w:rsidRDefault="00740E5A" w:rsidP="006F09DA">
            <w:r w:rsidRPr="00080F52">
              <w:t>Prekogranična, transnacionalna i međuregionalna suradnja i Europske grupacije za teritorijalnu suradnju</w:t>
            </w:r>
          </w:p>
        </w:tc>
      </w:tr>
      <w:tr w:rsidR="00740E5A"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lastRenderedPageBreak/>
              <w:t>JS.O.C14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tcPr>
          <w:p w:rsidR="00740E5A" w:rsidRPr="00080F52" w:rsidRDefault="00740E5A" w:rsidP="006F09DA">
            <w:r w:rsidRPr="00080F52">
              <w:t>Upravljanje izdvajanjem aktivnosti tehničke pomoći</w:t>
            </w:r>
          </w:p>
        </w:tc>
      </w:tr>
      <w:tr w:rsidR="00740E5A" w:rsidRPr="00251707"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tcPr>
          <w:p w:rsidR="00740E5A" w:rsidRDefault="00740E5A" w:rsidP="006F09DA">
            <w:r w:rsidRPr="00080F52">
              <w:t>Gospodarsko okruženje i postupci reforme (Europski semestar, nacionalni programi reformi i preporuke po državama članicama)</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Upravljanje programom i upravljanje projektnim ciklusom</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and implementation </w:t>
            </w:r>
            <w:r w:rsidRPr="00251707">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 xml:space="preserve">Odredbe o upravljanju i provedbi </w:t>
            </w:r>
            <w:r>
              <w:rPr>
                <w:rFonts w:ascii="Verdana" w:hAnsi="Verdana"/>
                <w:color w:val="000000"/>
                <w:sz w:val="20"/>
              </w:rPr>
              <w:t>uključene u ESIF EU-a / nacionalne pravne akte (izrada programa, odabir operacija, praćenje, kontrole i revizija, evaluacija, objavljivanje)</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Pravila javne nabave</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Upravljanje rizikom od prijevara i nepravilnostima (uklj. mjere sprječavanja, otkrivanja i ublažavanja)</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 xml:space="preserve">Definicija i revizija administrativne organizacije </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Uspostava sustava upravljanja i kontrole</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Procjena administrativnog opterećenja</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Procjena uspješnosti sustava ESIF-a</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Pojednostavljene mogućnosti financiranja</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Analiza troškova i koristi i studije o izvedivosti</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Procjena utjecaja na okoliš (EIA) velikih i infrastrukturnih projekata</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Nedostatak financiranja i stvaranje prihoda</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Postupci / zakonodavstvo povezani s velikim projektima</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Poticajni učinak</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Financijski instrumenti relevantni za funkciju</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Oblikovanje financijskih instrumenata i provedbeni mehanizmi</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Predviđanje i planiranje ciljeva uspješnosti /okvira uspješnosti</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Upravljanje rizikom povezano s velikim i infrastrukturnim projektima</w:t>
            </w:r>
          </w:p>
        </w:tc>
      </w:tr>
      <w:tr w:rsidR="00740E5A" w:rsidRPr="00251707" w:rsidTr="0054408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Postupak evaluacije upravljanja programom, prioritetom ili mjerom</w:t>
            </w:r>
          </w:p>
        </w:tc>
      </w:tr>
      <w:tr w:rsidR="00740E5A" w:rsidRPr="00251707" w:rsidTr="002D62B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lastRenderedPageBreak/>
              <w:t>JS.O.C35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Glavni evaluacijski kriteriji (relevantnost, komplementarnost, dosljednost, učinkovitost i djelotvornost)</w:t>
            </w:r>
          </w:p>
        </w:tc>
      </w:tr>
      <w:tr w:rsidR="00740E5A" w:rsidRPr="00251707" w:rsidTr="002D62B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Prikupljanje podataka i metode analize za evaluaciju programa, prioriteta ili mjera</w:t>
            </w:r>
          </w:p>
        </w:tc>
      </w:tr>
      <w:tr w:rsidR="00740E5A" w:rsidRPr="00251707" w:rsidTr="002D62B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Planiranje proračuna, upravljanje njime i predviđanje</w:t>
            </w:r>
          </w:p>
        </w:tc>
      </w:tr>
      <w:tr w:rsidR="00740E5A" w:rsidRPr="00251707" w:rsidTr="002D62B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Expenditure at project level</w:t>
            </w:r>
            <w:r w:rsidRPr="00251707">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Rashodi na razini projekta (računi za ugovore, bankovna izvješća)</w:t>
            </w:r>
          </w:p>
        </w:tc>
      </w:tr>
      <w:tr w:rsidR="00740E5A" w:rsidRPr="00251707" w:rsidTr="002D62B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Communication provisions</w:t>
            </w:r>
            <w:r w:rsidRPr="00251707">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Odredbe o komunikaciji</w:t>
            </w:r>
            <w:r>
              <w:rPr>
                <w:rFonts w:ascii="Verdana" w:hAnsi="Verdana"/>
                <w:color w:val="000000"/>
                <w:sz w:val="20"/>
              </w:rPr>
              <w:t xml:space="preserve"> uključene u ESIF EU-a / nacionalne pravne akte</w:t>
            </w:r>
          </w:p>
        </w:tc>
      </w:tr>
      <w:tr w:rsidR="00740E5A" w:rsidRPr="00251707" w:rsidTr="002D62B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Identifikacija različitih dionika i njihovih potreba za informacijama</w:t>
            </w:r>
          </w:p>
        </w:tc>
      </w:tr>
      <w:tr w:rsidR="00740E5A" w:rsidRPr="00251707" w:rsidTr="002D62B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Upravljanje relevantnim medijima</w:t>
            </w:r>
          </w:p>
        </w:tc>
      </w:tr>
      <w:tr w:rsidR="00740E5A" w:rsidRPr="00251707" w:rsidTr="002D62B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Internetska komunikacija</w:t>
            </w:r>
          </w:p>
        </w:tc>
      </w:tr>
      <w:tr w:rsidR="00740E5A" w:rsidRPr="00251707" w:rsidTr="002D62BD">
        <w:trPr>
          <w:trHeight w:val="7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Znanje o inženjerstvu relevantno za sektor</w:t>
            </w:r>
          </w:p>
        </w:tc>
      </w:tr>
      <w:tr w:rsidR="00740E5A" w:rsidRPr="00251707" w:rsidTr="002D62B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40E5A" w:rsidRPr="00251707" w:rsidRDefault="00740E5A" w:rsidP="00231B6E">
            <w:pPr>
              <w:spacing w:after="0" w:line="240" w:lineRule="auto"/>
              <w:rPr>
                <w:rFonts w:ascii="Verdana" w:eastAsia="Times New Roman" w:hAnsi="Verdana" w:cs="Times New Roman"/>
                <w:sz w:val="20"/>
                <w:szCs w:val="20"/>
              </w:rPr>
            </w:pPr>
            <w:r>
              <w:rPr>
                <w:rFonts w:ascii="Verdana" w:hAnsi="Verdana"/>
                <w:sz w:val="20"/>
              </w:rPr>
              <w:t>JS.O.C44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740E5A" w:rsidRPr="00251707" w:rsidRDefault="00740E5A" w:rsidP="000D555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40E5A" w:rsidRPr="00251707" w:rsidRDefault="00740E5A" w:rsidP="000D5558">
            <w:pPr>
              <w:spacing w:after="0" w:line="240" w:lineRule="auto"/>
              <w:rPr>
                <w:rFonts w:ascii="Verdana" w:eastAsia="Times New Roman" w:hAnsi="Verdana" w:cs="Times New Roman"/>
                <w:sz w:val="20"/>
                <w:szCs w:val="20"/>
              </w:rPr>
            </w:pPr>
            <w:r>
              <w:rPr>
                <w:rFonts w:ascii="Verdana" w:hAnsi="Verdana"/>
                <w:sz w:val="20"/>
              </w:rPr>
              <w:t>Revizijski standardi, postupci i metodologije</w:t>
            </w:r>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9" w:name="_Toc494963498"/>
      <w:bookmarkStart w:id="10" w:name="_Toc508374097"/>
      <w:r>
        <w:lastRenderedPageBreak/>
        <w:t>Upravljačke kompetencije</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A40E7F" w:rsidTr="00AB57C3">
        <w:trPr>
          <w:trHeight w:val="485"/>
          <w:tblHeader/>
        </w:trPr>
        <w:tc>
          <w:tcPr>
            <w:tcW w:w="386" w:type="pct"/>
            <w:shd w:val="clear" w:color="auto" w:fill="1F3864" w:themeFill="accent5" w:themeFillShade="80"/>
          </w:tcPr>
          <w:p w:rsidR="006931AA" w:rsidRPr="00A40E7F" w:rsidRDefault="006931AA" w:rsidP="006931AA">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6931AA" w:rsidRPr="00A40E7F" w:rsidRDefault="00506E5A" w:rsidP="00506E5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engleski</w:t>
            </w:r>
          </w:p>
        </w:tc>
        <w:tc>
          <w:tcPr>
            <w:tcW w:w="2396" w:type="pct"/>
            <w:gridSpan w:val="2"/>
            <w:shd w:val="clear" w:color="auto" w:fill="1F3864" w:themeFill="accent5" w:themeFillShade="80"/>
            <w:vAlign w:val="center"/>
          </w:tcPr>
          <w:p w:rsidR="006931AA" w:rsidRPr="00A40E7F" w:rsidRDefault="00506E5A" w:rsidP="00506E5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hrvatski</w:t>
            </w:r>
          </w:p>
        </w:tc>
      </w:tr>
      <w:tr w:rsidR="00506E5A" w:rsidRPr="00A40E7F" w:rsidTr="00506E5A">
        <w:trPr>
          <w:trHeight w:val="255"/>
          <w:tblHeader/>
        </w:trPr>
        <w:tc>
          <w:tcPr>
            <w:tcW w:w="386" w:type="pct"/>
            <w:shd w:val="clear" w:color="auto" w:fill="EDEDED" w:themeFill="accent3" w:themeFillTint="33"/>
          </w:tcPr>
          <w:p w:rsidR="00506E5A" w:rsidRPr="00A40E7F" w:rsidRDefault="00506E5A" w:rsidP="00AD2B31">
            <w:pPr>
              <w:spacing w:after="0" w:line="240" w:lineRule="auto"/>
              <w:rPr>
                <w:rFonts w:ascii="Verdana" w:eastAsia="Times New Roman" w:hAnsi="Verdana" w:cstheme="minorHAnsi"/>
                <w:b/>
                <w:bCs/>
                <w:sz w:val="20"/>
                <w:szCs w:val="20"/>
              </w:rPr>
            </w:pPr>
            <w:r>
              <w:rPr>
                <w:rFonts w:ascii="Verdana" w:hAnsi="Verdana" w:cstheme="minorHAnsi"/>
                <w:b/>
                <w:sz w:val="20"/>
              </w:rPr>
              <w:t>Oznaka</w:t>
            </w:r>
          </w:p>
        </w:tc>
        <w:tc>
          <w:tcPr>
            <w:tcW w:w="793" w:type="pct"/>
            <w:shd w:val="clear" w:color="auto" w:fill="EDEDED" w:themeFill="accent3" w:themeFillTint="33"/>
            <w:noWrap/>
            <w:vAlign w:val="center"/>
            <w:hideMark/>
          </w:tcPr>
          <w:p w:rsidR="00506E5A" w:rsidRPr="00A40E7F" w:rsidRDefault="00506E5A"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c>
          <w:tcPr>
            <w:tcW w:w="1425" w:type="pct"/>
            <w:shd w:val="clear" w:color="auto" w:fill="EDEDED" w:themeFill="accent3" w:themeFillTint="33"/>
            <w:noWrap/>
            <w:vAlign w:val="center"/>
            <w:hideMark/>
          </w:tcPr>
          <w:p w:rsidR="00506E5A" w:rsidRPr="00A40E7F" w:rsidRDefault="00506E5A"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c>
          <w:tcPr>
            <w:tcW w:w="764" w:type="pct"/>
            <w:shd w:val="clear" w:color="auto" w:fill="EDEDED" w:themeFill="accent3" w:themeFillTint="33"/>
            <w:vAlign w:val="center"/>
          </w:tcPr>
          <w:p w:rsidR="00506E5A" w:rsidRPr="00A40E7F" w:rsidRDefault="00506E5A" w:rsidP="000D5558">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c>
          <w:tcPr>
            <w:tcW w:w="1632" w:type="pct"/>
            <w:shd w:val="clear" w:color="auto" w:fill="EDEDED" w:themeFill="accent3" w:themeFillTint="33"/>
            <w:vAlign w:val="center"/>
          </w:tcPr>
          <w:p w:rsidR="00506E5A" w:rsidRPr="00A40E7F" w:rsidRDefault="00506E5A" w:rsidP="000D5558">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506E5A" w:rsidRPr="00A40E7F" w:rsidTr="00506E5A">
        <w:trPr>
          <w:trHeight w:val="1305"/>
        </w:trPr>
        <w:tc>
          <w:tcPr>
            <w:tcW w:w="386" w:type="pct"/>
            <w:shd w:val="clear" w:color="000000" w:fill="FFFFFF"/>
            <w:vAlign w:val="center"/>
          </w:tcPr>
          <w:p w:rsidR="00506E5A" w:rsidRPr="00A40E7F" w:rsidRDefault="00506E5A"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Developing others and people management</w:t>
            </w:r>
          </w:p>
        </w:tc>
        <w:tc>
          <w:tcPr>
            <w:tcW w:w="1425"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Razvoj drugih i upravljanje ljudima</w:t>
            </w:r>
          </w:p>
        </w:tc>
        <w:tc>
          <w:tcPr>
            <w:tcW w:w="1632"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pružanje pravodobnih, jasnih i posebnih smjernica, povratnih informacija i potpore drugima za utvrđivanje potreba i prilika za razvoj i osposobljavanje, za razvoj njihova znanja, vještina i sposobnosti potrebnih za obavljanje dodijeljenih zadaća ili za rješavanje problema i pokazivanje sposobnosti za upravljanje radnim zadaćama zaposlenika, njihovim razvojem i obavljanjem na način kojim se osigurava najveća učinkovitost ljudskih potencijala.</w:t>
            </w:r>
          </w:p>
        </w:tc>
      </w:tr>
      <w:tr w:rsidR="00506E5A" w:rsidRPr="00A40E7F" w:rsidTr="00506E5A">
        <w:trPr>
          <w:trHeight w:val="765"/>
        </w:trPr>
        <w:tc>
          <w:tcPr>
            <w:tcW w:w="386" w:type="pct"/>
            <w:shd w:val="clear" w:color="000000" w:fill="FFFFFF"/>
            <w:vAlign w:val="center"/>
          </w:tcPr>
          <w:p w:rsidR="00506E5A" w:rsidRPr="00A40E7F" w:rsidRDefault="00506E5A"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Decision making</w:t>
            </w:r>
          </w:p>
        </w:tc>
        <w:tc>
          <w:tcPr>
            <w:tcW w:w="1425"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Donošenje odluka</w:t>
            </w:r>
          </w:p>
        </w:tc>
        <w:tc>
          <w:tcPr>
            <w:tcW w:w="1632"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primjenu učinkovitih pristupa donošenju zaključaka ili razvoju rješenja i za poduzimanje pravodobnih mjera koje su u skladu s dostupnim podacima i činjenicama zaprimljenima iz različitih izvora, ograničenjima i mogućim posljedicama.</w:t>
            </w:r>
          </w:p>
        </w:tc>
      </w:tr>
      <w:tr w:rsidR="00506E5A" w:rsidRPr="00A40E7F" w:rsidTr="00506E5A">
        <w:trPr>
          <w:trHeight w:val="1020"/>
        </w:trPr>
        <w:tc>
          <w:tcPr>
            <w:tcW w:w="386" w:type="pct"/>
            <w:shd w:val="clear" w:color="000000" w:fill="FFFFFF"/>
            <w:vAlign w:val="center"/>
          </w:tcPr>
          <w:p w:rsidR="00506E5A" w:rsidRPr="00A40E7F" w:rsidRDefault="00506E5A"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Delegation</w:t>
            </w:r>
          </w:p>
        </w:tc>
        <w:tc>
          <w:tcPr>
            <w:tcW w:w="1425"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 xml:space="preserve">Demonstrating ability to allocate decision-making and/or task responsibility to others, to ensure clear communication about the allocation and completion of responsibilities, and to provide appropriate support in a manner </w:t>
            </w:r>
            <w:r w:rsidRPr="00A40E7F">
              <w:rPr>
                <w:rFonts w:ascii="Verdana" w:hAnsi="Verdana" w:cstheme="minorHAnsi"/>
                <w:sz w:val="20"/>
                <w:szCs w:val="20"/>
              </w:rPr>
              <w:lastRenderedPageBreak/>
              <w:t>to maximise the organisational and individuals effectiveness.</w:t>
            </w:r>
          </w:p>
        </w:tc>
        <w:tc>
          <w:tcPr>
            <w:tcW w:w="76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lastRenderedPageBreak/>
              <w:t>Delegiranje</w:t>
            </w:r>
          </w:p>
        </w:tc>
        <w:tc>
          <w:tcPr>
            <w:tcW w:w="1632"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 xml:space="preserve">Pokazivanje sposobnosti za dodjeljivanje odgovornosti za donošenje odluka i/ili obavljanje zadaća drugima, za osiguravanje jasne komunikacije o dodjeli odgovornosti i njihovu izvršavanju i pružanje odgovarajuće potpore na način kojim će se postići </w:t>
            </w:r>
            <w:r>
              <w:rPr>
                <w:rFonts w:ascii="Verdana" w:hAnsi="Verdana" w:cstheme="minorHAnsi"/>
                <w:sz w:val="20"/>
              </w:rPr>
              <w:lastRenderedPageBreak/>
              <w:t>najveća moguća djelotvornost organizacija i pojedinaca.</w:t>
            </w:r>
          </w:p>
        </w:tc>
      </w:tr>
      <w:tr w:rsidR="00506E5A" w:rsidRPr="00A40E7F" w:rsidTr="00506E5A">
        <w:trPr>
          <w:trHeight w:val="765"/>
        </w:trPr>
        <w:tc>
          <w:tcPr>
            <w:tcW w:w="386" w:type="pct"/>
            <w:shd w:val="clear" w:color="000000" w:fill="FFFFFF"/>
            <w:vAlign w:val="center"/>
          </w:tcPr>
          <w:p w:rsidR="00506E5A" w:rsidRPr="00A40E7F" w:rsidRDefault="00506E5A"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Facilitation and communication</w:t>
            </w:r>
          </w:p>
        </w:tc>
        <w:tc>
          <w:tcPr>
            <w:tcW w:w="1425"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Olakšavanje i komunikacija</w:t>
            </w:r>
          </w:p>
        </w:tc>
        <w:tc>
          <w:tcPr>
            <w:tcW w:w="1632"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poticanje sudjelovanja i kreativnosti drugih, za predvođenje grupe u postizanju konsenzusa, za učinkovito rješavanje problema, uspješno obavljanje zadaća i postizanje uzajamnih ciljeva.</w:t>
            </w:r>
          </w:p>
        </w:tc>
      </w:tr>
      <w:tr w:rsidR="00506E5A" w:rsidRPr="00A40E7F" w:rsidTr="00506E5A">
        <w:trPr>
          <w:trHeight w:val="765"/>
        </w:trPr>
        <w:tc>
          <w:tcPr>
            <w:tcW w:w="386" w:type="pct"/>
            <w:shd w:val="clear" w:color="000000" w:fill="FFFFFF"/>
            <w:vAlign w:val="center"/>
          </w:tcPr>
          <w:p w:rsidR="00506E5A" w:rsidRPr="00A40E7F" w:rsidRDefault="00506E5A"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506E5A" w:rsidRPr="00A40E7F" w:rsidRDefault="00506E5A" w:rsidP="000D5558">
            <w:pPr>
              <w:spacing w:after="0"/>
              <w:rPr>
                <w:rFonts w:ascii="Verdana" w:hAnsi="Verdana" w:cstheme="minorHAnsi"/>
                <w:sz w:val="20"/>
                <w:szCs w:val="20"/>
              </w:rPr>
            </w:pPr>
            <w:bookmarkStart w:id="11" w:name="RANGE!B8"/>
            <w:r w:rsidRPr="00A40E7F">
              <w:rPr>
                <w:rFonts w:ascii="Verdana" w:hAnsi="Verdana" w:cstheme="minorHAnsi"/>
                <w:sz w:val="20"/>
                <w:szCs w:val="20"/>
              </w:rPr>
              <w:t>Leadership</w:t>
            </w:r>
            <w:bookmarkEnd w:id="11"/>
          </w:p>
        </w:tc>
        <w:tc>
          <w:tcPr>
            <w:tcW w:w="1425"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Vodstvo</w:t>
            </w:r>
          </w:p>
        </w:tc>
        <w:tc>
          <w:tcPr>
            <w:tcW w:w="1632"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poticanje i nadahnjivanje osoba da ostvare svoju viziju za budućnost, za jasno predstavljanje ciljeva, za stvaranje osjećaja usmjerenosti i svrhe među zaposlenicima i za obavljanje uloge katalizatora za djelovanje.</w:t>
            </w:r>
          </w:p>
        </w:tc>
      </w:tr>
      <w:tr w:rsidR="00506E5A" w:rsidRPr="00A40E7F" w:rsidTr="00506E5A">
        <w:trPr>
          <w:trHeight w:val="765"/>
        </w:trPr>
        <w:tc>
          <w:tcPr>
            <w:tcW w:w="386" w:type="pct"/>
            <w:shd w:val="clear" w:color="000000" w:fill="FFFFFF"/>
            <w:vAlign w:val="center"/>
          </w:tcPr>
          <w:p w:rsidR="00506E5A" w:rsidRPr="00A40E7F" w:rsidRDefault="00506E5A"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Multi-level stakeholder management</w:t>
            </w:r>
          </w:p>
        </w:tc>
        <w:tc>
          <w:tcPr>
            <w:tcW w:w="1425"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6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Upravljanje dionicima na više razina</w:t>
            </w:r>
          </w:p>
        </w:tc>
        <w:tc>
          <w:tcPr>
            <w:tcW w:w="1632"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 xml:space="preserve">Pokazivanje sposobnosti za razumijevanje ciljeva različitih dionika, osiguravanje učinkovite suradnje i sudjelovanja dionika (uklj. otvorenost i poticanje razmjene dobre prakse među različitim državama članicama).  </w:t>
            </w:r>
          </w:p>
        </w:tc>
      </w:tr>
      <w:tr w:rsidR="00506E5A" w:rsidRPr="00A40E7F" w:rsidTr="00506E5A">
        <w:trPr>
          <w:trHeight w:val="765"/>
        </w:trPr>
        <w:tc>
          <w:tcPr>
            <w:tcW w:w="386" w:type="pct"/>
            <w:shd w:val="clear" w:color="000000" w:fill="FFFFFF"/>
            <w:vAlign w:val="center"/>
          </w:tcPr>
          <w:p w:rsidR="00506E5A" w:rsidRPr="00A40E7F" w:rsidRDefault="00506E5A"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Negotiating</w:t>
            </w:r>
          </w:p>
        </w:tc>
        <w:tc>
          <w:tcPr>
            <w:tcW w:w="1425"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 xml:space="preserve">Demonstrating ability to effectively explore (facilitating discussion, asking questions, responding to objections, etc.) alternatives and </w:t>
            </w:r>
            <w:r w:rsidRPr="00A40E7F">
              <w:rPr>
                <w:rFonts w:ascii="Verdana" w:hAnsi="Verdana" w:cstheme="minorHAnsi"/>
                <w:sz w:val="20"/>
                <w:szCs w:val="20"/>
              </w:rPr>
              <w:lastRenderedPageBreak/>
              <w:t>positions of others to reach outcomes that are accepted by all parties (a win-win solution).</w:t>
            </w:r>
          </w:p>
        </w:tc>
        <w:tc>
          <w:tcPr>
            <w:tcW w:w="76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lastRenderedPageBreak/>
              <w:t>Pregovaranje</w:t>
            </w:r>
          </w:p>
        </w:tc>
        <w:tc>
          <w:tcPr>
            <w:tcW w:w="1632"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 xml:space="preserve">Pokazivanje sposobnosti za djelotvorno istraživanje (olakšavanje rasprave, postavljanje pitanja, odgovaranje na prigovore itd.) alternativa i stajališta </w:t>
            </w:r>
            <w:r>
              <w:rPr>
                <w:rFonts w:ascii="Verdana" w:hAnsi="Verdana" w:cstheme="minorHAnsi"/>
                <w:sz w:val="20"/>
              </w:rPr>
              <w:lastRenderedPageBreak/>
              <w:t>drugih u cilju postizanja rezultata koje prihvaćaju sve strane (povoljno rješenje za sve).</w:t>
            </w:r>
          </w:p>
        </w:tc>
      </w:tr>
      <w:tr w:rsidR="00506E5A" w:rsidRPr="00A40E7F" w:rsidTr="00506E5A">
        <w:trPr>
          <w:trHeight w:val="510"/>
        </w:trPr>
        <w:tc>
          <w:tcPr>
            <w:tcW w:w="386" w:type="pct"/>
            <w:shd w:val="clear" w:color="000000" w:fill="FFFFFF"/>
            <w:vAlign w:val="center"/>
          </w:tcPr>
          <w:p w:rsidR="00506E5A" w:rsidRPr="00A40E7F" w:rsidRDefault="00506E5A"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Result orientation</w:t>
            </w:r>
          </w:p>
        </w:tc>
        <w:tc>
          <w:tcPr>
            <w:tcW w:w="1425"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Usmjerenost na rezultate</w:t>
            </w:r>
          </w:p>
        </w:tc>
        <w:tc>
          <w:tcPr>
            <w:tcW w:w="1632"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određivanje zahtjevnih ciljeva, održavanje usredotočenosti i upornosti i stalno postizanje ciljeva ili za ostvarivanje potrebnih rezultata čak i u teškim uvjetima.</w:t>
            </w:r>
          </w:p>
        </w:tc>
      </w:tr>
      <w:tr w:rsidR="00506E5A" w:rsidRPr="00A40E7F" w:rsidTr="00506E5A">
        <w:trPr>
          <w:trHeight w:val="765"/>
        </w:trPr>
        <w:tc>
          <w:tcPr>
            <w:tcW w:w="386" w:type="pct"/>
            <w:shd w:val="clear" w:color="000000" w:fill="FFFFFF"/>
            <w:vAlign w:val="center"/>
          </w:tcPr>
          <w:p w:rsidR="00506E5A" w:rsidRPr="00A40E7F" w:rsidRDefault="00506E5A"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Strategic management</w:t>
            </w:r>
          </w:p>
        </w:tc>
        <w:tc>
          <w:tcPr>
            <w:tcW w:w="1425"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Strateško upravljanje</w:t>
            </w:r>
          </w:p>
        </w:tc>
        <w:tc>
          <w:tcPr>
            <w:tcW w:w="1632"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donošenje odluka i poduzimanje mjera koje će dovesti do razvoja i provedbe strategija usklađenih sa strateškim usmjerenjem organizacije i ostvarenjem ciljeva.</w:t>
            </w:r>
          </w:p>
        </w:tc>
      </w:tr>
      <w:tr w:rsidR="00506E5A" w:rsidRPr="00A40E7F" w:rsidTr="00506E5A">
        <w:trPr>
          <w:trHeight w:val="765"/>
        </w:trPr>
        <w:tc>
          <w:tcPr>
            <w:tcW w:w="386" w:type="pct"/>
            <w:shd w:val="clear" w:color="000000" w:fill="FFFFFF"/>
            <w:vAlign w:val="center"/>
          </w:tcPr>
          <w:p w:rsidR="00506E5A" w:rsidRPr="00A40E7F" w:rsidRDefault="00506E5A"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Risk management</w:t>
            </w:r>
          </w:p>
        </w:tc>
        <w:tc>
          <w:tcPr>
            <w:tcW w:w="1425"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76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Upravljanje rizikom</w:t>
            </w:r>
          </w:p>
        </w:tc>
        <w:tc>
          <w:tcPr>
            <w:tcW w:w="1632"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prepoznavanje, analizu i ocjenjivanje rizika te za određivanje prioriteta među rizicima i za ublažavanje, praćenje i kontrolu vjerojatnosti i/ili učinka nepovoljnih događaja ili za ostvarenje prilika u najvećoj mogućoj mjeri.</w:t>
            </w:r>
          </w:p>
        </w:tc>
      </w:tr>
      <w:tr w:rsidR="00506E5A" w:rsidRPr="00A40E7F" w:rsidTr="00506E5A">
        <w:trPr>
          <w:trHeight w:val="765"/>
        </w:trPr>
        <w:tc>
          <w:tcPr>
            <w:tcW w:w="386" w:type="pct"/>
            <w:shd w:val="clear" w:color="000000" w:fill="FFFFFF"/>
            <w:vAlign w:val="center"/>
          </w:tcPr>
          <w:p w:rsidR="00506E5A" w:rsidRPr="00A40E7F" w:rsidRDefault="00506E5A"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Planning of resources</w:t>
            </w:r>
          </w:p>
        </w:tc>
        <w:tc>
          <w:tcPr>
            <w:tcW w:w="1425"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Planiranje resursa</w:t>
            </w:r>
          </w:p>
        </w:tc>
        <w:tc>
          <w:tcPr>
            <w:tcW w:w="1632"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upravljanje resursima organizacije, uključujući, među ostalim, financijskim sredstvima, inventarom, vještinama zaposlenih, sredstvima za proizvodnju, informacijskom tehnologijom (IT) na učinkovit i djelotvoran način.</w:t>
            </w:r>
          </w:p>
        </w:tc>
      </w:tr>
      <w:tr w:rsidR="00506E5A" w:rsidRPr="00A40E7F" w:rsidTr="00506E5A">
        <w:trPr>
          <w:trHeight w:val="765"/>
        </w:trPr>
        <w:tc>
          <w:tcPr>
            <w:tcW w:w="386" w:type="pct"/>
            <w:shd w:val="clear" w:color="000000" w:fill="FFFFFF"/>
            <w:vAlign w:val="center"/>
          </w:tcPr>
          <w:p w:rsidR="00506E5A" w:rsidRPr="00A40E7F" w:rsidRDefault="00506E5A"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HR Strategy development and implementation</w:t>
            </w:r>
          </w:p>
        </w:tc>
        <w:tc>
          <w:tcPr>
            <w:tcW w:w="1425" w:type="pct"/>
            <w:shd w:val="clear" w:color="000000" w:fill="FFFFFF"/>
            <w:vAlign w:val="center"/>
            <w:hideMark/>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Razvoj i provedba strategije za ljudske potencijale</w:t>
            </w:r>
          </w:p>
        </w:tc>
        <w:tc>
          <w:tcPr>
            <w:tcW w:w="1632"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donošenje odluka i poduzimanje mjera koje će dovesti do razvoja i provedbe strategija za ljudske potencijale usklađenih sa strateškim usmjerenjem organizacije i ostvarenjem ciljeva.</w:t>
            </w:r>
          </w:p>
        </w:tc>
      </w:tr>
    </w:tbl>
    <w:p w:rsidR="000E47BD" w:rsidRPr="00251707" w:rsidRDefault="000E47BD" w:rsidP="000E47BD">
      <w:pPr>
        <w:spacing w:after="0"/>
        <w:rPr>
          <w:rFonts w:ascii="Verdana" w:hAnsi="Verdana" w:cstheme="minorHAnsi"/>
          <w:sz w:val="18"/>
          <w:szCs w:val="20"/>
        </w:rPr>
      </w:pPr>
    </w:p>
    <w:p w:rsidR="00306B4F" w:rsidRPr="00251707" w:rsidRDefault="00306B4F" w:rsidP="00B81E04">
      <w:pPr>
        <w:pStyle w:val="Heading1"/>
        <w:sectPr w:rsidR="00306B4F" w:rsidRPr="00251707"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12" w:name="_Toc494963499"/>
      <w:bookmarkStart w:id="13" w:name="_Toc508374098"/>
      <w:r>
        <w:lastRenderedPageBreak/>
        <w:t>Stručne kompetencije</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A40E7F" w:rsidTr="00AB57C3">
        <w:trPr>
          <w:trHeight w:val="377"/>
          <w:tblHeader/>
        </w:trPr>
        <w:tc>
          <w:tcPr>
            <w:tcW w:w="2431" w:type="pct"/>
            <w:gridSpan w:val="3"/>
            <w:shd w:val="clear" w:color="auto" w:fill="1F3864" w:themeFill="accent5" w:themeFillShade="80"/>
          </w:tcPr>
          <w:p w:rsidR="00AB57C3" w:rsidRPr="00A40E7F" w:rsidRDefault="00AB57C3"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engleski</w:t>
            </w:r>
          </w:p>
        </w:tc>
        <w:tc>
          <w:tcPr>
            <w:tcW w:w="2569" w:type="pct"/>
            <w:gridSpan w:val="2"/>
            <w:shd w:val="clear" w:color="auto" w:fill="1F3864" w:themeFill="accent5" w:themeFillShade="80"/>
            <w:vAlign w:val="center"/>
          </w:tcPr>
          <w:p w:rsidR="00AB57C3" w:rsidRPr="00A40E7F" w:rsidRDefault="00AB57C3"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hrvatski</w:t>
            </w:r>
          </w:p>
        </w:tc>
      </w:tr>
      <w:tr w:rsidR="00506E5A" w:rsidRPr="00A40E7F" w:rsidTr="00506E5A">
        <w:trPr>
          <w:trHeight w:val="219"/>
          <w:tblHeader/>
        </w:trPr>
        <w:tc>
          <w:tcPr>
            <w:tcW w:w="453" w:type="pct"/>
            <w:shd w:val="clear" w:color="auto" w:fill="EDEDED" w:themeFill="accent3" w:themeFillTint="33"/>
            <w:vAlign w:val="center"/>
          </w:tcPr>
          <w:p w:rsidR="00506E5A" w:rsidRPr="00A40E7F" w:rsidRDefault="00506E5A"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Oznaka</w:t>
            </w:r>
          </w:p>
        </w:tc>
        <w:tc>
          <w:tcPr>
            <w:tcW w:w="726" w:type="pct"/>
            <w:shd w:val="clear" w:color="auto" w:fill="EDEDED" w:themeFill="accent3" w:themeFillTint="33"/>
            <w:noWrap/>
            <w:vAlign w:val="center"/>
            <w:hideMark/>
          </w:tcPr>
          <w:p w:rsidR="00506E5A" w:rsidRPr="00A40E7F" w:rsidRDefault="00506E5A" w:rsidP="000D5558">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hideMark/>
          </w:tcPr>
          <w:p w:rsidR="00506E5A" w:rsidRPr="00A40E7F" w:rsidRDefault="00506E5A" w:rsidP="000D5558">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rsidR="00506E5A" w:rsidRPr="00A40E7F" w:rsidRDefault="00506E5A" w:rsidP="000D5558">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c>
          <w:tcPr>
            <w:tcW w:w="1735" w:type="pct"/>
            <w:shd w:val="clear" w:color="auto" w:fill="EDEDED" w:themeFill="accent3" w:themeFillTint="33"/>
            <w:vAlign w:val="center"/>
          </w:tcPr>
          <w:p w:rsidR="00506E5A" w:rsidRPr="00A40E7F" w:rsidRDefault="00506E5A" w:rsidP="000D5558">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506E5A" w:rsidRPr="00A40E7F" w:rsidTr="00506E5A">
        <w:trPr>
          <w:trHeight w:val="421"/>
        </w:trPr>
        <w:tc>
          <w:tcPr>
            <w:tcW w:w="453" w:type="pct"/>
            <w:shd w:val="clear" w:color="000000" w:fill="FFFFFF"/>
            <w:vAlign w:val="center"/>
          </w:tcPr>
          <w:p w:rsidR="00506E5A" w:rsidRPr="00A40E7F" w:rsidRDefault="00506E5A"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Analytical skills</w:t>
            </w:r>
          </w:p>
        </w:tc>
        <w:tc>
          <w:tcPr>
            <w:tcW w:w="1252"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Analitičke vještine</w:t>
            </w:r>
          </w:p>
        </w:tc>
        <w:tc>
          <w:tcPr>
            <w:tcW w:w="1735"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Primjenjivanje logičkog pristupa na složene probleme ili mogućnosti njihovom podjelom na sastavne dijelove u cilju prepoznavanja osnovnih problema, utvrđivanja uzročno-posljedičnog odnosa i donošenja zaključaka ili odluka.</w:t>
            </w:r>
          </w:p>
        </w:tc>
      </w:tr>
      <w:tr w:rsidR="00506E5A" w:rsidRPr="00A40E7F" w:rsidTr="00506E5A">
        <w:trPr>
          <w:trHeight w:val="659"/>
        </w:trPr>
        <w:tc>
          <w:tcPr>
            <w:tcW w:w="453" w:type="pct"/>
            <w:shd w:val="clear" w:color="000000" w:fill="FFFFFF"/>
            <w:vAlign w:val="center"/>
          </w:tcPr>
          <w:p w:rsidR="00506E5A" w:rsidRPr="00A40E7F" w:rsidRDefault="00506E5A"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Communicating in writing</w:t>
            </w:r>
          </w:p>
        </w:tc>
        <w:tc>
          <w:tcPr>
            <w:tcW w:w="1252"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Pisana komunikacija</w:t>
            </w:r>
          </w:p>
        </w:tc>
        <w:tc>
          <w:tcPr>
            <w:tcW w:w="1735"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jasno i uvjerljivo iznošenje informacija i ideja u pisanom obliku, za odabir odgovarajućih sredstava pisane komunikacije i stila pisanja kojima se može doprijeti do publike, za uporabu točnog pravopisa, gramatike i interpunkcijskih znakova i pokazivanje sposobnosti za komunikaciju s različitim kulturama.</w:t>
            </w:r>
          </w:p>
        </w:tc>
      </w:tr>
      <w:tr w:rsidR="00506E5A" w:rsidRPr="00A40E7F" w:rsidTr="00506E5A">
        <w:trPr>
          <w:trHeight w:val="878"/>
        </w:trPr>
        <w:tc>
          <w:tcPr>
            <w:tcW w:w="453" w:type="pct"/>
            <w:shd w:val="clear" w:color="000000" w:fill="FFFFFF"/>
            <w:vAlign w:val="center"/>
          </w:tcPr>
          <w:p w:rsidR="00506E5A" w:rsidRPr="00A40E7F" w:rsidRDefault="00506E5A"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Communicating verbally</w:t>
            </w:r>
          </w:p>
        </w:tc>
        <w:tc>
          <w:tcPr>
            <w:tcW w:w="1252"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sidRPr="00A40E7F">
              <w:rPr>
                <w:rFonts w:ascii="Verdana" w:hAnsi="Verdana" w:cstheme="minorHAnsi"/>
                <w:sz w:val="20"/>
                <w:szCs w:val="20"/>
              </w:rPr>
              <w:lastRenderedPageBreak/>
              <w:t>communicate across cultures.</w:t>
            </w:r>
          </w:p>
        </w:tc>
        <w:tc>
          <w:tcPr>
            <w:tcW w:w="83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lastRenderedPageBreak/>
              <w:t>Verbalna komunikacija</w:t>
            </w:r>
          </w:p>
        </w:tc>
        <w:tc>
          <w:tcPr>
            <w:tcW w:w="1735"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jasno izražavanje misli i ideja osobama ili skupinama uporabom govora na način kojim se privlači pozornost publike, potiče dvosmjerna komunikacija i pomaže im se da bolje razumiju i usvoje poruku te pokazivanje sposobnosti za komunikaciju s drugim kulturama.</w:t>
            </w:r>
          </w:p>
        </w:tc>
      </w:tr>
      <w:tr w:rsidR="00506E5A" w:rsidRPr="00A40E7F" w:rsidTr="00506E5A">
        <w:trPr>
          <w:trHeight w:val="659"/>
        </w:trPr>
        <w:tc>
          <w:tcPr>
            <w:tcW w:w="453" w:type="pct"/>
            <w:shd w:val="clear" w:color="000000" w:fill="FFFFFF"/>
            <w:vAlign w:val="center"/>
          </w:tcPr>
          <w:p w:rsidR="00506E5A" w:rsidRPr="00A40E7F" w:rsidRDefault="00506E5A" w:rsidP="003F0065">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Conflict handling</w:t>
            </w:r>
          </w:p>
        </w:tc>
        <w:tc>
          <w:tcPr>
            <w:tcW w:w="1252"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Rješavanje sukoba</w:t>
            </w:r>
          </w:p>
        </w:tc>
        <w:tc>
          <w:tcPr>
            <w:tcW w:w="1735"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djelotvorno rješavanje sukoba s drugima priznavanjem različitih mišljenja, poticanjem otvorene rasprave i uporabom odgovarajućih interpersonalnih stilova i tehnika u cilju pronalaženja povoljnog rješenja za sve u sukobu između dvije ili više osoba.</w:t>
            </w:r>
          </w:p>
        </w:tc>
      </w:tr>
      <w:tr w:rsidR="00506E5A" w:rsidRPr="00A40E7F" w:rsidTr="00506E5A">
        <w:trPr>
          <w:trHeight w:val="659"/>
        </w:trPr>
        <w:tc>
          <w:tcPr>
            <w:tcW w:w="453" w:type="pct"/>
            <w:shd w:val="clear" w:color="000000" w:fill="FFFFFF"/>
            <w:vAlign w:val="center"/>
          </w:tcPr>
          <w:p w:rsidR="00506E5A" w:rsidRPr="00A40E7F" w:rsidRDefault="00506E5A"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Flexibility and adaptability to change </w:t>
            </w:r>
          </w:p>
        </w:tc>
        <w:tc>
          <w:tcPr>
            <w:tcW w:w="1252"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Fleksibilnost i prilagodba promjenama </w:t>
            </w:r>
          </w:p>
        </w:tc>
        <w:tc>
          <w:tcPr>
            <w:tcW w:w="1735"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 xml:space="preserve">Pokazivanje sposobnosti za prilagodbu i zadržavanje učinkovitosti u slučaju velikih promjena radnih zadaća, radnog okruženja, ustrojstvene strukture i kulture, postupaka, zahtjeva i ostalih aspekata povezanih s poslom. </w:t>
            </w:r>
          </w:p>
        </w:tc>
      </w:tr>
      <w:tr w:rsidR="00506E5A" w:rsidRPr="00A40E7F" w:rsidTr="00506E5A">
        <w:trPr>
          <w:trHeight w:val="659"/>
        </w:trPr>
        <w:tc>
          <w:tcPr>
            <w:tcW w:w="453" w:type="pct"/>
            <w:shd w:val="clear" w:color="000000" w:fill="FFFFFF"/>
            <w:vAlign w:val="center"/>
          </w:tcPr>
          <w:p w:rsidR="00506E5A" w:rsidRPr="00A40E7F" w:rsidRDefault="00506E5A"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Problem solving</w:t>
            </w:r>
          </w:p>
        </w:tc>
        <w:tc>
          <w:tcPr>
            <w:tcW w:w="1252"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Rješavanje problema</w:t>
            </w:r>
          </w:p>
        </w:tc>
        <w:tc>
          <w:tcPr>
            <w:tcW w:w="1735"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prepoznavanje problema uporabom logike, intuicije, podataka, provođenjem odgovarajućih analiza, pretraživanja i uključivanjem drugih (prema potrebi) u cilju postizanja rješenja ili donošenja odluka.</w:t>
            </w:r>
          </w:p>
        </w:tc>
      </w:tr>
      <w:tr w:rsidR="00506E5A" w:rsidRPr="00A40E7F" w:rsidTr="00506E5A">
        <w:trPr>
          <w:trHeight w:val="659"/>
        </w:trPr>
        <w:tc>
          <w:tcPr>
            <w:tcW w:w="453" w:type="pct"/>
            <w:shd w:val="clear" w:color="000000" w:fill="FFFFFF"/>
            <w:vAlign w:val="center"/>
          </w:tcPr>
          <w:p w:rsidR="00506E5A" w:rsidRPr="00A40E7F" w:rsidRDefault="00506E5A"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Team work</w:t>
            </w:r>
          </w:p>
        </w:tc>
        <w:tc>
          <w:tcPr>
            <w:tcW w:w="1252"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Timski rad</w:t>
            </w:r>
          </w:p>
        </w:tc>
        <w:tc>
          <w:tcPr>
            <w:tcW w:w="1735"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suradnju s drugim kolegama iz različitih ustrojstvenih jedinica i različitih položaja u cilju postizanja zajedničkih ciljeva.</w:t>
            </w:r>
          </w:p>
        </w:tc>
      </w:tr>
      <w:tr w:rsidR="00506E5A" w:rsidRPr="00A40E7F" w:rsidTr="00506E5A">
        <w:trPr>
          <w:trHeight w:val="439"/>
        </w:trPr>
        <w:tc>
          <w:tcPr>
            <w:tcW w:w="453" w:type="pct"/>
            <w:shd w:val="clear" w:color="000000" w:fill="FFFFFF"/>
            <w:vAlign w:val="center"/>
          </w:tcPr>
          <w:p w:rsidR="00506E5A" w:rsidRPr="00A40E7F" w:rsidRDefault="00506E5A"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Technological ability</w:t>
            </w:r>
          </w:p>
        </w:tc>
        <w:tc>
          <w:tcPr>
            <w:tcW w:w="1252"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use appropriate personal computer software, information systems and other IT tools (e.g. Microsoft Office programms) that are required to accomplish work goals.</w:t>
            </w:r>
          </w:p>
        </w:tc>
        <w:tc>
          <w:tcPr>
            <w:tcW w:w="83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Tehnološka sposobnost</w:t>
            </w:r>
          </w:p>
        </w:tc>
        <w:tc>
          <w:tcPr>
            <w:tcW w:w="1735"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uporabu odgovarajućeg računalnog softvera, informacijskih sustava i ostalih IT alata (npr. programa Microsoft Office) koji su potrebni za ostvarivanje radnih ciljeva.</w:t>
            </w:r>
          </w:p>
        </w:tc>
      </w:tr>
      <w:tr w:rsidR="00506E5A" w:rsidRPr="00A40E7F" w:rsidTr="00506E5A">
        <w:trPr>
          <w:trHeight w:val="659"/>
        </w:trPr>
        <w:tc>
          <w:tcPr>
            <w:tcW w:w="453" w:type="pct"/>
            <w:shd w:val="clear" w:color="000000" w:fill="FFFFFF"/>
            <w:vAlign w:val="center"/>
          </w:tcPr>
          <w:p w:rsidR="00506E5A" w:rsidRPr="00A40E7F" w:rsidRDefault="00506E5A"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Usage of monitoring and information system</w:t>
            </w:r>
          </w:p>
        </w:tc>
        <w:tc>
          <w:tcPr>
            <w:tcW w:w="1252"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use EU funds monitoring and information systems (both external and internal if available) in order to accomplish work goals.</w:t>
            </w:r>
          </w:p>
        </w:tc>
        <w:tc>
          <w:tcPr>
            <w:tcW w:w="834" w:type="pct"/>
            <w:shd w:val="clear" w:color="000000" w:fill="FFFFFF"/>
            <w:vAlign w:val="center"/>
          </w:tcPr>
          <w:p w:rsidR="00506E5A" w:rsidRPr="00A40E7F" w:rsidRDefault="00506E5A" w:rsidP="00397E64">
            <w:pPr>
              <w:spacing w:after="0"/>
              <w:rPr>
                <w:rFonts w:ascii="Verdana" w:hAnsi="Verdana" w:cstheme="minorHAnsi"/>
                <w:sz w:val="20"/>
                <w:szCs w:val="20"/>
              </w:rPr>
            </w:pPr>
            <w:r>
              <w:rPr>
                <w:rFonts w:ascii="Verdana" w:hAnsi="Verdana" w:cstheme="minorHAnsi"/>
                <w:sz w:val="20"/>
              </w:rPr>
              <w:t xml:space="preserve">Uporaba sustava za praćenje i </w:t>
            </w:r>
            <w:r w:rsidR="00397E64">
              <w:rPr>
                <w:rFonts w:ascii="Verdana" w:hAnsi="Verdana" w:cstheme="minorHAnsi"/>
                <w:sz w:val="20"/>
              </w:rPr>
              <w:t>informacijskih sustava</w:t>
            </w:r>
          </w:p>
        </w:tc>
        <w:tc>
          <w:tcPr>
            <w:tcW w:w="1735"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uporabu sustava za praćenje fondova EU-a i za informiranje o njima (vanjskih i unutarnjih, ako su dostupni) u cilju postizanja radnih ciljeva.</w:t>
            </w:r>
          </w:p>
        </w:tc>
      </w:tr>
      <w:tr w:rsidR="00506E5A" w:rsidRPr="00A40E7F" w:rsidTr="00506E5A">
        <w:trPr>
          <w:trHeight w:val="398"/>
        </w:trPr>
        <w:tc>
          <w:tcPr>
            <w:tcW w:w="453" w:type="pct"/>
            <w:shd w:val="clear" w:color="000000" w:fill="FFFFFF"/>
            <w:vAlign w:val="center"/>
          </w:tcPr>
          <w:p w:rsidR="00506E5A" w:rsidRPr="00A40E7F" w:rsidRDefault="00506E5A"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Representation to the outside world</w:t>
            </w:r>
          </w:p>
        </w:tc>
        <w:tc>
          <w:tcPr>
            <w:tcW w:w="1252"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act or speak for institution in an efficient way and appropriate manner.</w:t>
            </w:r>
          </w:p>
        </w:tc>
        <w:tc>
          <w:tcPr>
            <w:tcW w:w="83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Predstavljanje vanjskom svijetu</w:t>
            </w:r>
          </w:p>
        </w:tc>
        <w:tc>
          <w:tcPr>
            <w:tcW w:w="1735"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djelovanje ili govorenje u ime institucije na učinkovit i odgovarajući način.</w:t>
            </w:r>
          </w:p>
        </w:tc>
      </w:tr>
      <w:tr w:rsidR="00506E5A" w:rsidRPr="00A40E7F" w:rsidTr="00506E5A">
        <w:trPr>
          <w:trHeight w:val="659"/>
        </w:trPr>
        <w:tc>
          <w:tcPr>
            <w:tcW w:w="453" w:type="pct"/>
            <w:shd w:val="clear" w:color="000000" w:fill="FFFFFF"/>
            <w:vAlign w:val="center"/>
          </w:tcPr>
          <w:p w:rsidR="00506E5A" w:rsidRPr="00A40E7F" w:rsidRDefault="00506E5A"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Relevant language skills</w:t>
            </w:r>
          </w:p>
        </w:tc>
        <w:tc>
          <w:tcPr>
            <w:tcW w:w="1252"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Demonstrating ability to apply relevant foreign language skills in order to carry out the assigned functions and accomplish work goals.</w:t>
            </w:r>
          </w:p>
        </w:tc>
        <w:tc>
          <w:tcPr>
            <w:tcW w:w="83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Relevantne jezične vještine</w:t>
            </w:r>
          </w:p>
        </w:tc>
        <w:tc>
          <w:tcPr>
            <w:tcW w:w="1735"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Pokazivanje sposobnosti za primjenu relevantnih jezičnih vještina za obavljanje dodijeljenih funkcija i ostvarivanje radnih ciljeva.</w:t>
            </w:r>
          </w:p>
        </w:tc>
      </w:tr>
      <w:tr w:rsidR="00506E5A" w:rsidRPr="00A40E7F" w:rsidTr="00506E5A">
        <w:trPr>
          <w:trHeight w:val="659"/>
        </w:trPr>
        <w:tc>
          <w:tcPr>
            <w:tcW w:w="453" w:type="pct"/>
            <w:shd w:val="clear" w:color="000000" w:fill="FFFFFF"/>
            <w:vAlign w:val="center"/>
          </w:tcPr>
          <w:p w:rsidR="00506E5A" w:rsidRPr="00A40E7F" w:rsidRDefault="00506E5A"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Intercultural skills</w:t>
            </w:r>
          </w:p>
        </w:tc>
        <w:tc>
          <w:tcPr>
            <w:tcW w:w="1252" w:type="pct"/>
            <w:shd w:val="clear" w:color="000000" w:fill="FFFFFF"/>
            <w:vAlign w:val="center"/>
          </w:tcPr>
          <w:p w:rsidR="00506E5A" w:rsidRPr="00A40E7F" w:rsidRDefault="00506E5A" w:rsidP="000D5558">
            <w:pPr>
              <w:spacing w:after="0"/>
              <w:rPr>
                <w:rFonts w:ascii="Verdana" w:hAnsi="Verdana" w:cstheme="minorHAnsi"/>
                <w:sz w:val="20"/>
                <w:szCs w:val="20"/>
              </w:rPr>
            </w:pPr>
            <w:r w:rsidRPr="00A40E7F">
              <w:rPr>
                <w:rFonts w:ascii="Verdana" w:hAnsi="Verdana" w:cstheme="minorHAnsi"/>
                <w:sz w:val="20"/>
                <w:szCs w:val="20"/>
              </w:rPr>
              <w:t xml:space="preserve">Demonstrating ability to work in multi-cultural environment, </w:t>
            </w:r>
            <w:r w:rsidRPr="00A40E7F">
              <w:rPr>
                <w:rFonts w:ascii="Verdana" w:hAnsi="Verdana" w:cstheme="minorHAnsi"/>
                <w:sz w:val="20"/>
                <w:szCs w:val="20"/>
              </w:rPr>
              <w:lastRenderedPageBreak/>
              <w:t>efficiently dealing with stakeholders in EU institutions and other member states.</w:t>
            </w:r>
          </w:p>
        </w:tc>
        <w:tc>
          <w:tcPr>
            <w:tcW w:w="834"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lastRenderedPageBreak/>
              <w:t>Interkulturalne vještine</w:t>
            </w:r>
          </w:p>
        </w:tc>
        <w:tc>
          <w:tcPr>
            <w:tcW w:w="1735" w:type="pct"/>
            <w:shd w:val="clear" w:color="000000" w:fill="FFFFFF"/>
            <w:vAlign w:val="center"/>
          </w:tcPr>
          <w:p w:rsidR="00506E5A" w:rsidRPr="00A40E7F" w:rsidRDefault="00506E5A" w:rsidP="000D5558">
            <w:pPr>
              <w:spacing w:after="0"/>
              <w:rPr>
                <w:rFonts w:ascii="Verdana" w:hAnsi="Verdana" w:cstheme="minorHAnsi"/>
                <w:sz w:val="20"/>
                <w:szCs w:val="20"/>
              </w:rPr>
            </w:pPr>
            <w:r>
              <w:rPr>
                <w:rFonts w:ascii="Verdana" w:hAnsi="Verdana" w:cstheme="minorHAnsi"/>
                <w:sz w:val="20"/>
              </w:rPr>
              <w:t xml:space="preserve">Pokazivanje sposobnosti za rad u multikulturalnom okruženju, za učinkovito </w:t>
            </w:r>
            <w:r>
              <w:rPr>
                <w:rFonts w:ascii="Verdana" w:hAnsi="Verdana" w:cstheme="minorHAnsi"/>
                <w:sz w:val="20"/>
              </w:rPr>
              <w:lastRenderedPageBreak/>
              <w:t>postupanje s dionicima u institucijama EU-a i u drugim državama članicama.</w:t>
            </w:r>
          </w:p>
        </w:tc>
      </w:tr>
    </w:tbl>
    <w:p w:rsidR="000E47BD" w:rsidRPr="00251707" w:rsidRDefault="000E47BD" w:rsidP="000E47BD">
      <w:pPr>
        <w:rPr>
          <w:rFonts w:ascii="Verdana" w:hAnsi="Verdana" w:cstheme="minorHAnsi"/>
          <w:b/>
          <w:i/>
          <w:sz w:val="18"/>
          <w:szCs w:val="20"/>
        </w:rPr>
      </w:pPr>
    </w:p>
    <w:p w:rsidR="00A30ABC" w:rsidRPr="00251707" w:rsidRDefault="00A30ABC" w:rsidP="00B81E04">
      <w:pPr>
        <w:pStyle w:val="Heading1"/>
        <w:numPr>
          <w:ilvl w:val="0"/>
          <w:numId w:val="0"/>
        </w:numPr>
      </w:pPr>
    </w:p>
    <w:p w:rsidR="00A30ABC" w:rsidRPr="00251707" w:rsidRDefault="00A30ABC" w:rsidP="000E47BD">
      <w:pPr>
        <w:rPr>
          <w:rFonts w:ascii="Verdana" w:hAnsi="Verdana" w:cstheme="minorHAnsi"/>
          <w:b/>
          <w:i/>
          <w:sz w:val="18"/>
          <w:szCs w:val="20"/>
        </w:rPr>
      </w:pPr>
    </w:p>
    <w:sectPr w:rsidR="00A30ABC" w:rsidRPr="00251707"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47E" w:rsidRDefault="0078647E" w:rsidP="0008776A">
      <w:pPr>
        <w:spacing w:after="0" w:line="240" w:lineRule="auto"/>
      </w:pPr>
      <w:r>
        <w:separator/>
      </w:r>
    </w:p>
  </w:endnote>
  <w:endnote w:type="continuationSeparator" w:id="0">
    <w:p w:rsidR="0078647E" w:rsidRDefault="0078647E"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077306"/>
      <w:docPartObj>
        <w:docPartGallery w:val="Page Numbers (Bottom of Page)"/>
        <w:docPartUnique/>
      </w:docPartObj>
    </w:sdtPr>
    <w:sdtEndPr>
      <w:rPr>
        <w:rFonts w:asciiTheme="minorHAnsi" w:hAnsiTheme="minorHAnsi" w:cstheme="minorHAnsi"/>
        <w:noProof/>
      </w:rPr>
    </w:sdtEndPr>
    <w:sdtContent>
      <w:p w:rsidR="009C72B5" w:rsidRPr="0008776A" w:rsidRDefault="009C72B5"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A22F87">
          <w:rPr>
            <w:rFonts w:asciiTheme="minorHAnsi" w:hAnsiTheme="minorHAnsi" w:cstheme="minorHAnsi"/>
            <w:noProof/>
          </w:rPr>
          <w:t>7</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47E" w:rsidRDefault="0078647E" w:rsidP="0008776A">
      <w:pPr>
        <w:spacing w:after="0" w:line="240" w:lineRule="auto"/>
      </w:pPr>
      <w:r>
        <w:separator/>
      </w:r>
    </w:p>
  </w:footnote>
  <w:footnote w:type="continuationSeparator" w:id="0">
    <w:p w:rsidR="0078647E" w:rsidRDefault="0078647E" w:rsidP="0008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B5" w:rsidRPr="00BF0B4F" w:rsidRDefault="009C72B5"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Okvir kompetencija EU-a – Pojmovnik izraza koji se upotrebljavaju u Alatu za samoprocjenu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418D"/>
    <w:rsid w:val="00016CBD"/>
    <w:rsid w:val="00047CBE"/>
    <w:rsid w:val="0008776A"/>
    <w:rsid w:val="000950D5"/>
    <w:rsid w:val="000A1ECD"/>
    <w:rsid w:val="000A35D7"/>
    <w:rsid w:val="000B3366"/>
    <w:rsid w:val="000C44D2"/>
    <w:rsid w:val="000E47BD"/>
    <w:rsid w:val="00123EE5"/>
    <w:rsid w:val="001319E4"/>
    <w:rsid w:val="001B2537"/>
    <w:rsid w:val="001B5122"/>
    <w:rsid w:val="001B5ADB"/>
    <w:rsid w:val="001C491D"/>
    <w:rsid w:val="001D4E04"/>
    <w:rsid w:val="001D7CC2"/>
    <w:rsid w:val="001F0D1D"/>
    <w:rsid w:val="00206F86"/>
    <w:rsid w:val="00231B6E"/>
    <w:rsid w:val="00245DED"/>
    <w:rsid w:val="0024769A"/>
    <w:rsid w:val="00251707"/>
    <w:rsid w:val="0025756E"/>
    <w:rsid w:val="002717F0"/>
    <w:rsid w:val="00272779"/>
    <w:rsid w:val="002A4AB7"/>
    <w:rsid w:val="002E01B9"/>
    <w:rsid w:val="00306B4F"/>
    <w:rsid w:val="00345877"/>
    <w:rsid w:val="00366D75"/>
    <w:rsid w:val="003839D5"/>
    <w:rsid w:val="003870A6"/>
    <w:rsid w:val="00390240"/>
    <w:rsid w:val="003928BC"/>
    <w:rsid w:val="003966E7"/>
    <w:rsid w:val="00397E64"/>
    <w:rsid w:val="003F0065"/>
    <w:rsid w:val="00416AA7"/>
    <w:rsid w:val="0044373B"/>
    <w:rsid w:val="00476CF8"/>
    <w:rsid w:val="004B0758"/>
    <w:rsid w:val="004E715A"/>
    <w:rsid w:val="004F71B4"/>
    <w:rsid w:val="00506E5A"/>
    <w:rsid w:val="00536145"/>
    <w:rsid w:val="00554E39"/>
    <w:rsid w:val="00584C64"/>
    <w:rsid w:val="005C3880"/>
    <w:rsid w:val="005D6AFD"/>
    <w:rsid w:val="005D72B2"/>
    <w:rsid w:val="005F04A1"/>
    <w:rsid w:val="005F5DB2"/>
    <w:rsid w:val="006029E1"/>
    <w:rsid w:val="00614B9B"/>
    <w:rsid w:val="0062042A"/>
    <w:rsid w:val="006645FC"/>
    <w:rsid w:val="006744F9"/>
    <w:rsid w:val="006931AA"/>
    <w:rsid w:val="006C2D1C"/>
    <w:rsid w:val="006E738D"/>
    <w:rsid w:val="00716D09"/>
    <w:rsid w:val="007320E2"/>
    <w:rsid w:val="00740E5A"/>
    <w:rsid w:val="00757D2E"/>
    <w:rsid w:val="0078647E"/>
    <w:rsid w:val="00787821"/>
    <w:rsid w:val="007C2348"/>
    <w:rsid w:val="007D60DC"/>
    <w:rsid w:val="00822B80"/>
    <w:rsid w:val="008339CD"/>
    <w:rsid w:val="00834E93"/>
    <w:rsid w:val="0084461D"/>
    <w:rsid w:val="008806DD"/>
    <w:rsid w:val="008C4517"/>
    <w:rsid w:val="008E21AD"/>
    <w:rsid w:val="008F4A1B"/>
    <w:rsid w:val="00910BED"/>
    <w:rsid w:val="009248AB"/>
    <w:rsid w:val="009259B3"/>
    <w:rsid w:val="00927761"/>
    <w:rsid w:val="009A279A"/>
    <w:rsid w:val="009C72B5"/>
    <w:rsid w:val="009E2CA5"/>
    <w:rsid w:val="00A22F87"/>
    <w:rsid w:val="00A30ABC"/>
    <w:rsid w:val="00A40E7F"/>
    <w:rsid w:val="00A564CD"/>
    <w:rsid w:val="00AB57C3"/>
    <w:rsid w:val="00AB64E3"/>
    <w:rsid w:val="00AD2B31"/>
    <w:rsid w:val="00AD341D"/>
    <w:rsid w:val="00B579F3"/>
    <w:rsid w:val="00B81E04"/>
    <w:rsid w:val="00B967FA"/>
    <w:rsid w:val="00BC078C"/>
    <w:rsid w:val="00BF0B4F"/>
    <w:rsid w:val="00BF759B"/>
    <w:rsid w:val="00C1011B"/>
    <w:rsid w:val="00C971E1"/>
    <w:rsid w:val="00CC3497"/>
    <w:rsid w:val="00CD1306"/>
    <w:rsid w:val="00CE608F"/>
    <w:rsid w:val="00CF51E8"/>
    <w:rsid w:val="00CF661F"/>
    <w:rsid w:val="00CF6967"/>
    <w:rsid w:val="00D02119"/>
    <w:rsid w:val="00D27017"/>
    <w:rsid w:val="00D42D77"/>
    <w:rsid w:val="00D92F59"/>
    <w:rsid w:val="00DB27D2"/>
    <w:rsid w:val="00DE6C01"/>
    <w:rsid w:val="00E44B41"/>
    <w:rsid w:val="00E87A35"/>
    <w:rsid w:val="00EB6450"/>
    <w:rsid w:val="00F15E49"/>
    <w:rsid w:val="00F40B43"/>
    <w:rsid w:val="00F451DA"/>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5FF2"/>
  <w15:docId w15:val="{68171292-6A97-4E21-93B1-00C54F2D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hr-HR" w:bidi="hr-H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hr-H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hr-H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hr-H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hr-H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EA8E-75B4-4DCA-909A-09B9357F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22</Pages>
  <Words>3960</Words>
  <Characters>26497</Characters>
  <Application>Microsoft Office Word</Application>
  <DocSecurity>0</DocSecurity>
  <Lines>1261</Lines>
  <Paragraphs>534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PERRIN Denisa (REGIO)</cp:lastModifiedBy>
  <cp:revision>26</cp:revision>
  <cp:lastPrinted>2017-03-22T18:35:00Z</cp:lastPrinted>
  <dcterms:created xsi:type="dcterms:W3CDTF">2017-10-04T14:59:00Z</dcterms:created>
  <dcterms:modified xsi:type="dcterms:W3CDTF">2018-04-13T13:04:00Z</dcterms:modified>
</cp:coreProperties>
</file>