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5B4156" w:rsidP="000A1ECD">
      <w:pPr>
        <w:jc w:val="center"/>
        <w:rPr>
          <w:rFonts w:ascii="Verdana" w:hAnsi="Verdana" w:cstheme="minorHAnsi"/>
          <w:b/>
          <w:color w:val="003399"/>
          <w:kern w:val="12"/>
          <w:sz w:val="40"/>
          <w:szCs w:val="40"/>
        </w:rPr>
      </w:pPr>
      <w:r w:rsidRPr="005B4156">
        <w:rPr>
          <w:noProof/>
          <w:lang w:val="en-GB" w:eastAsia="en-GB" w:bidi="ar-SA"/>
        </w:rPr>
        <mc:AlternateContent>
          <mc:Choice Requires="wps">
            <w:drawing>
              <wp:anchor distT="0" distB="0" distL="114300" distR="114300" simplePos="0" relativeHeight="251661312" behindDoc="0" locked="0" layoutInCell="1" allowOverlap="1" wp14:anchorId="6B23D7ED" wp14:editId="591F91E3">
                <wp:simplePos x="0" y="0"/>
                <wp:positionH relativeFrom="column">
                  <wp:posOffset>4324985</wp:posOffset>
                </wp:positionH>
                <wp:positionV relativeFrom="paragraph">
                  <wp:posOffset>6741795</wp:posOffset>
                </wp:positionV>
                <wp:extent cx="1289050" cy="386080"/>
                <wp:effectExtent l="0" t="0" r="6350" b="0"/>
                <wp:wrapNone/>
                <wp:docPr id="11" name="TextBox 10"/>
                <wp:cNvGraphicFramePr/>
                <a:graphic xmlns:a="http://schemas.openxmlformats.org/drawingml/2006/main">
                  <a:graphicData uri="http://schemas.microsoft.com/office/word/2010/wordprocessingShape">
                    <wps:wsp>
                      <wps:cNvSpPr txBox="1"/>
                      <wps:spPr>
                        <a:xfrm>
                          <a:off x="0" y="0"/>
                          <a:ext cx="1289050" cy="386080"/>
                        </a:xfrm>
                        <a:prstGeom prst="rect">
                          <a:avLst/>
                        </a:prstGeom>
                        <a:solidFill>
                          <a:srgbClr val="6DAC59"/>
                        </a:solidFill>
                      </wps:spPr>
                      <wps:txbx>
                        <w:txbxContent>
                          <w:p w:rsidR="005B4156" w:rsidRDefault="005B4156" w:rsidP="005B4156">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wps:txbx>
                      <wps:bodyPr wrap="square" lIns="43200" tIns="36000" rIns="3600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40.55pt;margin-top:530.85pt;width:101.5pt;height:3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fwgEAAGYDAAAOAAAAZHJzL2Uyb0RvYy54bWysU9tu2zAMfR+wfxD0vthJ1iA14hRdgg4D&#10;hq1Auw9QZCkWIIkapcTO349S2qTb3oa9yOJFh+eQ9OpudJYdFUYDvuXTSc2Z8hI64/ct//H88GHJ&#10;WUzCd8KCVy0/qcjv1u/frYbQqBn0YDuFjEB8bIbQ8j6l0FRVlL1yIk4gKE9BDehEIhP3VYdiIHRn&#10;q1ldL6oBsAsIUsVI3u05yNcFX2sl03eto0rMtpy4pXJiOXf5rNYr0exRhN7IFxriH1g4YTwVvUBt&#10;RRLsgOYvKGckQgSdJhJcBVobqYoGUjOt/1Dz1IugihZqTgyXNsX/Byu/HR+RmY5mN+XMC0czelZj&#10;+gQjm5b2DCE2lPUUKC+N5KfU3Lbsj+TMqkeNLn9JD6M4Nfp0aS6BMZkfzZa39Q2FJMXmy0W9LPDV&#10;9XXAmD4rcCxfWo40vNJTcfwaE1Wk1NeUXCyCNd2DsbYYuN9tLLKjoEEvtvebm9tMkp68SauunPMt&#10;jbvxLP1Vzw66E8kcaB9aHn8eBCrO7BdPDf84p3WjBSrGfFFnA38zkt1A2bLMx8P9IYE2hXcudoYm&#10;RtmgYRZuL4uXt+WtXbKuv8f6FwAAAP//AwBQSwMEFAAGAAgAAAAhAO/SFEzhAAAADQEAAA8AAABk&#10;cnMvZG93bnJldi54bWxMj0FPg0AQhe8m/ofNmHizC1gpQZamNlEvJk2rP2BhRyCys4RdKPrrHU/1&#10;OO99efNesV1sL2YcfedIQbyKQCDVznTUKPh4f77LQPigyejeESr4Rg/b8vqq0LlxZzrifAqN4BDy&#10;uVbQhjDkUvq6Rav9yg1I7H260erA59hIM+ozh9teJlGUSqs74g+tHnDfYv11mqyC+uCa6uXtsDbJ&#10;/bz5WfbH3ev0pNTtzbJ7BBFwCRcY/upzdSi5U+UmMl70CtIsjhllI0rjDQhGsmzNUsVSnCQPIMtC&#10;/l9R/gIAAP//AwBQSwECLQAUAAYACAAAACEAtoM4kv4AAADhAQAAEwAAAAAAAAAAAAAAAAAAAAAA&#10;W0NvbnRlbnRfVHlwZXNdLnhtbFBLAQItABQABgAIAAAAIQA4/SH/1gAAAJQBAAALAAAAAAAAAAAA&#10;AAAAAC8BAABfcmVscy8ucmVsc1BLAQItABQABgAIAAAAIQBdIXUfwgEAAGYDAAAOAAAAAAAAAAAA&#10;AAAAAC4CAABkcnMvZTJvRG9jLnhtbFBLAQItABQABgAIAAAAIQDv0hRM4QAAAA0BAAAPAAAAAAAA&#10;AAAAAAAAABwEAABkcnMvZG93bnJldi54bWxQSwUGAAAAAAQABADzAAAAKgUAAAAA&#10;" fillcolor="#6dac59" stroked="f">
                <v:textbox inset="1.2mm,1mm,1mm">
                  <w:txbxContent>
                    <w:p w:rsidR="005B4156" w:rsidRDefault="005B4156" w:rsidP="005B4156">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v:textbox>
              </v:shape>
            </w:pict>
          </mc:Fallback>
        </mc:AlternateContent>
      </w:r>
      <w:r w:rsidRPr="005B4156">
        <w:rPr>
          <w:rFonts w:ascii="Verdana" w:hAnsi="Verdana" w:cstheme="minorHAnsi"/>
          <w:b/>
          <w:noProof/>
          <w:color w:val="003399"/>
          <w:kern w:val="12"/>
          <w:sz w:val="40"/>
          <w:szCs w:val="40"/>
          <w:lang w:val="en-GB" w:eastAsia="en-GB"/>
        </w:rPr>
        <mc:AlternateContent>
          <mc:Choice Requires="wps">
            <w:drawing>
              <wp:anchor distT="0" distB="0" distL="114300" distR="114300" simplePos="0" relativeHeight="251659264" behindDoc="0" locked="0" layoutInCell="1" allowOverlap="1" wp14:anchorId="63C21E88" wp14:editId="291A25AB">
                <wp:simplePos x="0" y="0"/>
                <wp:positionH relativeFrom="column">
                  <wp:posOffset>2118640</wp:posOffset>
                </wp:positionH>
                <wp:positionV relativeFrom="paragraph">
                  <wp:posOffset>5734619</wp:posOffset>
                </wp:positionV>
                <wp:extent cx="5628385" cy="712272"/>
                <wp:effectExtent l="0" t="0" r="107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385" cy="712272"/>
                        </a:xfrm>
                        <a:prstGeom prst="rect">
                          <a:avLst/>
                        </a:prstGeom>
                        <a:solidFill>
                          <a:srgbClr val="FFFFFF"/>
                        </a:solidFill>
                        <a:ln w="9525">
                          <a:solidFill>
                            <a:srgbClr val="000000"/>
                          </a:solidFill>
                          <a:miter lim="800000"/>
                          <a:headEnd/>
                          <a:tailEnd/>
                        </a:ln>
                      </wps:spPr>
                      <wps:txbx>
                        <w:txbxContent>
                          <w:p w:rsidR="005B4156" w:rsidRPr="005B4156" w:rsidRDefault="005B4156" w:rsidP="005B4156">
                            <w:pPr>
                              <w:pStyle w:val="NormalWeb"/>
                              <w:spacing w:before="0" w:beforeAutospacing="0" w:after="0" w:afterAutospacing="0"/>
                              <w:jc w:val="both"/>
                              <w:rPr>
                                <w:lang w:val="el-GR"/>
                              </w:rPr>
                            </w:pPr>
                            <w:r>
                              <w:rPr>
                                <w:rFonts w:asciiTheme="minorHAnsi" w:eastAsiaTheme="minorEastAsia" w:hAnsi="Calibri" w:cstheme="minorBidi"/>
                                <w:color w:val="286AA6"/>
                                <w:kern w:val="24"/>
                                <w:sz w:val="21"/>
                                <w:szCs w:val="21"/>
                                <w:lang w:val="el-GR"/>
                              </w:rPr>
                              <w:t xml:space="preserve">Το πλαίσιο ικανοτήτων της ΕΕ και το εργαλείο </w:t>
                            </w:r>
                            <w:proofErr w:type="spellStart"/>
                            <w:r>
                              <w:rPr>
                                <w:rFonts w:asciiTheme="minorHAnsi" w:eastAsiaTheme="minorEastAsia" w:hAnsi="Calibri" w:cstheme="minorBidi"/>
                                <w:color w:val="286AA6"/>
                                <w:kern w:val="24"/>
                                <w:sz w:val="21"/>
                                <w:szCs w:val="21"/>
                                <w:lang w:val="el-GR"/>
                              </w:rPr>
                              <w:t>αυτοαξιολόγησης</w:t>
                            </w:r>
                            <w:proofErr w:type="spellEnd"/>
                            <w:r>
                              <w:rPr>
                                <w:rFonts w:asciiTheme="minorHAnsi" w:eastAsiaTheme="minorEastAsia" w:hAnsi="Calibri" w:cstheme="minorBidi"/>
                                <w:color w:val="286AA6"/>
                                <w:kern w:val="24"/>
                                <w:sz w:val="21"/>
                                <w:szCs w:val="21"/>
                                <w:lang w:val="el-GR"/>
                              </w:rPr>
                              <w:t xml:space="preserve"> είναι μέσα που αναπτύχθηκαν από τη ΓΔ Περιφερειακής Πολιτικής και Αστικής Ανάπτυξης με σκοπό να συνδράμουν τις διοικήσεις που διαχειρίζονται και εφαρμόζουν το ΕΤΠΑ και το Ταμείο Συνοχής στον προσδιορισμό και την αντιμετώπιση των ικανοτήτων που χρήζουν περαιτέρω ενίσχυσης.</w:t>
                            </w:r>
                          </w:p>
                          <w:p w:rsidR="005B4156" w:rsidRPr="005B4156" w:rsidRDefault="005B4156" w:rsidP="005B415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6.8pt;margin-top:451.55pt;width:443.2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JQIAAEY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fy6WF4t55Rw9C2mRbFI5DJWPr+2zof3AjSJh4o6rH1C&#10;Z4cHHyIbVj6HxM88KNlspVLJcLt6oxw5MOyTbVopgRdhypC+ojfzYj4K8FeIPK0/QWgZsOGV1BVd&#10;noNYGWV7Z5rUjoFJNZ6RsjInHaN0o4hhqIdTXWpojqiog7GxcRDx0IH7QUmPTV1R/33PnKBEfTBY&#10;lZvpbBanIBmz+aJAw1166ksPMxyhKhooGY+bkCYnCmbgDqvXyiRsLPPI5MQVmzXpfRqsOA2Xdor6&#10;Nf7rnwAAAP//AwBQSwMEFAAGAAgAAAAhAEVqAYPiAAAADQEAAA8AAABkcnMvZG93bnJldi54bWxM&#10;j8tOwzAQRfdI/IM1SGwQtVNDaEOcCiGBYAdtBVs3niYRfoTYTcPfM13BbkZzdO+ZcjU5y0YcYhe8&#10;gmwmgKGvg+l8o2C7ebpeAItJe6Nt8KjgByOsqvOzUhcmHP07juvUMArxsdAK2pT6gvNYt+h0nIUe&#10;Pd32YXA60To03Az6SOHO8rkQOXe689TQ6h4fW6y/1genYHHzMn7GV/n2Ued7u0xXd+Pz96DU5cX0&#10;cA8s4ZT+YDjpkzpU5LQLB28iswqklDmhCpZCZsBOxJwage1oEtmtBF6V/P8X1S8AAAD//wMAUEsB&#10;Ai0AFAAGAAgAAAAhALaDOJL+AAAA4QEAABMAAAAAAAAAAAAAAAAAAAAAAFtDb250ZW50X1R5cGVz&#10;XS54bWxQSwECLQAUAAYACAAAACEAOP0h/9YAAACUAQAACwAAAAAAAAAAAAAAAAAvAQAAX3JlbHMv&#10;LnJlbHNQSwECLQAUAAYACAAAACEApoP/PyUCAABGBAAADgAAAAAAAAAAAAAAAAAuAgAAZHJzL2Uy&#10;b0RvYy54bWxQSwECLQAUAAYACAAAACEARWoBg+IAAAANAQAADwAAAAAAAAAAAAAAAAB/BAAAZHJz&#10;L2Rvd25yZXYueG1sUEsFBgAAAAAEAAQA8wAAAI4FAAAAAA==&#10;">
                <v:textbox>
                  <w:txbxContent>
                    <w:p w:rsidR="005B4156" w:rsidRPr="005B4156" w:rsidRDefault="005B4156" w:rsidP="005B4156">
                      <w:pPr>
                        <w:pStyle w:val="NormalWeb"/>
                        <w:spacing w:before="0" w:beforeAutospacing="0" w:after="0" w:afterAutospacing="0"/>
                        <w:jc w:val="both"/>
                        <w:rPr>
                          <w:lang w:val="el-GR"/>
                        </w:rPr>
                      </w:pPr>
                      <w:r>
                        <w:rPr>
                          <w:rFonts w:asciiTheme="minorHAnsi" w:eastAsiaTheme="minorEastAsia" w:hAnsi="Calibri" w:cstheme="minorBidi"/>
                          <w:color w:val="286AA6"/>
                          <w:kern w:val="24"/>
                          <w:sz w:val="21"/>
                          <w:szCs w:val="21"/>
                          <w:lang w:val="el-GR"/>
                        </w:rPr>
                        <w:t xml:space="preserve">Το πλαίσιο ικανοτήτων της ΕΕ και το εργαλείο </w:t>
                      </w:r>
                      <w:proofErr w:type="spellStart"/>
                      <w:r>
                        <w:rPr>
                          <w:rFonts w:asciiTheme="minorHAnsi" w:eastAsiaTheme="minorEastAsia" w:hAnsi="Calibri" w:cstheme="minorBidi"/>
                          <w:color w:val="286AA6"/>
                          <w:kern w:val="24"/>
                          <w:sz w:val="21"/>
                          <w:szCs w:val="21"/>
                          <w:lang w:val="el-GR"/>
                        </w:rPr>
                        <w:t>αυτοαξιολόγησης</w:t>
                      </w:r>
                      <w:proofErr w:type="spellEnd"/>
                      <w:r>
                        <w:rPr>
                          <w:rFonts w:asciiTheme="minorHAnsi" w:eastAsiaTheme="minorEastAsia" w:hAnsi="Calibri" w:cstheme="minorBidi"/>
                          <w:color w:val="286AA6"/>
                          <w:kern w:val="24"/>
                          <w:sz w:val="21"/>
                          <w:szCs w:val="21"/>
                          <w:lang w:val="el-GR"/>
                        </w:rPr>
                        <w:t xml:space="preserve"> είναι μέσα που αναπτύχθηκαν από τη ΓΔ Περιφερειακής Πολιτικής και Αστικής Ανάπτυξης με σκοπό να συνδράμουν τις διοικήσεις που διαχειρίζονται και εφαρμόζουν το ΕΤΠΑ και το Ταμείο Συνοχής στον προσδιορισμό και την αντιμετώπιση των ικανοτήτων που χρήζουν περαιτέρω ενίσχυσης.</w:t>
                      </w:r>
                    </w:p>
                    <w:p w:rsidR="005B4156" w:rsidRPr="005B4156" w:rsidRDefault="005B4156" w:rsidP="005B4156">
                      <w:pPr>
                        <w:jc w:val="both"/>
                      </w:pPr>
                    </w:p>
                  </w:txbxContent>
                </v:textbox>
              </v:shape>
            </w:pict>
          </mc:Fallback>
        </mc:AlternateContent>
      </w:r>
      <w:r>
        <w:rPr>
          <w:rFonts w:ascii="Verdana" w:hAnsi="Verdana" w:cstheme="minorHAnsi"/>
          <w:b/>
          <w:noProof/>
          <w:color w:val="003399"/>
          <w:kern w:val="12"/>
          <w:sz w:val="40"/>
          <w:szCs w:val="40"/>
          <w:lang w:val="en-GB" w:eastAsia="en-GB" w:bidi="ar-SA"/>
        </w:rPr>
        <w:drawing>
          <wp:inline distT="0" distB="0" distL="0" distR="0" wp14:anchorId="2B6AEDC5" wp14:editId="40307688">
            <wp:extent cx="9900303" cy="7006442"/>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27223" cy="7025493"/>
                    </a:xfrm>
                    <a:prstGeom prst="rect">
                      <a:avLst/>
                    </a:prstGeom>
                    <a:noFill/>
                  </pic:spPr>
                </pic:pic>
              </a:graphicData>
            </a:graphic>
          </wp:inline>
        </w:drawing>
      </w:r>
    </w:p>
    <w:p w:rsidR="00251707" w:rsidRPr="00251707" w:rsidRDefault="00251707" w:rsidP="000A1ECD">
      <w:pPr>
        <w:jc w:val="center"/>
        <w:rPr>
          <w:rFonts w:ascii="Verdana" w:hAnsi="Verdana" w:cstheme="minorHAnsi"/>
          <w:b/>
          <w:color w:val="003399"/>
          <w:kern w:val="12"/>
          <w:sz w:val="40"/>
          <w:szCs w:val="40"/>
        </w:rPr>
        <w:sectPr w:rsidR="00251707" w:rsidRPr="00251707" w:rsidSect="005B4156">
          <w:headerReference w:type="default" r:id="rId10"/>
          <w:footerReference w:type="default" r:id="rId11"/>
          <w:pgSz w:w="15840" w:h="12240" w:orient="landscape"/>
          <w:pgMar w:top="993" w:right="531" w:bottom="1440" w:left="142" w:header="720" w:footer="720" w:gutter="0"/>
          <w:cols w:space="720"/>
          <w:titlePg/>
          <w:docGrid w:linePitch="360"/>
        </w:sectPr>
      </w:pPr>
      <w:bookmarkStart w:id="0" w:name="_GoBack"/>
      <w:bookmarkEnd w:id="0"/>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Εκδόσεις του εγγράφου</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Έκδοση</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Ημερομηνία</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3 Νοεμβρίου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sz w:val="32"/>
          <w:szCs w:val="32"/>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Περιεχόμενα</w:t>
          </w:r>
        </w:p>
        <w:p w:rsidR="00251707" w:rsidRPr="0025756E" w:rsidRDefault="00251707" w:rsidP="00251707">
          <w:pPr>
            <w:rPr>
              <w:rFonts w:ascii="Verdana" w:hAnsi="Verdana"/>
              <w:b/>
              <w:color w:val="0070C0"/>
              <w:sz w:val="32"/>
              <w:szCs w:val="32"/>
            </w:rPr>
          </w:pPr>
        </w:p>
        <w:p w:rsidR="00952551" w:rsidRPr="00952551" w:rsidRDefault="00CF51E8">
          <w:pPr>
            <w:pStyle w:val="TOC1"/>
            <w:tabs>
              <w:tab w:val="left" w:pos="440"/>
              <w:tab w:val="right" w:leader="dot" w:pos="12950"/>
            </w:tabs>
            <w:rPr>
              <w:rFonts w:ascii="Verdana" w:eastAsiaTheme="minorEastAsia" w:hAnsi="Verdana"/>
              <w:noProof/>
              <w:sz w:val="32"/>
              <w:szCs w:val="32"/>
              <w:lang w:val="en-GB" w:eastAsia="en-GB" w:bidi="ar-SA"/>
            </w:rPr>
          </w:pPr>
          <w:r w:rsidRPr="00952551">
            <w:rPr>
              <w:rFonts w:ascii="Verdana" w:hAnsi="Verdana"/>
              <w:sz w:val="32"/>
              <w:szCs w:val="32"/>
            </w:rPr>
            <w:fldChar w:fldCharType="begin"/>
          </w:r>
          <w:r w:rsidRPr="00952551">
            <w:rPr>
              <w:rFonts w:ascii="Verdana" w:hAnsi="Verdana"/>
              <w:sz w:val="32"/>
              <w:szCs w:val="32"/>
            </w:rPr>
            <w:instrText xml:space="preserve"> TOC \o "1-3" \h \z \u </w:instrText>
          </w:r>
          <w:r w:rsidRPr="00952551">
            <w:rPr>
              <w:rFonts w:ascii="Verdana" w:hAnsi="Verdana"/>
              <w:sz w:val="32"/>
              <w:szCs w:val="32"/>
            </w:rPr>
            <w:fldChar w:fldCharType="separate"/>
          </w:r>
          <w:hyperlink w:anchor="_Toc508966587" w:history="1">
            <w:r w:rsidR="00952551" w:rsidRPr="00952551">
              <w:rPr>
                <w:rStyle w:val="Hyperlink"/>
                <w:rFonts w:ascii="Verdana" w:hAnsi="Verdana"/>
                <w:noProof/>
                <w:sz w:val="32"/>
                <w:szCs w:val="32"/>
              </w:rPr>
              <w:t>1.</w:t>
            </w:r>
            <w:r w:rsidR="00952551" w:rsidRPr="00952551">
              <w:rPr>
                <w:rFonts w:ascii="Verdana" w:eastAsiaTheme="minorEastAsia" w:hAnsi="Verdana"/>
                <w:noProof/>
                <w:sz w:val="32"/>
                <w:szCs w:val="32"/>
                <w:lang w:val="en-GB" w:eastAsia="en-GB" w:bidi="ar-SA"/>
              </w:rPr>
              <w:tab/>
            </w:r>
            <w:r w:rsidR="00952551" w:rsidRPr="00952551">
              <w:rPr>
                <w:rStyle w:val="Hyperlink"/>
                <w:rFonts w:ascii="Verdana" w:hAnsi="Verdana"/>
                <w:noProof/>
                <w:sz w:val="32"/>
                <w:szCs w:val="32"/>
              </w:rPr>
              <w:t>Εργασιακοί ρόλοι</w:t>
            </w:r>
            <w:r w:rsidR="00952551" w:rsidRPr="00952551">
              <w:rPr>
                <w:rFonts w:ascii="Verdana" w:hAnsi="Verdana"/>
                <w:noProof/>
                <w:webHidden/>
                <w:sz w:val="32"/>
                <w:szCs w:val="32"/>
              </w:rPr>
              <w:tab/>
            </w:r>
            <w:r w:rsidR="00952551" w:rsidRPr="00952551">
              <w:rPr>
                <w:rFonts w:ascii="Verdana" w:hAnsi="Verdana"/>
                <w:noProof/>
                <w:webHidden/>
                <w:sz w:val="32"/>
                <w:szCs w:val="32"/>
              </w:rPr>
              <w:fldChar w:fldCharType="begin"/>
            </w:r>
            <w:r w:rsidR="00952551" w:rsidRPr="00952551">
              <w:rPr>
                <w:rFonts w:ascii="Verdana" w:hAnsi="Verdana"/>
                <w:noProof/>
                <w:webHidden/>
                <w:sz w:val="32"/>
                <w:szCs w:val="32"/>
              </w:rPr>
              <w:instrText xml:space="preserve"> PAGEREF _Toc508966587 \h </w:instrText>
            </w:r>
            <w:r w:rsidR="00952551" w:rsidRPr="00952551">
              <w:rPr>
                <w:rFonts w:ascii="Verdana" w:hAnsi="Verdana"/>
                <w:noProof/>
                <w:webHidden/>
                <w:sz w:val="32"/>
                <w:szCs w:val="32"/>
              </w:rPr>
            </w:r>
            <w:r w:rsidR="00952551" w:rsidRPr="00952551">
              <w:rPr>
                <w:rFonts w:ascii="Verdana" w:hAnsi="Verdana"/>
                <w:noProof/>
                <w:webHidden/>
                <w:sz w:val="32"/>
                <w:szCs w:val="32"/>
              </w:rPr>
              <w:fldChar w:fldCharType="separate"/>
            </w:r>
            <w:r w:rsidR="00952551" w:rsidRPr="00952551">
              <w:rPr>
                <w:rFonts w:ascii="Verdana" w:hAnsi="Verdana"/>
                <w:noProof/>
                <w:webHidden/>
                <w:sz w:val="32"/>
                <w:szCs w:val="32"/>
              </w:rPr>
              <w:t>4</w:t>
            </w:r>
            <w:r w:rsidR="00952551" w:rsidRPr="00952551">
              <w:rPr>
                <w:rFonts w:ascii="Verdana" w:hAnsi="Verdana"/>
                <w:noProof/>
                <w:webHidden/>
                <w:sz w:val="32"/>
                <w:szCs w:val="32"/>
              </w:rPr>
              <w:fldChar w:fldCharType="end"/>
            </w:r>
          </w:hyperlink>
        </w:p>
        <w:p w:rsidR="00952551" w:rsidRPr="00952551" w:rsidRDefault="005B4156">
          <w:pPr>
            <w:pStyle w:val="TOC1"/>
            <w:tabs>
              <w:tab w:val="left" w:pos="440"/>
              <w:tab w:val="right" w:leader="dot" w:pos="12950"/>
            </w:tabs>
            <w:rPr>
              <w:rFonts w:ascii="Verdana" w:eastAsiaTheme="minorEastAsia" w:hAnsi="Verdana"/>
              <w:noProof/>
              <w:sz w:val="32"/>
              <w:szCs w:val="32"/>
              <w:lang w:val="en-GB" w:eastAsia="en-GB" w:bidi="ar-SA"/>
            </w:rPr>
          </w:pPr>
          <w:hyperlink w:anchor="_Toc508966588" w:history="1">
            <w:r w:rsidR="00952551" w:rsidRPr="00952551">
              <w:rPr>
                <w:rStyle w:val="Hyperlink"/>
                <w:rFonts w:ascii="Verdana" w:hAnsi="Verdana"/>
                <w:noProof/>
                <w:sz w:val="32"/>
                <w:szCs w:val="32"/>
              </w:rPr>
              <w:t>2.</w:t>
            </w:r>
            <w:r w:rsidR="00952551" w:rsidRPr="00952551">
              <w:rPr>
                <w:rFonts w:ascii="Verdana" w:eastAsiaTheme="minorEastAsia" w:hAnsi="Verdana"/>
                <w:noProof/>
                <w:sz w:val="32"/>
                <w:szCs w:val="32"/>
                <w:lang w:val="en-GB" w:eastAsia="en-GB" w:bidi="ar-SA"/>
              </w:rPr>
              <w:tab/>
            </w:r>
            <w:r w:rsidR="00952551" w:rsidRPr="00952551">
              <w:rPr>
                <w:rStyle w:val="Hyperlink"/>
                <w:rFonts w:ascii="Verdana" w:hAnsi="Verdana"/>
                <w:noProof/>
                <w:sz w:val="32"/>
                <w:szCs w:val="32"/>
              </w:rPr>
              <w:t>Καθήκοντα και επιμέρους καθήκοντα</w:t>
            </w:r>
            <w:r w:rsidR="00952551" w:rsidRPr="00952551">
              <w:rPr>
                <w:rFonts w:ascii="Verdana" w:hAnsi="Verdana"/>
                <w:noProof/>
                <w:webHidden/>
                <w:sz w:val="32"/>
                <w:szCs w:val="32"/>
              </w:rPr>
              <w:tab/>
            </w:r>
            <w:r w:rsidR="00952551" w:rsidRPr="00952551">
              <w:rPr>
                <w:rFonts w:ascii="Verdana" w:hAnsi="Verdana"/>
                <w:noProof/>
                <w:webHidden/>
                <w:sz w:val="32"/>
                <w:szCs w:val="32"/>
              </w:rPr>
              <w:fldChar w:fldCharType="begin"/>
            </w:r>
            <w:r w:rsidR="00952551" w:rsidRPr="00952551">
              <w:rPr>
                <w:rFonts w:ascii="Verdana" w:hAnsi="Verdana"/>
                <w:noProof/>
                <w:webHidden/>
                <w:sz w:val="32"/>
                <w:szCs w:val="32"/>
              </w:rPr>
              <w:instrText xml:space="preserve"> PAGEREF _Toc508966588 \h </w:instrText>
            </w:r>
            <w:r w:rsidR="00952551" w:rsidRPr="00952551">
              <w:rPr>
                <w:rFonts w:ascii="Verdana" w:hAnsi="Verdana"/>
                <w:noProof/>
                <w:webHidden/>
                <w:sz w:val="32"/>
                <w:szCs w:val="32"/>
              </w:rPr>
            </w:r>
            <w:r w:rsidR="00952551" w:rsidRPr="00952551">
              <w:rPr>
                <w:rFonts w:ascii="Verdana" w:hAnsi="Verdana"/>
                <w:noProof/>
                <w:webHidden/>
                <w:sz w:val="32"/>
                <w:szCs w:val="32"/>
              </w:rPr>
              <w:fldChar w:fldCharType="separate"/>
            </w:r>
            <w:r w:rsidR="00952551" w:rsidRPr="00952551">
              <w:rPr>
                <w:rFonts w:ascii="Verdana" w:hAnsi="Verdana"/>
                <w:noProof/>
                <w:webHidden/>
                <w:sz w:val="32"/>
                <w:szCs w:val="32"/>
              </w:rPr>
              <w:t>5</w:t>
            </w:r>
            <w:r w:rsidR="00952551" w:rsidRPr="00952551">
              <w:rPr>
                <w:rFonts w:ascii="Verdana" w:hAnsi="Verdana"/>
                <w:noProof/>
                <w:webHidden/>
                <w:sz w:val="32"/>
                <w:szCs w:val="32"/>
              </w:rPr>
              <w:fldChar w:fldCharType="end"/>
            </w:r>
          </w:hyperlink>
        </w:p>
        <w:p w:rsidR="00952551" w:rsidRPr="00952551" w:rsidRDefault="005B4156">
          <w:pPr>
            <w:pStyle w:val="TOC1"/>
            <w:tabs>
              <w:tab w:val="left" w:pos="440"/>
              <w:tab w:val="right" w:leader="dot" w:pos="12950"/>
            </w:tabs>
            <w:rPr>
              <w:rFonts w:ascii="Verdana" w:eastAsiaTheme="minorEastAsia" w:hAnsi="Verdana"/>
              <w:noProof/>
              <w:sz w:val="32"/>
              <w:szCs w:val="32"/>
              <w:lang w:val="en-GB" w:eastAsia="en-GB" w:bidi="ar-SA"/>
            </w:rPr>
          </w:pPr>
          <w:hyperlink w:anchor="_Toc508966589" w:history="1">
            <w:r w:rsidR="00952551" w:rsidRPr="00952551">
              <w:rPr>
                <w:rStyle w:val="Hyperlink"/>
                <w:rFonts w:ascii="Verdana" w:hAnsi="Verdana"/>
                <w:noProof/>
                <w:sz w:val="32"/>
                <w:szCs w:val="32"/>
              </w:rPr>
              <w:t>3.</w:t>
            </w:r>
            <w:r w:rsidR="00952551" w:rsidRPr="00952551">
              <w:rPr>
                <w:rFonts w:ascii="Verdana" w:eastAsiaTheme="minorEastAsia" w:hAnsi="Verdana"/>
                <w:noProof/>
                <w:sz w:val="32"/>
                <w:szCs w:val="32"/>
                <w:lang w:val="en-GB" w:eastAsia="en-GB" w:bidi="ar-SA"/>
              </w:rPr>
              <w:tab/>
            </w:r>
            <w:r w:rsidR="00952551" w:rsidRPr="00952551">
              <w:rPr>
                <w:rStyle w:val="Hyperlink"/>
                <w:rFonts w:ascii="Verdana" w:hAnsi="Verdana"/>
                <w:noProof/>
                <w:sz w:val="32"/>
                <w:szCs w:val="32"/>
              </w:rPr>
              <w:t>Κλίμακα επάρκειας</w:t>
            </w:r>
            <w:r w:rsidR="00952551" w:rsidRPr="00952551">
              <w:rPr>
                <w:rFonts w:ascii="Verdana" w:hAnsi="Verdana"/>
                <w:noProof/>
                <w:webHidden/>
                <w:sz w:val="32"/>
                <w:szCs w:val="32"/>
              </w:rPr>
              <w:tab/>
            </w:r>
            <w:r w:rsidR="00952551" w:rsidRPr="00952551">
              <w:rPr>
                <w:rFonts w:ascii="Verdana" w:hAnsi="Verdana"/>
                <w:noProof/>
                <w:webHidden/>
                <w:sz w:val="32"/>
                <w:szCs w:val="32"/>
              </w:rPr>
              <w:fldChar w:fldCharType="begin"/>
            </w:r>
            <w:r w:rsidR="00952551" w:rsidRPr="00952551">
              <w:rPr>
                <w:rFonts w:ascii="Verdana" w:hAnsi="Verdana"/>
                <w:noProof/>
                <w:webHidden/>
                <w:sz w:val="32"/>
                <w:szCs w:val="32"/>
              </w:rPr>
              <w:instrText xml:space="preserve"> PAGEREF _Toc508966589 \h </w:instrText>
            </w:r>
            <w:r w:rsidR="00952551" w:rsidRPr="00952551">
              <w:rPr>
                <w:rFonts w:ascii="Verdana" w:hAnsi="Verdana"/>
                <w:noProof/>
                <w:webHidden/>
                <w:sz w:val="32"/>
                <w:szCs w:val="32"/>
              </w:rPr>
            </w:r>
            <w:r w:rsidR="00952551" w:rsidRPr="00952551">
              <w:rPr>
                <w:rFonts w:ascii="Verdana" w:hAnsi="Verdana"/>
                <w:noProof/>
                <w:webHidden/>
                <w:sz w:val="32"/>
                <w:szCs w:val="32"/>
              </w:rPr>
              <w:fldChar w:fldCharType="separate"/>
            </w:r>
            <w:r w:rsidR="00952551" w:rsidRPr="00952551">
              <w:rPr>
                <w:rFonts w:ascii="Verdana" w:hAnsi="Verdana"/>
                <w:noProof/>
                <w:webHidden/>
                <w:sz w:val="32"/>
                <w:szCs w:val="32"/>
              </w:rPr>
              <w:t>11</w:t>
            </w:r>
            <w:r w:rsidR="00952551" w:rsidRPr="00952551">
              <w:rPr>
                <w:rFonts w:ascii="Verdana" w:hAnsi="Verdana"/>
                <w:noProof/>
                <w:webHidden/>
                <w:sz w:val="32"/>
                <w:szCs w:val="32"/>
              </w:rPr>
              <w:fldChar w:fldCharType="end"/>
            </w:r>
          </w:hyperlink>
        </w:p>
        <w:p w:rsidR="00952551" w:rsidRPr="00952551" w:rsidRDefault="005B4156">
          <w:pPr>
            <w:pStyle w:val="TOC1"/>
            <w:tabs>
              <w:tab w:val="left" w:pos="440"/>
              <w:tab w:val="right" w:leader="dot" w:pos="12950"/>
            </w:tabs>
            <w:rPr>
              <w:rFonts w:ascii="Verdana" w:eastAsiaTheme="minorEastAsia" w:hAnsi="Verdana"/>
              <w:noProof/>
              <w:sz w:val="32"/>
              <w:szCs w:val="32"/>
              <w:lang w:val="en-GB" w:eastAsia="en-GB" w:bidi="ar-SA"/>
            </w:rPr>
          </w:pPr>
          <w:hyperlink w:anchor="_Toc508966590" w:history="1">
            <w:r w:rsidR="00952551" w:rsidRPr="00952551">
              <w:rPr>
                <w:rStyle w:val="Hyperlink"/>
                <w:rFonts w:ascii="Verdana" w:hAnsi="Verdana"/>
                <w:noProof/>
                <w:sz w:val="32"/>
                <w:szCs w:val="32"/>
              </w:rPr>
              <w:t>4.</w:t>
            </w:r>
            <w:r w:rsidR="00952551" w:rsidRPr="00952551">
              <w:rPr>
                <w:rFonts w:ascii="Verdana" w:eastAsiaTheme="minorEastAsia" w:hAnsi="Verdana"/>
                <w:noProof/>
                <w:sz w:val="32"/>
                <w:szCs w:val="32"/>
                <w:lang w:val="en-GB" w:eastAsia="en-GB" w:bidi="ar-SA"/>
              </w:rPr>
              <w:tab/>
            </w:r>
            <w:r w:rsidR="00952551" w:rsidRPr="00952551">
              <w:rPr>
                <w:rStyle w:val="Hyperlink"/>
                <w:rFonts w:ascii="Verdana" w:hAnsi="Verdana"/>
                <w:noProof/>
                <w:sz w:val="32"/>
                <w:szCs w:val="32"/>
              </w:rPr>
              <w:t>Επιχειρησιακές ικανότητες</w:t>
            </w:r>
            <w:r w:rsidR="00952551" w:rsidRPr="00952551">
              <w:rPr>
                <w:rFonts w:ascii="Verdana" w:hAnsi="Verdana"/>
                <w:noProof/>
                <w:webHidden/>
                <w:sz w:val="32"/>
                <w:szCs w:val="32"/>
              </w:rPr>
              <w:tab/>
            </w:r>
            <w:r w:rsidR="00952551" w:rsidRPr="00952551">
              <w:rPr>
                <w:rFonts w:ascii="Verdana" w:hAnsi="Verdana"/>
                <w:noProof/>
                <w:webHidden/>
                <w:sz w:val="32"/>
                <w:szCs w:val="32"/>
              </w:rPr>
              <w:fldChar w:fldCharType="begin"/>
            </w:r>
            <w:r w:rsidR="00952551" w:rsidRPr="00952551">
              <w:rPr>
                <w:rFonts w:ascii="Verdana" w:hAnsi="Verdana"/>
                <w:noProof/>
                <w:webHidden/>
                <w:sz w:val="32"/>
                <w:szCs w:val="32"/>
              </w:rPr>
              <w:instrText xml:space="preserve"> PAGEREF _Toc508966590 \h </w:instrText>
            </w:r>
            <w:r w:rsidR="00952551" w:rsidRPr="00952551">
              <w:rPr>
                <w:rFonts w:ascii="Verdana" w:hAnsi="Verdana"/>
                <w:noProof/>
                <w:webHidden/>
                <w:sz w:val="32"/>
                <w:szCs w:val="32"/>
              </w:rPr>
            </w:r>
            <w:r w:rsidR="00952551" w:rsidRPr="00952551">
              <w:rPr>
                <w:rFonts w:ascii="Verdana" w:hAnsi="Verdana"/>
                <w:noProof/>
                <w:webHidden/>
                <w:sz w:val="32"/>
                <w:szCs w:val="32"/>
              </w:rPr>
              <w:fldChar w:fldCharType="separate"/>
            </w:r>
            <w:r w:rsidR="00952551" w:rsidRPr="00952551">
              <w:rPr>
                <w:rFonts w:ascii="Verdana" w:hAnsi="Verdana"/>
                <w:noProof/>
                <w:webHidden/>
                <w:sz w:val="32"/>
                <w:szCs w:val="32"/>
              </w:rPr>
              <w:t>13</w:t>
            </w:r>
            <w:r w:rsidR="00952551" w:rsidRPr="00952551">
              <w:rPr>
                <w:rFonts w:ascii="Verdana" w:hAnsi="Verdana"/>
                <w:noProof/>
                <w:webHidden/>
                <w:sz w:val="32"/>
                <w:szCs w:val="32"/>
              </w:rPr>
              <w:fldChar w:fldCharType="end"/>
            </w:r>
          </w:hyperlink>
        </w:p>
        <w:p w:rsidR="00952551" w:rsidRPr="00952551" w:rsidRDefault="005B4156">
          <w:pPr>
            <w:pStyle w:val="TOC1"/>
            <w:tabs>
              <w:tab w:val="left" w:pos="440"/>
              <w:tab w:val="right" w:leader="dot" w:pos="12950"/>
            </w:tabs>
            <w:rPr>
              <w:rFonts w:ascii="Verdana" w:eastAsiaTheme="minorEastAsia" w:hAnsi="Verdana"/>
              <w:noProof/>
              <w:sz w:val="32"/>
              <w:szCs w:val="32"/>
              <w:lang w:val="en-GB" w:eastAsia="en-GB" w:bidi="ar-SA"/>
            </w:rPr>
          </w:pPr>
          <w:hyperlink w:anchor="_Toc508966591" w:history="1">
            <w:r w:rsidR="00952551" w:rsidRPr="00952551">
              <w:rPr>
                <w:rStyle w:val="Hyperlink"/>
                <w:rFonts w:ascii="Verdana" w:hAnsi="Verdana"/>
                <w:noProof/>
                <w:sz w:val="32"/>
                <w:szCs w:val="32"/>
              </w:rPr>
              <w:t>5.</w:t>
            </w:r>
            <w:r w:rsidR="00952551" w:rsidRPr="00952551">
              <w:rPr>
                <w:rFonts w:ascii="Verdana" w:eastAsiaTheme="minorEastAsia" w:hAnsi="Verdana"/>
                <w:noProof/>
                <w:sz w:val="32"/>
                <w:szCs w:val="32"/>
                <w:lang w:val="en-GB" w:eastAsia="en-GB" w:bidi="ar-SA"/>
              </w:rPr>
              <w:tab/>
            </w:r>
            <w:r w:rsidR="00952551" w:rsidRPr="00952551">
              <w:rPr>
                <w:rStyle w:val="Hyperlink"/>
                <w:rFonts w:ascii="Verdana" w:hAnsi="Verdana"/>
                <w:noProof/>
                <w:sz w:val="32"/>
                <w:szCs w:val="32"/>
              </w:rPr>
              <w:t>Διοικητικές ικανότητες</w:t>
            </w:r>
            <w:r w:rsidR="00952551" w:rsidRPr="00952551">
              <w:rPr>
                <w:rFonts w:ascii="Verdana" w:hAnsi="Verdana"/>
                <w:noProof/>
                <w:webHidden/>
                <w:sz w:val="32"/>
                <w:szCs w:val="32"/>
              </w:rPr>
              <w:tab/>
            </w:r>
            <w:r w:rsidR="00952551" w:rsidRPr="00952551">
              <w:rPr>
                <w:rFonts w:ascii="Verdana" w:hAnsi="Verdana"/>
                <w:noProof/>
                <w:webHidden/>
                <w:sz w:val="32"/>
                <w:szCs w:val="32"/>
              </w:rPr>
              <w:fldChar w:fldCharType="begin"/>
            </w:r>
            <w:r w:rsidR="00952551" w:rsidRPr="00952551">
              <w:rPr>
                <w:rFonts w:ascii="Verdana" w:hAnsi="Verdana"/>
                <w:noProof/>
                <w:webHidden/>
                <w:sz w:val="32"/>
                <w:szCs w:val="32"/>
              </w:rPr>
              <w:instrText xml:space="preserve"> PAGEREF _Toc508966591 \h </w:instrText>
            </w:r>
            <w:r w:rsidR="00952551" w:rsidRPr="00952551">
              <w:rPr>
                <w:rFonts w:ascii="Verdana" w:hAnsi="Verdana"/>
                <w:noProof/>
                <w:webHidden/>
                <w:sz w:val="32"/>
                <w:szCs w:val="32"/>
              </w:rPr>
            </w:r>
            <w:r w:rsidR="00952551" w:rsidRPr="00952551">
              <w:rPr>
                <w:rFonts w:ascii="Verdana" w:hAnsi="Verdana"/>
                <w:noProof/>
                <w:webHidden/>
                <w:sz w:val="32"/>
                <w:szCs w:val="32"/>
              </w:rPr>
              <w:fldChar w:fldCharType="separate"/>
            </w:r>
            <w:r w:rsidR="00952551" w:rsidRPr="00952551">
              <w:rPr>
                <w:rFonts w:ascii="Verdana" w:hAnsi="Verdana"/>
                <w:noProof/>
                <w:webHidden/>
                <w:sz w:val="32"/>
                <w:szCs w:val="32"/>
              </w:rPr>
              <w:t>16</w:t>
            </w:r>
            <w:r w:rsidR="00952551" w:rsidRPr="00952551">
              <w:rPr>
                <w:rFonts w:ascii="Verdana" w:hAnsi="Verdana"/>
                <w:noProof/>
                <w:webHidden/>
                <w:sz w:val="32"/>
                <w:szCs w:val="32"/>
              </w:rPr>
              <w:fldChar w:fldCharType="end"/>
            </w:r>
          </w:hyperlink>
        </w:p>
        <w:p w:rsidR="00952551" w:rsidRPr="00952551" w:rsidRDefault="005B4156">
          <w:pPr>
            <w:pStyle w:val="TOC1"/>
            <w:tabs>
              <w:tab w:val="left" w:pos="440"/>
              <w:tab w:val="right" w:leader="dot" w:pos="12950"/>
            </w:tabs>
            <w:rPr>
              <w:rFonts w:ascii="Verdana" w:eastAsiaTheme="minorEastAsia" w:hAnsi="Verdana"/>
              <w:noProof/>
              <w:sz w:val="32"/>
              <w:szCs w:val="32"/>
              <w:lang w:val="en-GB" w:eastAsia="en-GB" w:bidi="ar-SA"/>
            </w:rPr>
          </w:pPr>
          <w:hyperlink w:anchor="_Toc508966592" w:history="1">
            <w:r w:rsidR="00952551" w:rsidRPr="00952551">
              <w:rPr>
                <w:rStyle w:val="Hyperlink"/>
                <w:rFonts w:ascii="Verdana" w:hAnsi="Verdana"/>
                <w:noProof/>
                <w:sz w:val="32"/>
                <w:szCs w:val="32"/>
              </w:rPr>
              <w:t>6.</w:t>
            </w:r>
            <w:r w:rsidR="00952551" w:rsidRPr="00952551">
              <w:rPr>
                <w:rFonts w:ascii="Verdana" w:eastAsiaTheme="minorEastAsia" w:hAnsi="Verdana"/>
                <w:noProof/>
                <w:sz w:val="32"/>
                <w:szCs w:val="32"/>
                <w:lang w:val="en-GB" w:eastAsia="en-GB" w:bidi="ar-SA"/>
              </w:rPr>
              <w:tab/>
            </w:r>
            <w:r w:rsidR="00952551" w:rsidRPr="00952551">
              <w:rPr>
                <w:rStyle w:val="Hyperlink"/>
                <w:rFonts w:ascii="Verdana" w:hAnsi="Verdana"/>
                <w:noProof/>
                <w:sz w:val="32"/>
                <w:szCs w:val="32"/>
              </w:rPr>
              <w:t>Επαγγελματικές ικανότητες</w:t>
            </w:r>
            <w:r w:rsidR="00952551" w:rsidRPr="00952551">
              <w:rPr>
                <w:rFonts w:ascii="Verdana" w:hAnsi="Verdana"/>
                <w:noProof/>
                <w:webHidden/>
                <w:sz w:val="32"/>
                <w:szCs w:val="32"/>
              </w:rPr>
              <w:tab/>
            </w:r>
            <w:r w:rsidR="00952551" w:rsidRPr="00952551">
              <w:rPr>
                <w:rFonts w:ascii="Verdana" w:hAnsi="Verdana"/>
                <w:noProof/>
                <w:webHidden/>
                <w:sz w:val="32"/>
                <w:szCs w:val="32"/>
              </w:rPr>
              <w:fldChar w:fldCharType="begin"/>
            </w:r>
            <w:r w:rsidR="00952551" w:rsidRPr="00952551">
              <w:rPr>
                <w:rFonts w:ascii="Verdana" w:hAnsi="Verdana"/>
                <w:noProof/>
                <w:webHidden/>
                <w:sz w:val="32"/>
                <w:szCs w:val="32"/>
              </w:rPr>
              <w:instrText xml:space="preserve"> PAGEREF _Toc508966592 \h </w:instrText>
            </w:r>
            <w:r w:rsidR="00952551" w:rsidRPr="00952551">
              <w:rPr>
                <w:rFonts w:ascii="Verdana" w:hAnsi="Verdana"/>
                <w:noProof/>
                <w:webHidden/>
                <w:sz w:val="32"/>
                <w:szCs w:val="32"/>
              </w:rPr>
            </w:r>
            <w:r w:rsidR="00952551" w:rsidRPr="00952551">
              <w:rPr>
                <w:rFonts w:ascii="Verdana" w:hAnsi="Verdana"/>
                <w:noProof/>
                <w:webHidden/>
                <w:sz w:val="32"/>
                <w:szCs w:val="32"/>
              </w:rPr>
              <w:fldChar w:fldCharType="separate"/>
            </w:r>
            <w:r w:rsidR="00952551" w:rsidRPr="00952551">
              <w:rPr>
                <w:rFonts w:ascii="Verdana" w:hAnsi="Verdana"/>
                <w:noProof/>
                <w:webHidden/>
                <w:sz w:val="32"/>
                <w:szCs w:val="32"/>
              </w:rPr>
              <w:t>20</w:t>
            </w:r>
            <w:r w:rsidR="00952551" w:rsidRPr="00952551">
              <w:rPr>
                <w:rFonts w:ascii="Verdana" w:hAnsi="Verdana"/>
                <w:noProof/>
                <w:webHidden/>
                <w:sz w:val="32"/>
                <w:szCs w:val="32"/>
              </w:rPr>
              <w:fldChar w:fldCharType="end"/>
            </w:r>
          </w:hyperlink>
        </w:p>
        <w:p w:rsidR="0025756E" w:rsidRPr="00952551" w:rsidRDefault="00CF51E8">
          <w:pPr>
            <w:pStyle w:val="TOC1"/>
            <w:tabs>
              <w:tab w:val="left" w:pos="440"/>
              <w:tab w:val="right" w:leader="dot" w:pos="12950"/>
            </w:tabs>
            <w:rPr>
              <w:rFonts w:ascii="Verdana" w:eastAsiaTheme="minorEastAsia" w:hAnsi="Verdana"/>
              <w:noProof/>
              <w:sz w:val="32"/>
              <w:szCs w:val="32"/>
            </w:rPr>
          </w:pPr>
          <w:r w:rsidRPr="00952551">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1" w:name="_Toc494963494"/>
      <w:bookmarkStart w:id="2" w:name="_Toc508966587"/>
      <w:r>
        <w:lastRenderedPageBreak/>
        <w:t>Εργασιακοί ρόλοι</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8"/>
        <w:gridCol w:w="3044"/>
        <w:gridCol w:w="1599"/>
        <w:gridCol w:w="7238"/>
      </w:tblGrid>
      <w:tr w:rsidR="006931AA" w:rsidRPr="00251707" w:rsidTr="00EF60EC">
        <w:trPr>
          <w:trHeight w:val="467"/>
        </w:trPr>
        <w:tc>
          <w:tcPr>
            <w:tcW w:w="1722"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3278"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EF60EC" w:rsidRPr="00251707" w:rsidTr="00EF60EC">
        <w:trPr>
          <w:trHeight w:val="440"/>
        </w:trPr>
        <w:tc>
          <w:tcPr>
            <w:tcW w:w="593" w:type="pct"/>
            <w:shd w:val="clear" w:color="auto" w:fill="F2F2F2" w:themeFill="background1" w:themeFillShade="F2"/>
            <w:vAlign w:val="center"/>
            <w:hideMark/>
          </w:tcPr>
          <w:p w:rsidR="00EF60EC" w:rsidRPr="00251707" w:rsidRDefault="00EF60EC" w:rsidP="00F27CD8">
            <w:pPr>
              <w:spacing w:after="0"/>
              <w:rPr>
                <w:rFonts w:ascii="Verdana" w:hAnsi="Verdana" w:cstheme="minorHAnsi"/>
                <w:sz w:val="20"/>
                <w:szCs w:val="20"/>
              </w:rPr>
            </w:pPr>
            <w:proofErr w:type="spellStart"/>
            <w:r w:rsidRPr="00251707">
              <w:rPr>
                <w:rFonts w:ascii="Verdana" w:hAnsi="Verdana" w:cstheme="minorHAnsi"/>
                <w:sz w:val="20"/>
                <w:szCs w:val="20"/>
              </w:rPr>
              <w:t>Job</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Role</w:t>
            </w:r>
            <w:proofErr w:type="spellEnd"/>
          </w:p>
        </w:tc>
        <w:tc>
          <w:tcPr>
            <w:tcW w:w="1129" w:type="pct"/>
            <w:shd w:val="clear" w:color="auto" w:fill="F2F2F2" w:themeFill="background1" w:themeFillShade="F2"/>
            <w:vAlign w:val="center"/>
          </w:tcPr>
          <w:p w:rsidR="00EF60EC" w:rsidRPr="00251707" w:rsidRDefault="00EF60EC" w:rsidP="00F27CD8">
            <w:pPr>
              <w:spacing w:after="0"/>
              <w:rPr>
                <w:rFonts w:ascii="Verdana" w:hAnsi="Verdana" w:cstheme="minorHAnsi"/>
                <w:sz w:val="20"/>
                <w:szCs w:val="20"/>
              </w:rPr>
            </w:pPr>
            <w:proofErr w:type="spellStart"/>
            <w:r w:rsidRPr="00251707">
              <w:rPr>
                <w:rFonts w:ascii="Verdana" w:hAnsi="Verdana" w:cstheme="minorHAnsi"/>
                <w:sz w:val="20"/>
                <w:szCs w:val="20"/>
              </w:rPr>
              <w:t>Description</w:t>
            </w:r>
            <w:proofErr w:type="spellEnd"/>
          </w:p>
        </w:tc>
        <w:tc>
          <w:tcPr>
            <w:tcW w:w="593" w:type="pct"/>
            <w:shd w:val="clear" w:color="auto" w:fill="F2F2F2" w:themeFill="background1" w:themeFillShade="F2"/>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Εργασιακός ρόλος</w:t>
            </w:r>
          </w:p>
        </w:tc>
        <w:tc>
          <w:tcPr>
            <w:tcW w:w="2686" w:type="pct"/>
            <w:shd w:val="clear" w:color="auto" w:fill="F2F2F2" w:themeFill="background1" w:themeFillShade="F2"/>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Περιγραφή</w:t>
            </w:r>
          </w:p>
        </w:tc>
      </w:tr>
      <w:tr w:rsidR="00EF60EC" w:rsidRPr="00251707" w:rsidTr="00EF60EC">
        <w:trPr>
          <w:trHeight w:val="1250"/>
        </w:trPr>
        <w:tc>
          <w:tcPr>
            <w:tcW w:w="593" w:type="pct"/>
            <w:shd w:val="clear" w:color="000000" w:fill="FFFFFF"/>
            <w:vAlign w:val="center"/>
            <w:hideMark/>
          </w:tcPr>
          <w:p w:rsidR="00EF60EC" w:rsidRPr="00251707" w:rsidRDefault="00EF60EC" w:rsidP="00F27CD8">
            <w:pPr>
              <w:spacing w:after="0"/>
              <w:rPr>
                <w:rFonts w:ascii="Verdana" w:hAnsi="Verdana" w:cstheme="minorHAnsi"/>
                <w:sz w:val="20"/>
                <w:szCs w:val="20"/>
              </w:rPr>
            </w:pPr>
            <w:proofErr w:type="spellStart"/>
            <w:r w:rsidRPr="00251707">
              <w:rPr>
                <w:rFonts w:ascii="Verdana" w:hAnsi="Verdana" w:cstheme="minorHAnsi"/>
                <w:sz w:val="20"/>
                <w:szCs w:val="20"/>
              </w:rPr>
              <w:t>Decision</w:t>
            </w:r>
            <w:proofErr w:type="spellEnd"/>
            <w:r w:rsidRPr="00251707">
              <w:rPr>
                <w:rFonts w:ascii="Verdana" w:hAnsi="Verdana" w:cstheme="minorHAnsi"/>
                <w:sz w:val="20"/>
                <w:szCs w:val="20"/>
              </w:rPr>
              <w:t>-</w:t>
            </w:r>
            <w:proofErr w:type="spellStart"/>
            <w:r w:rsidRPr="00251707">
              <w:rPr>
                <w:rFonts w:ascii="Verdana" w:hAnsi="Verdana" w:cstheme="minorHAnsi"/>
                <w:sz w:val="20"/>
                <w:szCs w:val="20"/>
              </w:rPr>
              <w:t>making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129"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This is the head of the organization or persons that act on relatively high strategic management levels</w:t>
            </w:r>
          </w:p>
        </w:tc>
        <w:tc>
          <w:tcPr>
            <w:tcW w:w="593"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Επίπεδο λήψης αποφάσεων</w:t>
            </w:r>
          </w:p>
        </w:tc>
        <w:tc>
          <w:tcPr>
            <w:tcW w:w="2686"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Πρόκειται για τον επικεφαλής του οργανισμού ή τα άτομα που δραστηριοποιούνται σε σχετικά υψηλά επίπεδα στρατηγικής διαχείρισης</w:t>
            </w:r>
          </w:p>
        </w:tc>
      </w:tr>
      <w:tr w:rsidR="00EF60EC" w:rsidRPr="00251707" w:rsidTr="00EF60EC">
        <w:trPr>
          <w:trHeight w:val="1871"/>
        </w:trPr>
        <w:tc>
          <w:tcPr>
            <w:tcW w:w="593" w:type="pct"/>
            <w:shd w:val="clear" w:color="000000" w:fill="FFFFFF"/>
            <w:vAlign w:val="center"/>
            <w:hideMark/>
          </w:tcPr>
          <w:p w:rsidR="00EF60EC" w:rsidRPr="00251707" w:rsidRDefault="00EF60EC" w:rsidP="00F27CD8">
            <w:pPr>
              <w:spacing w:after="0"/>
              <w:rPr>
                <w:rFonts w:ascii="Verdana" w:hAnsi="Verdana" w:cstheme="minorHAnsi"/>
                <w:sz w:val="20"/>
                <w:szCs w:val="20"/>
              </w:rPr>
            </w:pPr>
            <w:proofErr w:type="spellStart"/>
            <w:r w:rsidRPr="00251707">
              <w:rPr>
                <w:rFonts w:ascii="Verdana" w:hAnsi="Verdana" w:cstheme="minorHAnsi"/>
                <w:sz w:val="20"/>
                <w:szCs w:val="20"/>
              </w:rPr>
              <w:t>Supervisory</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129"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93"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Επίπεδο εποπτείας</w:t>
            </w:r>
          </w:p>
        </w:tc>
        <w:tc>
          <w:tcPr>
            <w:tcW w:w="2686"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Πρόκειται για το μεσαίο επίπεδο διοίκησης, το οποίο είναι υπεύθυνο για μια ομάδα ατόμων και δεν εμπλέκεται άμεσα στην επιχειρησιακή εφαρμογή του προγράμματος, για παράδειγμα οι επικεφαλής των οργανωτικών μονάδων.</w:t>
            </w:r>
          </w:p>
        </w:tc>
      </w:tr>
      <w:tr w:rsidR="00EF60EC" w:rsidRPr="00251707" w:rsidTr="00EF60EC">
        <w:trPr>
          <w:trHeight w:val="1439"/>
        </w:trPr>
        <w:tc>
          <w:tcPr>
            <w:tcW w:w="593" w:type="pct"/>
            <w:shd w:val="clear" w:color="000000" w:fill="FFFFFF"/>
            <w:vAlign w:val="center"/>
            <w:hideMark/>
          </w:tcPr>
          <w:p w:rsidR="00EF60EC" w:rsidRPr="00251707" w:rsidRDefault="00EF60EC" w:rsidP="00F27CD8">
            <w:pPr>
              <w:spacing w:after="0"/>
              <w:rPr>
                <w:rFonts w:ascii="Verdana" w:hAnsi="Verdana" w:cstheme="minorHAnsi"/>
                <w:sz w:val="20"/>
                <w:szCs w:val="20"/>
              </w:rPr>
            </w:pPr>
            <w:proofErr w:type="spellStart"/>
            <w:r w:rsidRPr="00251707">
              <w:rPr>
                <w:rFonts w:ascii="Verdana" w:hAnsi="Verdana" w:cstheme="minorHAnsi"/>
                <w:sz w:val="20"/>
                <w:szCs w:val="20"/>
              </w:rPr>
              <w:t>Operational</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129"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These are the experts that are directly working on the different tasks and sub-tasks within the organization</w:t>
            </w:r>
          </w:p>
        </w:tc>
        <w:tc>
          <w:tcPr>
            <w:tcW w:w="593"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Επιχειρησιακό επίπεδο</w:t>
            </w:r>
          </w:p>
        </w:tc>
        <w:tc>
          <w:tcPr>
            <w:tcW w:w="2686"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Πρόκειται για τους εμπειρογνώμονες που εργάζονται απευθείας στα διάφορα καθήκοντα και επιμέρους καθήκοντα εντός του οργανισμού</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3" w:name="_Toc494963495"/>
      <w:bookmarkStart w:id="4" w:name="_Toc508966588"/>
      <w:r>
        <w:lastRenderedPageBreak/>
        <w:t>Καθήκοντα και επιμέρους καθήκοντα</w:t>
      </w:r>
      <w:bookmarkEnd w:id="3"/>
      <w:bookmarkEnd w:id="4"/>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EF60EC" w:rsidRPr="00251707" w:rsidTr="00251707">
        <w:trPr>
          <w:trHeight w:val="345"/>
          <w:tblHeader/>
        </w:trPr>
        <w:tc>
          <w:tcPr>
            <w:tcW w:w="902" w:type="pct"/>
            <w:shd w:val="clear" w:color="auto" w:fill="F2F2F2" w:themeFill="background1" w:themeFillShade="F2"/>
            <w:vAlign w:val="center"/>
          </w:tcPr>
          <w:p w:rsidR="00EF60EC" w:rsidRPr="00251707" w:rsidRDefault="00EF60EC" w:rsidP="00F27CD8">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EF60EC" w:rsidRPr="00251707" w:rsidRDefault="00EF60EC" w:rsidP="00F27CD8">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EF60EC" w:rsidRPr="00251707" w:rsidRDefault="00EF60EC" w:rsidP="00F27CD8">
            <w:pPr>
              <w:spacing w:after="0" w:line="240" w:lineRule="auto"/>
              <w:rPr>
                <w:rFonts w:ascii="Verdana" w:eastAsia="Times New Roman" w:hAnsi="Verdana" w:cstheme="minorHAnsi"/>
                <w:b/>
                <w:bCs/>
                <w:sz w:val="20"/>
                <w:szCs w:val="20"/>
              </w:rPr>
            </w:pPr>
            <w:r>
              <w:rPr>
                <w:rFonts w:ascii="Verdana" w:hAnsi="Verdana" w:cstheme="minorHAnsi"/>
                <w:b/>
                <w:sz w:val="20"/>
              </w:rPr>
              <w:t>Καθήκοντα</w:t>
            </w:r>
          </w:p>
        </w:tc>
        <w:tc>
          <w:tcPr>
            <w:tcW w:w="1251" w:type="pct"/>
            <w:shd w:val="clear" w:color="auto" w:fill="F2F2F2" w:themeFill="background1" w:themeFillShade="F2"/>
            <w:vAlign w:val="center"/>
          </w:tcPr>
          <w:p w:rsidR="00EF60EC" w:rsidRPr="00251707" w:rsidRDefault="00EF60EC" w:rsidP="00F27CD8">
            <w:pPr>
              <w:spacing w:after="0" w:line="240" w:lineRule="auto"/>
              <w:rPr>
                <w:rFonts w:ascii="Verdana" w:eastAsia="Times New Roman" w:hAnsi="Verdana" w:cstheme="minorHAnsi"/>
                <w:b/>
                <w:bCs/>
                <w:sz w:val="20"/>
                <w:szCs w:val="20"/>
              </w:rPr>
            </w:pPr>
            <w:r>
              <w:rPr>
                <w:rFonts w:ascii="Verdana" w:hAnsi="Verdana" w:cstheme="minorHAnsi"/>
                <w:b/>
                <w:sz w:val="20"/>
              </w:rPr>
              <w:t>Επιμέρους καθήκον</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1. </w:t>
            </w:r>
            <w:proofErr w:type="spellStart"/>
            <w:r w:rsidRPr="00251707">
              <w:rPr>
                <w:rFonts w:ascii="Verdana" w:hAnsi="Verdana" w:cstheme="minorHAnsi"/>
                <w:sz w:val="20"/>
                <w:szCs w:val="20"/>
              </w:rPr>
              <w:t>Programming</w:t>
            </w:r>
            <w:proofErr w:type="spellEnd"/>
            <w:r w:rsidRPr="00251707">
              <w:rPr>
                <w:rFonts w:ascii="Verdana" w:hAnsi="Verdana" w:cstheme="minorHAnsi"/>
                <w:sz w:val="20"/>
                <w:szCs w:val="20"/>
              </w:rPr>
              <w:t xml:space="preserve">   </w:t>
            </w: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1.1. Inter-institutional coordination and stakeholder involvement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1. Προγραμματισμός   </w:t>
            </w: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1.1. Διοργανικός συντονισμός και συμμετοχή ενδιαφερομένων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1.2.  </w:t>
            </w:r>
            <w:proofErr w:type="spellStart"/>
            <w:r w:rsidRPr="00251707">
              <w:rPr>
                <w:rFonts w:ascii="Verdana" w:hAnsi="Verdana" w:cstheme="minorHAnsi"/>
                <w:sz w:val="20"/>
                <w:szCs w:val="20"/>
              </w:rPr>
              <w:t>Preparation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of</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the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1.2.  Εκπόνηση του προγράμματος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1.3. Management of the evaluation process (ex-ante)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1.3. Διαχείριση της διαδικασίας αξιολόγησης (εκ των προτέρων)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1.4. </w:t>
            </w:r>
            <w:proofErr w:type="spellStart"/>
            <w:r w:rsidRPr="00251707">
              <w:rPr>
                <w:rFonts w:ascii="Verdana" w:hAnsi="Verdana" w:cstheme="minorHAnsi"/>
                <w:sz w:val="20"/>
                <w:szCs w:val="20"/>
              </w:rPr>
              <w:t>Negotiation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with</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the</w:t>
            </w:r>
            <w:proofErr w:type="spellEnd"/>
            <w:r w:rsidRPr="00251707">
              <w:rPr>
                <w:rFonts w:ascii="Verdana" w:hAnsi="Verdana" w:cstheme="minorHAnsi"/>
                <w:sz w:val="20"/>
                <w:szCs w:val="20"/>
              </w:rPr>
              <w:t xml:space="preserve"> EC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1.4. Διαπραγμάτευση με την </w:t>
            </w:r>
            <w:proofErr w:type="spellStart"/>
            <w:r>
              <w:rPr>
                <w:rFonts w:ascii="Verdana" w:hAnsi="Verdana" w:cstheme="minorHAnsi"/>
                <w:sz w:val="20"/>
              </w:rPr>
              <w:t>ΕΕπ</w:t>
            </w:r>
            <w:proofErr w:type="spellEnd"/>
            <w:r>
              <w:rPr>
                <w:rFonts w:ascii="Verdana" w:hAnsi="Verdana" w:cstheme="minorHAnsi"/>
                <w:sz w:val="20"/>
              </w:rPr>
              <w:t xml:space="preserve">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1.5 Procurement of goods and services under Technical Assistance</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1.5 Προμήθεια αγαθών και υπηρεσιών στο πλαίσιο της Τεχνικής Βοήθειας</w:t>
            </w:r>
          </w:p>
        </w:tc>
      </w:tr>
      <w:tr w:rsidR="00EF60EC" w:rsidRPr="00251707" w:rsidTr="00251707">
        <w:trPr>
          <w:trHeight w:val="345"/>
        </w:trPr>
        <w:tc>
          <w:tcPr>
            <w:tcW w:w="9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2. System set-up, development of procedures and tools</w:t>
            </w: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2.1. Development of the description of management and control systems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2. Διαμόρφωση συστήματος, ανάπτυξη διαδικασιών και εργαλείων</w:t>
            </w: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2.1. Ανάπτυξη της περιγραφής των συστημάτων διαχείρισης και ελέγχου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2.2. </w:t>
            </w:r>
            <w:proofErr w:type="spellStart"/>
            <w:r w:rsidRPr="00251707">
              <w:rPr>
                <w:rFonts w:ascii="Verdana" w:hAnsi="Verdana" w:cstheme="minorHAnsi"/>
                <w:sz w:val="20"/>
                <w:szCs w:val="20"/>
              </w:rPr>
              <w:t>Legal</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system</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set</w:t>
            </w:r>
            <w:proofErr w:type="spellEnd"/>
            <w:r w:rsidRPr="00251707">
              <w:rPr>
                <w:rFonts w:ascii="Verdana" w:hAnsi="Verdana" w:cstheme="minorHAnsi"/>
                <w:sz w:val="20"/>
                <w:szCs w:val="20"/>
              </w:rPr>
              <w:t xml:space="preserve">-up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2.2. Διαμόρφωση νομικού συστήματος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2.3  Development of the procedures and tools for Programme implementation</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2.3  Ανάπτυξη διαδικασιών και εργαλείων για την υλοποίηση των προγραμμάτων</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2.4. Development and maintenance of monitoring and information systems and e-cohesion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2.4. Ανάπτυξη και συντήρηση των συστημάτων παρακολούθησης και πληροφόρησης και ηλεκτρονική συνοχή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2.5 Development of institutional and administrative capacity</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2.5 Ανάπτυξη θεσμικής και διοικητικής ικανότητας</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2.6. Procurement of goods and services under Technical Assistance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2.6. Προμήθεια αγαθών και υπηρεσιών στο πλαίσιο της </w:t>
            </w:r>
            <w:r>
              <w:rPr>
                <w:rFonts w:ascii="Verdana" w:hAnsi="Verdana" w:cstheme="minorHAnsi"/>
                <w:sz w:val="20"/>
              </w:rPr>
              <w:lastRenderedPageBreak/>
              <w:t xml:space="preserve">Τεχνικής Βοήθειας </w:t>
            </w:r>
          </w:p>
        </w:tc>
      </w:tr>
      <w:tr w:rsidR="00EF60EC" w:rsidRPr="00251707" w:rsidTr="00251707">
        <w:trPr>
          <w:trHeight w:val="345"/>
        </w:trPr>
        <w:tc>
          <w:tcPr>
            <w:tcW w:w="9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lastRenderedPageBreak/>
              <w:t>3. Project generation, preparation of calls for proposals, project selection and contracting</w:t>
            </w: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3. Δημιουργία έργου, ετοιμασία προσκλήσεων υποβολής προτάσεων, επιλογή έργου και σύναψη σύμβασης</w:t>
            </w: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3.1 Στήριξη αιτούντων αναφορικά με τεχνικές και οικονομικές πτυχές των απαιτήσεων του έργου, περιλαμβανομένης της ανάπτυξης ικανοτήτων σε επίπεδο δικαιούχων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3.2. Preparation of proposals for selection criteria and selection procedures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3.2. Εκπόνηση προτάσεων για κριτήρια επιλογής και διαδικασίες επιλογής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3.3. Preparation / modification of guidelines for applicants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3.3. Εκπόνηση / τροποποίηση κατευθυντήριων γραμμών για τους αιτούντες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3.4. Administrative and eligibility check (completeness of the package and compliance with relevant laws and regulations)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3.4. Διοικητικός έλεγχος και έλεγχος επιλεξιμότητας (πληρότητα του πακέτου και συμμόρφωση προς συναφείς νόμους και κανονισμούς)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3.5. Αξιολόγηση (βαθμολόγηση αιτήσεων, διαχείριση ενστάσεων, κατάρτιση καταλόγου έργων, γνωστοποίηση αποτελεσμάτων σε υπεύθυνους λήψης αποφάσεων και αιτούντες)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3.6. Development and amendment of procedures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3.6. Ανάπτυξη και τροποποίηση διαδικασιών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3.7. </w:t>
            </w:r>
            <w:proofErr w:type="spellStart"/>
            <w:r w:rsidRPr="00251707">
              <w:rPr>
                <w:rFonts w:ascii="Verdana" w:hAnsi="Verdana" w:cstheme="minorHAnsi"/>
                <w:sz w:val="20"/>
                <w:szCs w:val="20"/>
              </w:rPr>
              <w:t>Awareness</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and</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support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activities</w:t>
            </w:r>
            <w:proofErr w:type="spellEnd"/>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3.7. Δραστηριότητες ευαισθητοποίησης και υποστήριξης</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3.8. Procurement of goods and services under Technical Assistance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3.8. Προμήθεια αγαθών και υπηρεσιών στο πλαίσιο της Τεχνικής Βοήθειας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4.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project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4.1. Technical monitoring and on the spot verifications at project level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4. Παρακολούθηση σε επίπεδο έργου</w:t>
            </w: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4.1. Τεχνική παρακολούθηση και επιτόπιες επαληθεύσεις σε επίπεδο έργου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4.2. Providing advice to beneficiaries on project implementation issues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4.2. Παροχή συμβουλών σε δικαιούχους σχετικά με ζητήματα υλοποίησης των έργων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4.3. </w:t>
            </w:r>
            <w:proofErr w:type="spellStart"/>
            <w:r w:rsidRPr="00251707">
              <w:rPr>
                <w:rFonts w:ascii="Verdana" w:hAnsi="Verdana" w:cstheme="minorHAnsi"/>
                <w:sz w:val="20"/>
                <w:szCs w:val="20"/>
              </w:rPr>
              <w:t>Finding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and</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reporting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irregularities</w:t>
            </w:r>
            <w:proofErr w:type="spellEnd"/>
            <w:r w:rsidRPr="00251707">
              <w:rPr>
                <w:rFonts w:ascii="Verdana" w:hAnsi="Verdana" w:cstheme="minorHAnsi"/>
                <w:sz w:val="20"/>
                <w:szCs w:val="20"/>
              </w:rPr>
              <w:t xml:space="preserve">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4.3. Εντοπισμός και αναφορά παρατυπιών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4.4 Procurement of goods and services under Technical Assistance</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4.4 Προμήθεια αγαθών και υπηρεσιών στο πλαίσιο της Τεχνικής Βοήθειας</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5.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5.1. Measurement of the performance of the PA/Measure (planning, monitoring, forecasting, revising)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5. Παρακολούθηση σε επίπεδο προγράμματος</w:t>
            </w: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5.1. Μέτρηση της επίδοσης </w:t>
            </w:r>
            <w:r w:rsidR="000A7A80" w:rsidRPr="000A7A80">
              <w:rPr>
                <w:rFonts w:ascii="Verdana" w:hAnsi="Verdana" w:cstheme="minorHAnsi"/>
                <w:sz w:val="20"/>
              </w:rPr>
              <w:t>του άξονα προτεραιότητας</w:t>
            </w:r>
            <w:r>
              <w:rPr>
                <w:rFonts w:ascii="Verdana" w:hAnsi="Verdana" w:cstheme="minorHAnsi"/>
                <w:sz w:val="20"/>
              </w:rPr>
              <w:t xml:space="preserve">/του μέτρου (σχεδιασμός, παρακολούθηση, πρόβλεψη, αναθεώρηση)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5.2. Μέτρηση της επίδοσης του επιχειρησιακού προγράμματος (σχεδιασμός, παρακολούθηση, πρόβλεψη, αναθεώρηση και διορθωτικά μέτρα)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5.3. Reporting to the Monitoring Committee and European Commission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5.3. Υποβολή εκθέσεων στην επιτροπή παρακολούθησης και στην Ευρωπαϊκή Επιτροπή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EF60EC" w:rsidRDefault="00EF60EC" w:rsidP="00F27CD8">
            <w:pPr>
              <w:spacing w:after="0"/>
              <w:rPr>
                <w:rFonts w:ascii="Verdana" w:hAnsi="Verdana" w:cstheme="minorHAnsi"/>
                <w:sz w:val="20"/>
                <w:szCs w:val="20"/>
                <w:lang w:val="en-GB"/>
              </w:rPr>
            </w:pPr>
            <w:r w:rsidRPr="00EF60EC">
              <w:rPr>
                <w:rFonts w:ascii="Verdana" w:hAnsi="Verdana" w:cstheme="minorHAnsi"/>
                <w:sz w:val="20"/>
                <w:szCs w:val="20"/>
                <w:lang w:val="en-GB"/>
              </w:rPr>
              <w:t xml:space="preserve">5.4. Development and amendment of monitoring procedures </w:t>
            </w:r>
          </w:p>
        </w:tc>
        <w:tc>
          <w:tcPr>
            <w:tcW w:w="1145" w:type="pct"/>
            <w:shd w:val="clear" w:color="000000" w:fill="FFFFFF"/>
            <w:vAlign w:val="center"/>
          </w:tcPr>
          <w:p w:rsidR="00EF60EC" w:rsidRPr="00EF60E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5.4. Ανάπτυξη και τροποποίηση διαδικασιών παρακολούθησης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5.5. </w:t>
            </w:r>
            <w:proofErr w:type="spellStart"/>
            <w:r w:rsidRPr="00251707">
              <w:rPr>
                <w:rFonts w:ascii="Verdana" w:hAnsi="Verdana" w:cstheme="minorHAnsi"/>
                <w:sz w:val="20"/>
                <w:szCs w:val="20"/>
              </w:rPr>
              <w:t>Supporting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the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Committee</w:t>
            </w:r>
            <w:proofErr w:type="spellEnd"/>
            <w:r w:rsidRPr="00251707">
              <w:rPr>
                <w:rFonts w:ascii="Verdana" w:hAnsi="Verdana" w:cstheme="minorHAnsi"/>
                <w:sz w:val="20"/>
                <w:szCs w:val="20"/>
              </w:rPr>
              <w:t xml:space="preserve">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5.5. Στήριξη της επιτροπής παρακολούθησης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5.6. Procurement of goods and services under Technical Assistance</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5.6. Προμήθεια αγαθών και υπηρεσιών στο πλαίσιο της Τεχνικής Βοήθειας</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6. </w:t>
            </w:r>
            <w:proofErr w:type="spellStart"/>
            <w:r w:rsidRPr="00251707">
              <w:rPr>
                <w:rFonts w:ascii="Verdana" w:hAnsi="Verdana" w:cstheme="minorHAnsi"/>
                <w:sz w:val="20"/>
                <w:szCs w:val="20"/>
              </w:rPr>
              <w:t>Evaluation</w:t>
            </w:r>
            <w:proofErr w:type="spellEnd"/>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6.1. Preparing and guiding the evaluation process (outsourced)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6. Αξιολόγηση</w:t>
            </w: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6.1. Προετοιμασία και καθοδήγηση της διαδικασίας αξιολόγησης (γίνονται με εξωτερική ανάθεση)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6.2. </w:t>
            </w:r>
            <w:proofErr w:type="spellStart"/>
            <w:r w:rsidRPr="00251707">
              <w:rPr>
                <w:rFonts w:ascii="Verdana" w:hAnsi="Verdana" w:cstheme="minorHAnsi"/>
                <w:sz w:val="20"/>
                <w:szCs w:val="20"/>
              </w:rPr>
              <w:t>Carrying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out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evaluation</w:t>
            </w:r>
            <w:proofErr w:type="spellEnd"/>
            <w:r w:rsidRPr="00251707">
              <w:rPr>
                <w:rFonts w:ascii="Verdana" w:hAnsi="Verdana" w:cstheme="minorHAnsi"/>
                <w:sz w:val="20"/>
                <w:szCs w:val="20"/>
              </w:rPr>
              <w:t xml:space="preserve">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6.2. Διενέργεια της αξιολόγησης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6.3. Usage of results: involved in the identification and implementation of follow up actions </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6.3. Χρήση αποτελεσμάτων: ενσωμάτωση στον προσδιορισμό και την υλοποίηση επακόλουθων δράσεων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6.4. </w:t>
            </w:r>
            <w:proofErr w:type="spellStart"/>
            <w:r w:rsidRPr="00251707">
              <w:rPr>
                <w:rFonts w:ascii="Verdana" w:hAnsi="Verdana" w:cstheme="minorHAnsi"/>
                <w:sz w:val="20"/>
                <w:szCs w:val="20"/>
              </w:rPr>
              <w:t>Ex</w:t>
            </w:r>
            <w:proofErr w:type="spellEnd"/>
            <w:r w:rsidRPr="00251707">
              <w:rPr>
                <w:rFonts w:ascii="Verdana" w:hAnsi="Verdana" w:cstheme="minorHAnsi"/>
                <w:sz w:val="20"/>
                <w:szCs w:val="20"/>
              </w:rPr>
              <w:t>-</w:t>
            </w:r>
            <w:proofErr w:type="spellStart"/>
            <w:r w:rsidRPr="00251707">
              <w:rPr>
                <w:rFonts w:ascii="Verdana" w:hAnsi="Verdana" w:cstheme="minorHAnsi"/>
                <w:sz w:val="20"/>
                <w:szCs w:val="20"/>
              </w:rPr>
              <w:t>ante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conditionalities</w:t>
            </w:r>
            <w:proofErr w:type="spellEnd"/>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6.4. Εκ των προτέρων όροι</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6.5. Procurement of goods and services under Technical Assistance </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6.5. Προμήθεια αγαθών και υπηρεσιών στο πλαίσιο της Τεχνικής Βοήθειας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7. </w:t>
            </w:r>
            <w:proofErr w:type="spellStart"/>
            <w:r w:rsidRPr="00251707">
              <w:rPr>
                <w:rFonts w:ascii="Verdana" w:hAnsi="Verdana" w:cstheme="minorHAnsi"/>
                <w:sz w:val="20"/>
                <w:szCs w:val="20"/>
              </w:rPr>
              <w:t>Financial</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management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project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7.1. Verification of payment claims and first level control reports at project level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7. Οικονομική διαχείριση σε επίπεδο έργου</w:t>
            </w: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7.1. Επαλήθευση αιτήσεων για πληρωμές και εκθέσεις ελέγχου πρώτου επιπέδου σε επίπεδο έργου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7.2. Financial monitoring and on the spot verifications at project level </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7.2. Οικονομική παρακολούθηση και επιτόπιες επαληθεύσεις σε επίπεδο έργου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7.3. Procurement of goods and services under Technical Assistance</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7.3. Προμήθεια αγαθών και υπηρεσιών στο πλαίσιο της Τεχνικής Βοήθειας</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lastRenderedPageBreak/>
              <w:t xml:space="preserve">8. </w:t>
            </w:r>
            <w:proofErr w:type="spellStart"/>
            <w:r w:rsidRPr="00251707">
              <w:rPr>
                <w:rFonts w:ascii="Verdana" w:hAnsi="Verdana" w:cstheme="minorHAnsi"/>
                <w:sz w:val="20"/>
                <w:szCs w:val="20"/>
              </w:rPr>
              <w:t>Financial</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management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8.1. Measurement of the financial performance of PA/Measure (planning, monitoring, forecasting, revising)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8. Οικονομική διαχείριση σε επίπεδο προγράμματος</w:t>
            </w: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8.1. Μέτρηση της οικονομικής επίδοσης </w:t>
            </w:r>
            <w:r w:rsidR="000A7A80" w:rsidRPr="000A7A80">
              <w:rPr>
                <w:rFonts w:ascii="Verdana" w:hAnsi="Verdana" w:cstheme="minorHAnsi"/>
                <w:sz w:val="20"/>
              </w:rPr>
              <w:t>του άξονα προτεραιότητας</w:t>
            </w:r>
            <w:r>
              <w:rPr>
                <w:rFonts w:ascii="Verdana" w:hAnsi="Verdana" w:cstheme="minorHAnsi"/>
                <w:sz w:val="20"/>
              </w:rPr>
              <w:t xml:space="preserve">/του μέτρου (σχεδιασμός, παρακολούθηση, πρόβλεψη, αναθεώρηση) </w:t>
            </w:r>
          </w:p>
        </w:tc>
      </w:tr>
      <w:tr w:rsidR="00EF60EC" w:rsidRPr="00251707" w:rsidTr="00251707">
        <w:trPr>
          <w:trHeight w:val="741"/>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8.2. Μέτρηση της οικονομικής επίδοσης του επιχειρησιακού προγράμματος (σχεδιασμός, παρακολούθηση, πρόβλεψη, αναθεώρηση και διορθωτικά μέτρα).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8.3. Reporting to Monitoring Committee and European Commission including management declaration and annual summary (CPR 125.4(e) </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8.3. Υποβολή εκθέσεων στην επιτροπή παρακολούθησης και στην Ευρωπαϊκή Επιτροπή, όπου περιλαμβάνεται δήλωση διαχείρισης και ετήσια περίληψη [άρθρο 125 παράγραφος 4 στοιχείο ε) του κανονισμού περί κοινών διατάξεων]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8.4. Development and amendment of financial management procedures </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8.4. Ανάπτυξη και τροποποίηση διαδικασιών οικονομικής διαχείρισης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8.5. Procurement of goods and services under Technical Assistance</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8.5. Προμήθεια αγαθών και υπηρεσιών στο πλαίσιο της Τεχνικής Βοήθειας</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r w:rsidRPr="00251707">
              <w:rPr>
                <w:rFonts w:ascii="Verdana" w:hAnsi="Verdana" w:cstheme="minorHAnsi"/>
                <w:sz w:val="20"/>
                <w:szCs w:val="20"/>
              </w:rPr>
              <w:t xml:space="preserve">9. </w:t>
            </w:r>
            <w:proofErr w:type="spellStart"/>
            <w:r w:rsidRPr="00251707">
              <w:rPr>
                <w:rFonts w:ascii="Verdana" w:hAnsi="Verdana" w:cstheme="minorHAnsi"/>
                <w:sz w:val="20"/>
                <w:szCs w:val="20"/>
              </w:rPr>
              <w:t>Communication</w:t>
            </w:r>
            <w:proofErr w:type="spellEnd"/>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9.1. Preparation of the communication plan and its implementation for different stakeholders </w:t>
            </w:r>
          </w:p>
        </w:tc>
        <w:tc>
          <w:tcPr>
            <w:tcW w:w="1145"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9. Επικοινωνία</w:t>
            </w: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9.1. Εκπόνηση σχεδίου επικοινωνίας και εφαρμογή του για τους διάφορους ενδιαφερομένους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 xml:space="preserve">9.2. Building networks with different media </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 xml:space="preserve">9.2. Ανάπτυξη δικτύων με διαφορετικά μέσα </w:t>
            </w:r>
          </w:p>
        </w:tc>
      </w:tr>
      <w:tr w:rsidR="00EF60EC" w:rsidRPr="00251707" w:rsidTr="00251707">
        <w:trPr>
          <w:trHeight w:val="345"/>
        </w:trPr>
        <w:tc>
          <w:tcPr>
            <w:tcW w:w="902" w:type="pct"/>
            <w:shd w:val="clear" w:color="000000" w:fill="FFFFFF"/>
            <w:vAlign w:val="center"/>
          </w:tcPr>
          <w:p w:rsidR="00EF60EC" w:rsidRPr="00251707" w:rsidRDefault="00EF60EC" w:rsidP="00F27CD8">
            <w:pPr>
              <w:spacing w:after="0"/>
              <w:rPr>
                <w:rFonts w:ascii="Verdana" w:hAnsi="Verdana" w:cstheme="minorHAnsi"/>
                <w:sz w:val="20"/>
                <w:szCs w:val="20"/>
              </w:rPr>
            </w:pPr>
          </w:p>
        </w:tc>
        <w:tc>
          <w:tcPr>
            <w:tcW w:w="1702" w:type="pct"/>
            <w:shd w:val="clear" w:color="000000" w:fill="FFFFFF"/>
            <w:vAlign w:val="center"/>
          </w:tcPr>
          <w:p w:rsidR="00EF60EC" w:rsidRPr="00AA3B0C" w:rsidRDefault="00EF60EC" w:rsidP="00F27CD8">
            <w:pPr>
              <w:spacing w:after="0"/>
              <w:rPr>
                <w:rFonts w:ascii="Verdana" w:hAnsi="Verdana" w:cstheme="minorHAnsi"/>
                <w:sz w:val="20"/>
                <w:szCs w:val="20"/>
                <w:lang w:val="en-GB"/>
              </w:rPr>
            </w:pPr>
            <w:r w:rsidRPr="00AA3B0C">
              <w:rPr>
                <w:rFonts w:ascii="Verdana" w:hAnsi="Verdana" w:cstheme="minorHAnsi"/>
                <w:sz w:val="20"/>
                <w:szCs w:val="20"/>
                <w:lang w:val="en-GB"/>
              </w:rPr>
              <w:t>9.3. Procurement of goods and services under Technical Assistance</w:t>
            </w:r>
          </w:p>
        </w:tc>
        <w:tc>
          <w:tcPr>
            <w:tcW w:w="1145" w:type="pct"/>
            <w:shd w:val="clear" w:color="000000" w:fill="FFFFFF"/>
            <w:vAlign w:val="center"/>
          </w:tcPr>
          <w:p w:rsidR="00EF60EC" w:rsidRPr="00AA3B0C" w:rsidRDefault="00EF60EC" w:rsidP="00F27CD8">
            <w:pPr>
              <w:spacing w:after="0"/>
              <w:rPr>
                <w:rFonts w:ascii="Verdana" w:hAnsi="Verdana" w:cstheme="minorHAnsi"/>
                <w:sz w:val="20"/>
                <w:szCs w:val="20"/>
                <w:lang w:val="en-GB"/>
              </w:rPr>
            </w:pPr>
          </w:p>
        </w:tc>
        <w:tc>
          <w:tcPr>
            <w:tcW w:w="1251" w:type="pct"/>
            <w:shd w:val="clear" w:color="000000" w:fill="FFFFFF"/>
            <w:vAlign w:val="center"/>
          </w:tcPr>
          <w:p w:rsidR="00EF60EC" w:rsidRPr="00251707" w:rsidRDefault="00EF60EC" w:rsidP="00F27CD8">
            <w:pPr>
              <w:spacing w:after="0"/>
              <w:rPr>
                <w:rFonts w:ascii="Verdana" w:hAnsi="Verdana" w:cstheme="minorHAnsi"/>
                <w:sz w:val="20"/>
                <w:szCs w:val="20"/>
              </w:rPr>
            </w:pPr>
            <w:r>
              <w:rPr>
                <w:rFonts w:ascii="Verdana" w:hAnsi="Verdana" w:cstheme="minorHAnsi"/>
                <w:sz w:val="20"/>
              </w:rPr>
              <w:t>9.3. Προμήθεια αγαθών και υπηρεσιών στο πλαίσιο της Τεχνικής Βοήθειας</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8966589"/>
      <w:r>
        <w:lastRenderedPageBreak/>
        <w:t>Κλίμακα επάρκειας</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AA3B0C" w:rsidRPr="00251707" w:rsidTr="006645FC">
        <w:trPr>
          <w:trHeight w:val="332"/>
          <w:tblHeader/>
        </w:trPr>
        <w:tc>
          <w:tcPr>
            <w:tcW w:w="658" w:type="pct"/>
            <w:shd w:val="clear" w:color="auto" w:fill="F2F2F2" w:themeFill="background1" w:themeFillShade="F2"/>
          </w:tcPr>
          <w:p w:rsidR="00AA3B0C" w:rsidRPr="00251707" w:rsidRDefault="00AA3B0C" w:rsidP="00F27CD8">
            <w:pPr>
              <w:spacing w:after="0" w:line="240" w:lineRule="auto"/>
              <w:rPr>
                <w:rFonts w:ascii="Verdana" w:hAnsi="Verdana" w:cstheme="minorHAnsi"/>
                <w:sz w:val="20"/>
                <w:szCs w:val="20"/>
              </w:rPr>
            </w:pPr>
            <w:proofErr w:type="spellStart"/>
            <w:r w:rsidRPr="00251707">
              <w:rPr>
                <w:rFonts w:ascii="Verdana" w:hAnsi="Verdana" w:cstheme="minorHAnsi"/>
                <w:sz w:val="20"/>
                <w:szCs w:val="20"/>
              </w:rPr>
              <w:t>Scale</w:t>
            </w:r>
            <w:proofErr w:type="spellEnd"/>
            <w:r w:rsidRPr="00251707">
              <w:rPr>
                <w:rFonts w:ascii="Verdana" w:hAnsi="Verdana" w:cstheme="minorHAnsi"/>
                <w:sz w:val="20"/>
                <w:szCs w:val="20"/>
              </w:rPr>
              <w:t xml:space="preserve"> </w:t>
            </w:r>
          </w:p>
        </w:tc>
        <w:tc>
          <w:tcPr>
            <w:tcW w:w="1738" w:type="pct"/>
            <w:shd w:val="clear" w:color="auto" w:fill="F2F2F2" w:themeFill="background1" w:themeFillShade="F2"/>
          </w:tcPr>
          <w:p w:rsidR="00AA3B0C" w:rsidRPr="00251707" w:rsidRDefault="00AA3B0C" w:rsidP="00F27CD8">
            <w:pPr>
              <w:spacing w:after="0" w:line="240" w:lineRule="auto"/>
              <w:rPr>
                <w:rFonts w:ascii="Verdana" w:hAnsi="Verdana" w:cstheme="minorHAnsi"/>
                <w:sz w:val="20"/>
                <w:szCs w:val="20"/>
              </w:rPr>
            </w:pPr>
            <w:proofErr w:type="spellStart"/>
            <w:r w:rsidRPr="00251707">
              <w:rPr>
                <w:rFonts w:ascii="Verdana" w:hAnsi="Verdana" w:cstheme="minorHAnsi"/>
                <w:sz w:val="20"/>
                <w:szCs w:val="20"/>
              </w:rPr>
              <w:t>Description</w:t>
            </w:r>
            <w:proofErr w:type="spellEnd"/>
            <w:r w:rsidRPr="00251707">
              <w:rPr>
                <w:rFonts w:ascii="Verdana" w:hAnsi="Verdana" w:cstheme="minorHAnsi"/>
                <w:sz w:val="20"/>
                <w:szCs w:val="20"/>
              </w:rPr>
              <w:t xml:space="preserve"> </w:t>
            </w:r>
          </w:p>
        </w:tc>
        <w:tc>
          <w:tcPr>
            <w:tcW w:w="590" w:type="pct"/>
            <w:shd w:val="clear" w:color="auto" w:fill="F2F2F2" w:themeFill="background1" w:themeFillShade="F2"/>
          </w:tcPr>
          <w:p w:rsidR="00AA3B0C" w:rsidRPr="00251707" w:rsidRDefault="00AA3B0C" w:rsidP="00F27CD8">
            <w:pPr>
              <w:spacing w:after="0" w:line="240" w:lineRule="auto"/>
              <w:rPr>
                <w:rFonts w:ascii="Verdana" w:hAnsi="Verdana" w:cstheme="minorHAnsi"/>
                <w:sz w:val="20"/>
                <w:szCs w:val="20"/>
              </w:rPr>
            </w:pPr>
            <w:r>
              <w:rPr>
                <w:rFonts w:ascii="Verdana" w:hAnsi="Verdana" w:cstheme="minorHAnsi"/>
                <w:sz w:val="20"/>
              </w:rPr>
              <w:t xml:space="preserve">Κλίμακα </w:t>
            </w:r>
          </w:p>
        </w:tc>
        <w:tc>
          <w:tcPr>
            <w:tcW w:w="2014" w:type="pct"/>
            <w:shd w:val="clear" w:color="auto" w:fill="F2F2F2" w:themeFill="background1" w:themeFillShade="F2"/>
          </w:tcPr>
          <w:p w:rsidR="00AA3B0C" w:rsidRPr="00251707" w:rsidRDefault="00AA3B0C" w:rsidP="00F27CD8">
            <w:pPr>
              <w:spacing w:after="0" w:line="240" w:lineRule="auto"/>
              <w:rPr>
                <w:rFonts w:ascii="Verdana" w:hAnsi="Verdana" w:cstheme="minorHAnsi"/>
                <w:sz w:val="20"/>
                <w:szCs w:val="20"/>
              </w:rPr>
            </w:pPr>
            <w:r>
              <w:rPr>
                <w:rFonts w:ascii="Verdana" w:hAnsi="Verdana" w:cstheme="minorHAnsi"/>
                <w:sz w:val="20"/>
              </w:rPr>
              <w:t xml:space="preserve">Περιγραφή </w:t>
            </w:r>
          </w:p>
        </w:tc>
      </w:tr>
      <w:tr w:rsidR="00AA3B0C" w:rsidRPr="00251707" w:rsidTr="006645FC">
        <w:trPr>
          <w:trHeight w:val="566"/>
        </w:trPr>
        <w:tc>
          <w:tcPr>
            <w:tcW w:w="658"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N.A. - </w:t>
            </w:r>
            <w:proofErr w:type="spellStart"/>
            <w:r w:rsidRPr="00251707">
              <w:rPr>
                <w:rFonts w:ascii="Verdana" w:hAnsi="Verdana" w:cstheme="minorHAnsi"/>
                <w:sz w:val="20"/>
                <w:szCs w:val="20"/>
              </w:rPr>
              <w:t>Not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Applicable</w:t>
            </w:r>
            <w:proofErr w:type="spellEnd"/>
          </w:p>
        </w:tc>
        <w:tc>
          <w:tcPr>
            <w:tcW w:w="1738" w:type="pct"/>
            <w:shd w:val="clear" w:color="000000" w:fill="FFFFFF"/>
            <w:hideMark/>
          </w:tcPr>
          <w:p w:rsidR="00AA3B0C" w:rsidRPr="00FA2EEC" w:rsidRDefault="00AA3B0C" w:rsidP="00F27CD8">
            <w:pPr>
              <w:spacing w:before="60" w:after="120" w:line="240" w:lineRule="auto"/>
              <w:rPr>
                <w:rFonts w:ascii="Verdana" w:hAnsi="Verdana" w:cstheme="minorHAnsi"/>
                <w:sz w:val="20"/>
                <w:szCs w:val="20"/>
                <w:lang w:val="en-GB"/>
              </w:rPr>
            </w:pPr>
            <w:r w:rsidRPr="00FA2EEC">
              <w:rPr>
                <w:rFonts w:ascii="Verdana" w:hAnsi="Verdana" w:cstheme="minorHAnsi"/>
                <w:sz w:val="20"/>
                <w:szCs w:val="20"/>
                <w:lang w:val="en-GB"/>
              </w:rPr>
              <w:t xml:space="preserve">The competency is not applicable to the job role. </w:t>
            </w:r>
          </w:p>
        </w:tc>
        <w:tc>
          <w:tcPr>
            <w:tcW w:w="590"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proofErr w:type="spellStart"/>
            <w:r>
              <w:rPr>
                <w:rFonts w:ascii="Verdana" w:hAnsi="Verdana" w:cstheme="minorHAnsi"/>
                <w:sz w:val="20"/>
              </w:rPr>
              <w:t>ά.α</w:t>
            </w:r>
            <w:proofErr w:type="spellEnd"/>
            <w:r>
              <w:rPr>
                <w:rFonts w:ascii="Verdana" w:hAnsi="Verdana" w:cstheme="minorHAnsi"/>
                <w:sz w:val="20"/>
              </w:rPr>
              <w:t>. - άνευ αντικειμένου</w:t>
            </w:r>
          </w:p>
        </w:tc>
        <w:tc>
          <w:tcPr>
            <w:tcW w:w="2014"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 xml:space="preserve">Η ικανότητα δεν έχει εφαρμογή στον εργασιακό ρόλο. </w:t>
            </w:r>
          </w:p>
        </w:tc>
      </w:tr>
      <w:tr w:rsidR="00AA3B0C" w:rsidRPr="00251707" w:rsidTr="006645FC">
        <w:trPr>
          <w:trHeight w:val="908"/>
        </w:trPr>
        <w:tc>
          <w:tcPr>
            <w:tcW w:w="658"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0 – </w:t>
            </w:r>
          </w:p>
          <w:p w:rsidR="00AA3B0C" w:rsidRPr="00251707" w:rsidRDefault="00AA3B0C" w:rsidP="00F27CD8">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No</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knowledge</w:t>
            </w:r>
            <w:proofErr w:type="spellEnd"/>
          </w:p>
        </w:tc>
        <w:tc>
          <w:tcPr>
            <w:tcW w:w="1738" w:type="pct"/>
            <w:shd w:val="clear" w:color="000000" w:fill="FFFFFF"/>
          </w:tcPr>
          <w:p w:rsidR="00AA3B0C" w:rsidRPr="00AA3B0C" w:rsidRDefault="00AA3B0C" w:rsidP="00F27CD8">
            <w:pPr>
              <w:spacing w:before="60" w:after="120" w:line="240" w:lineRule="auto"/>
              <w:rPr>
                <w:rFonts w:ascii="Verdana" w:hAnsi="Verdana" w:cstheme="minorHAnsi"/>
                <w:sz w:val="20"/>
                <w:szCs w:val="20"/>
                <w:lang w:val="en-GB"/>
              </w:rPr>
            </w:pPr>
            <w:r w:rsidRPr="00AA3B0C">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 xml:space="preserve">Επίπεδο 0 – </w:t>
            </w:r>
          </w:p>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Καμία γνώση</w:t>
            </w:r>
          </w:p>
        </w:tc>
        <w:tc>
          <w:tcPr>
            <w:tcW w:w="2014"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Καμία γνώση της ικανότητας ή καμία δυνατότητα εφαρμογής της σε πραγματικές συνθήκες.</w:t>
            </w:r>
          </w:p>
        </w:tc>
      </w:tr>
      <w:tr w:rsidR="00AA3B0C" w:rsidRPr="00251707" w:rsidTr="006645FC">
        <w:trPr>
          <w:trHeight w:val="1421"/>
        </w:trPr>
        <w:tc>
          <w:tcPr>
            <w:tcW w:w="658"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1 - </w:t>
            </w:r>
            <w:proofErr w:type="spellStart"/>
            <w:r w:rsidRPr="00251707">
              <w:rPr>
                <w:rFonts w:ascii="Verdana" w:hAnsi="Verdana" w:cstheme="minorHAnsi"/>
                <w:sz w:val="20"/>
                <w:szCs w:val="20"/>
              </w:rPr>
              <w:t>Awareness</w:t>
            </w:r>
            <w:proofErr w:type="spellEnd"/>
          </w:p>
        </w:tc>
        <w:tc>
          <w:tcPr>
            <w:tcW w:w="1738" w:type="pct"/>
            <w:shd w:val="clear" w:color="000000" w:fill="FFFFFF"/>
          </w:tcPr>
          <w:p w:rsidR="00AA3B0C" w:rsidRPr="00AA3B0C" w:rsidRDefault="00AA3B0C" w:rsidP="00F27CD8">
            <w:pPr>
              <w:spacing w:before="60" w:after="120" w:line="240" w:lineRule="auto"/>
              <w:rPr>
                <w:rFonts w:ascii="Verdana" w:hAnsi="Verdana" w:cstheme="minorHAnsi"/>
                <w:sz w:val="20"/>
                <w:szCs w:val="20"/>
                <w:lang w:val="en-GB"/>
              </w:rPr>
            </w:pPr>
            <w:r w:rsidRPr="00AA3B0C">
              <w:rPr>
                <w:rFonts w:ascii="Verdana" w:hAnsi="Verdana" w:cstheme="minorHAnsi"/>
                <w:sz w:val="20"/>
                <w:szCs w:val="20"/>
                <w:lang w:val="en-GB"/>
              </w:rPr>
              <w:t>Basic knowledge of the competency (e.g. understands general concepts and processes, is familiar with related key terminology).</w:t>
            </w:r>
          </w:p>
          <w:p w:rsidR="00AA3B0C" w:rsidRPr="00AA3B0C" w:rsidRDefault="00AA3B0C" w:rsidP="00F27CD8">
            <w:pPr>
              <w:spacing w:before="60" w:after="120" w:line="240" w:lineRule="auto"/>
              <w:rPr>
                <w:rFonts w:ascii="Verdana" w:hAnsi="Verdana" w:cstheme="minorHAnsi"/>
                <w:sz w:val="20"/>
                <w:szCs w:val="20"/>
                <w:lang w:val="en-GB"/>
              </w:rPr>
            </w:pPr>
            <w:r w:rsidRPr="00AA3B0C">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Επίπεδο 1 - Επίγνωση</w:t>
            </w:r>
          </w:p>
        </w:tc>
        <w:tc>
          <w:tcPr>
            <w:tcW w:w="2014"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Βασική γνώση της ικανότητας (λ.χ. κατανόηση γενικών εννοιών και διαδικασιών, εξοικείωση με βασική σχετική ορολογία).</w:t>
            </w:r>
          </w:p>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Δυνατότητα απόδειξης αυτής της ικανότητας μετά την παροχή ειδικών οδηγιών και κατευθύνσεων.</w:t>
            </w:r>
          </w:p>
        </w:tc>
      </w:tr>
      <w:tr w:rsidR="00AA3B0C" w:rsidRPr="00251707" w:rsidTr="006645FC">
        <w:trPr>
          <w:trHeight w:val="1103"/>
        </w:trPr>
        <w:tc>
          <w:tcPr>
            <w:tcW w:w="658"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2 - </w:t>
            </w:r>
            <w:proofErr w:type="spellStart"/>
            <w:r w:rsidRPr="00251707">
              <w:rPr>
                <w:rFonts w:ascii="Verdana" w:hAnsi="Verdana" w:cstheme="minorHAnsi"/>
                <w:sz w:val="20"/>
                <w:szCs w:val="20"/>
              </w:rPr>
              <w:t>Trained</w:t>
            </w:r>
            <w:proofErr w:type="spellEnd"/>
          </w:p>
        </w:tc>
        <w:tc>
          <w:tcPr>
            <w:tcW w:w="1738" w:type="pct"/>
            <w:shd w:val="clear" w:color="000000" w:fill="FFFFFF"/>
          </w:tcPr>
          <w:p w:rsidR="00AA3B0C" w:rsidRPr="00AA3B0C" w:rsidRDefault="00AA3B0C" w:rsidP="00F27CD8">
            <w:pPr>
              <w:spacing w:before="60" w:after="120" w:line="240" w:lineRule="auto"/>
              <w:rPr>
                <w:rFonts w:ascii="Verdana" w:hAnsi="Verdana" w:cstheme="minorHAnsi"/>
                <w:sz w:val="20"/>
                <w:szCs w:val="20"/>
                <w:lang w:val="en-GB"/>
              </w:rPr>
            </w:pPr>
            <w:r w:rsidRPr="00AA3B0C">
              <w:rPr>
                <w:rFonts w:ascii="Verdana" w:hAnsi="Verdana" w:cstheme="minorHAnsi"/>
                <w:sz w:val="20"/>
                <w:szCs w:val="20"/>
                <w:lang w:val="en-GB"/>
              </w:rPr>
              <w:t>Good working knowledge of the competency.</w:t>
            </w:r>
            <w:r w:rsidRPr="00AA3B0C">
              <w:rPr>
                <w:rFonts w:ascii="Verdana" w:hAnsi="Verdana" w:cstheme="minorHAnsi"/>
                <w:sz w:val="20"/>
                <w:szCs w:val="20"/>
                <w:lang w:val="en-GB"/>
              </w:rPr>
              <w:br/>
              <w:t>Ability to apply that knowledge in daily work.</w:t>
            </w:r>
          </w:p>
          <w:p w:rsidR="00AA3B0C" w:rsidRPr="00AA3B0C" w:rsidRDefault="00AA3B0C" w:rsidP="00F27CD8">
            <w:pPr>
              <w:spacing w:before="60" w:after="120" w:line="240" w:lineRule="auto"/>
              <w:rPr>
                <w:rFonts w:ascii="Verdana" w:hAnsi="Verdana" w:cstheme="minorHAnsi"/>
                <w:sz w:val="20"/>
                <w:szCs w:val="20"/>
                <w:lang w:val="en-GB"/>
              </w:rPr>
            </w:pPr>
            <w:r w:rsidRPr="00AA3B0C">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Επίπεδο 2 - Βασικές γνώσεις κατάρτισης</w:t>
            </w:r>
          </w:p>
        </w:tc>
        <w:tc>
          <w:tcPr>
            <w:tcW w:w="2014"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Επαρκής πρακτική γνώση της ικανότητας.</w:t>
            </w:r>
            <w:r>
              <w:rPr>
                <w:rFonts w:ascii="Verdana" w:hAnsi="Verdana" w:cstheme="minorHAnsi"/>
                <w:sz w:val="20"/>
                <w:szCs w:val="20"/>
              </w:rPr>
              <w:br/>
            </w:r>
            <w:r>
              <w:rPr>
                <w:rFonts w:ascii="Verdana" w:hAnsi="Verdana" w:cstheme="minorHAnsi"/>
                <w:sz w:val="20"/>
              </w:rPr>
              <w:t>Δυνατότητα εφαρμογής αυτής της γνώσης στην καθημερινή εργασία.</w:t>
            </w:r>
          </w:p>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Δυνατότητα ανεξάρτητης εκτέλεσης τυπικών δραστηριοτήτων αναφορικά με την εν λόγω ικανότητα</w:t>
            </w:r>
          </w:p>
        </w:tc>
      </w:tr>
      <w:tr w:rsidR="00AA3B0C" w:rsidRPr="00251707" w:rsidTr="00C77FB8">
        <w:trPr>
          <w:trHeight w:val="1103"/>
        </w:trPr>
        <w:tc>
          <w:tcPr>
            <w:tcW w:w="658" w:type="pct"/>
            <w:shd w:val="clear" w:color="000000" w:fill="FFFFFF"/>
            <w:vAlign w:val="center"/>
          </w:tcPr>
          <w:p w:rsidR="00AA3B0C" w:rsidRPr="00251707" w:rsidRDefault="00AA3B0C" w:rsidP="00F27CD8">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3 - </w:t>
            </w:r>
            <w:proofErr w:type="spellStart"/>
            <w:r w:rsidRPr="00251707">
              <w:rPr>
                <w:rFonts w:ascii="Verdana" w:hAnsi="Verdana" w:cstheme="minorHAnsi"/>
                <w:sz w:val="20"/>
                <w:szCs w:val="20"/>
              </w:rPr>
              <w:t>Intermediate</w:t>
            </w:r>
            <w:proofErr w:type="spellEnd"/>
          </w:p>
        </w:tc>
        <w:tc>
          <w:tcPr>
            <w:tcW w:w="1738" w:type="pct"/>
            <w:shd w:val="clear" w:color="000000" w:fill="FFFFFF"/>
          </w:tcPr>
          <w:p w:rsidR="00AA3B0C" w:rsidRPr="00FA2EEC" w:rsidRDefault="00AA3B0C" w:rsidP="00F27CD8">
            <w:pPr>
              <w:spacing w:before="60" w:after="120" w:line="240" w:lineRule="auto"/>
              <w:rPr>
                <w:rFonts w:ascii="Verdana" w:hAnsi="Verdana" w:cstheme="minorHAnsi"/>
                <w:sz w:val="20"/>
                <w:szCs w:val="20"/>
                <w:lang w:val="en-GB"/>
              </w:rPr>
            </w:pPr>
            <w:r w:rsidRPr="00AA3B0C">
              <w:rPr>
                <w:rFonts w:ascii="Verdana" w:hAnsi="Verdana" w:cstheme="minorHAnsi"/>
                <w:sz w:val="20"/>
                <w:szCs w:val="20"/>
                <w:lang w:val="en-GB"/>
              </w:rPr>
              <w:t>Broad and in-depth knowledge and skills with regards to the competency.</w:t>
            </w:r>
            <w:r w:rsidRPr="00AA3B0C">
              <w:rPr>
                <w:rFonts w:ascii="Verdana" w:hAnsi="Verdana" w:cstheme="minorHAnsi"/>
                <w:sz w:val="20"/>
                <w:szCs w:val="20"/>
                <w:lang w:val="en-GB"/>
              </w:rPr>
              <w:br/>
            </w:r>
            <w:r w:rsidRPr="00FA2EEC">
              <w:rPr>
                <w:rFonts w:ascii="Verdana" w:hAnsi="Verdana" w:cstheme="minorHAnsi"/>
                <w:sz w:val="20"/>
                <w:szCs w:val="20"/>
                <w:lang w:val="en-GB"/>
              </w:rPr>
              <w:t>Ability to deal with a variety of exceptions and special cases related to the competency in an independent manner.</w:t>
            </w:r>
          </w:p>
          <w:p w:rsidR="00AA3B0C" w:rsidRPr="00FA2EEC" w:rsidRDefault="00AA3B0C" w:rsidP="00F27CD8">
            <w:pPr>
              <w:spacing w:before="60" w:after="120" w:line="240" w:lineRule="auto"/>
              <w:rPr>
                <w:rFonts w:ascii="Verdana" w:hAnsi="Verdana" w:cstheme="minorHAnsi"/>
                <w:sz w:val="20"/>
                <w:szCs w:val="20"/>
                <w:lang w:val="en-GB"/>
              </w:rPr>
            </w:pPr>
            <w:r w:rsidRPr="00FA2EEC">
              <w:rPr>
                <w:rFonts w:ascii="Verdana" w:hAnsi="Verdana" w:cstheme="minorHAnsi"/>
                <w:sz w:val="20"/>
                <w:szCs w:val="20"/>
                <w:lang w:val="en-GB"/>
              </w:rPr>
              <w:t>Ability to effectively share knowledge and experience with more junior profiles.</w:t>
            </w:r>
            <w:r w:rsidRPr="00FA2EEC">
              <w:rPr>
                <w:rFonts w:ascii="Verdana" w:hAnsi="Verdana" w:cstheme="minorHAnsi"/>
                <w:sz w:val="20"/>
                <w:szCs w:val="20"/>
                <w:lang w:val="en-GB"/>
              </w:rPr>
              <w:br/>
              <w:t xml:space="preserve">Confidence in serving as an advisor and is sought out to provide insight in the </w:t>
            </w:r>
            <w:r w:rsidRPr="00FA2EEC">
              <w:rPr>
                <w:rFonts w:ascii="Verdana" w:hAnsi="Verdana" w:cstheme="minorHAnsi"/>
                <w:sz w:val="20"/>
                <w:szCs w:val="20"/>
                <w:lang w:val="en-GB"/>
              </w:rPr>
              <w:lastRenderedPageBreak/>
              <w:t>application of this competency.</w:t>
            </w:r>
          </w:p>
          <w:p w:rsidR="00AA3B0C" w:rsidRPr="00FA2EEC" w:rsidRDefault="00AA3B0C" w:rsidP="00F27CD8">
            <w:pPr>
              <w:spacing w:before="60" w:after="120" w:line="240" w:lineRule="auto"/>
              <w:rPr>
                <w:rFonts w:ascii="Verdana" w:hAnsi="Verdana" w:cstheme="minorHAnsi"/>
                <w:sz w:val="20"/>
                <w:szCs w:val="20"/>
                <w:lang w:val="en-GB"/>
              </w:rPr>
            </w:pPr>
            <w:r w:rsidRPr="00FA2EEC">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lastRenderedPageBreak/>
              <w:t>Επίπεδο 3 - Μεσαίο επίπεδο</w:t>
            </w:r>
          </w:p>
        </w:tc>
        <w:tc>
          <w:tcPr>
            <w:tcW w:w="2014"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Εκτενής και εις βάθος γνώσεις και δεξιότητες όσον αφορά την ικανότητα.</w:t>
            </w:r>
            <w:r>
              <w:rPr>
                <w:rFonts w:ascii="Verdana" w:hAnsi="Verdana" w:cstheme="minorHAnsi"/>
                <w:sz w:val="20"/>
                <w:szCs w:val="20"/>
              </w:rPr>
              <w:br/>
            </w:r>
            <w:r>
              <w:rPr>
                <w:rFonts w:ascii="Verdana" w:hAnsi="Verdana" w:cstheme="minorHAnsi"/>
                <w:sz w:val="20"/>
              </w:rPr>
              <w:t>Δυνατότητα ανεξάρτητης αντιμετώπισης ποικίλων εξαιρετικών και ειδικών περιπτώσεων αναφορικά με την ικανότητα.</w:t>
            </w:r>
          </w:p>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Δυνατότητα αποτελεσματικής ανταλλαγής γνώσεων και εμπειριών με εργαζομένους με μικρότερη επαγγελματική εμπειρία.</w:t>
            </w:r>
            <w:r>
              <w:rPr>
                <w:rFonts w:ascii="Verdana" w:hAnsi="Verdana" w:cstheme="minorHAnsi"/>
                <w:sz w:val="20"/>
                <w:szCs w:val="20"/>
              </w:rPr>
              <w:br/>
            </w:r>
            <w:r>
              <w:rPr>
                <w:rFonts w:ascii="Verdana" w:hAnsi="Verdana" w:cstheme="minorHAnsi"/>
                <w:sz w:val="20"/>
              </w:rPr>
              <w:t xml:space="preserve">Άτομο με αυτοπεποίθηση στον ρόλο του </w:t>
            </w:r>
            <w:r>
              <w:rPr>
                <w:rFonts w:ascii="Verdana" w:hAnsi="Verdana" w:cstheme="minorHAnsi"/>
                <w:sz w:val="20"/>
              </w:rPr>
              <w:lastRenderedPageBreak/>
              <w:t>συμβούλου, που το αποζητούν για την παροχή διευκρινίσεων όσον αφορά την εφαρμογή της ικανότητας.</w:t>
            </w:r>
          </w:p>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Άτομο ικανό να εκπαιδεύει άλλους στην εφαρμογή της συγκεκριμένης ικανότητας αποδίδοντας περίπλοκες σχετικές πτυχές και ζητήματα με ευνόητους όρους.</w:t>
            </w:r>
          </w:p>
        </w:tc>
      </w:tr>
      <w:tr w:rsidR="00AA3B0C" w:rsidRPr="00251707" w:rsidTr="00C77FB8">
        <w:trPr>
          <w:trHeight w:val="1103"/>
        </w:trPr>
        <w:tc>
          <w:tcPr>
            <w:tcW w:w="658" w:type="pct"/>
            <w:shd w:val="clear" w:color="000000" w:fill="FFFFFF"/>
            <w:vAlign w:val="center"/>
          </w:tcPr>
          <w:p w:rsidR="00AA3B0C" w:rsidRPr="00251707" w:rsidRDefault="00AA3B0C" w:rsidP="00F27CD8">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lastRenderedPageBreak/>
              <w:t>Level</w:t>
            </w:r>
            <w:proofErr w:type="spellEnd"/>
            <w:r w:rsidRPr="00251707">
              <w:rPr>
                <w:rFonts w:ascii="Verdana" w:hAnsi="Verdana" w:cstheme="minorHAnsi"/>
                <w:sz w:val="20"/>
                <w:szCs w:val="20"/>
              </w:rPr>
              <w:t xml:space="preserve"> 4 - </w:t>
            </w:r>
            <w:proofErr w:type="spellStart"/>
            <w:r w:rsidRPr="00251707">
              <w:rPr>
                <w:rFonts w:ascii="Verdana" w:hAnsi="Verdana" w:cstheme="minorHAnsi"/>
                <w:sz w:val="20"/>
                <w:szCs w:val="20"/>
              </w:rPr>
              <w:t>Expert</w:t>
            </w:r>
            <w:proofErr w:type="spellEnd"/>
          </w:p>
        </w:tc>
        <w:tc>
          <w:tcPr>
            <w:tcW w:w="1738" w:type="pct"/>
            <w:shd w:val="clear" w:color="000000" w:fill="FFFFFF"/>
          </w:tcPr>
          <w:p w:rsidR="00AA3B0C" w:rsidRPr="00FA2EEC" w:rsidRDefault="00AA3B0C" w:rsidP="00F27CD8">
            <w:pPr>
              <w:spacing w:before="60" w:after="120" w:line="240" w:lineRule="auto"/>
              <w:rPr>
                <w:rFonts w:ascii="Verdana" w:hAnsi="Verdana" w:cstheme="minorHAnsi"/>
                <w:sz w:val="20"/>
                <w:szCs w:val="20"/>
                <w:lang w:val="en-GB"/>
              </w:rPr>
            </w:pPr>
            <w:r w:rsidRPr="00FA2EEC">
              <w:rPr>
                <w:rFonts w:ascii="Verdana" w:hAnsi="Verdana" w:cstheme="minorHAnsi"/>
                <w:sz w:val="20"/>
                <w:szCs w:val="20"/>
                <w:lang w:val="en-GB"/>
              </w:rPr>
              <w:t>Extensive expert knowledge and skills with regards to the competency.</w:t>
            </w:r>
          </w:p>
          <w:p w:rsidR="00AA3B0C" w:rsidRPr="00AA3B0C" w:rsidRDefault="00AA3B0C" w:rsidP="00F27CD8">
            <w:pPr>
              <w:spacing w:before="60" w:after="120" w:line="240" w:lineRule="auto"/>
              <w:rPr>
                <w:rFonts w:ascii="Verdana" w:hAnsi="Verdana" w:cstheme="minorHAnsi"/>
                <w:sz w:val="20"/>
                <w:szCs w:val="20"/>
                <w:lang w:val="en-GB"/>
              </w:rPr>
            </w:pPr>
            <w:r w:rsidRPr="00AA3B0C">
              <w:rPr>
                <w:rFonts w:ascii="Verdana" w:hAnsi="Verdana" w:cstheme="minorHAnsi"/>
                <w:sz w:val="20"/>
                <w:szCs w:val="20"/>
                <w:lang w:val="en-GB"/>
              </w:rPr>
              <w:t>Ability to highlight the (dis)advantages of each of the processes related to the competency whilst linking them to the bigger picture.</w:t>
            </w:r>
          </w:p>
          <w:p w:rsidR="00AA3B0C" w:rsidRPr="00FA2EEC" w:rsidRDefault="00AA3B0C" w:rsidP="00F27CD8">
            <w:pPr>
              <w:spacing w:before="60" w:after="120" w:line="240" w:lineRule="auto"/>
              <w:rPr>
                <w:rFonts w:ascii="Verdana" w:hAnsi="Verdana" w:cstheme="minorHAnsi"/>
                <w:sz w:val="20"/>
                <w:szCs w:val="20"/>
                <w:lang w:val="en-GB"/>
              </w:rPr>
            </w:pPr>
            <w:r w:rsidRPr="00FA2EEC">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AA3B0C" w:rsidRPr="00FA2EEC" w:rsidRDefault="00AA3B0C" w:rsidP="00F27CD8">
            <w:pPr>
              <w:spacing w:before="60" w:after="120" w:line="240" w:lineRule="auto"/>
              <w:rPr>
                <w:rFonts w:ascii="Verdana" w:hAnsi="Verdana" w:cstheme="minorHAnsi"/>
                <w:sz w:val="20"/>
                <w:szCs w:val="20"/>
                <w:lang w:val="en-GB"/>
              </w:rPr>
            </w:pPr>
            <w:r w:rsidRPr="00FA2EEC">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Επίπεδο 4 - Εμπειρογνωμοσύνη</w:t>
            </w:r>
          </w:p>
        </w:tc>
        <w:tc>
          <w:tcPr>
            <w:tcW w:w="2014" w:type="pct"/>
            <w:shd w:val="clear" w:color="000000" w:fill="FFFFFF"/>
          </w:tcPr>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Εκτενής εμπειρογνωμοσύνη και δεξιότητες όσον αφορά την ικανότητα.</w:t>
            </w:r>
          </w:p>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Ικανότητα επισήμανσης των πλεονεκτημάτων/μειονεκτημάτων καθεμίας εκ των διαδικασιών που σχετίζονται με την ικανότητα και σύνδεσής τους με το ευρύτερο πλαίσιο.</w:t>
            </w:r>
          </w:p>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Ικανότητα παροχής εξατομικευμένων συμβουλών και υποστήριξης των συμβουλών με συναφή και συγκεκριμένα επιχειρήματα κατά την απόκριση σε εσωτερικά και εξωτερικά ερωτήματα.</w:t>
            </w:r>
          </w:p>
          <w:p w:rsidR="00AA3B0C" w:rsidRPr="00251707" w:rsidRDefault="00AA3B0C" w:rsidP="00F27CD8">
            <w:pPr>
              <w:spacing w:before="60" w:after="120" w:line="240" w:lineRule="auto"/>
              <w:rPr>
                <w:rFonts w:ascii="Verdana" w:hAnsi="Verdana" w:cstheme="minorHAnsi"/>
                <w:sz w:val="20"/>
                <w:szCs w:val="20"/>
              </w:rPr>
            </w:pPr>
            <w:r>
              <w:rPr>
                <w:rFonts w:ascii="Verdana" w:hAnsi="Verdana" w:cstheme="minorHAnsi"/>
                <w:sz w:val="20"/>
              </w:rPr>
              <w:t>Αντιμετωπίζεται από τους άλλους ως πρότυπο ικανό να καθοδηγεί ή να διδάσκει άλλους στο πεδίο της εκάστοτε ικανότητας.</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8966590"/>
      <w:r>
        <w:lastRenderedPageBreak/>
        <w:t>Επιχειρησιακές ικανότητες</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FA2EEC" w:rsidRPr="0001418D" w:rsidTr="00AC4172">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FA2EEC" w:rsidRPr="0001418D" w:rsidRDefault="00FA2EEC" w:rsidP="00231B6E">
            <w:pPr>
              <w:spacing w:after="0" w:line="240" w:lineRule="auto"/>
              <w:rPr>
                <w:rFonts w:ascii="Verdana" w:eastAsia="Times New Roman" w:hAnsi="Verdana" w:cs="Times New Roman"/>
                <w:sz w:val="20"/>
                <w:szCs w:val="20"/>
              </w:rPr>
            </w:pPr>
            <w:r>
              <w:rPr>
                <w:rFonts w:ascii="Verdana" w:hAnsi="Verdana"/>
                <w:b/>
                <w:sz w:val="20"/>
              </w:rPr>
              <w:t>Κωδικός</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A2EEC" w:rsidRPr="0001418D" w:rsidRDefault="00FA2EEC" w:rsidP="00F27CD8">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A2EEC" w:rsidRPr="0001418D" w:rsidRDefault="00FA2EEC" w:rsidP="00F27CD8">
            <w:pPr>
              <w:spacing w:after="0" w:line="240" w:lineRule="auto"/>
              <w:rPr>
                <w:rFonts w:ascii="Verdana" w:eastAsia="Times New Roman" w:hAnsi="Verdana" w:cs="Times New Roman"/>
                <w:sz w:val="20"/>
                <w:szCs w:val="20"/>
              </w:rPr>
            </w:pPr>
            <w:r>
              <w:rPr>
                <w:rFonts w:ascii="Verdana" w:hAnsi="Verdana"/>
                <w:sz w:val="20"/>
              </w:rPr>
              <w:t>Ικανότητα</w:t>
            </w:r>
          </w:p>
        </w:tc>
      </w:tr>
      <w:tr w:rsidR="00FA2EEC" w:rsidRPr="00251707" w:rsidTr="00AC4172">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Γενικές διατάξεις</w:t>
            </w:r>
            <w:r>
              <w:rPr>
                <w:rFonts w:ascii="Verdana" w:hAnsi="Verdana"/>
                <w:color w:val="000000"/>
                <w:sz w:val="20"/>
              </w:rPr>
              <w:t xml:space="preserve"> ενωσιακών / εθνικών νομοθετικών πράξεων για τα ΕΔΕΤ</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Εθνικά στρατηγικά έγγραφα (λ.χ. εθνικές αναπτυξιακές στρατηγικές, συναφείς θεματικές και τομεακές πολιτικές)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 xml:space="preserve">Διατάξεις για την επιλεξιμότητα των δαπανών </w:t>
            </w:r>
            <w:r>
              <w:rPr>
                <w:rFonts w:ascii="Verdana" w:hAnsi="Verdana"/>
                <w:color w:val="000000"/>
                <w:sz w:val="20"/>
              </w:rPr>
              <w:t>που περιλαμβάνονται σε ενωσιακές και εθνικές νομοθετικές πράξεις για τα ΕΔΕΤ (κανόνες, κατευθυντήριες οδηγίες και μεθοδολογίες, περιλαμβανομένου του πεδίου εφαρμογής της στήριξης)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Εδαφικά ζητήματα, όπως η ολοκληρωμένη χωρική επένδυση (ITI/ΟΧΕ), η τοπική ανάπτυξη με πρωτοβουλία των τοπικών κοινοτήτων (CLLD), η αειφόρος αστική ανάπτυξη, οι μακροπεριφερειακές στρατηγικές και ο σχεδιασμός διαπεριφερειακής συνεργασίας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Κρατικές ενισχύσεις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Συναφείς θεματικές γνώσεις (θεματική νομοθεσία, κόστος, εφαρμοστέα πρότυπα, τάσεις)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Σκεπτικό της παρέμβασης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Δείκτες εισόδου, εξόδου, αποτελεσμάτων</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Κατάρτιση προϋπολογισμού και εκτίμηση κόστους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Σχεδιασμός χρηματοπιστωτικών μέσων (εκ των προτέρων αξιολόγηση, επιλογή χρηματοπιστωτικών μέσων και οργάνωση)</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Οριζόντια θέματα (όπως αειφόρος ανάπτυξη, ισότητα κ.λπ.)</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Διοικητικές διαδικασίες για την προμήθεια αγαθών και υπηρεσιών στο πλαίσιο της Τεχνικής Βοήθειας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Διασυνοριακή, διεθνική και διαπεριφερειακή συνεργασία και Ευρωπαϊκός Όμιλος Εδαφικής Συνεργασίας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Διαχείριση της εξωτερικής ανάθεσης δραστηριοτήτων TΒ</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lastRenderedPageBreak/>
              <w:t>JS.O.C15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Οικονομικό περιβάλλον και διαδικασίες μεταρρύθμισης (ευρωπαϊκό εξάμηνο, εθνικά προγράμματα μεταρρυθμίσεων και ειδικές ανά χώρα συστάσεις)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xml:space="preserv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Διαχείριση προγράμματος και διαχείριση του κύκλου των έργων</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 xml:space="preserve">Διατάξεις διαχείρισης και εφαρμογής </w:t>
            </w:r>
            <w:r>
              <w:rPr>
                <w:rFonts w:ascii="Verdana" w:hAnsi="Verdana"/>
                <w:color w:val="000000"/>
                <w:sz w:val="20"/>
              </w:rPr>
              <w:t>που περιλαμβάνονται σε ενωσιακές και εθνικές νομοθετικές πράξεις για τα ΕΔΕΤ (προγραμματισμός, επιλογή δραστηριοτήτων, παρακολούθηση, έλεγχοι και λογιστικοί έλεγχοι, αξιολόγηση, δημοσιότητα)</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Κανόνες για τις δημόσιες συμβάσεις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Διαχείριση του κινδύνου απάτης, παρατυπιών (</w:t>
            </w:r>
            <w:proofErr w:type="spellStart"/>
            <w:r>
              <w:rPr>
                <w:rFonts w:ascii="Verdana" w:hAnsi="Verdana"/>
                <w:sz w:val="20"/>
              </w:rPr>
              <w:t>περιλ</w:t>
            </w:r>
            <w:proofErr w:type="spellEnd"/>
            <w:r>
              <w:rPr>
                <w:rFonts w:ascii="Verdana" w:hAnsi="Verdana"/>
                <w:sz w:val="20"/>
              </w:rPr>
              <w:t>. μέτρων πρόληψης, εντοπισμού και μετριασμού)</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 xml:space="preserve">Ορισμός και αναθεώρηση της διοικητικής οργάνωσης </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Διαμόρφωση συστήματος διαχείρισης και ελέγχου</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Αξιολόγηση διοικητικού φόρτου</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Αξιολόγηση επίδοσης συστήματος ΕΔΕΤ</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Απλουστευμένες επιλογές κόστους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Ανάλυση κόστους-οφέλους και μελέτες σκοπιμότητας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Εκτίμηση περιβαλλοντικών επιπτώσεων (ΕΠΕ) για μείζονα έργα και έργα υποδομής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Χρηματοδοτικό κενό και παραγωγή εσόδων</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Διαδικασίες / νομοθεσία σχετικά με μείζονα έργα</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Χαρακτήρας κινήτρου</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Χρηματοπιστωτικά μέσα που σχετίζονται με τη λειτουργία</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Σχεδιασμός χρηματοπιστωτικών μέσων και μηχανισμοί εφαρμογής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Πρόβλεψη και σχεδιασμός στόχων επίδοσης / πλαισίου επιδόσεων</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Διαχείριση κινδύνου που σχετίζεται με μείζονα έργα και έργα υποδομής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of </w:t>
            </w: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Διαχείριση της διαδικασίας αξιολόγησης προγραμμάτων, προτεραιοτήτων ή μέτρων</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Main evaluation criteria (relevance, complementarity, </w:t>
            </w:r>
            <w:r w:rsidRPr="00251707">
              <w:rPr>
                <w:rFonts w:ascii="Verdana" w:eastAsia="Times New Roman" w:hAnsi="Verdana" w:cs="Times New Roman"/>
                <w:sz w:val="20"/>
                <w:szCs w:val="20"/>
                <w:lang w:val="en-US" w:bidi="he-IL"/>
              </w:rPr>
              <w:lastRenderedPageBreak/>
              <w:t>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lastRenderedPageBreak/>
              <w:t xml:space="preserve">Βασικά κριτήρια αξιολόγησης (συνάφεια, </w:t>
            </w:r>
            <w:r>
              <w:rPr>
                <w:rFonts w:ascii="Verdana" w:hAnsi="Verdana"/>
                <w:sz w:val="20"/>
              </w:rPr>
              <w:lastRenderedPageBreak/>
              <w:t>συμπληρωματικότητα, συνέπεια, αποδοτικότητα και αποτελεσματικότητα)</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lastRenderedPageBreak/>
              <w:t>JS.O.C36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Data collection and analysis methods for evaluation of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Συλλογή δεδομένων και μέθοδοι ανάλυσης για την αξιολόγηση προγραμμάτων, προτεραιοτήτων ή μέτρων</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Σχεδιασμός, διαχείριση και πρόβλεψη προϋπολογισμού</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Δαπάνες σε επίπεδο έργου</w:t>
            </w:r>
            <w:r>
              <w:rPr>
                <w:rFonts w:ascii="Verdana" w:hAnsi="Verdana"/>
                <w:color w:val="000000"/>
                <w:sz w:val="20"/>
              </w:rPr>
              <w:t xml:space="preserve"> (τιμολόγια συμβάσεων, αντίγραφα κίνησης λογαριασμών)</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Διατάξεις επικοινωνίας</w:t>
            </w:r>
            <w:r>
              <w:rPr>
                <w:rFonts w:ascii="Verdana" w:hAnsi="Verdana"/>
                <w:color w:val="000000"/>
                <w:sz w:val="20"/>
              </w:rPr>
              <w:t xml:space="preserve"> που περιλαμβάνονται σε ενωσιακές και εθνικές νομοθετικές πράξεις για τα ΕΔΕΤ</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Προσδιορισμός των διαφόρων ενδιαφερομένων και των αναγκών πληροφόρησής τους</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Διαχείριση συναφών μέσων</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Διαδικτυακή επικοινωνία</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Γνώση μηχανικής σχετική με τον κλάδο</w:t>
            </w:r>
          </w:p>
        </w:tc>
      </w:tr>
      <w:tr w:rsidR="00FA2EEC" w:rsidRPr="00251707" w:rsidTr="00AC4172">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A2EEC" w:rsidRPr="00251707" w:rsidRDefault="00FA2EEC"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A2EEC" w:rsidRPr="00251707" w:rsidRDefault="00FA2EEC" w:rsidP="00F27CD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A2EEC" w:rsidRPr="00251707" w:rsidRDefault="00FA2EEC" w:rsidP="00F27CD8">
            <w:pPr>
              <w:spacing w:after="0" w:line="240" w:lineRule="auto"/>
              <w:rPr>
                <w:rFonts w:ascii="Verdana" w:eastAsia="Times New Roman" w:hAnsi="Verdana" w:cs="Times New Roman"/>
                <w:sz w:val="20"/>
                <w:szCs w:val="20"/>
              </w:rPr>
            </w:pPr>
            <w:r>
              <w:rPr>
                <w:rFonts w:ascii="Verdana" w:hAnsi="Verdana"/>
                <w:sz w:val="20"/>
              </w:rPr>
              <w:t>Προδιαγραφές, διαδικασίες και μεθοδολογίες ελέγχου</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8966591"/>
      <w:r>
        <w:lastRenderedPageBreak/>
        <w:t>Διοικητικές ικανότητες</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1E0724" w:rsidRPr="00A40E7F" w:rsidTr="001E0724">
        <w:trPr>
          <w:trHeight w:val="255"/>
          <w:tblHeader/>
        </w:trPr>
        <w:tc>
          <w:tcPr>
            <w:tcW w:w="386" w:type="pct"/>
            <w:shd w:val="clear" w:color="auto" w:fill="EDEDED" w:themeFill="accent3" w:themeFillTint="33"/>
          </w:tcPr>
          <w:p w:rsidR="001E0724" w:rsidRPr="00A40E7F" w:rsidRDefault="001E0724" w:rsidP="00AD2B31">
            <w:pPr>
              <w:spacing w:after="0" w:line="240" w:lineRule="auto"/>
              <w:rPr>
                <w:rFonts w:ascii="Verdana" w:eastAsia="Times New Roman" w:hAnsi="Verdana" w:cstheme="minorHAnsi"/>
                <w:b/>
                <w:bCs/>
                <w:sz w:val="20"/>
                <w:szCs w:val="20"/>
              </w:rPr>
            </w:pPr>
            <w:r>
              <w:rPr>
                <w:rFonts w:ascii="Verdana" w:hAnsi="Verdana" w:cstheme="minorHAnsi"/>
                <w:b/>
                <w:sz w:val="20"/>
              </w:rPr>
              <w:t>Κωδικός</w:t>
            </w:r>
          </w:p>
        </w:tc>
        <w:tc>
          <w:tcPr>
            <w:tcW w:w="793" w:type="pct"/>
            <w:shd w:val="clear" w:color="auto" w:fill="EDEDED" w:themeFill="accent3" w:themeFillTint="33"/>
            <w:noWrap/>
            <w:vAlign w:val="center"/>
            <w:hideMark/>
          </w:tcPr>
          <w:p w:rsidR="001E0724" w:rsidRPr="00A40E7F" w:rsidRDefault="001E0724" w:rsidP="00F27CD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hideMark/>
          </w:tcPr>
          <w:p w:rsidR="001E0724" w:rsidRPr="00A40E7F" w:rsidRDefault="001E0724" w:rsidP="00F27CD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1E0724" w:rsidRPr="00A40E7F" w:rsidRDefault="001E0724" w:rsidP="00F27CD8">
            <w:pPr>
              <w:spacing w:after="0" w:line="240" w:lineRule="auto"/>
              <w:jc w:val="center"/>
              <w:rPr>
                <w:rFonts w:ascii="Verdana" w:eastAsia="Times New Roman" w:hAnsi="Verdana" w:cstheme="minorHAnsi"/>
                <w:b/>
                <w:bCs/>
                <w:sz w:val="20"/>
                <w:szCs w:val="20"/>
              </w:rPr>
            </w:pPr>
            <w:r>
              <w:rPr>
                <w:rFonts w:ascii="Verdana" w:hAnsi="Verdana" w:cstheme="minorHAnsi"/>
                <w:b/>
                <w:sz w:val="20"/>
              </w:rPr>
              <w:t>Ικανότητα</w:t>
            </w:r>
          </w:p>
        </w:tc>
        <w:tc>
          <w:tcPr>
            <w:tcW w:w="1632" w:type="pct"/>
            <w:shd w:val="clear" w:color="auto" w:fill="EDEDED" w:themeFill="accent3" w:themeFillTint="33"/>
            <w:vAlign w:val="center"/>
          </w:tcPr>
          <w:p w:rsidR="001E0724" w:rsidRPr="00A40E7F" w:rsidRDefault="001E0724" w:rsidP="00F27CD8">
            <w:pPr>
              <w:spacing w:after="0" w:line="240" w:lineRule="auto"/>
              <w:jc w:val="center"/>
              <w:rPr>
                <w:rFonts w:ascii="Verdana" w:eastAsia="Times New Roman" w:hAnsi="Verdana" w:cstheme="minorHAnsi"/>
                <w:b/>
                <w:bCs/>
                <w:sz w:val="20"/>
                <w:szCs w:val="20"/>
              </w:rPr>
            </w:pPr>
            <w:r>
              <w:rPr>
                <w:rFonts w:ascii="Verdana" w:hAnsi="Verdana" w:cstheme="minorHAnsi"/>
                <w:b/>
                <w:sz w:val="20"/>
              </w:rPr>
              <w:t>Περιγραφή</w:t>
            </w:r>
          </w:p>
        </w:tc>
      </w:tr>
      <w:tr w:rsidR="001E0724" w:rsidRPr="00A40E7F" w:rsidTr="001E0724">
        <w:trPr>
          <w:trHeight w:val="130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Developing others and people management</w:t>
            </w:r>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Ανάπτυξη και διοίκηση προσωπικού</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παροχής έγκαιρης, σαφούς και συγκεκριμένης καθοδήγησης, ανάδρασης και στήριξης για τον προσδιορισμό των αναγκών και των ευκαιριών ανάπτυξης και κατάρτισης, αναπτύσσει τις γνώσεις, δεξιότητες και ικανότητες του προσωπικού που είναι αναγκαίες για την ολοκλήρωση των καθηκόντων που τους ανατίθενται ή για την επίλυση προβλημάτων, και επιδεικνύει επίσης ικανότητα διαχείρισης των δραστηριοτήτων των εργαζομένων, της ανάπτυξης και της επίδοσής τους κατά τρόπο ώστε να μεγιστοποιείται η αποτελεσματικότητα των ανθρώπινων πόρων.</w:t>
            </w:r>
          </w:p>
        </w:tc>
      </w:tr>
      <w:tr w:rsidR="001E0724" w:rsidRPr="00A40E7F" w:rsidTr="001E0724">
        <w:trPr>
          <w:trHeight w:val="76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Decision</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making</w:t>
            </w:r>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Λήψη αποφάσεων</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εφαρμογής αποδοτικών προσεγγίσεων για την άντληση συμπερασμάτων ή την ανάπτυξη λύσεων, καθώς και λήψης έγκαιρης δράσης που είναι συνεπής με τα διαθέσιμα δεδομένα και γεγονότα που προέρχονται από διαφορετικές πηγές, τους περιορισμούς και τις δυνητικές συνέπειες.</w:t>
            </w:r>
          </w:p>
        </w:tc>
      </w:tr>
      <w:tr w:rsidR="001E0724" w:rsidRPr="00A40E7F" w:rsidTr="001E0724">
        <w:trPr>
          <w:trHeight w:val="1020"/>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lastRenderedPageBreak/>
              <w:t>M.C3</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Delegation</w:t>
            </w:r>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Ανάθεση καθηκόντων</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ανάθεσης της ευθύνης λήψης αποφάσεων και/ή καθηκόντων σε άλλους, διασφάλισης σαφούς επικοινωνίας σχετικά με την κατανομή και την περάτωση αρμοδιοτήτων, και παροχής κατάλληλης στήριξης κατά τρόπο ώστε να μεγιστοποιείται η οργανωτική και ατομική αποτελεσματικότητα.</w:t>
            </w:r>
          </w:p>
        </w:tc>
      </w:tr>
      <w:tr w:rsidR="001E0724" w:rsidRPr="00A40E7F" w:rsidTr="001E0724">
        <w:trPr>
          <w:trHeight w:val="76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Facilitation</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and</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communication</w:t>
            </w:r>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Διευκόλυνση και επικοινωνία</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κινητοποίησης της συμμετοχικότητας και της δημιουργικότητας των άλλων, αξιοποίησης ομαδικών ικανοτήτων ώστε η ομάδα να οδηγείται σε συναίνεση, αποτελεσματικής επίλυσης προβλημάτων, διεκπεραίωσης καθηκόντων και επίτευξης αμοιβαίων στόχων.</w:t>
            </w:r>
          </w:p>
        </w:tc>
      </w:tr>
      <w:tr w:rsidR="001E0724" w:rsidRPr="00A40E7F" w:rsidTr="001E0724">
        <w:trPr>
          <w:trHeight w:val="76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bookmarkStart w:id="11" w:name="RANGE!B8"/>
            <w:proofErr w:type="spellStart"/>
            <w:r w:rsidRPr="00A40E7F">
              <w:rPr>
                <w:rFonts w:ascii="Verdana" w:hAnsi="Verdana" w:cstheme="minorHAnsi"/>
                <w:sz w:val="20"/>
                <w:szCs w:val="20"/>
              </w:rPr>
              <w:t>Leadership</w:t>
            </w:r>
            <w:bookmarkEnd w:id="11"/>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Ηγετική ικανότητα</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κινητοποίησης και έμπνευσης των άλλων ώστε να καταβάλλουν προσπάθειες για το μελλοντικό όραμα, παρουσίασης σαφών σκοπών και στόχων, και δημιουργίας μιας αίσθησης κατεύθυνσης και σκοπού στους εργαζομένους που λειτουργεί καταλυτικά για την ενεργοποίησή τους.</w:t>
            </w:r>
          </w:p>
        </w:tc>
      </w:tr>
      <w:tr w:rsidR="001E0724" w:rsidRPr="00A40E7F" w:rsidTr="001E0724">
        <w:trPr>
          <w:trHeight w:val="76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Multi</w:t>
            </w:r>
            <w:proofErr w:type="spellEnd"/>
            <w:r w:rsidRPr="00A40E7F">
              <w:rPr>
                <w:rFonts w:ascii="Verdana" w:hAnsi="Verdana" w:cstheme="minorHAnsi"/>
                <w:sz w:val="20"/>
                <w:szCs w:val="20"/>
              </w:rPr>
              <w:t>-</w:t>
            </w:r>
            <w:proofErr w:type="spellStart"/>
            <w:r w:rsidRPr="00A40E7F">
              <w:rPr>
                <w:rFonts w:ascii="Verdana" w:hAnsi="Verdana" w:cstheme="minorHAnsi"/>
                <w:sz w:val="20"/>
                <w:szCs w:val="20"/>
              </w:rPr>
              <w:t>level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stakeholder</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management</w:t>
            </w:r>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 xml:space="preserve">Demonstrating ability to understand the goals and objectives of various stakeholders, ensure efficient cooperation and stakeholders engagement (incl. </w:t>
            </w:r>
            <w:r w:rsidRPr="001E0724">
              <w:rPr>
                <w:rFonts w:ascii="Verdana" w:hAnsi="Verdana" w:cstheme="minorHAnsi"/>
                <w:sz w:val="20"/>
                <w:szCs w:val="20"/>
                <w:lang w:val="en-GB"/>
              </w:rPr>
              <w:lastRenderedPageBreak/>
              <w:t xml:space="preserve">being open and stimulating exchange of good practices between different Member States).  </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lastRenderedPageBreak/>
              <w:t>Διαχείριση ενδιαφερομένων σε πολλαπλά επίπεδα</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 xml:space="preserve">Επιδεικνύει ικανότητα κατανόησης των σκοπών και στόχων των διαφόρων ενδιαφερομένων, διασφάλισης της αποδοτικής συνεργασίας και συμμετοχής των ενδιαφερομένων (μεταξύ άλλων </w:t>
            </w:r>
            <w:r>
              <w:rPr>
                <w:rFonts w:ascii="Verdana" w:hAnsi="Verdana" w:cstheme="minorHAnsi"/>
                <w:sz w:val="20"/>
              </w:rPr>
              <w:lastRenderedPageBreak/>
              <w:t xml:space="preserve">μέσα από την επίδειξη ανοιχτού πνεύματος και τη συμβολή στην ανταλλαγή ορθών πρακτικών μεταξύ των διαφορετικών κρατών μελών).  </w:t>
            </w:r>
          </w:p>
        </w:tc>
      </w:tr>
      <w:tr w:rsidR="001E0724" w:rsidRPr="00A40E7F" w:rsidTr="001E0724">
        <w:trPr>
          <w:trHeight w:val="76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lastRenderedPageBreak/>
              <w:t>M.C7</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Negotiating</w:t>
            </w:r>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Διαπραγμάτευση</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αποτελεσματικής διερεύνησης (μέσα από τη διευκόλυνση συζητήσεων, την υποβολή ερωτήσεων, την απόκριση σε αντιρρήσεις κ.λπ.) εναλλακτικών λύσεων και θέσεων που εκφράζουν άλλα άτομα, με σκοπό την επίτευξη αποτελεσμάτων τα οποία είναι αποδεκτά από όλα τα μέρη (επωφελής για όλους λύση).</w:t>
            </w:r>
          </w:p>
        </w:tc>
      </w:tr>
      <w:tr w:rsidR="001E0724" w:rsidRPr="00A40E7F" w:rsidTr="001E0724">
        <w:trPr>
          <w:trHeight w:val="510"/>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Result</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orientation</w:t>
            </w:r>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Προσανατολισμός στα αποτελέσματα</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καθορισμού δύσκολων στόχων, διατήρησης της επικέντρωσης και της επιμονής και της συνεχούς επίτευξης στόχων ή απαιτούμενων αποτελεσμάτων, ακόμη και σε αντίξοες συνθήκες.</w:t>
            </w:r>
          </w:p>
        </w:tc>
      </w:tr>
      <w:tr w:rsidR="001E0724" w:rsidRPr="00A40E7F" w:rsidTr="001E0724">
        <w:trPr>
          <w:trHeight w:val="76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Strategic</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management</w:t>
            </w:r>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Στρατηγική διαχείριση</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οι οποίες οδηγούν στην ανάπτυξη και την υλοποίηση στρατηγικών ευθυγραμμισμένων με τη στρατηγική κατεύθυνση της οργάνωσης και της επίτευξης στόχων.</w:t>
            </w:r>
          </w:p>
        </w:tc>
      </w:tr>
      <w:tr w:rsidR="001E0724" w:rsidRPr="00A40E7F" w:rsidTr="001E0724">
        <w:trPr>
          <w:trHeight w:val="76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Risk</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management</w:t>
            </w:r>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 xml:space="preserve">Demonstrating ability to identify, analyse, assess and prioritize risks and to minimize, </w:t>
            </w:r>
            <w:proofErr w:type="gramStart"/>
            <w:r w:rsidRPr="001E0724">
              <w:rPr>
                <w:rFonts w:ascii="Verdana" w:hAnsi="Verdana" w:cstheme="minorHAnsi"/>
                <w:sz w:val="20"/>
                <w:szCs w:val="20"/>
                <w:lang w:val="en-GB"/>
              </w:rPr>
              <w:t>monitor</w:t>
            </w:r>
            <w:proofErr w:type="gramEnd"/>
            <w:r w:rsidRPr="001E0724">
              <w:rPr>
                <w:rFonts w:ascii="Verdana" w:hAnsi="Verdana" w:cstheme="minorHAnsi"/>
                <w:sz w:val="20"/>
                <w:szCs w:val="20"/>
                <w:lang w:val="en-GB"/>
              </w:rPr>
              <w:t xml:space="preserve">, and control the probability and/or impact of unfortunate events or to </w:t>
            </w:r>
            <w:r w:rsidRPr="001E0724">
              <w:rPr>
                <w:rFonts w:ascii="Verdana" w:hAnsi="Verdana" w:cstheme="minorHAnsi"/>
                <w:sz w:val="20"/>
                <w:szCs w:val="20"/>
                <w:lang w:val="en-GB"/>
              </w:rPr>
              <w:lastRenderedPageBreak/>
              <w:t>maximize the realization of opportunities.</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lastRenderedPageBreak/>
              <w:t>Διαχείριση κινδύνου</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 xml:space="preserve">Επιδεικνύει ικανότητα προσδιορισμού, ανάλυσης, εκτίμησης και ιεράρχησης των κινδύνων και ελαχιστοποίησης, παρακολούθησης και ελέγχου της πιθανότητας και/ή του αντικτύπου </w:t>
            </w:r>
            <w:r>
              <w:rPr>
                <w:rFonts w:ascii="Verdana" w:hAnsi="Verdana" w:cstheme="minorHAnsi"/>
                <w:sz w:val="20"/>
              </w:rPr>
              <w:lastRenderedPageBreak/>
              <w:t>ατυχών περιστατικών, ή ικανότητα μέγιστης αξιοποίησης ευκαιριών.</w:t>
            </w:r>
          </w:p>
        </w:tc>
      </w:tr>
      <w:tr w:rsidR="001E0724" w:rsidRPr="00A40E7F" w:rsidTr="001E0724">
        <w:trPr>
          <w:trHeight w:val="76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lastRenderedPageBreak/>
              <w:t>M.C11</w:t>
            </w:r>
          </w:p>
        </w:tc>
        <w:tc>
          <w:tcPr>
            <w:tcW w:w="793" w:type="pct"/>
            <w:shd w:val="clear" w:color="000000" w:fill="FFFFFF"/>
            <w:vAlign w:val="center"/>
            <w:hideMark/>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Planning</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of</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resources</w:t>
            </w:r>
            <w:proofErr w:type="spellEnd"/>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Σχεδιασμός πόρων</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διαχείρισης, κατά τρόπο αποδοτικό και αποτελεσματικό, των πόρων του οργανισμού στους οποίους περιλαμβάνονται, μεταξύ άλλων, οικονομικοί πόροι, αποθέματα, ανθρώπινες δεξιότητες, παραγωγικοί πόροι και τεχνολογία της πληροφορίας (ΤΠ).</w:t>
            </w:r>
          </w:p>
        </w:tc>
      </w:tr>
      <w:tr w:rsidR="001E0724" w:rsidRPr="00A40E7F" w:rsidTr="001E0724">
        <w:trPr>
          <w:trHeight w:val="765"/>
        </w:trPr>
        <w:tc>
          <w:tcPr>
            <w:tcW w:w="386" w:type="pct"/>
            <w:shd w:val="clear" w:color="000000" w:fill="FFFFFF"/>
            <w:vAlign w:val="center"/>
          </w:tcPr>
          <w:p w:rsidR="001E0724" w:rsidRPr="00A40E7F" w:rsidRDefault="001E0724"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HR Strategy development and implementation</w:t>
            </w:r>
          </w:p>
        </w:tc>
        <w:tc>
          <w:tcPr>
            <w:tcW w:w="1425" w:type="pct"/>
            <w:shd w:val="clear" w:color="000000" w:fill="FFFFFF"/>
            <w:vAlign w:val="center"/>
            <w:hideMark/>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Ανάπτυξη και υλοποίηση στρατηγικής για τους ανθρώπινους πόρους</w:t>
            </w:r>
          </w:p>
        </w:tc>
        <w:tc>
          <w:tcPr>
            <w:tcW w:w="1632"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που οδηγούν στην ανάπτυξη και υλοποίηση στρατηγικών ευθυγραμμισμένων με τη στρατηγική κατεύθυνση της οργάνωσης και της επίτευξης στόχων.</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966592"/>
      <w:r>
        <w:lastRenderedPageBreak/>
        <w:t>Επαγγελματικές ικανότητες</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1E0724" w:rsidRPr="00A40E7F" w:rsidTr="001E0724">
        <w:trPr>
          <w:trHeight w:val="219"/>
          <w:tblHeader/>
        </w:trPr>
        <w:tc>
          <w:tcPr>
            <w:tcW w:w="453" w:type="pct"/>
            <w:shd w:val="clear" w:color="auto" w:fill="EDEDED" w:themeFill="accent3" w:themeFillTint="33"/>
            <w:vAlign w:val="center"/>
          </w:tcPr>
          <w:p w:rsidR="001E0724" w:rsidRPr="00A40E7F" w:rsidRDefault="001E0724"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Κωδικός</w:t>
            </w:r>
          </w:p>
        </w:tc>
        <w:tc>
          <w:tcPr>
            <w:tcW w:w="726" w:type="pct"/>
            <w:shd w:val="clear" w:color="auto" w:fill="EDEDED" w:themeFill="accent3" w:themeFillTint="33"/>
            <w:noWrap/>
            <w:vAlign w:val="center"/>
            <w:hideMark/>
          </w:tcPr>
          <w:p w:rsidR="001E0724" w:rsidRPr="00A40E7F" w:rsidRDefault="001E0724" w:rsidP="00F27CD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1E0724" w:rsidRPr="00A40E7F" w:rsidRDefault="001E0724" w:rsidP="00F27CD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1E0724" w:rsidRPr="00A40E7F" w:rsidRDefault="001E0724" w:rsidP="00F27CD8">
            <w:pPr>
              <w:spacing w:after="0" w:line="240" w:lineRule="auto"/>
              <w:jc w:val="center"/>
              <w:rPr>
                <w:rFonts w:ascii="Verdana" w:eastAsia="Times New Roman" w:hAnsi="Verdana" w:cstheme="minorHAnsi"/>
                <w:b/>
                <w:bCs/>
                <w:sz w:val="20"/>
                <w:szCs w:val="20"/>
              </w:rPr>
            </w:pPr>
            <w:r>
              <w:rPr>
                <w:rFonts w:ascii="Verdana" w:hAnsi="Verdana" w:cstheme="minorHAnsi"/>
                <w:b/>
                <w:sz w:val="20"/>
              </w:rPr>
              <w:t>Ικανότητα</w:t>
            </w:r>
          </w:p>
        </w:tc>
        <w:tc>
          <w:tcPr>
            <w:tcW w:w="1735" w:type="pct"/>
            <w:shd w:val="clear" w:color="auto" w:fill="EDEDED" w:themeFill="accent3" w:themeFillTint="33"/>
            <w:vAlign w:val="center"/>
          </w:tcPr>
          <w:p w:rsidR="001E0724" w:rsidRPr="00A40E7F" w:rsidRDefault="001E0724" w:rsidP="00F27CD8">
            <w:pPr>
              <w:spacing w:after="0" w:line="240" w:lineRule="auto"/>
              <w:jc w:val="center"/>
              <w:rPr>
                <w:rFonts w:ascii="Verdana" w:eastAsia="Times New Roman" w:hAnsi="Verdana" w:cstheme="minorHAnsi"/>
                <w:b/>
                <w:bCs/>
                <w:sz w:val="20"/>
                <w:szCs w:val="20"/>
              </w:rPr>
            </w:pPr>
            <w:r>
              <w:rPr>
                <w:rFonts w:ascii="Verdana" w:hAnsi="Verdana" w:cstheme="minorHAnsi"/>
                <w:b/>
                <w:sz w:val="20"/>
              </w:rPr>
              <w:t>Περιγραφή</w:t>
            </w:r>
          </w:p>
        </w:tc>
      </w:tr>
      <w:tr w:rsidR="001E0724" w:rsidRPr="00A40E7F" w:rsidTr="001E0724">
        <w:trPr>
          <w:trHeight w:val="421"/>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Analytical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1E0724">
              <w:rPr>
                <w:rFonts w:ascii="Verdana" w:hAnsi="Verdana" w:cstheme="minorHAnsi"/>
                <w:sz w:val="20"/>
                <w:szCs w:val="20"/>
                <w:lang w:val="en-GB"/>
              </w:rPr>
              <w:t>effect</w:t>
            </w:r>
            <w:proofErr w:type="gramEnd"/>
            <w:r w:rsidRPr="001E0724">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Αναλυτικές δεξιότητες</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Ανάπτυξη λογικής προσέγγισης στην αντιμετώπιση περίπλοκων προβλημάτων ή ευκαιριών μέσα από τον επιμερισμό τους σε επιμέρους τμήματα, ώστε να προσδιορίζονται τα υποκείμενα ζητήματα, οι σχέσεις αιτίου-αποτελέσματος και να αντλούνται συμπεράσματα ή να λαμβάνονται αποφάσεις.</w:t>
            </w:r>
          </w:p>
        </w:tc>
      </w:tr>
      <w:tr w:rsidR="001E0724" w:rsidRPr="00A40E7F" w:rsidTr="001E0724">
        <w:trPr>
          <w:trHeight w:val="659"/>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in</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writing</w:t>
            </w:r>
            <w:proofErr w:type="spellEnd"/>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Γραπτή επικοινωνία</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σαφούς και πειστικής παρουσίασης πληροφοριών και ιδεών εγγράφως, μέσα από την επιλογή των κατάλληλων μέσων γραπτής επικοινωνίας και ύφους ώστε να διασφαλίζεται η απήχηση στο κοινό, με ορθή ορθογραφία, γραμματική και σημεία στίξης, ενώ επιδεικνύει επίσης ικανότητα διαπολιτισμικής επικοινωνίας.</w:t>
            </w:r>
          </w:p>
        </w:tc>
      </w:tr>
      <w:tr w:rsidR="001E0724" w:rsidRPr="00A40E7F" w:rsidTr="001E0724">
        <w:trPr>
          <w:trHeight w:val="878"/>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verbally</w:t>
            </w:r>
            <w:proofErr w:type="spellEnd"/>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1E0724">
              <w:rPr>
                <w:rFonts w:ascii="Verdana" w:hAnsi="Verdana" w:cstheme="minorHAnsi"/>
                <w:sz w:val="20"/>
                <w:szCs w:val="20"/>
                <w:lang w:val="en-GB"/>
              </w:rPr>
              <w:t>audience,</w:t>
            </w:r>
            <w:proofErr w:type="gramEnd"/>
            <w:r w:rsidRPr="001E0724">
              <w:rPr>
                <w:rFonts w:ascii="Verdana" w:hAnsi="Verdana" w:cstheme="minorHAnsi"/>
                <w:sz w:val="20"/>
                <w:szCs w:val="20"/>
                <w:lang w:val="en-GB"/>
              </w:rPr>
              <w:t xml:space="preserve"> encourages two-way communication and helps them understand and retain the message, as well as demonstrating ability to </w:t>
            </w:r>
            <w:r w:rsidRPr="001E0724">
              <w:rPr>
                <w:rFonts w:ascii="Verdana" w:hAnsi="Verdana" w:cstheme="minorHAnsi"/>
                <w:sz w:val="20"/>
                <w:szCs w:val="20"/>
                <w:lang w:val="en-GB"/>
              </w:rPr>
              <w:lastRenderedPageBreak/>
              <w:t>communicate across cultures.</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lastRenderedPageBreak/>
              <w:t>Προφορική επικοινωνία</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έκφρασης σκέψεων και ιδεών σε άτομα ή ομάδες με σαφήνεια και με λόγο που αιχμαλωτίζει την προσοχή του κοινού, ενθαρρύνει την αμφίδρομη επικοινωνία και συμβάλλει στην κατανόηση και τη συγκράτηση του μηνύματος, ενώ επιδεικνύει επίσης ικανότητα διαπολιτισμικής επικοινωνίας.</w:t>
            </w:r>
          </w:p>
        </w:tc>
      </w:tr>
      <w:tr w:rsidR="001E0724" w:rsidRPr="00A40E7F" w:rsidTr="001E0724">
        <w:trPr>
          <w:trHeight w:val="659"/>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Conflict</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handling</w:t>
            </w:r>
            <w:proofErr w:type="spellEnd"/>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Διαχείριση συγκρούσεων</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αποτελεσματικής αντιμετώπισης των άλλων σε καταστάσεις σύγκρουσης μέσα από την αναγνώριση των διαφορετικών απόψεων, την ανοιχτή συζήτηση επ’ αυτών και τη χρήση κατάλληλου διαπροσωπικού ύφους και τεχνικών με σκοπό την εξεύρεση επωφελούς για όλους λύσης σε περίπτωση σύγκρουσης μεταξύ δύο ή περισσότερων ατόμων.</w:t>
            </w:r>
          </w:p>
        </w:tc>
      </w:tr>
      <w:tr w:rsidR="001E0724" w:rsidRPr="00A40E7F" w:rsidTr="001E0724">
        <w:trPr>
          <w:trHeight w:val="659"/>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Flexibility and adaptability to change </w:t>
            </w:r>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Ευελιξία και προσαρμοστικότητα σε αλλαγές </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 xml:space="preserve">Επιδεικνύει ικανότητα προσαρμογής και διατήρησης της αποτελεσματικότητας σε περίπτωση σημαντικών αλλαγών σε εργασιακά καθήκοντα, στο περιβάλλον εργασίας, στην οργανωτική δομή και κουλτούρα, σε διαδικασίες, απαιτήσεις και άλλες πτυχές σχετιζόμενες με την εργασία. </w:t>
            </w:r>
          </w:p>
        </w:tc>
      </w:tr>
      <w:tr w:rsidR="001E0724" w:rsidRPr="00A40E7F" w:rsidTr="001E0724">
        <w:trPr>
          <w:trHeight w:val="659"/>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Problem</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solving</w:t>
            </w:r>
            <w:proofErr w:type="spellEnd"/>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Επίλυση προβλημάτων</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εντοπισμού προβλημάτων με τη χρήση λογικής, διαίσθησης, δεδομένων, με τη διενέργεια κατάλληλων αναλύσεων, ερευνών και με τη συμμετοχή τρίτων (εφόσον απαιτείται) με σκοπό την άντληση συμπερασμάτων ή τη λήψη αποφάσεων.</w:t>
            </w:r>
          </w:p>
        </w:tc>
      </w:tr>
      <w:tr w:rsidR="001E0724" w:rsidRPr="00A40E7F" w:rsidTr="001E0724">
        <w:trPr>
          <w:trHeight w:val="659"/>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Team</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work</w:t>
            </w:r>
            <w:proofErr w:type="spellEnd"/>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Εργασία σε ομάδα</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αρμονικής συνεργασίας με άλλους συναδέλφους από διαφορετικές δομικές μονάδες και βαθμίδες για την επίτευξη συλλογικών στόχων.</w:t>
            </w:r>
          </w:p>
        </w:tc>
      </w:tr>
      <w:tr w:rsidR="001E0724" w:rsidRPr="00A40E7F" w:rsidTr="001E0724">
        <w:trPr>
          <w:trHeight w:val="439"/>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Technological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ability</w:t>
            </w:r>
            <w:proofErr w:type="spellEnd"/>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 xml:space="preserve">Demonstrating ability to use appropriate personal computer software, information systems and other IT tools (e.g. Microsoft Office </w:t>
            </w:r>
            <w:proofErr w:type="spellStart"/>
            <w:r w:rsidRPr="001E0724">
              <w:rPr>
                <w:rFonts w:ascii="Verdana" w:hAnsi="Verdana" w:cstheme="minorHAnsi"/>
                <w:sz w:val="20"/>
                <w:szCs w:val="20"/>
                <w:lang w:val="en-GB"/>
              </w:rPr>
              <w:t>programms</w:t>
            </w:r>
            <w:proofErr w:type="spellEnd"/>
            <w:r w:rsidRPr="001E0724">
              <w:rPr>
                <w:rFonts w:ascii="Verdana" w:hAnsi="Verdana" w:cstheme="minorHAnsi"/>
                <w:sz w:val="20"/>
                <w:szCs w:val="20"/>
                <w:lang w:val="en-GB"/>
              </w:rPr>
              <w:t>) that are required to accomplish work goals.</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Τεχνολογική ικανότητα</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χρήσης λογισμικού προσωπικών υπολογιστών, πληροφορικών συστημάτων και άλλων εργαλείων ΤΠ (λ.χ. προγράμματα Microsoft Office) που απαιτούνται για την επίτευξη εργασιακών στόχων.</w:t>
            </w:r>
          </w:p>
        </w:tc>
      </w:tr>
      <w:tr w:rsidR="001E0724" w:rsidRPr="00A40E7F" w:rsidTr="001E0724">
        <w:trPr>
          <w:trHeight w:val="659"/>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Usage of monitoring and information system</w:t>
            </w:r>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Χρήση συστήματος παρακολούθησης και πληροφόρησης</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χρήσης συστημάτων παρακολούθησης και πληροφόρησης σχετικά με τα κονδύλια της ΕΕ (εξωτερικών και εσωτερικών αν υπάρχουν) με σκοπό την επίτευξη εργασιακών στόχων.</w:t>
            </w:r>
          </w:p>
        </w:tc>
      </w:tr>
      <w:tr w:rsidR="001E0724" w:rsidRPr="00A40E7F" w:rsidTr="001E0724">
        <w:trPr>
          <w:trHeight w:val="398"/>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Representation to the outside world</w:t>
            </w:r>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Εκπροσώπηση στον έξω κόσμο</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να ενεργεί ή να ομιλεί εκ μέρους του φορέα με αποτελεσματικό και κατάλληλο τρόπο.</w:t>
            </w:r>
          </w:p>
        </w:tc>
      </w:tr>
      <w:tr w:rsidR="001E0724" w:rsidRPr="00A40E7F" w:rsidTr="001E0724">
        <w:trPr>
          <w:trHeight w:val="659"/>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Relevant</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language</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Demonstrating ability to apply relevant foreign language skills in order to carry out the assigned functions and accomplish work goals.</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Συναφείς γλωσσικές δεξιότητες</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Επιδεικνύει ικανότητα εφαρμογής συναφών δεξιοτήτων σχετικά με ξένες γλώσσες με σκοπό την άσκηση των ανατιθέμενων καθηκόντων και την επίτευξη εργασιακών στόχων.</w:t>
            </w:r>
          </w:p>
        </w:tc>
      </w:tr>
      <w:tr w:rsidR="001E0724" w:rsidRPr="00A40E7F" w:rsidTr="001E0724">
        <w:trPr>
          <w:trHeight w:val="659"/>
        </w:trPr>
        <w:tc>
          <w:tcPr>
            <w:tcW w:w="453" w:type="pct"/>
            <w:shd w:val="clear" w:color="000000" w:fill="FFFFFF"/>
            <w:vAlign w:val="center"/>
          </w:tcPr>
          <w:p w:rsidR="001E0724" w:rsidRPr="00A40E7F" w:rsidRDefault="001E0724"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1E0724" w:rsidRPr="00A40E7F" w:rsidRDefault="001E0724" w:rsidP="00F27CD8">
            <w:pPr>
              <w:spacing w:after="0"/>
              <w:rPr>
                <w:rFonts w:ascii="Verdana" w:hAnsi="Verdana" w:cstheme="minorHAnsi"/>
                <w:sz w:val="20"/>
                <w:szCs w:val="20"/>
              </w:rPr>
            </w:pPr>
            <w:proofErr w:type="spellStart"/>
            <w:r w:rsidRPr="00A40E7F">
              <w:rPr>
                <w:rFonts w:ascii="Verdana" w:hAnsi="Verdana" w:cstheme="minorHAnsi"/>
                <w:sz w:val="20"/>
                <w:szCs w:val="20"/>
              </w:rPr>
              <w:t>Intercultural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1E0724" w:rsidRPr="001E0724" w:rsidRDefault="001E0724" w:rsidP="00F27CD8">
            <w:pPr>
              <w:spacing w:after="0"/>
              <w:rPr>
                <w:rFonts w:ascii="Verdana" w:hAnsi="Verdana" w:cstheme="minorHAnsi"/>
                <w:sz w:val="20"/>
                <w:szCs w:val="20"/>
                <w:lang w:val="en-GB"/>
              </w:rPr>
            </w:pPr>
            <w:r w:rsidRPr="001E0724">
              <w:rPr>
                <w:rFonts w:ascii="Verdana" w:hAnsi="Verdana" w:cstheme="minorHAnsi"/>
                <w:sz w:val="20"/>
                <w:szCs w:val="20"/>
                <w:lang w:val="en-GB"/>
              </w:rPr>
              <w:t xml:space="preserve">Demonstrating ability to work in multi-cultural environment, </w:t>
            </w:r>
            <w:r w:rsidRPr="001E0724">
              <w:rPr>
                <w:rFonts w:ascii="Verdana" w:hAnsi="Verdana" w:cstheme="minorHAnsi"/>
                <w:sz w:val="20"/>
                <w:szCs w:val="20"/>
                <w:lang w:val="en-GB"/>
              </w:rPr>
              <w:lastRenderedPageBreak/>
              <w:t>efficiently dealing with stakeholders in EU institutions and other member states.</w:t>
            </w:r>
          </w:p>
        </w:tc>
        <w:tc>
          <w:tcPr>
            <w:tcW w:w="834"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lastRenderedPageBreak/>
              <w:t>Διαπολιτισμικές δεξιότητες</w:t>
            </w:r>
          </w:p>
        </w:tc>
        <w:tc>
          <w:tcPr>
            <w:tcW w:w="1735" w:type="pct"/>
            <w:shd w:val="clear" w:color="000000" w:fill="FFFFFF"/>
            <w:vAlign w:val="center"/>
          </w:tcPr>
          <w:p w:rsidR="001E0724" w:rsidRPr="00A40E7F" w:rsidRDefault="001E0724" w:rsidP="00F27CD8">
            <w:pPr>
              <w:spacing w:after="0"/>
              <w:rPr>
                <w:rFonts w:ascii="Verdana" w:hAnsi="Verdana" w:cstheme="minorHAnsi"/>
                <w:sz w:val="20"/>
                <w:szCs w:val="20"/>
              </w:rPr>
            </w:pPr>
            <w:r>
              <w:rPr>
                <w:rFonts w:ascii="Verdana" w:hAnsi="Verdana" w:cstheme="minorHAnsi"/>
                <w:sz w:val="20"/>
              </w:rPr>
              <w:t xml:space="preserve">Επιδεικνύει ικανότητα εργασίας σε πολυπολιτισμικό περιβάλλον και </w:t>
            </w:r>
            <w:r>
              <w:rPr>
                <w:rFonts w:ascii="Verdana" w:hAnsi="Verdana" w:cstheme="minorHAnsi"/>
                <w:sz w:val="20"/>
              </w:rPr>
              <w:lastRenderedPageBreak/>
              <w:t>αποτελεσματικής συνεργασίας με τους ενδιαφερομένους σε θεσμικά όργανα της ΕΕ και άλλα κράτη μέλη.</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ED" w:rsidRDefault="00A610ED" w:rsidP="0008776A">
      <w:pPr>
        <w:spacing w:after="0" w:line="240" w:lineRule="auto"/>
      </w:pPr>
      <w:r>
        <w:separator/>
      </w:r>
    </w:p>
  </w:endnote>
  <w:endnote w:type="continuationSeparator" w:id="0">
    <w:p w:rsidR="00A610ED" w:rsidRDefault="00A610ED"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F451D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5B4156">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ED" w:rsidRDefault="00A610ED" w:rsidP="0008776A">
      <w:pPr>
        <w:spacing w:after="0" w:line="240" w:lineRule="auto"/>
      </w:pPr>
      <w:r>
        <w:separator/>
      </w:r>
    </w:p>
  </w:footnote>
  <w:footnote w:type="continuationSeparator" w:id="0">
    <w:p w:rsidR="00A610ED" w:rsidRDefault="00A610ED"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4F" w:rsidRPr="00BF0B4F" w:rsidRDefault="00BF0B4F"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Πλαίσιο ικανοτήτων της ΕΕ – Γλωσσάριο όρων οι οποίοι χρησιμοποιούνται στο εργαλείο αυτοαξιολόγησης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A7A80"/>
    <w:rsid w:val="000C44D2"/>
    <w:rsid w:val="000E47BD"/>
    <w:rsid w:val="00123EE5"/>
    <w:rsid w:val="001319E4"/>
    <w:rsid w:val="001B2537"/>
    <w:rsid w:val="001B5122"/>
    <w:rsid w:val="001B5ADB"/>
    <w:rsid w:val="001C491D"/>
    <w:rsid w:val="001D4E04"/>
    <w:rsid w:val="001D7CC2"/>
    <w:rsid w:val="001E0724"/>
    <w:rsid w:val="001F0D1D"/>
    <w:rsid w:val="00206F86"/>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F0065"/>
    <w:rsid w:val="00416AA7"/>
    <w:rsid w:val="0044373B"/>
    <w:rsid w:val="00476CF8"/>
    <w:rsid w:val="004B0758"/>
    <w:rsid w:val="004F71B4"/>
    <w:rsid w:val="00536145"/>
    <w:rsid w:val="00554E39"/>
    <w:rsid w:val="00584C64"/>
    <w:rsid w:val="005B4156"/>
    <w:rsid w:val="005C3880"/>
    <w:rsid w:val="005D6AFD"/>
    <w:rsid w:val="005D72B2"/>
    <w:rsid w:val="005F04A1"/>
    <w:rsid w:val="005F5DB2"/>
    <w:rsid w:val="006029E1"/>
    <w:rsid w:val="00614B9B"/>
    <w:rsid w:val="0062042A"/>
    <w:rsid w:val="006645FC"/>
    <w:rsid w:val="006744F9"/>
    <w:rsid w:val="006931AA"/>
    <w:rsid w:val="006C2D1C"/>
    <w:rsid w:val="006E738D"/>
    <w:rsid w:val="00716D09"/>
    <w:rsid w:val="007320E2"/>
    <w:rsid w:val="00757D2E"/>
    <w:rsid w:val="00787821"/>
    <w:rsid w:val="007D60DC"/>
    <w:rsid w:val="00822B80"/>
    <w:rsid w:val="008339CD"/>
    <w:rsid w:val="00834E93"/>
    <w:rsid w:val="0084461D"/>
    <w:rsid w:val="008806DD"/>
    <w:rsid w:val="008C4517"/>
    <w:rsid w:val="008E21AD"/>
    <w:rsid w:val="008F4A1B"/>
    <w:rsid w:val="00910BED"/>
    <w:rsid w:val="009248AB"/>
    <w:rsid w:val="009259B3"/>
    <w:rsid w:val="00927761"/>
    <w:rsid w:val="00952551"/>
    <w:rsid w:val="009A279A"/>
    <w:rsid w:val="009E2CA5"/>
    <w:rsid w:val="00A30ABC"/>
    <w:rsid w:val="00A40E7F"/>
    <w:rsid w:val="00A564CD"/>
    <w:rsid w:val="00A610ED"/>
    <w:rsid w:val="00AA3B0C"/>
    <w:rsid w:val="00AB57C3"/>
    <w:rsid w:val="00AB64E3"/>
    <w:rsid w:val="00AD2B31"/>
    <w:rsid w:val="00AD341D"/>
    <w:rsid w:val="00B579F3"/>
    <w:rsid w:val="00B81E04"/>
    <w:rsid w:val="00B967FA"/>
    <w:rsid w:val="00BC078C"/>
    <w:rsid w:val="00BF0B4F"/>
    <w:rsid w:val="00BF759B"/>
    <w:rsid w:val="00C1011B"/>
    <w:rsid w:val="00C971E1"/>
    <w:rsid w:val="00CC3497"/>
    <w:rsid w:val="00CD1306"/>
    <w:rsid w:val="00CE608F"/>
    <w:rsid w:val="00CF51E8"/>
    <w:rsid w:val="00CF661F"/>
    <w:rsid w:val="00CF6967"/>
    <w:rsid w:val="00D02119"/>
    <w:rsid w:val="00D27017"/>
    <w:rsid w:val="00D42D77"/>
    <w:rsid w:val="00D92F59"/>
    <w:rsid w:val="00DB27D2"/>
    <w:rsid w:val="00DE6C01"/>
    <w:rsid w:val="00E44B41"/>
    <w:rsid w:val="00E87A35"/>
    <w:rsid w:val="00EB6450"/>
    <w:rsid w:val="00EF60EC"/>
    <w:rsid w:val="00F15E49"/>
    <w:rsid w:val="00F40B43"/>
    <w:rsid w:val="00F451DA"/>
    <w:rsid w:val="00F50847"/>
    <w:rsid w:val="00F74AE6"/>
    <w:rsid w:val="00F863CF"/>
    <w:rsid w:val="00F93A46"/>
    <w:rsid w:val="00FA2EEC"/>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5B4156"/>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5B4156"/>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164826356">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7C84-F7E6-4855-9609-B71B33F3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23</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25</cp:revision>
  <cp:lastPrinted>2017-03-22T18:35:00Z</cp:lastPrinted>
  <dcterms:created xsi:type="dcterms:W3CDTF">2017-10-04T14:59:00Z</dcterms:created>
  <dcterms:modified xsi:type="dcterms:W3CDTF">2018-04-13T09:33:00Z</dcterms:modified>
</cp:coreProperties>
</file>