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7" w:rsidRPr="00251707" w:rsidRDefault="00BA6FBC" w:rsidP="000A1ECD">
      <w:pPr>
        <w:jc w:val="center"/>
        <w:rPr>
          <w:rFonts w:ascii="Verdana" w:hAnsi="Verdana" w:cstheme="minorHAnsi"/>
          <w:b/>
          <w:color w:val="003399"/>
          <w:kern w:val="12"/>
          <w:sz w:val="40"/>
          <w:szCs w:val="40"/>
        </w:rPr>
      </w:pPr>
      <w:r>
        <w:rPr>
          <w:rFonts w:ascii="Verdana" w:hAnsi="Verdana" w:cstheme="minorHAnsi"/>
          <w:b/>
          <w:noProof/>
          <w:color w:val="003399"/>
          <w:kern w:val="12"/>
          <w:sz w:val="40"/>
          <w:szCs w:val="40"/>
          <w:lang w:val="en-GB" w:eastAsia="en-GB" w:bidi="ar-SA"/>
        </w:rPr>
        <w:drawing>
          <wp:inline distT="0" distB="0" distL="0" distR="0">
            <wp:extent cx="8470900" cy="5816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900" cy="5816600"/>
                    </a:xfrm>
                    <a:prstGeom prst="rect">
                      <a:avLst/>
                    </a:prstGeom>
                    <a:noFill/>
                    <a:ln>
                      <a:noFill/>
                    </a:ln>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08776A">
          <w:headerReference w:type="default" r:id="rId9"/>
          <w:footerReference w:type="default" r:id="rId10"/>
          <w:pgSz w:w="15840" w:h="12240" w:orient="landscape"/>
          <w:pgMar w:top="1440" w:right="1440" w:bottom="1440" w:left="144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Версии на документа</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Версия</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Дата</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3 ноември 2017 г.</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Съдържание</w:t>
          </w:r>
        </w:p>
        <w:p w:rsidR="00251707" w:rsidRPr="0025756E" w:rsidRDefault="00251707" w:rsidP="00251707">
          <w:pPr>
            <w:rPr>
              <w:rFonts w:ascii="Verdana" w:hAnsi="Verdana"/>
              <w:b/>
              <w:color w:val="0070C0"/>
              <w:sz w:val="32"/>
              <w:szCs w:val="32"/>
            </w:rPr>
          </w:pPr>
        </w:p>
        <w:p w:rsidR="00BA6FBC" w:rsidRPr="00BA6FBC" w:rsidRDefault="00CF51E8">
          <w:pPr>
            <w:pStyle w:val="TOC1"/>
            <w:tabs>
              <w:tab w:val="left" w:pos="440"/>
              <w:tab w:val="right" w:leader="dot" w:pos="12950"/>
            </w:tabs>
            <w:rPr>
              <w:rFonts w:ascii="Verdana" w:eastAsiaTheme="minorEastAsia" w:hAnsi="Verdana"/>
              <w:noProof/>
              <w:sz w:val="32"/>
              <w:szCs w:val="32"/>
              <w:lang w:val="en-GB" w:eastAsia="en-GB" w:bidi="he-IL"/>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91167" w:history="1">
            <w:r w:rsidR="00BA6FBC" w:rsidRPr="00BA6FBC">
              <w:rPr>
                <w:rStyle w:val="Hyperlink"/>
                <w:rFonts w:ascii="Verdana" w:hAnsi="Verdana"/>
                <w:noProof/>
                <w:sz w:val="32"/>
                <w:szCs w:val="32"/>
              </w:rPr>
              <w:t>1.</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Работни роли</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_Toc508891167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4</w:t>
            </w:r>
            <w:r w:rsidR="00BA6FBC" w:rsidRPr="00BA6FBC">
              <w:rPr>
                <w:rFonts w:ascii="Verdana" w:hAnsi="Verdana"/>
                <w:noProof/>
                <w:webHidden/>
                <w:sz w:val="32"/>
                <w:szCs w:val="32"/>
              </w:rPr>
              <w:fldChar w:fldCharType="end"/>
            </w:r>
          </w:hyperlink>
        </w:p>
        <w:p w:rsidR="00BA6FBC" w:rsidRPr="00BA6FBC" w:rsidRDefault="00BC6403">
          <w:pPr>
            <w:pStyle w:val="TOC1"/>
            <w:tabs>
              <w:tab w:val="left" w:pos="440"/>
              <w:tab w:val="right" w:leader="dot" w:pos="12950"/>
            </w:tabs>
            <w:rPr>
              <w:rFonts w:ascii="Verdana" w:eastAsiaTheme="minorEastAsia" w:hAnsi="Verdana"/>
              <w:noProof/>
              <w:sz w:val="32"/>
              <w:szCs w:val="32"/>
              <w:lang w:val="en-GB" w:eastAsia="en-GB" w:bidi="he-IL"/>
            </w:rPr>
          </w:pPr>
          <w:hyperlink w:anchor="_Toc508891168" w:history="1">
            <w:r w:rsidR="00BA6FBC" w:rsidRPr="00BA6FBC">
              <w:rPr>
                <w:rStyle w:val="Hyperlink"/>
                <w:rFonts w:ascii="Verdana" w:hAnsi="Verdana"/>
                <w:noProof/>
                <w:sz w:val="32"/>
                <w:szCs w:val="32"/>
              </w:rPr>
              <w:t>2.</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Задачи и подзадачи</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_Toc508891168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5</w:t>
            </w:r>
            <w:r w:rsidR="00BA6FBC" w:rsidRPr="00BA6FBC">
              <w:rPr>
                <w:rFonts w:ascii="Verdana" w:hAnsi="Verdana"/>
                <w:noProof/>
                <w:webHidden/>
                <w:sz w:val="32"/>
                <w:szCs w:val="32"/>
              </w:rPr>
              <w:fldChar w:fldCharType="end"/>
            </w:r>
          </w:hyperlink>
        </w:p>
        <w:p w:rsidR="00BA6FBC" w:rsidRPr="00BA6FBC" w:rsidRDefault="00BC6403">
          <w:pPr>
            <w:pStyle w:val="TOC1"/>
            <w:tabs>
              <w:tab w:val="left" w:pos="440"/>
              <w:tab w:val="right" w:leader="dot" w:pos="12950"/>
            </w:tabs>
            <w:rPr>
              <w:rFonts w:ascii="Verdana" w:eastAsiaTheme="minorEastAsia" w:hAnsi="Verdana"/>
              <w:noProof/>
              <w:sz w:val="32"/>
              <w:szCs w:val="32"/>
              <w:lang w:val="en-GB" w:eastAsia="en-GB" w:bidi="he-IL"/>
            </w:rPr>
          </w:pPr>
          <w:hyperlink w:anchor="_Toc508891169" w:history="1">
            <w:r w:rsidR="00BA6FBC" w:rsidRPr="00BA6FBC">
              <w:rPr>
                <w:rStyle w:val="Hyperlink"/>
                <w:rFonts w:ascii="Verdana" w:hAnsi="Verdana"/>
                <w:noProof/>
                <w:sz w:val="32"/>
                <w:szCs w:val="32"/>
              </w:rPr>
              <w:t>3.</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Скала на владеене</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_Toc508891169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11</w:t>
            </w:r>
            <w:r w:rsidR="00BA6FBC" w:rsidRPr="00BA6FBC">
              <w:rPr>
                <w:rFonts w:ascii="Verdana" w:hAnsi="Verdana"/>
                <w:noProof/>
                <w:webHidden/>
                <w:sz w:val="32"/>
                <w:szCs w:val="32"/>
              </w:rPr>
              <w:fldChar w:fldCharType="end"/>
            </w:r>
          </w:hyperlink>
        </w:p>
        <w:p w:rsidR="00BA6FBC" w:rsidRPr="00BA6FBC" w:rsidRDefault="00BC6403">
          <w:pPr>
            <w:pStyle w:val="TOC1"/>
            <w:tabs>
              <w:tab w:val="left" w:pos="440"/>
              <w:tab w:val="right" w:leader="dot" w:pos="12950"/>
            </w:tabs>
            <w:rPr>
              <w:rFonts w:ascii="Verdana" w:eastAsiaTheme="minorEastAsia" w:hAnsi="Verdana"/>
              <w:noProof/>
              <w:sz w:val="32"/>
              <w:szCs w:val="32"/>
              <w:lang w:val="en-GB" w:eastAsia="en-GB" w:bidi="he-IL"/>
            </w:rPr>
          </w:pPr>
          <w:hyperlink w:anchor="_Toc508891170" w:history="1">
            <w:r w:rsidR="00BA6FBC" w:rsidRPr="00BA6FBC">
              <w:rPr>
                <w:rStyle w:val="Hyperlink"/>
                <w:rFonts w:ascii="Verdana" w:hAnsi="Verdana"/>
                <w:noProof/>
                <w:sz w:val="32"/>
                <w:szCs w:val="32"/>
              </w:rPr>
              <w:t>4.</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Оперативни компетентности</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_Toc508891170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13</w:t>
            </w:r>
            <w:r w:rsidR="00BA6FBC" w:rsidRPr="00BA6FBC">
              <w:rPr>
                <w:rFonts w:ascii="Verdana" w:hAnsi="Verdana"/>
                <w:noProof/>
                <w:webHidden/>
                <w:sz w:val="32"/>
                <w:szCs w:val="32"/>
              </w:rPr>
              <w:fldChar w:fldCharType="end"/>
            </w:r>
          </w:hyperlink>
        </w:p>
        <w:p w:rsidR="00BA6FBC" w:rsidRPr="00BA6FBC" w:rsidRDefault="00BC6403">
          <w:pPr>
            <w:pStyle w:val="TOC1"/>
            <w:tabs>
              <w:tab w:val="left" w:pos="440"/>
              <w:tab w:val="right" w:leader="dot" w:pos="12950"/>
            </w:tabs>
            <w:rPr>
              <w:rFonts w:ascii="Verdana" w:eastAsiaTheme="minorEastAsia" w:hAnsi="Verdana"/>
              <w:noProof/>
              <w:sz w:val="32"/>
              <w:szCs w:val="32"/>
              <w:lang w:val="en-GB" w:eastAsia="en-GB" w:bidi="he-IL"/>
            </w:rPr>
          </w:pPr>
          <w:hyperlink w:anchor="_Toc508891171" w:history="1">
            <w:r w:rsidR="00BA6FBC" w:rsidRPr="00BA6FBC">
              <w:rPr>
                <w:rStyle w:val="Hyperlink"/>
                <w:rFonts w:ascii="Verdana" w:hAnsi="Verdana"/>
                <w:noProof/>
                <w:sz w:val="32"/>
                <w:szCs w:val="32"/>
              </w:rPr>
              <w:t>5.</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Управленски компетентности</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_Toc508891171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16</w:t>
            </w:r>
            <w:r w:rsidR="00BA6FBC" w:rsidRPr="00BA6FBC">
              <w:rPr>
                <w:rFonts w:ascii="Verdana" w:hAnsi="Verdana"/>
                <w:noProof/>
                <w:webHidden/>
                <w:sz w:val="32"/>
                <w:szCs w:val="32"/>
              </w:rPr>
              <w:fldChar w:fldCharType="end"/>
            </w:r>
          </w:hyperlink>
        </w:p>
        <w:p w:rsidR="00BA6FBC" w:rsidRDefault="00BC6403">
          <w:pPr>
            <w:pStyle w:val="TOC1"/>
            <w:tabs>
              <w:tab w:val="left" w:pos="440"/>
              <w:tab w:val="right" w:leader="dot" w:pos="12950"/>
            </w:tabs>
            <w:rPr>
              <w:rFonts w:eastAsiaTheme="minorEastAsia"/>
              <w:noProof/>
              <w:lang w:val="en-GB" w:eastAsia="en-GB" w:bidi="he-IL"/>
            </w:rPr>
          </w:pPr>
          <w:hyperlink w:anchor="_Toc508891172" w:history="1">
            <w:r w:rsidR="00BA6FBC" w:rsidRPr="00BA6FBC">
              <w:rPr>
                <w:rStyle w:val="Hyperlink"/>
                <w:rFonts w:ascii="Verdana" w:hAnsi="Verdana"/>
                <w:noProof/>
                <w:sz w:val="32"/>
                <w:szCs w:val="32"/>
              </w:rPr>
              <w:t>6.</w:t>
            </w:r>
            <w:r w:rsidR="00BA6FBC" w:rsidRPr="00BA6FBC">
              <w:rPr>
                <w:rFonts w:ascii="Verdana" w:eastAsiaTheme="minorEastAsia" w:hAnsi="Verdana"/>
                <w:noProof/>
                <w:sz w:val="32"/>
                <w:szCs w:val="32"/>
                <w:lang w:val="en-GB" w:eastAsia="en-GB" w:bidi="he-IL"/>
              </w:rPr>
              <w:tab/>
            </w:r>
            <w:r w:rsidR="00BA6FBC" w:rsidRPr="00BA6FBC">
              <w:rPr>
                <w:rStyle w:val="Hyperlink"/>
                <w:rFonts w:ascii="Verdana" w:hAnsi="Verdana"/>
                <w:noProof/>
                <w:sz w:val="32"/>
                <w:szCs w:val="32"/>
              </w:rPr>
              <w:t>Професионални компетентности</w:t>
            </w:r>
            <w:r w:rsidR="00BA6FBC" w:rsidRPr="00BA6FBC">
              <w:rPr>
                <w:rFonts w:ascii="Verdana" w:hAnsi="Verdana"/>
                <w:noProof/>
                <w:webHidden/>
                <w:sz w:val="32"/>
                <w:szCs w:val="32"/>
              </w:rPr>
              <w:tab/>
            </w:r>
            <w:r w:rsidR="00BA6FBC" w:rsidRPr="00BA6FBC">
              <w:rPr>
                <w:rFonts w:ascii="Verdana" w:hAnsi="Verdana"/>
                <w:noProof/>
                <w:webHidden/>
                <w:sz w:val="32"/>
                <w:szCs w:val="32"/>
              </w:rPr>
              <w:fldChar w:fldCharType="begin"/>
            </w:r>
            <w:r w:rsidR="00BA6FBC" w:rsidRPr="00BA6FBC">
              <w:rPr>
                <w:rFonts w:ascii="Verdana" w:hAnsi="Verdana"/>
                <w:noProof/>
                <w:webHidden/>
                <w:sz w:val="32"/>
                <w:szCs w:val="32"/>
              </w:rPr>
              <w:instrText xml:space="preserve"> PAGEREF _Toc508891172 \h </w:instrText>
            </w:r>
            <w:r w:rsidR="00BA6FBC" w:rsidRPr="00BA6FBC">
              <w:rPr>
                <w:rFonts w:ascii="Verdana" w:hAnsi="Verdana"/>
                <w:noProof/>
                <w:webHidden/>
                <w:sz w:val="32"/>
                <w:szCs w:val="32"/>
              </w:rPr>
            </w:r>
            <w:r w:rsidR="00BA6FBC" w:rsidRPr="00BA6FBC">
              <w:rPr>
                <w:rFonts w:ascii="Verdana" w:hAnsi="Verdana"/>
                <w:noProof/>
                <w:webHidden/>
                <w:sz w:val="32"/>
                <w:szCs w:val="32"/>
              </w:rPr>
              <w:fldChar w:fldCharType="separate"/>
            </w:r>
            <w:r w:rsidR="00BA6FBC" w:rsidRPr="00BA6FBC">
              <w:rPr>
                <w:rFonts w:ascii="Verdana" w:hAnsi="Verdana"/>
                <w:noProof/>
                <w:webHidden/>
                <w:sz w:val="32"/>
                <w:szCs w:val="32"/>
              </w:rPr>
              <w:t>20</w:t>
            </w:r>
            <w:r w:rsidR="00BA6FBC" w:rsidRPr="00BA6FBC">
              <w:rPr>
                <w:rFonts w:ascii="Verdana" w:hAnsi="Verdana"/>
                <w:noProof/>
                <w:webHidden/>
                <w:sz w:val="32"/>
                <w:szCs w:val="32"/>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891167"/>
      <w:r>
        <w:lastRenderedPageBreak/>
        <w:t>Работни роли</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297"/>
        <w:gridCol w:w="1460"/>
        <w:gridCol w:w="7311"/>
      </w:tblGrid>
      <w:tr w:rsidR="006931AA" w:rsidRPr="00251707" w:rsidTr="00721735">
        <w:trPr>
          <w:trHeight w:val="467"/>
        </w:trPr>
        <w:tc>
          <w:tcPr>
            <w:tcW w:w="1733"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3267"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721735" w:rsidRPr="00251707" w:rsidTr="00721735">
        <w:trPr>
          <w:trHeight w:val="440"/>
        </w:trPr>
        <w:tc>
          <w:tcPr>
            <w:tcW w:w="503" w:type="pct"/>
            <w:shd w:val="clear" w:color="auto" w:fill="F2F2F2" w:themeFill="background1" w:themeFillShade="F2"/>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Job Role</w:t>
            </w:r>
          </w:p>
        </w:tc>
        <w:tc>
          <w:tcPr>
            <w:tcW w:w="1229" w:type="pct"/>
            <w:shd w:val="clear" w:color="auto" w:fill="F2F2F2" w:themeFill="background1" w:themeFillShade="F2"/>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Description</w:t>
            </w:r>
          </w:p>
        </w:tc>
        <w:tc>
          <w:tcPr>
            <w:tcW w:w="542" w:type="pct"/>
            <w:shd w:val="clear" w:color="auto" w:fill="F2F2F2" w:themeFill="background1" w:themeFillShade="F2"/>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Работна роля</w:t>
            </w:r>
          </w:p>
        </w:tc>
        <w:tc>
          <w:tcPr>
            <w:tcW w:w="2726" w:type="pct"/>
            <w:shd w:val="clear" w:color="auto" w:fill="F2F2F2" w:themeFill="background1" w:themeFillShade="F2"/>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Описание</w:t>
            </w:r>
          </w:p>
        </w:tc>
      </w:tr>
      <w:tr w:rsidR="00721735" w:rsidRPr="00251707" w:rsidTr="00721735">
        <w:trPr>
          <w:trHeight w:val="1250"/>
        </w:trPr>
        <w:tc>
          <w:tcPr>
            <w:tcW w:w="503"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Decision-making level</w:t>
            </w:r>
          </w:p>
        </w:tc>
        <w:tc>
          <w:tcPr>
            <w:tcW w:w="1229"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This is the head of the organization or persons that act on relatively high strategic management levels</w:t>
            </w:r>
          </w:p>
        </w:tc>
        <w:tc>
          <w:tcPr>
            <w:tcW w:w="542"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Равнище на вземане на решения</w:t>
            </w:r>
          </w:p>
        </w:tc>
        <w:tc>
          <w:tcPr>
            <w:tcW w:w="2726"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Това са ръководителят на институцията на ЕФРР/КФ или лица, които работят на относително високи стратегически нива в управлението</w:t>
            </w:r>
          </w:p>
        </w:tc>
      </w:tr>
      <w:tr w:rsidR="00721735" w:rsidRPr="00251707" w:rsidTr="00721735">
        <w:trPr>
          <w:trHeight w:val="1871"/>
        </w:trPr>
        <w:tc>
          <w:tcPr>
            <w:tcW w:w="503"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Supervisory level</w:t>
            </w:r>
          </w:p>
        </w:tc>
        <w:tc>
          <w:tcPr>
            <w:tcW w:w="1229"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2"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Надзорно равнище</w:t>
            </w:r>
          </w:p>
        </w:tc>
        <w:tc>
          <w:tcPr>
            <w:tcW w:w="2726"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Това е средното ниво на управление, при което лицето отговаря за група от лица и не участва пряко в оперативното изпълнение на програмата (например ръководители на организационни звена)</w:t>
            </w:r>
          </w:p>
        </w:tc>
      </w:tr>
      <w:tr w:rsidR="00721735" w:rsidRPr="00251707" w:rsidTr="00721735">
        <w:trPr>
          <w:trHeight w:val="1439"/>
        </w:trPr>
        <w:tc>
          <w:tcPr>
            <w:tcW w:w="503"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Operational level</w:t>
            </w:r>
          </w:p>
        </w:tc>
        <w:tc>
          <w:tcPr>
            <w:tcW w:w="1229"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These are the experts that are directly working on the different tasks and sub-tasks within the organization</w:t>
            </w:r>
          </w:p>
        </w:tc>
        <w:tc>
          <w:tcPr>
            <w:tcW w:w="542"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Оперативно равнище</w:t>
            </w:r>
          </w:p>
        </w:tc>
        <w:tc>
          <w:tcPr>
            <w:tcW w:w="2726" w:type="pct"/>
            <w:shd w:val="clear" w:color="000000" w:fill="FFFFFF"/>
            <w:vAlign w:val="center"/>
          </w:tcPr>
          <w:p w:rsidR="00721735" w:rsidRPr="00251707" w:rsidRDefault="00721735" w:rsidP="004B624D">
            <w:pPr>
              <w:spacing w:after="0"/>
              <w:rPr>
                <w:rFonts w:ascii="Verdana" w:hAnsi="Verdana" w:cstheme="minorHAnsi"/>
                <w:sz w:val="20"/>
                <w:szCs w:val="20"/>
              </w:rPr>
            </w:pPr>
            <w:r>
              <w:rPr>
                <w:rFonts w:ascii="Verdana" w:hAnsi="Verdana" w:cstheme="minorHAnsi"/>
                <w:sz w:val="20"/>
              </w:rPr>
              <w:t>Това са експертите, които работят непосредствено по различните задачи и подзадачи в рамките на организацията</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891168"/>
      <w:r>
        <w:lastRenderedPageBreak/>
        <w:t>Задачи и подзадачи</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721735" w:rsidRPr="00251707" w:rsidTr="00251707">
        <w:trPr>
          <w:trHeight w:val="345"/>
          <w:tblHeader/>
        </w:trPr>
        <w:tc>
          <w:tcPr>
            <w:tcW w:w="902" w:type="pct"/>
            <w:shd w:val="clear" w:color="auto" w:fill="F2F2F2" w:themeFill="background1" w:themeFillShade="F2"/>
            <w:vAlign w:val="center"/>
          </w:tcPr>
          <w:p w:rsidR="00721735" w:rsidRPr="00251707" w:rsidRDefault="00721735" w:rsidP="007A5578">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721735" w:rsidRPr="00251707" w:rsidRDefault="00721735" w:rsidP="007A5578">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721735" w:rsidRPr="00251707" w:rsidRDefault="00721735" w:rsidP="005A17BA">
            <w:pPr>
              <w:spacing w:after="0" w:line="240" w:lineRule="auto"/>
              <w:rPr>
                <w:rFonts w:ascii="Verdana" w:eastAsia="Times New Roman" w:hAnsi="Verdana" w:cstheme="minorHAnsi"/>
                <w:b/>
                <w:bCs/>
                <w:sz w:val="20"/>
                <w:szCs w:val="20"/>
              </w:rPr>
            </w:pPr>
            <w:r>
              <w:rPr>
                <w:rFonts w:ascii="Verdana" w:hAnsi="Verdana" w:cstheme="minorHAnsi"/>
                <w:b/>
                <w:sz w:val="20"/>
              </w:rPr>
              <w:t>Задачи</w:t>
            </w:r>
          </w:p>
        </w:tc>
        <w:tc>
          <w:tcPr>
            <w:tcW w:w="1251" w:type="pct"/>
            <w:shd w:val="clear" w:color="auto" w:fill="F2F2F2" w:themeFill="background1" w:themeFillShade="F2"/>
            <w:vAlign w:val="center"/>
          </w:tcPr>
          <w:p w:rsidR="00721735" w:rsidRPr="00251707" w:rsidRDefault="00721735" w:rsidP="005A17BA">
            <w:pPr>
              <w:spacing w:after="0" w:line="240" w:lineRule="auto"/>
              <w:rPr>
                <w:rFonts w:ascii="Verdana" w:eastAsia="Times New Roman" w:hAnsi="Verdana" w:cstheme="minorHAnsi"/>
                <w:b/>
                <w:bCs/>
                <w:sz w:val="20"/>
                <w:szCs w:val="20"/>
              </w:rPr>
            </w:pPr>
            <w:r>
              <w:rPr>
                <w:rFonts w:ascii="Verdana" w:hAnsi="Verdana" w:cstheme="minorHAnsi"/>
                <w:b/>
                <w:sz w:val="20"/>
              </w:rPr>
              <w:t>Подзадача</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1. Програмиране   </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1.1. Междуинституционална координация и участие на заинтересованите страни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1.2.  Подготовка на програмата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1.3. Управление на процеса на оценка (ex ante)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1.4. Водене на преговори с ЕК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1.5. Закупуване на стоки и услуги по линия на техническата помощ</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2. Създаване на системата, разработване на процедури и инструменти</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2.1. Изготвяне на описанието на системите за управление и контрол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2.2. Създаване на правна система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2.3. Разработване на процедури и инструменти за изпълнение на програмата</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2.4. Разработване и поддръжка на системите за наблюдение и информация и електронно сближаване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2.5 Развитие на институционален и административен капацитет</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2.6. Закупуване на стоки и услуги по линия на </w:t>
            </w:r>
            <w:r>
              <w:rPr>
                <w:rFonts w:ascii="Verdana" w:hAnsi="Verdana" w:cstheme="minorHAnsi"/>
                <w:sz w:val="20"/>
              </w:rPr>
              <w:lastRenderedPageBreak/>
              <w:t xml:space="preserve">техническата помощ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lastRenderedPageBreak/>
              <w:t>3. Project generation, preparation of calls for proposals, project selection and contracting</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3. Изготвяне на проекти, подготовка на покани за представяне на предложения, подбор на проекти и сключване на договори</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3.1 Подпомагане на кандидатите във връзка с техническите и финансовите аспекти на програмните изисквания, включително изграждане на капацитет на равнището на бенефициерите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3.2. Изготвяне на предложения във връзка с критериите и процедурите за подбор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3.3. Изготвяне/изменение на насоки за кандидатите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3.4. Административна проверка и проверка на допустимостта (пълнота на пакета и спазване на съответните законови и подзаконови актове)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3.5. Оценка (точково оценяване на заявленията, управление на жалбите, изготвяне на списъка с проекти, съобщаване на резултатите на вземащите решения лица и кандидатите)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3.6. Разработване и изменение на процедури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3.7. Дейности за повишаване </w:t>
            </w:r>
            <w:r>
              <w:rPr>
                <w:rFonts w:ascii="Verdana" w:hAnsi="Verdana" w:cstheme="minorHAnsi"/>
                <w:sz w:val="20"/>
              </w:rPr>
              <w:lastRenderedPageBreak/>
              <w:t>на осведомеността и подкрепа</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under Technical Assistance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3.8. Закупуване на стоки и услуги по линия на техническата помощ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4. Monitoring on project level</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4.1. Technical monitoring and on the spot verifications at project level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4. Наблюдение на проектно равнище</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4.1. Техническо наблюдение и проверки на място на проектно равнище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4.2. Предоставяне на консултации на бенефициерите по въпроси, свързани с изпълнението на проектите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4.3. Откриване и докладване на нередности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4.4. Закупуване на стоки и услуги по линия на техническата помощ</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5. Наблюдение на програмно равнище</w:t>
            </w:r>
          </w:p>
        </w:tc>
        <w:tc>
          <w:tcPr>
            <w:tcW w:w="1251" w:type="pct"/>
            <w:shd w:val="clear" w:color="000000" w:fill="FFFFFF"/>
            <w:vAlign w:val="center"/>
          </w:tcPr>
          <w:p w:rsidR="00721735" w:rsidRPr="00251707" w:rsidRDefault="00721735" w:rsidP="00BC6403">
            <w:pPr>
              <w:spacing w:after="0"/>
              <w:rPr>
                <w:rFonts w:ascii="Verdana" w:hAnsi="Verdana" w:cstheme="minorHAnsi"/>
                <w:sz w:val="20"/>
                <w:szCs w:val="20"/>
              </w:rPr>
            </w:pPr>
            <w:r>
              <w:rPr>
                <w:rFonts w:ascii="Verdana" w:hAnsi="Verdana" w:cstheme="minorHAnsi"/>
                <w:sz w:val="20"/>
              </w:rPr>
              <w:t xml:space="preserve">5.1. Измерване на </w:t>
            </w:r>
            <w:r w:rsidR="00BC6403">
              <w:rPr>
                <w:rFonts w:ascii="Verdana" w:hAnsi="Verdana" w:cstheme="minorHAnsi"/>
                <w:sz w:val="20"/>
                <w:highlight w:val="yellow"/>
              </w:rPr>
              <w:t>изпълнението на</w:t>
            </w:r>
            <w:r w:rsidR="00CE28E4" w:rsidRPr="00CE28E4">
              <w:rPr>
                <w:rFonts w:ascii="Verdana" w:hAnsi="Verdana" w:cstheme="minorHAnsi"/>
                <w:sz w:val="20"/>
                <w:highlight w:val="yellow"/>
              </w:rPr>
              <w:t xml:space="preserve"> приоритетната ос</w:t>
            </w:r>
            <w:r w:rsidRPr="00CE28E4">
              <w:rPr>
                <w:rFonts w:ascii="Verdana" w:hAnsi="Verdana" w:cstheme="minorHAnsi"/>
                <w:sz w:val="20"/>
                <w:highlight w:val="yellow"/>
              </w:rPr>
              <w:t>/мярката</w:t>
            </w:r>
            <w:r>
              <w:rPr>
                <w:rFonts w:ascii="Verdana" w:hAnsi="Verdana" w:cstheme="minorHAnsi"/>
                <w:sz w:val="20"/>
              </w:rPr>
              <w:t xml:space="preserve"> (планиране, наблюдение, прогнозиране, преразглеждане)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AC4BF0" w:rsidP="00BC6403">
            <w:pPr>
              <w:spacing w:after="0"/>
              <w:rPr>
                <w:rFonts w:ascii="Verdana" w:hAnsi="Verdana" w:cstheme="minorHAnsi"/>
                <w:sz w:val="20"/>
                <w:szCs w:val="20"/>
              </w:rPr>
            </w:pPr>
            <w:r>
              <w:rPr>
                <w:rFonts w:ascii="Verdana" w:hAnsi="Verdana" w:cstheme="minorHAnsi"/>
                <w:sz w:val="20"/>
              </w:rPr>
              <w:t xml:space="preserve">5.2. Измерване на </w:t>
            </w:r>
            <w:r w:rsidR="00BC6403">
              <w:rPr>
                <w:rFonts w:ascii="Verdana" w:hAnsi="Verdana" w:cstheme="minorHAnsi"/>
                <w:sz w:val="20"/>
                <w:highlight w:val="yellow"/>
              </w:rPr>
              <w:t>изпълнението на</w:t>
            </w:r>
            <w:r w:rsidR="00721735" w:rsidRPr="00AC4BF0">
              <w:rPr>
                <w:rFonts w:ascii="Verdana" w:hAnsi="Verdana" w:cstheme="minorHAnsi"/>
                <w:sz w:val="20"/>
                <w:highlight w:val="yellow"/>
              </w:rPr>
              <w:t xml:space="preserve"> оперативната програма (планиране</w:t>
            </w:r>
            <w:r w:rsidR="00721735">
              <w:rPr>
                <w:rFonts w:ascii="Verdana" w:hAnsi="Verdana" w:cstheme="minorHAnsi"/>
                <w:sz w:val="20"/>
              </w:rPr>
              <w:t xml:space="preserve">, наблюдение, прогнозиране, преразглеждане и корективни действия)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5.3. Reporting to the Monitoring </w:t>
            </w:r>
            <w:r w:rsidRPr="00251707">
              <w:rPr>
                <w:rFonts w:ascii="Verdana" w:hAnsi="Verdana" w:cstheme="minorHAnsi"/>
                <w:sz w:val="20"/>
                <w:szCs w:val="20"/>
              </w:rPr>
              <w:lastRenderedPageBreak/>
              <w:t xml:space="preserve">Committee and European Commission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5.3. Докладване на </w:t>
            </w:r>
            <w:r>
              <w:rPr>
                <w:rFonts w:ascii="Verdana" w:hAnsi="Verdana" w:cstheme="minorHAnsi"/>
                <w:sz w:val="20"/>
              </w:rPr>
              <w:lastRenderedPageBreak/>
              <w:t xml:space="preserve">мониторинговия комитет и Европейската комисия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5.4. Разработване и изменение на процедурите за наблюдение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5.5. Подкрепа за мониторинговия комитет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5.6. Закупуване на стоки и услуги по линия на техническата помощ</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6. Evaluation</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6. Оценка</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6.1. Подготовка и ръководене на процеса на оценка (възлага се на външен изпълнител)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6.2. Извършване на оценка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6.3. Използване на резултатите: участие в набелязването и изпълнението на последващи действия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6.4. Предварителни условия</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6.5. Закупуване на стоки и услуги по линия на техническата помощ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7. Финансово управление на проектно равнище</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7.1. Проверка на искания за плащане и доклади от първо ниво на контрол на проектно равнище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7.2. Финансово наблюдение и проверки на място на проектно равнище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7.3. Закупуване на стоки и услуги по линия на техническата помощ</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8. Финансово управление на програмно равнище</w:t>
            </w:r>
          </w:p>
        </w:tc>
        <w:tc>
          <w:tcPr>
            <w:tcW w:w="1251" w:type="pct"/>
            <w:shd w:val="clear" w:color="000000" w:fill="FFFFFF"/>
            <w:vAlign w:val="center"/>
          </w:tcPr>
          <w:p w:rsidR="00721735" w:rsidRPr="00251707" w:rsidRDefault="00721735" w:rsidP="00BC6403">
            <w:pPr>
              <w:spacing w:after="0"/>
              <w:rPr>
                <w:rFonts w:ascii="Verdana" w:hAnsi="Verdana" w:cstheme="minorHAnsi"/>
                <w:sz w:val="20"/>
                <w:szCs w:val="20"/>
              </w:rPr>
            </w:pPr>
            <w:r>
              <w:rPr>
                <w:rFonts w:ascii="Verdana" w:hAnsi="Verdana" w:cstheme="minorHAnsi"/>
                <w:sz w:val="20"/>
              </w:rPr>
              <w:t xml:space="preserve">8.1. Измерване на </w:t>
            </w:r>
            <w:r w:rsidR="00BC6403">
              <w:rPr>
                <w:rFonts w:ascii="Verdana" w:hAnsi="Verdana" w:cstheme="minorHAnsi"/>
                <w:sz w:val="20"/>
                <w:highlight w:val="yellow"/>
              </w:rPr>
              <w:t>финансовото изпълнение на</w:t>
            </w:r>
            <w:r w:rsidR="00CE28E4" w:rsidRPr="00CE28E4">
              <w:rPr>
                <w:rFonts w:ascii="Verdana" w:hAnsi="Verdana" w:cstheme="minorHAnsi"/>
                <w:sz w:val="20"/>
                <w:highlight w:val="yellow"/>
              </w:rPr>
              <w:t xml:space="preserve"> приоритетната ос</w:t>
            </w:r>
            <w:r>
              <w:rPr>
                <w:rFonts w:ascii="Verdana" w:hAnsi="Verdana" w:cstheme="minorHAnsi"/>
                <w:sz w:val="20"/>
              </w:rPr>
              <w:t xml:space="preserve">/мярката (планиране, наблюдение, прогнозиране, преразглеждане) </w:t>
            </w:r>
          </w:p>
        </w:tc>
      </w:tr>
      <w:tr w:rsidR="00721735" w:rsidRPr="00251707" w:rsidTr="00251707">
        <w:trPr>
          <w:trHeight w:val="741"/>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BC6403">
            <w:pPr>
              <w:spacing w:after="0"/>
              <w:rPr>
                <w:rFonts w:ascii="Verdana" w:hAnsi="Verdana" w:cstheme="minorHAnsi"/>
                <w:sz w:val="20"/>
                <w:szCs w:val="20"/>
              </w:rPr>
            </w:pPr>
            <w:r>
              <w:rPr>
                <w:rFonts w:ascii="Verdana" w:hAnsi="Verdana" w:cstheme="minorHAnsi"/>
                <w:sz w:val="20"/>
              </w:rPr>
              <w:t xml:space="preserve">8.2. Измерване </w:t>
            </w:r>
            <w:r w:rsidR="00BC6403">
              <w:rPr>
                <w:rFonts w:ascii="Verdana" w:hAnsi="Verdana" w:cstheme="minorHAnsi"/>
                <w:sz w:val="20"/>
              </w:rPr>
              <w:t>финансовото изпълнение на</w:t>
            </w:r>
            <w:r w:rsidR="00AC4BF0">
              <w:rPr>
                <w:rFonts w:ascii="Verdana" w:hAnsi="Verdana" w:cstheme="minorHAnsi"/>
                <w:sz w:val="20"/>
              </w:rPr>
              <w:t xml:space="preserve"> </w:t>
            </w:r>
            <w:r>
              <w:rPr>
                <w:rFonts w:ascii="Verdana" w:hAnsi="Verdana" w:cstheme="minorHAnsi"/>
                <w:sz w:val="20"/>
              </w:rPr>
              <w:t xml:space="preserve">оперативната програма (планиране, наблюдение, прогнозиране, преразглеждане и корективни действия)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8.3. Докладване на мониторинговия комитет и Европейската комисия, включително декларацията за управлението и годишния отчет (Регламент за общоприложимите разпоредби, член 125, параграф 4, буква д)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8.4. Разработване и изменение на процедурите за финансово управление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8.5. Закупуване на стоки и услуги по линия на техническата помощ</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w:t>
            </w:r>
            <w:r w:rsidRPr="00251707">
              <w:rPr>
                <w:rFonts w:ascii="Verdana" w:hAnsi="Verdana" w:cstheme="minorHAnsi"/>
                <w:sz w:val="20"/>
                <w:szCs w:val="20"/>
              </w:rPr>
              <w:lastRenderedPageBreak/>
              <w:t xml:space="preserve">stakeholders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lastRenderedPageBreak/>
              <w:t>9. Комуникация</w:t>
            </w: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9.1. Изготвяне на плана за комуникация и изпълнението </w:t>
            </w:r>
            <w:r>
              <w:rPr>
                <w:rFonts w:ascii="Verdana" w:hAnsi="Verdana" w:cstheme="minorHAnsi"/>
                <w:sz w:val="20"/>
              </w:rPr>
              <w:lastRenderedPageBreak/>
              <w:t xml:space="preserve">му по отношение на различни заинтересовани страни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 xml:space="preserve">9.2. Изграждане на мрежи с различни медии </w:t>
            </w:r>
          </w:p>
        </w:tc>
      </w:tr>
      <w:tr w:rsidR="00721735" w:rsidRPr="00251707" w:rsidTr="00251707">
        <w:trPr>
          <w:trHeight w:val="345"/>
        </w:trPr>
        <w:tc>
          <w:tcPr>
            <w:tcW w:w="902" w:type="pct"/>
            <w:shd w:val="clear" w:color="000000" w:fill="FFFFFF"/>
            <w:vAlign w:val="center"/>
          </w:tcPr>
          <w:p w:rsidR="00721735" w:rsidRPr="00251707" w:rsidRDefault="00721735" w:rsidP="007A5578">
            <w:pPr>
              <w:spacing w:after="0"/>
              <w:rPr>
                <w:rFonts w:ascii="Verdana" w:hAnsi="Verdana" w:cstheme="minorHAnsi"/>
                <w:sz w:val="20"/>
                <w:szCs w:val="20"/>
              </w:rPr>
            </w:pPr>
          </w:p>
        </w:tc>
        <w:tc>
          <w:tcPr>
            <w:tcW w:w="1702" w:type="pct"/>
            <w:shd w:val="clear" w:color="000000" w:fill="FFFFFF"/>
            <w:vAlign w:val="center"/>
          </w:tcPr>
          <w:p w:rsidR="00721735" w:rsidRPr="00251707" w:rsidRDefault="00721735" w:rsidP="007A5578">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721735" w:rsidRPr="00251707" w:rsidRDefault="00721735" w:rsidP="005A17BA">
            <w:pPr>
              <w:spacing w:after="0"/>
              <w:rPr>
                <w:rFonts w:ascii="Verdana" w:hAnsi="Verdana" w:cstheme="minorHAnsi"/>
                <w:sz w:val="20"/>
                <w:szCs w:val="20"/>
              </w:rPr>
            </w:pPr>
          </w:p>
        </w:tc>
        <w:tc>
          <w:tcPr>
            <w:tcW w:w="1251" w:type="pct"/>
            <w:shd w:val="clear" w:color="000000" w:fill="FFFFFF"/>
            <w:vAlign w:val="center"/>
          </w:tcPr>
          <w:p w:rsidR="00721735" w:rsidRPr="00251707" w:rsidRDefault="00721735" w:rsidP="005A17BA">
            <w:pPr>
              <w:spacing w:after="0"/>
              <w:rPr>
                <w:rFonts w:ascii="Verdana" w:hAnsi="Verdana" w:cstheme="minorHAnsi"/>
                <w:sz w:val="20"/>
                <w:szCs w:val="20"/>
              </w:rPr>
            </w:pPr>
            <w:r>
              <w:rPr>
                <w:rFonts w:ascii="Verdana" w:hAnsi="Verdana" w:cstheme="minorHAnsi"/>
                <w:sz w:val="20"/>
              </w:rPr>
              <w:t>9.3. Закупуване на стоки и услуги по линия на техническата помощ</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4" w:name="_Toc494963496"/>
      <w:bookmarkStart w:id="5" w:name="_Toc508891169"/>
      <w:r>
        <w:lastRenderedPageBreak/>
        <w:t>Скала на владеене</w:t>
      </w:r>
      <w:bookmarkEnd w:id="4"/>
      <w:bookmarkEnd w:id="5"/>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721735" w:rsidRPr="00251707" w:rsidTr="006645FC">
        <w:trPr>
          <w:trHeight w:val="332"/>
          <w:tblHeader/>
        </w:trPr>
        <w:tc>
          <w:tcPr>
            <w:tcW w:w="658" w:type="pct"/>
            <w:shd w:val="clear" w:color="auto" w:fill="F2F2F2" w:themeFill="background1" w:themeFillShade="F2"/>
          </w:tcPr>
          <w:p w:rsidR="00721735" w:rsidRPr="00251707" w:rsidRDefault="00721735" w:rsidP="007A5578">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738" w:type="pct"/>
            <w:shd w:val="clear" w:color="auto" w:fill="F2F2F2" w:themeFill="background1" w:themeFillShade="F2"/>
          </w:tcPr>
          <w:p w:rsidR="00721735" w:rsidRPr="00251707" w:rsidRDefault="00721735" w:rsidP="007A5578">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590" w:type="pct"/>
            <w:shd w:val="clear" w:color="auto" w:fill="F2F2F2" w:themeFill="background1" w:themeFillShade="F2"/>
          </w:tcPr>
          <w:p w:rsidR="00721735" w:rsidRPr="00251707" w:rsidRDefault="00721735" w:rsidP="00DC7C3A">
            <w:pPr>
              <w:spacing w:after="0" w:line="240" w:lineRule="auto"/>
              <w:rPr>
                <w:rFonts w:ascii="Verdana" w:hAnsi="Verdana" w:cstheme="minorHAnsi"/>
                <w:sz w:val="20"/>
                <w:szCs w:val="20"/>
              </w:rPr>
            </w:pPr>
            <w:r>
              <w:rPr>
                <w:rFonts w:ascii="Verdana" w:hAnsi="Verdana" w:cstheme="minorHAnsi"/>
                <w:sz w:val="20"/>
              </w:rPr>
              <w:t xml:space="preserve">Скала </w:t>
            </w:r>
          </w:p>
        </w:tc>
        <w:tc>
          <w:tcPr>
            <w:tcW w:w="2014" w:type="pct"/>
            <w:shd w:val="clear" w:color="auto" w:fill="F2F2F2" w:themeFill="background1" w:themeFillShade="F2"/>
          </w:tcPr>
          <w:p w:rsidR="00721735" w:rsidRPr="00251707" w:rsidRDefault="00721735" w:rsidP="00DC7C3A">
            <w:pPr>
              <w:spacing w:after="0" w:line="240" w:lineRule="auto"/>
              <w:rPr>
                <w:rFonts w:ascii="Verdana" w:hAnsi="Verdana" w:cstheme="minorHAnsi"/>
                <w:sz w:val="20"/>
                <w:szCs w:val="20"/>
              </w:rPr>
            </w:pPr>
            <w:r>
              <w:rPr>
                <w:rFonts w:ascii="Verdana" w:hAnsi="Verdana" w:cstheme="minorHAnsi"/>
                <w:sz w:val="20"/>
              </w:rPr>
              <w:t xml:space="preserve">Описание </w:t>
            </w:r>
          </w:p>
        </w:tc>
      </w:tr>
      <w:tr w:rsidR="00721735" w:rsidRPr="00251707" w:rsidTr="00721735">
        <w:trPr>
          <w:trHeight w:val="566"/>
        </w:trPr>
        <w:tc>
          <w:tcPr>
            <w:tcW w:w="65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НП — Не е приложимо</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 xml:space="preserve">Компетентността не е приложима за работната роля. </w:t>
            </w:r>
          </w:p>
        </w:tc>
      </w:tr>
      <w:tr w:rsidR="00721735" w:rsidRPr="00251707" w:rsidTr="006645FC">
        <w:trPr>
          <w:trHeight w:val="908"/>
        </w:trPr>
        <w:tc>
          <w:tcPr>
            <w:tcW w:w="65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 xml:space="preserve">Ниво 0 — </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Няма познания</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Няма познания относно компетентността или няма способност да я прилага в реални ситуации.</w:t>
            </w:r>
          </w:p>
        </w:tc>
      </w:tr>
      <w:tr w:rsidR="00721735" w:rsidRPr="00251707" w:rsidTr="006645FC">
        <w:trPr>
          <w:trHeight w:val="1421"/>
        </w:trPr>
        <w:tc>
          <w:tcPr>
            <w:tcW w:w="65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Ниво 1 — информираност</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Основни познания относно компетентността (например разбира основните понятия и процеси, наясно е със свързаната с тях ключова терминология).</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Способност да проявява тази компетентност, след като получи конкретни указания и насоки.</w:t>
            </w:r>
          </w:p>
        </w:tc>
      </w:tr>
      <w:tr w:rsidR="00721735" w:rsidRPr="00251707" w:rsidTr="006645FC">
        <w:trPr>
          <w:trHeight w:val="1103"/>
        </w:trPr>
        <w:tc>
          <w:tcPr>
            <w:tcW w:w="65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Ниво 2 — обучен</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Добри работни познания относно компетентността.</w:t>
            </w:r>
            <w:r>
              <w:rPr>
                <w:rFonts w:ascii="Verdana" w:hAnsi="Verdana" w:cstheme="minorHAnsi"/>
                <w:sz w:val="20"/>
                <w:szCs w:val="20"/>
              </w:rPr>
              <w:br/>
            </w:r>
            <w:r>
              <w:rPr>
                <w:rFonts w:ascii="Verdana" w:hAnsi="Verdana" w:cstheme="minorHAnsi"/>
                <w:sz w:val="20"/>
              </w:rPr>
              <w:t>Способност да прилага това знание в ежедневната си работа.</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Способност напълно независимо да извършва стандартни дейности по отношение на тази компетентност.</w:t>
            </w:r>
          </w:p>
        </w:tc>
      </w:tr>
      <w:tr w:rsidR="00721735" w:rsidRPr="00251707" w:rsidTr="0038285B">
        <w:trPr>
          <w:trHeight w:val="1103"/>
        </w:trPr>
        <w:tc>
          <w:tcPr>
            <w:tcW w:w="658" w:type="pct"/>
            <w:shd w:val="clear" w:color="000000" w:fill="FFFFFF"/>
            <w:vAlign w:val="center"/>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w:t>
            </w:r>
            <w:r w:rsidRPr="00251707">
              <w:rPr>
                <w:rFonts w:ascii="Verdana" w:hAnsi="Verdana" w:cstheme="minorHAnsi"/>
                <w:sz w:val="20"/>
                <w:szCs w:val="20"/>
              </w:rPr>
              <w:lastRenderedPageBreak/>
              <w:t>sought out to provide insight in the application of this competency.</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lastRenderedPageBreak/>
              <w:t>Ниво 3 — напреднал</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Обширни и задълбочени знания и умения по отношение на компетентността.</w:t>
            </w:r>
            <w:r>
              <w:rPr>
                <w:rFonts w:ascii="Verdana" w:hAnsi="Verdana" w:cstheme="minorHAnsi"/>
                <w:sz w:val="20"/>
                <w:szCs w:val="20"/>
              </w:rPr>
              <w:br/>
            </w:r>
            <w:r>
              <w:rPr>
                <w:rFonts w:ascii="Verdana" w:hAnsi="Verdana" w:cstheme="minorHAnsi"/>
                <w:sz w:val="20"/>
              </w:rPr>
              <w:t>Способност да се справя напълно независимо с различни изключения и специални случаи, свързани с компетентността.</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Способност ефективно да споделя знания и опит с по-младши служители.</w:t>
            </w:r>
            <w:r>
              <w:rPr>
                <w:rFonts w:ascii="Verdana" w:hAnsi="Verdana" w:cstheme="minorHAnsi"/>
                <w:sz w:val="20"/>
                <w:szCs w:val="20"/>
              </w:rPr>
              <w:br/>
            </w:r>
            <w:r>
              <w:rPr>
                <w:rFonts w:ascii="Verdana" w:hAnsi="Verdana" w:cstheme="minorHAnsi"/>
                <w:sz w:val="20"/>
              </w:rPr>
              <w:t xml:space="preserve">Увереност в работата си като съветник и като </w:t>
            </w:r>
            <w:r>
              <w:rPr>
                <w:rFonts w:ascii="Verdana" w:hAnsi="Verdana" w:cstheme="minorHAnsi"/>
                <w:sz w:val="20"/>
              </w:rPr>
              <w:lastRenderedPageBreak/>
              <w:t>такъв е търсен, за да осигурява яснота относно прилагането на тази компетентност.</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Способен е да обучава други лица относно прилагането на тази компетентност, като по ясен и достъпен начин предава сложни нюанси и проблеми, свързани с нея.</w:t>
            </w:r>
          </w:p>
        </w:tc>
      </w:tr>
      <w:tr w:rsidR="00721735" w:rsidRPr="00251707" w:rsidTr="0038285B">
        <w:trPr>
          <w:trHeight w:val="1103"/>
        </w:trPr>
        <w:tc>
          <w:tcPr>
            <w:tcW w:w="658" w:type="pct"/>
            <w:shd w:val="clear" w:color="000000" w:fill="FFFFFF"/>
            <w:vAlign w:val="center"/>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(dis)advantages of each of the processes related to the competency whilst linking them to the bigger picture.</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721735" w:rsidRPr="00251707" w:rsidRDefault="00721735" w:rsidP="007A5578">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Ниво 4 — експерт</w:t>
            </w:r>
          </w:p>
        </w:tc>
        <w:tc>
          <w:tcPr>
            <w:tcW w:w="2014" w:type="pct"/>
            <w:shd w:val="clear" w:color="000000" w:fill="FFFFFF"/>
          </w:tcPr>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Обширни експертни познания и умения по отношение на компетентността.</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Способност да изтъква предимствата/недостатъците на всеки от процесите във връзка с компетентността, като същевременно ги свързва с общата картина.</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Способност да предоставя персонализирани съвети и да ги подкрепя с релевантни и специфични за контекста аргументи в отговор на вътрешни и външни запитвания.</w:t>
            </w:r>
          </w:p>
          <w:p w:rsidR="00721735" w:rsidRPr="00251707" w:rsidRDefault="00721735" w:rsidP="00DC7C3A">
            <w:pPr>
              <w:spacing w:before="60" w:after="120" w:line="240" w:lineRule="auto"/>
              <w:rPr>
                <w:rFonts w:ascii="Verdana" w:hAnsi="Verdana" w:cstheme="minorHAnsi"/>
                <w:sz w:val="20"/>
                <w:szCs w:val="20"/>
              </w:rPr>
            </w:pPr>
            <w:r>
              <w:rPr>
                <w:rFonts w:ascii="Verdana" w:hAnsi="Verdana" w:cstheme="minorHAnsi"/>
                <w:sz w:val="20"/>
              </w:rPr>
              <w:t>Считан е от останалите за модел за подражание и е способен да ръководи или обучава други лица в областта на компетентността.</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6" w:name="_Toc494963497"/>
      <w:bookmarkStart w:id="7" w:name="_Toc508891170"/>
      <w:r>
        <w:lastRenderedPageBreak/>
        <w:t>Оперативни компетентности</w:t>
      </w:r>
      <w:bookmarkEnd w:id="6"/>
      <w:bookmarkEnd w:id="7"/>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721735" w:rsidRPr="0001418D" w:rsidTr="00DA368F">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21735" w:rsidRPr="0001418D" w:rsidRDefault="00721735" w:rsidP="00231B6E">
            <w:pPr>
              <w:spacing w:after="0" w:line="240" w:lineRule="auto"/>
              <w:rPr>
                <w:rFonts w:ascii="Verdana" w:eastAsia="Times New Roman" w:hAnsi="Verdana" w:cs="Times New Roman"/>
                <w:sz w:val="20"/>
                <w:szCs w:val="20"/>
              </w:rPr>
            </w:pPr>
            <w:r>
              <w:rPr>
                <w:rFonts w:ascii="Verdana" w:hAnsi="Verdana"/>
                <w:b/>
                <w:sz w:val="20"/>
              </w:rPr>
              <w:t>Код</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21735" w:rsidRPr="0001418D" w:rsidRDefault="00721735" w:rsidP="007A5578">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21735" w:rsidRPr="0001418D" w:rsidRDefault="00721735" w:rsidP="001C25A3">
            <w:pPr>
              <w:spacing w:after="0" w:line="240" w:lineRule="auto"/>
              <w:rPr>
                <w:rFonts w:ascii="Verdana" w:eastAsia="Times New Roman" w:hAnsi="Verdana" w:cs="Times New Roman"/>
                <w:sz w:val="20"/>
                <w:szCs w:val="20"/>
              </w:rPr>
            </w:pPr>
            <w:r>
              <w:rPr>
                <w:rFonts w:ascii="Verdana" w:hAnsi="Verdana"/>
                <w:sz w:val="20"/>
              </w:rPr>
              <w:t>Компетентност</w:t>
            </w:r>
          </w:p>
        </w:tc>
      </w:tr>
      <w:tr w:rsidR="00721735" w:rsidRPr="00251707" w:rsidTr="00DA368F">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Общи разпоредби на правните актове на ЕС/националните правни актове относно ЕСИ фондовете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Национални стратегически документи (например национални стратегии за развитие, съответни тематични и секторни политики)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Разпоредби относно допустимостта на разходите, включени в правните актове на ЕС/националните правни актове относно ЕСИ фондовете (правила, насоки и методологии, включително обхват на подпомагане)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Териториални въпроси, например интегрирани териториални инвестиции, водено от общностите местно развитие, устойчиво градско развитие, макрорегионални стратегии и планиране във връзка с междурегионалното сътрудничество</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Държавна помощ</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Съответни тематични знания (тематично законодателство, разходи, приложими стандарти, тенденции)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Логика на интервенцията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Показатели за вложени ресурси, крайни продукти и резултати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Бюджетиране и оценка на разходите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Проектиране на финансови инструменти (предварителна оценка, подбор на финансови инструменти и въвеждане)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Хоризонтални въпроси (като например устойчиво развитие, равенство и др.)</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Административни процедури за закупуване на стоки и услуги по линия на техническата помощ</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Трансгранично, транснационално и междурегионално сътрудничество и Европейска група за териториално сътрудничество</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 xml:space="preserve">Управление на възлагането на външни изпълнители на свързаните с техническата помощ дейности </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lastRenderedPageBreak/>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Икономическа среда и процеси на реформи (европейски семестър, национални програми за реформи и специфични за всяка държава препоръки)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Управление на програмата и управление на проектния цикъл</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Разпоредби относно управлението и изпълнението, включени в правните актове на ЕС и националните правни актове относно ЕСИ фондовете (програмиране, подбор на операции, наблюдение, проверки и одити, оценка, публичност)</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Правила за обществените поръчки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Управление на риска от измами и нередностите (включително мерки за предотвратяване, установяване и смекчаване на риска)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 xml:space="preserve">Определяне и преразглеждане на административната организация </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Създаване на система за управление и контрол</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Оценка на административната тежест</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Оценка на ефективността на системата на ЕСИ фондовете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Опростени варианти за разходите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Анализ на разходите и ползите и проучвания за осъществимост</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Оценка на въздействието върху околната среда (ОВОС) за големи и инфраструктурни проекти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Ликвиден дисбаланс и генериране на приходи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Процедури/законодателство за големи проекти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Стимулиращ ефект</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Финансови инструменти от значение за функцията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 xml:space="preserve">Механизми за проектиране и прилагане на финансови инструменти </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Прогнозиране и планиране на целите/рамката на изпълнението</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Управление на риска във връзка с големи и инфраструктурни проекти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lastRenderedPageBreak/>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Управление на процеса на оценка на програмата, приоритета или мярката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Основни критерии за оценка (уместност, допълващ характер, последователност, ефективност и ефикасност)</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Методи за събиране и анализ на данни за оценка на програмите, приоритетите или мерките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Планиране, управление и прогнозиране на бюджета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Разходи на проектно равнище (фактури по договори, банкови извлечения)</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Разпоредби относно комуникацията, включени в правните актове на ЕС/националните правни актове относно ЕСИ фондовете</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Идентифициране на различните заинтересовани страни и техните информационни потребности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Управление на съответните медии</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Уеб комуникация</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Инженерни познания от значение за сектора</w:t>
            </w:r>
          </w:p>
        </w:tc>
      </w:tr>
      <w:tr w:rsidR="00721735" w:rsidRPr="00251707" w:rsidTr="00DA368F">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21735" w:rsidRPr="00251707" w:rsidRDefault="00721735"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7A5578">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721735" w:rsidRPr="00251707" w:rsidRDefault="00721735" w:rsidP="001C25A3">
            <w:pPr>
              <w:spacing w:after="0" w:line="240" w:lineRule="auto"/>
              <w:rPr>
                <w:rFonts w:ascii="Verdana" w:eastAsia="Times New Roman" w:hAnsi="Verdana" w:cs="Times New Roman"/>
                <w:sz w:val="20"/>
                <w:szCs w:val="20"/>
              </w:rPr>
            </w:pPr>
            <w:r>
              <w:rPr>
                <w:rFonts w:ascii="Verdana" w:hAnsi="Verdana"/>
                <w:sz w:val="20"/>
              </w:rPr>
              <w:t>Одитни стандарти, процедури и методологии</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8" w:name="_Toc494963498"/>
      <w:bookmarkStart w:id="9" w:name="_Toc508891171"/>
      <w:r>
        <w:lastRenderedPageBreak/>
        <w:t>Управленски компетентности</w:t>
      </w:r>
      <w:bookmarkEnd w:id="8"/>
      <w:bookmarkEnd w:id="9"/>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A05B07" w:rsidRPr="00A40E7F" w:rsidTr="00A05B07">
        <w:trPr>
          <w:trHeight w:val="213"/>
          <w:tblHeader/>
        </w:trPr>
        <w:tc>
          <w:tcPr>
            <w:tcW w:w="386" w:type="pct"/>
            <w:shd w:val="clear" w:color="auto" w:fill="EDEDED" w:themeFill="accent3" w:themeFillTint="33"/>
          </w:tcPr>
          <w:p w:rsidR="00A05B07" w:rsidRPr="00A40E7F" w:rsidRDefault="00A05B07" w:rsidP="00AD2B31">
            <w:pPr>
              <w:spacing w:after="0" w:line="240" w:lineRule="auto"/>
              <w:rPr>
                <w:rFonts w:ascii="Verdana" w:eastAsia="Times New Roman" w:hAnsi="Verdana" w:cstheme="minorHAnsi"/>
                <w:b/>
                <w:bCs/>
                <w:sz w:val="20"/>
                <w:szCs w:val="20"/>
              </w:rPr>
            </w:pPr>
            <w:r>
              <w:rPr>
                <w:rFonts w:ascii="Verdana" w:hAnsi="Verdana" w:cstheme="minorHAnsi"/>
                <w:b/>
                <w:sz w:val="20"/>
              </w:rPr>
              <w:t>Код</w:t>
            </w:r>
          </w:p>
        </w:tc>
        <w:tc>
          <w:tcPr>
            <w:tcW w:w="793" w:type="pct"/>
            <w:shd w:val="clear" w:color="auto" w:fill="EDEDED" w:themeFill="accent3" w:themeFillTint="33"/>
            <w:noWrap/>
            <w:vAlign w:val="center"/>
          </w:tcPr>
          <w:p w:rsidR="00A05B07" w:rsidRPr="00A40E7F" w:rsidRDefault="00A05B07" w:rsidP="007A557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A05B07" w:rsidRPr="00A40E7F" w:rsidRDefault="00A05B07" w:rsidP="007A557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A05B07" w:rsidRPr="00A40E7F" w:rsidRDefault="00A05B07" w:rsidP="00FA60AF">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632" w:type="pct"/>
            <w:shd w:val="clear" w:color="auto" w:fill="EDEDED" w:themeFill="accent3" w:themeFillTint="33"/>
            <w:vAlign w:val="center"/>
          </w:tcPr>
          <w:p w:rsidR="00A05B07" w:rsidRPr="00A40E7F" w:rsidRDefault="00A05B07" w:rsidP="00FA60AF">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A05B07" w:rsidRPr="00A40E7F" w:rsidTr="00A05B07">
        <w:trPr>
          <w:trHeight w:val="130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Развитие на други лица и управление на хора</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предоставя своевременни, ясни и конкретни указания и обратна връзка и да подпомага други лица при идентифицирането на нуждите и възможностите за развитие и обучение, развивайки знанията, уменията и способностите им, необходими за изпълнението на възложените задачи или за решаване на проблеми, а също така проявява способност да управлява трудовата дейност на служителите, развитието и постиженията им, така че да се увеличи максимално ефективността на човешките ресурси.</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Вземане на решения</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прилага ефикасни подходи за извеждане на заключения или разработване на решения и предприемане на навременни действия в съответствие с наличните данни и факти, получени от различни източници, както и с ограниченията и възможните последствия.</w:t>
            </w:r>
          </w:p>
        </w:tc>
      </w:tr>
      <w:tr w:rsidR="00A05B07" w:rsidRPr="00A40E7F" w:rsidTr="00A05B07">
        <w:trPr>
          <w:trHeight w:val="1020"/>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w:t>
            </w:r>
            <w:r w:rsidRPr="00A40E7F">
              <w:rPr>
                <w:rFonts w:ascii="Verdana" w:hAnsi="Verdana" w:cstheme="minorHAnsi"/>
                <w:sz w:val="20"/>
                <w:szCs w:val="20"/>
              </w:rPr>
              <w:lastRenderedPageBreak/>
              <w:t>responsibilities, and to provide appropriate support in a manner to maximise the organisational and individuals effectiveness.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lastRenderedPageBreak/>
              <w:t>Делегиране</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 xml:space="preserve">Демонстрира способност да разпределя отговорността във връзка с вземането на решения и/или задачите между други лица, да осигурява ясна комуникация относно </w:t>
            </w:r>
            <w:r>
              <w:rPr>
                <w:rFonts w:ascii="Verdana" w:hAnsi="Verdana" w:cstheme="minorHAnsi"/>
                <w:sz w:val="20"/>
              </w:rPr>
              <w:lastRenderedPageBreak/>
              <w:t>разпределението и изпълнението на отговорностите и да предоставя подходяща подкрепа, така че да се увеличи максимално ефективността на организацията и отделните лица.</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Подпомагане и комуникация</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създава ангажираност и креативност у другите, да използва способностите в рамките на групата за постигане на консенсус в групата, да решава проблемите ефективно, да завършва задачите и постига общите цели.</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Leadership</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bookmarkStart w:id="10" w:name="RANGE!B8"/>
            <w:r>
              <w:rPr>
                <w:rFonts w:ascii="Verdana" w:hAnsi="Verdana" w:cstheme="minorHAnsi"/>
                <w:sz w:val="20"/>
              </w:rPr>
              <w:t>Лидерство</w:t>
            </w:r>
            <w:bookmarkEnd w:id="10"/>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подтиква към действие и вдъхновява хората да се стремят към визията за бъдещето, да представя ясно целите и задачите, да създава усещане за посока и цел у служителите и да изпълнява ролята на катализатор за действие.</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Многостепенно управление на заинтересованите страни</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 xml:space="preserve">Демонстрира способност да разбира целите и задачите на различните заинтересовани страни, да осигурява ефективно сътрудничество и участието на заинтересованите страни (вкл. да бъде открит и да насърчава обмена на добри практики между различните държави членки).  </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effectively explore (facilitating discussion, asking questions, responding to objections, etc.) alternatives and </w:t>
            </w:r>
            <w:r w:rsidRPr="00A40E7F">
              <w:rPr>
                <w:rFonts w:ascii="Verdana" w:hAnsi="Verdana" w:cstheme="minorHAnsi"/>
                <w:sz w:val="20"/>
                <w:szCs w:val="20"/>
              </w:rPr>
              <w:lastRenderedPageBreak/>
              <w:t>positions of others to reach outcomes that are accepted by all parties (a win-win solution).</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lastRenderedPageBreak/>
              <w:t>Водене на преговори</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 xml:space="preserve">Демонстрира способност за ефективно проучване (насърчаване на дискусия, задаване на въпроси, отговаряне на възражения и т.н.) на алтернативите </w:t>
            </w:r>
            <w:r>
              <w:rPr>
                <w:rFonts w:ascii="Verdana" w:hAnsi="Verdana" w:cstheme="minorHAnsi"/>
                <w:sz w:val="20"/>
              </w:rPr>
              <w:lastRenderedPageBreak/>
              <w:t>и на позициите на други лица, за да се постигнат резултати, които се приемат от всички страни (изгодно за всички решение).</w:t>
            </w:r>
          </w:p>
        </w:tc>
      </w:tr>
      <w:tr w:rsidR="00A05B07" w:rsidRPr="00A40E7F" w:rsidTr="00A05B07">
        <w:trPr>
          <w:trHeight w:val="510"/>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Насоченост към резултатите</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 xml:space="preserve">Демонстрира способност да залага амбициозни цели, да проявява съсредоточеност и постоянство, както и неизменно да постига целите или необходимите </w:t>
            </w:r>
            <w:bookmarkStart w:id="11" w:name="_GoBack"/>
            <w:r>
              <w:rPr>
                <w:rFonts w:ascii="Verdana" w:hAnsi="Verdana" w:cstheme="minorHAnsi"/>
                <w:sz w:val="20"/>
              </w:rPr>
              <w:t>резултати</w:t>
            </w:r>
            <w:bookmarkEnd w:id="11"/>
            <w:r>
              <w:rPr>
                <w:rFonts w:ascii="Verdana" w:hAnsi="Verdana" w:cstheme="minorHAnsi"/>
                <w:sz w:val="20"/>
              </w:rPr>
              <w:t>, дори в случай на неблагоприятни условия.</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Стратегическо управление</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съобразени със стратегическата насоченост на организацията и постигането на целите.</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Управление на риска</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за идентифициране, анализ, оценка и приоритизиране на рисковете и за свеждане до минимум, наблюдение и контролиране на вероятността за настъпване и/или въздействието на неблагоприятни събития или за максимално възползване от възможностите.</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manage organization's resources including but not limited to financial resources, inventory, human skills, production resources, information technology (IT) in an efficient and </w:t>
            </w:r>
            <w:r w:rsidRPr="00A40E7F">
              <w:rPr>
                <w:rFonts w:ascii="Verdana" w:hAnsi="Verdana" w:cstheme="minorHAnsi"/>
                <w:sz w:val="20"/>
                <w:szCs w:val="20"/>
              </w:rPr>
              <w:lastRenderedPageBreak/>
              <w:t>effective way.</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lastRenderedPageBreak/>
              <w:t>Планиране на ресурсите</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 xml:space="preserve">Демонстрира способност да управлява по ефикасен и ефективен начин ресурсите на организацията, включително, но не само, финансовите ресурси, материално-стоковите запаси, човешките умения, </w:t>
            </w:r>
            <w:r>
              <w:rPr>
                <w:rFonts w:ascii="Verdana" w:hAnsi="Verdana" w:cstheme="minorHAnsi"/>
                <w:sz w:val="20"/>
              </w:rPr>
              <w:lastRenderedPageBreak/>
              <w:t>производствените ресурси, информационните технологии (ИТ).</w:t>
            </w:r>
          </w:p>
        </w:tc>
      </w:tr>
      <w:tr w:rsidR="00A05B07" w:rsidRPr="00A40E7F" w:rsidTr="00A05B07">
        <w:trPr>
          <w:trHeight w:val="765"/>
        </w:trPr>
        <w:tc>
          <w:tcPr>
            <w:tcW w:w="386" w:type="pct"/>
            <w:shd w:val="clear" w:color="000000" w:fill="FFFFFF"/>
            <w:vAlign w:val="center"/>
          </w:tcPr>
          <w:p w:rsidR="00A05B07" w:rsidRPr="00A40E7F" w:rsidRDefault="00A05B07"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Разработване и прилагане на стратегията за човешките ресурси</w:t>
            </w:r>
          </w:p>
        </w:tc>
        <w:tc>
          <w:tcPr>
            <w:tcW w:w="1632" w:type="pct"/>
            <w:shd w:val="clear" w:color="000000" w:fill="FFFFFF"/>
            <w:vAlign w:val="center"/>
          </w:tcPr>
          <w:p w:rsidR="00A05B07" w:rsidRPr="00A40E7F" w:rsidRDefault="00A05B07" w:rsidP="00FA60AF">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за човешките ресурси, съобразени със стратегическата насоченост на организацията и постигането на целите.</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891172"/>
      <w:r>
        <w:lastRenderedPageBreak/>
        <w:t>Професионални компетентности</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A05B07" w:rsidRPr="00A40E7F" w:rsidTr="00A05B07">
        <w:trPr>
          <w:trHeight w:val="219"/>
          <w:tblHeader/>
        </w:trPr>
        <w:tc>
          <w:tcPr>
            <w:tcW w:w="453" w:type="pct"/>
            <w:shd w:val="clear" w:color="auto" w:fill="EDEDED" w:themeFill="accent3" w:themeFillTint="33"/>
            <w:vAlign w:val="center"/>
          </w:tcPr>
          <w:p w:rsidR="00A05B07" w:rsidRPr="00A40E7F" w:rsidRDefault="00A05B07"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Код</w:t>
            </w:r>
          </w:p>
        </w:tc>
        <w:tc>
          <w:tcPr>
            <w:tcW w:w="726" w:type="pct"/>
            <w:shd w:val="clear" w:color="auto" w:fill="EDEDED" w:themeFill="accent3" w:themeFillTint="33"/>
            <w:noWrap/>
            <w:vAlign w:val="center"/>
          </w:tcPr>
          <w:p w:rsidR="00A05B07" w:rsidRPr="00A40E7F" w:rsidRDefault="00A05B07" w:rsidP="007A557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A05B07" w:rsidRPr="00A40E7F" w:rsidRDefault="00A05B07" w:rsidP="007A5578">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A05B07" w:rsidRPr="00A40E7F" w:rsidRDefault="00A05B07" w:rsidP="002F0378">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735" w:type="pct"/>
            <w:shd w:val="clear" w:color="auto" w:fill="EDEDED" w:themeFill="accent3" w:themeFillTint="33"/>
            <w:vAlign w:val="center"/>
          </w:tcPr>
          <w:p w:rsidR="00A05B07" w:rsidRPr="00A40E7F" w:rsidRDefault="00A05B07" w:rsidP="002F0378">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A05B07" w:rsidRPr="00A40E7F" w:rsidTr="00A05B07">
        <w:trPr>
          <w:trHeight w:val="421"/>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Аналитични умения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Изгражда логически подход за справяне със сложни проблеми или случаи чрез разделянето им на съставни части, за да се идентифицират основните проблеми, да се определят причинно-следствените връзки и да се достигне до заключения или решения.</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Писмена комуникация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за излагане на информация и идеи в писмен вид по ясен и убедителен начин, като избира подходящи средства за писмена комуникация и стил на писане, за да достигне до аудиторията, използва правилен правопис, граматика и пунктуация и демонстрира способност да общува с различни култури.</w:t>
            </w:r>
          </w:p>
        </w:tc>
      </w:tr>
      <w:tr w:rsidR="00A05B07" w:rsidRPr="00A40E7F" w:rsidTr="00A05B07">
        <w:trPr>
          <w:trHeight w:val="878"/>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lastRenderedPageBreak/>
              <w:t>Устна комуникация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за ясно изразяване на мисли и идеи пред лица или групи, като си служи с речта по начин, който стимулира аудиторията да участва, насърчава двупосочната комуникация и помага на слушателите да разберат и запомнят посланието, а също така Демонстрира способност да общува с различни култури.</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Разрешаване на конфликти</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да работи ефективно с другите в ситуация на конфликт, като приема различни мнения, поставя ги на открито обсъждане и използва подходящи междуличностни стилове и техники, за да намери изгодно за всички решение в случай на конфликт между двама или повече души.</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Гъвкавост и приспособимост към промени </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 xml:space="preserve">Демонстрира способност да се приспособява и да запазва ефикасността си при големи промени в работните задачи, работната среда, организационната структура и култура, процесите, изискванията и други аспекти, свързани с работата. </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Решаване на проблеми</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за идентифициране на проблемите чрез използване на логика, интуиция, данни, провеждане на подходящи анализи, проучвания и включване на други лица (ако е необходимо), за да се достигне до отговори или решения.</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Работа в екип</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за съвместна работа и сътрудничество с други колеги от различни структурни звена и с различен ранг, за да се постигнат общите цели.</w:t>
            </w:r>
          </w:p>
        </w:tc>
      </w:tr>
      <w:tr w:rsidR="00A05B07" w:rsidRPr="00A40E7F" w:rsidTr="00A05B07">
        <w:trPr>
          <w:trHeight w:val="43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Технологични умения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Проявява способност за използване на подходящ софтуер за персонални компютри, информационни системи и други ИТ инструменти (например програми на Microsoft Office), които са необходими за постигане на работните цели.</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Използване на система за наблюдение и информация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да използва системите за наблюдение и информация относно средства от ЕС (както външни, така и вътрешни, ако са налични), за да се постигнат работните цели.</w:t>
            </w:r>
          </w:p>
        </w:tc>
      </w:tr>
      <w:tr w:rsidR="00A05B07" w:rsidRPr="00A40E7F" w:rsidTr="00A05B07">
        <w:trPr>
          <w:trHeight w:val="398"/>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Представляване пред външния свят</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да действа или говори от името на институцията по ефективен и подходящ начин.</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Съответни езикови умения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Демонстрира способност да прилага адекватни умения по чужд език, за да изпълнява възложените му функции и да постига работните цели.</w:t>
            </w:r>
          </w:p>
        </w:tc>
      </w:tr>
      <w:tr w:rsidR="00A05B07" w:rsidRPr="00A40E7F" w:rsidTr="00A05B07">
        <w:trPr>
          <w:trHeight w:val="659"/>
        </w:trPr>
        <w:tc>
          <w:tcPr>
            <w:tcW w:w="453" w:type="pct"/>
            <w:shd w:val="clear" w:color="000000" w:fill="FFFFFF"/>
            <w:vAlign w:val="center"/>
          </w:tcPr>
          <w:p w:rsidR="00A05B07" w:rsidRPr="00A40E7F" w:rsidRDefault="00A05B07"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A05B07" w:rsidRPr="00A40E7F" w:rsidRDefault="00A05B07" w:rsidP="007A5578">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lastRenderedPageBreak/>
              <w:t>Междукултурни умения</w:t>
            </w:r>
          </w:p>
        </w:tc>
        <w:tc>
          <w:tcPr>
            <w:tcW w:w="1735" w:type="pct"/>
            <w:shd w:val="clear" w:color="000000" w:fill="FFFFFF"/>
            <w:vAlign w:val="center"/>
          </w:tcPr>
          <w:p w:rsidR="00A05B07" w:rsidRPr="00A40E7F" w:rsidRDefault="00A05B07" w:rsidP="002F0378">
            <w:pPr>
              <w:spacing w:after="0"/>
              <w:rPr>
                <w:rFonts w:ascii="Verdana" w:hAnsi="Verdana" w:cstheme="minorHAnsi"/>
                <w:sz w:val="20"/>
                <w:szCs w:val="20"/>
              </w:rPr>
            </w:pPr>
            <w:r>
              <w:rPr>
                <w:rFonts w:ascii="Verdana" w:hAnsi="Verdana" w:cstheme="minorHAnsi"/>
                <w:sz w:val="20"/>
              </w:rPr>
              <w:t xml:space="preserve">Демонстрира способност да работи в мултикултурна среда, като ефективно си </w:t>
            </w:r>
            <w:r>
              <w:rPr>
                <w:rFonts w:ascii="Verdana" w:hAnsi="Verdana" w:cstheme="minorHAnsi"/>
                <w:sz w:val="20"/>
              </w:rPr>
              <w:lastRenderedPageBreak/>
              <w:t>сътрудничи със заинтересованите страни в институциите на ЕС и други държави членки.</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BC6403">
          <w:rPr>
            <w:rFonts w:asciiTheme="minorHAnsi" w:hAnsiTheme="minorHAnsi" w:cstheme="minorHAnsi"/>
            <w:noProof/>
          </w:rPr>
          <w:t>18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21735"/>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05B07"/>
    <w:rsid w:val="00A30ABC"/>
    <w:rsid w:val="00A40E7F"/>
    <w:rsid w:val="00A564CD"/>
    <w:rsid w:val="00AB57C3"/>
    <w:rsid w:val="00AB64E3"/>
    <w:rsid w:val="00AC4BF0"/>
    <w:rsid w:val="00AD2B31"/>
    <w:rsid w:val="00AD341D"/>
    <w:rsid w:val="00B579F3"/>
    <w:rsid w:val="00B81E04"/>
    <w:rsid w:val="00B967FA"/>
    <w:rsid w:val="00BA6FBC"/>
    <w:rsid w:val="00BC078C"/>
    <w:rsid w:val="00BC6403"/>
    <w:rsid w:val="00BF0B4F"/>
    <w:rsid w:val="00BF759B"/>
    <w:rsid w:val="00C1011B"/>
    <w:rsid w:val="00C971E1"/>
    <w:rsid w:val="00CC3497"/>
    <w:rsid w:val="00CD1306"/>
    <w:rsid w:val="00CE28E4"/>
    <w:rsid w:val="00CE608F"/>
    <w:rsid w:val="00CF51E8"/>
    <w:rsid w:val="00CF661F"/>
    <w:rsid w:val="00CF6967"/>
    <w:rsid w:val="00D02119"/>
    <w:rsid w:val="00D27017"/>
    <w:rsid w:val="00D42D77"/>
    <w:rsid w:val="00D92F59"/>
    <w:rsid w:val="00DB27D2"/>
    <w:rsid w:val="00DE6C01"/>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2C80"/>
  <w15:docId w15:val="{3CE1C03E-48EA-4125-A0EF-5D1DC005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012F-0769-41FC-A68A-9C81CF47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4369</Words>
  <Characters>27831</Characters>
  <Application>Microsoft Office Word</Application>
  <DocSecurity>0</DocSecurity>
  <Lines>1391</Lines>
  <Paragraphs>545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BEREMLIYSKY Anguel Konstantinov (REGIO)</cp:lastModifiedBy>
  <cp:revision>4</cp:revision>
  <cp:lastPrinted>2017-03-22T18:35:00Z</cp:lastPrinted>
  <dcterms:created xsi:type="dcterms:W3CDTF">2018-04-19T09:10:00Z</dcterms:created>
  <dcterms:modified xsi:type="dcterms:W3CDTF">2018-04-19T09:36:00Z</dcterms:modified>
</cp:coreProperties>
</file>