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4" w:rsidRDefault="00374ED3" w:rsidP="00282BBB">
      <w:pPr>
        <w:rPr>
          <w:rFonts w:ascii="Verdana" w:hAnsi="Verdana" w:cstheme="minorHAnsi"/>
          <w:b/>
          <w:color w:val="003399"/>
          <w:kern w:val="12"/>
          <w:sz w:val="40"/>
          <w:szCs w:val="40"/>
        </w:rPr>
      </w:pPr>
      <w:r>
        <w:rPr>
          <w:noProof/>
          <w:lang w:val="en-GB" w:eastAsia="en-GB" w:bidi="ar-SA"/>
        </w:rPr>
        <w:drawing>
          <wp:anchor distT="0" distB="0" distL="114300" distR="114300" simplePos="0" relativeHeight="251658240" behindDoc="0" locked="0" layoutInCell="1" allowOverlap="1" wp14:anchorId="0FF51524" wp14:editId="4838D1E8">
            <wp:simplePos x="0" y="0"/>
            <wp:positionH relativeFrom="page">
              <wp:posOffset>-9525</wp:posOffset>
            </wp:positionH>
            <wp:positionV relativeFrom="page">
              <wp:posOffset>-19050</wp:posOffset>
            </wp:positionV>
            <wp:extent cx="10077450" cy="7780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77450" cy="7780020"/>
                    </a:xfrm>
                    <a:prstGeom prst="rect">
                      <a:avLst/>
                    </a:prstGeom>
                  </pic:spPr>
                </pic:pic>
              </a:graphicData>
            </a:graphic>
            <wp14:sizeRelH relativeFrom="margin">
              <wp14:pctWidth>0</wp14:pctWidth>
            </wp14:sizeRelH>
            <wp14:sizeRelV relativeFrom="margin">
              <wp14:pctHeight>0</wp14:pctHeight>
            </wp14:sizeRelV>
          </wp:anchor>
        </w:drawing>
      </w:r>
    </w:p>
    <w:p w:rsidR="004B6531" w:rsidRDefault="004B6531" w:rsidP="000A1ECD">
      <w:pPr>
        <w:jc w:val="center"/>
        <w:rPr>
          <w:rFonts w:ascii="Verdana" w:hAnsi="Verdana" w:cstheme="minorHAnsi"/>
          <w:b/>
          <w:color w:val="003399"/>
          <w:kern w:val="12"/>
          <w:sz w:val="40"/>
          <w:szCs w:val="40"/>
        </w:rPr>
        <w:sectPr w:rsidR="004B6531" w:rsidSect="00841032">
          <w:footerReference w:type="default" r:id="rId10"/>
          <w:headerReference w:type="first" r:id="rId11"/>
          <w:pgSz w:w="15840" w:h="12240" w:orient="landscape"/>
          <w:pgMar w:top="1440" w:right="1440" w:bottom="1440" w:left="1440" w:header="720" w:footer="720" w:gutter="0"/>
          <w:cols w:space="720"/>
          <w:docGrid w:linePitch="360"/>
        </w:sectPr>
      </w:pPr>
    </w:p>
    <w:p w:rsidR="004B6531" w:rsidRPr="00385389" w:rsidRDefault="004B6531" w:rsidP="004B6531">
      <w:pPr>
        <w:rPr>
          <w:rFonts w:ascii="Verdana" w:hAnsi="Verdana" w:cstheme="minorHAnsi"/>
          <w:b/>
          <w:color w:val="003399"/>
          <w:kern w:val="12"/>
          <w:sz w:val="32"/>
          <w:szCs w:val="40"/>
        </w:rPr>
      </w:pPr>
      <w:r>
        <w:rPr>
          <w:rFonts w:ascii="Verdana" w:hAnsi="Verdana" w:cstheme="minorHAnsi"/>
          <w:b/>
          <w:color w:val="003399"/>
          <w:kern w:val="12"/>
          <w:sz w:val="32"/>
        </w:rPr>
        <w:lastRenderedPageBreak/>
        <w:t>Različice dokumenta</w:t>
      </w:r>
    </w:p>
    <w:tbl>
      <w:tblPr>
        <w:tblStyle w:val="TableGrid"/>
        <w:tblW w:w="5000" w:type="pct"/>
        <w:tblLook w:val="04A0" w:firstRow="1" w:lastRow="0" w:firstColumn="1" w:lastColumn="0" w:noHBand="0" w:noVBand="1"/>
      </w:tblPr>
      <w:tblGrid>
        <w:gridCol w:w="6588"/>
        <w:gridCol w:w="6588"/>
      </w:tblGrid>
      <w:tr w:rsidR="004B6531" w:rsidRPr="00095F13" w:rsidTr="00667C28">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4B6531" w:rsidRPr="00095F13" w:rsidRDefault="004B6531" w:rsidP="00667C28">
            <w:pPr>
              <w:rPr>
                <w:rFonts w:cstheme="minorHAnsi"/>
                <w:sz w:val="20"/>
              </w:rPr>
            </w:pPr>
            <w:r>
              <w:rPr>
                <w:rFonts w:cstheme="minorHAnsi"/>
                <w:sz w:val="20"/>
              </w:rPr>
              <w:t>Različica</w:t>
            </w:r>
          </w:p>
        </w:tc>
        <w:tc>
          <w:tcPr>
            <w:tcW w:w="2500" w:type="pct"/>
            <w:shd w:val="clear" w:color="auto" w:fill="44546A" w:themeFill="text2"/>
          </w:tcPr>
          <w:p w:rsidR="004B6531" w:rsidRPr="00095F13" w:rsidRDefault="004B6531" w:rsidP="00667C28">
            <w:pPr>
              <w:rPr>
                <w:rFonts w:cstheme="minorHAnsi"/>
                <w:sz w:val="20"/>
              </w:rPr>
            </w:pPr>
            <w:r>
              <w:rPr>
                <w:rFonts w:cstheme="minorHAnsi"/>
                <w:sz w:val="20"/>
              </w:rPr>
              <w:t>Datum</w:t>
            </w:r>
          </w:p>
        </w:tc>
      </w:tr>
      <w:tr w:rsidR="004B6531" w:rsidRPr="00095F13" w:rsidTr="00667C28">
        <w:trPr>
          <w:trHeight w:val="265"/>
        </w:trPr>
        <w:tc>
          <w:tcPr>
            <w:tcW w:w="2500" w:type="pct"/>
          </w:tcPr>
          <w:p w:rsidR="004B6531" w:rsidRPr="00095F13" w:rsidRDefault="004B6531" w:rsidP="00667C28">
            <w:pPr>
              <w:rPr>
                <w:rFonts w:cstheme="minorHAnsi"/>
                <w:sz w:val="20"/>
              </w:rPr>
            </w:pPr>
            <w:r>
              <w:rPr>
                <w:rFonts w:cstheme="minorHAnsi"/>
                <w:sz w:val="20"/>
              </w:rPr>
              <w:t>V1</w:t>
            </w:r>
          </w:p>
        </w:tc>
        <w:tc>
          <w:tcPr>
            <w:tcW w:w="2500" w:type="pct"/>
          </w:tcPr>
          <w:p w:rsidR="004B6531" w:rsidRPr="00095F13" w:rsidRDefault="00661F47" w:rsidP="00667C28">
            <w:pPr>
              <w:rPr>
                <w:rFonts w:cstheme="minorHAnsi"/>
                <w:sz w:val="20"/>
              </w:rPr>
            </w:pPr>
            <w:r>
              <w:rPr>
                <w:rFonts w:cstheme="minorHAnsi"/>
                <w:sz w:val="20"/>
              </w:rPr>
              <w:t>3. november 2017</w:t>
            </w: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65"/>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65"/>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65"/>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r w:rsidR="004B6531" w:rsidRPr="00095F13" w:rsidTr="00667C28">
        <w:trPr>
          <w:trHeight w:val="254"/>
        </w:trPr>
        <w:tc>
          <w:tcPr>
            <w:tcW w:w="2500" w:type="pct"/>
          </w:tcPr>
          <w:p w:rsidR="004B6531" w:rsidRPr="00095F13" w:rsidRDefault="004B6531" w:rsidP="00667C28">
            <w:pPr>
              <w:rPr>
                <w:rFonts w:cstheme="minorHAnsi"/>
                <w:sz w:val="20"/>
              </w:rPr>
            </w:pPr>
          </w:p>
        </w:tc>
        <w:tc>
          <w:tcPr>
            <w:tcW w:w="2500" w:type="pct"/>
          </w:tcPr>
          <w:p w:rsidR="004B6531" w:rsidRPr="00095F13" w:rsidRDefault="004B6531" w:rsidP="00667C28">
            <w:pPr>
              <w:rPr>
                <w:rFonts w:cstheme="minorHAnsi"/>
                <w:sz w:val="20"/>
              </w:rPr>
            </w:pPr>
          </w:p>
        </w:tc>
      </w:tr>
    </w:tbl>
    <w:p w:rsidR="005A43B4" w:rsidRPr="000A1ECD" w:rsidRDefault="005A43B4" w:rsidP="000A1ECD">
      <w:pPr>
        <w:jc w:val="center"/>
        <w:rPr>
          <w:rFonts w:ascii="Verdana" w:hAnsi="Verdana" w:cstheme="minorHAnsi"/>
          <w:b/>
          <w:color w:val="003399"/>
          <w:kern w:val="12"/>
          <w:sz w:val="40"/>
          <w:szCs w:val="40"/>
        </w:rPr>
        <w:sectPr w:rsidR="005A43B4" w:rsidRPr="000A1ECD" w:rsidSect="0008776A">
          <w:headerReference w:type="first" r:id="rId12"/>
          <w:pgSz w:w="15840" w:h="12240" w:orient="landscape"/>
          <w:pgMar w:top="1440" w:right="1440" w:bottom="1440" w:left="1440" w:header="720" w:footer="720" w:gutter="0"/>
          <w:cols w:space="720"/>
          <w:titlePg/>
          <w:docGrid w:linePitch="360"/>
        </w:sectPr>
      </w:pPr>
    </w:p>
    <w:bookmarkStart w:id="0" w:name="_Toc511325386" w:displacedByCustomXml="next"/>
    <w:bookmarkStart w:id="1" w:name="_Toc505792144" w:displacedByCustomXml="next"/>
    <w:sdt>
      <w:sdtPr>
        <w:rPr>
          <w:rFonts w:asciiTheme="minorHAnsi" w:eastAsiaTheme="minorHAnsi" w:hAnsiTheme="minorHAnsi" w:cstheme="minorBidi"/>
          <w:b w:val="0"/>
          <w:color w:val="auto"/>
          <w:sz w:val="22"/>
          <w:szCs w:val="22"/>
        </w:rPr>
        <w:id w:val="1811126915"/>
        <w:docPartObj>
          <w:docPartGallery w:val="Table of Contents"/>
          <w:docPartUnique/>
        </w:docPartObj>
      </w:sdtPr>
      <w:sdtEndPr>
        <w:rPr>
          <w:bCs/>
          <w:noProof/>
        </w:rPr>
      </w:sdtEndPr>
      <w:sdtContent>
        <w:p w:rsidR="00A1230E" w:rsidRDefault="00B22F0E" w:rsidP="00A1230E">
          <w:pPr>
            <w:pStyle w:val="Heading1"/>
            <w:numPr>
              <w:ilvl w:val="0"/>
              <w:numId w:val="0"/>
            </w:numPr>
            <w:ind w:left="547" w:hanging="547"/>
            <w:rPr>
              <w:rFonts w:cstheme="minorHAnsi"/>
              <w:color w:val="003399"/>
              <w:kern w:val="12"/>
            </w:rPr>
          </w:pPr>
          <w:r>
            <w:rPr>
              <w:rFonts w:cstheme="minorHAnsi"/>
              <w:color w:val="003399"/>
              <w:kern w:val="12"/>
            </w:rPr>
            <w:t>Kazalo</w:t>
          </w:r>
          <w:bookmarkEnd w:id="1"/>
          <w:bookmarkEnd w:id="0"/>
        </w:p>
        <w:p w:rsidR="00334B22" w:rsidRDefault="00CF51E8">
          <w:pPr>
            <w:pStyle w:val="TOC1"/>
            <w:tabs>
              <w:tab w:val="right" w:leader="dot" w:pos="12950"/>
            </w:tabs>
            <w:rPr>
              <w:rFonts w:eastAsiaTheme="minorEastAsia"/>
              <w:noProof/>
              <w:lang w:val="en-GB" w:eastAsia="en-GB" w:bidi="ar-SA"/>
            </w:rPr>
          </w:pPr>
          <w:r>
            <w:rPr>
              <w:rFonts w:eastAsiaTheme="majorEastAsia" w:cstheme="majorBidi"/>
              <w:b/>
              <w:color w:val="1F4E79" w:themeColor="accent1" w:themeShade="80"/>
            </w:rPr>
            <w:fldChar w:fldCharType="begin"/>
          </w:r>
          <w:r>
            <w:instrText xml:space="preserve"> TOC \o "1-3" \h \z \u </w:instrText>
          </w:r>
          <w:r>
            <w:rPr>
              <w:rFonts w:eastAsiaTheme="majorEastAsia" w:cstheme="majorBidi"/>
              <w:b/>
              <w:color w:val="1F4E79" w:themeColor="accent1" w:themeShade="80"/>
            </w:rPr>
            <w:fldChar w:fldCharType="separate"/>
          </w:r>
          <w:hyperlink w:anchor="_Toc511325386" w:history="1">
            <w:r w:rsidR="00334B22" w:rsidRPr="00C43C65">
              <w:rPr>
                <w:rStyle w:val="Hyperlink"/>
                <w:rFonts w:cstheme="minorHAnsi"/>
                <w:noProof/>
                <w:kern w:val="12"/>
              </w:rPr>
              <w:t>Kazalo</w:t>
            </w:r>
            <w:r w:rsidR="00334B22">
              <w:rPr>
                <w:noProof/>
                <w:webHidden/>
              </w:rPr>
              <w:tab/>
            </w:r>
            <w:r w:rsidR="00334B22">
              <w:rPr>
                <w:noProof/>
                <w:webHidden/>
              </w:rPr>
              <w:fldChar w:fldCharType="begin"/>
            </w:r>
            <w:r w:rsidR="00334B22">
              <w:rPr>
                <w:noProof/>
                <w:webHidden/>
              </w:rPr>
              <w:instrText xml:space="preserve"> PAGEREF _Toc511325386 \h </w:instrText>
            </w:r>
            <w:r w:rsidR="00334B22">
              <w:rPr>
                <w:noProof/>
                <w:webHidden/>
              </w:rPr>
            </w:r>
            <w:r w:rsidR="00334B22">
              <w:rPr>
                <w:noProof/>
                <w:webHidden/>
              </w:rPr>
              <w:fldChar w:fldCharType="separate"/>
            </w:r>
            <w:r w:rsidR="00334B22">
              <w:rPr>
                <w:noProof/>
                <w:webHidden/>
              </w:rPr>
              <w:t>3</w:t>
            </w:r>
            <w:r w:rsidR="00334B22">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87" w:history="1">
            <w:r w:rsidRPr="00C43C65">
              <w:rPr>
                <w:rStyle w:val="Hyperlink"/>
                <w:noProof/>
              </w:rPr>
              <w:t>1.</w:t>
            </w:r>
            <w:r>
              <w:rPr>
                <w:rFonts w:eastAsiaTheme="minorEastAsia"/>
                <w:noProof/>
                <w:lang w:val="en-GB" w:eastAsia="en-GB" w:bidi="ar-SA"/>
              </w:rPr>
              <w:tab/>
            </w:r>
            <w:r w:rsidRPr="00C43C65">
              <w:rPr>
                <w:rStyle w:val="Hyperlink"/>
                <w:noProof/>
              </w:rPr>
              <w:t>Delovne vloge</w:t>
            </w:r>
            <w:r>
              <w:rPr>
                <w:noProof/>
                <w:webHidden/>
              </w:rPr>
              <w:tab/>
            </w:r>
            <w:r>
              <w:rPr>
                <w:noProof/>
                <w:webHidden/>
              </w:rPr>
              <w:fldChar w:fldCharType="begin"/>
            </w:r>
            <w:r>
              <w:rPr>
                <w:noProof/>
                <w:webHidden/>
              </w:rPr>
              <w:instrText xml:space="preserve"> PAGEREF _Toc511325387 \h </w:instrText>
            </w:r>
            <w:r>
              <w:rPr>
                <w:noProof/>
                <w:webHidden/>
              </w:rPr>
            </w:r>
            <w:r>
              <w:rPr>
                <w:noProof/>
                <w:webHidden/>
              </w:rPr>
              <w:fldChar w:fldCharType="separate"/>
            </w:r>
            <w:r>
              <w:rPr>
                <w:noProof/>
                <w:webHidden/>
              </w:rPr>
              <w:t>4</w:t>
            </w:r>
            <w:r>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88" w:history="1">
            <w:r w:rsidRPr="00C43C65">
              <w:rPr>
                <w:rStyle w:val="Hyperlink"/>
                <w:noProof/>
              </w:rPr>
              <w:t>2.</w:t>
            </w:r>
            <w:r>
              <w:rPr>
                <w:rFonts w:eastAsiaTheme="minorEastAsia"/>
                <w:noProof/>
                <w:lang w:val="en-GB" w:eastAsia="en-GB" w:bidi="ar-SA"/>
              </w:rPr>
              <w:tab/>
            </w:r>
            <w:r w:rsidRPr="00C43C65">
              <w:rPr>
                <w:rStyle w:val="Hyperlink"/>
                <w:noProof/>
              </w:rPr>
              <w:t>Naloge in podopravila</w:t>
            </w:r>
            <w:r>
              <w:rPr>
                <w:noProof/>
                <w:webHidden/>
              </w:rPr>
              <w:tab/>
            </w:r>
            <w:r>
              <w:rPr>
                <w:noProof/>
                <w:webHidden/>
              </w:rPr>
              <w:fldChar w:fldCharType="begin"/>
            </w:r>
            <w:r>
              <w:rPr>
                <w:noProof/>
                <w:webHidden/>
              </w:rPr>
              <w:instrText xml:space="preserve"> PAGEREF _Toc511325388 \h </w:instrText>
            </w:r>
            <w:r>
              <w:rPr>
                <w:noProof/>
                <w:webHidden/>
              </w:rPr>
            </w:r>
            <w:r>
              <w:rPr>
                <w:noProof/>
                <w:webHidden/>
              </w:rPr>
              <w:fldChar w:fldCharType="separate"/>
            </w:r>
            <w:r>
              <w:rPr>
                <w:noProof/>
                <w:webHidden/>
              </w:rPr>
              <w:t>5</w:t>
            </w:r>
            <w:r>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89" w:history="1">
            <w:r w:rsidRPr="00C43C65">
              <w:rPr>
                <w:rStyle w:val="Hyperlink"/>
                <w:noProof/>
              </w:rPr>
              <w:t>3.</w:t>
            </w:r>
            <w:r>
              <w:rPr>
                <w:rFonts w:eastAsiaTheme="minorEastAsia"/>
                <w:noProof/>
                <w:lang w:val="en-GB" w:eastAsia="en-GB" w:bidi="ar-SA"/>
              </w:rPr>
              <w:tab/>
            </w:r>
            <w:r w:rsidRPr="00C43C65">
              <w:rPr>
                <w:rStyle w:val="Hyperlink"/>
                <w:noProof/>
              </w:rPr>
              <w:t>Lestvica stopenj znanja</w:t>
            </w:r>
            <w:r>
              <w:rPr>
                <w:noProof/>
                <w:webHidden/>
              </w:rPr>
              <w:tab/>
            </w:r>
            <w:r>
              <w:rPr>
                <w:noProof/>
                <w:webHidden/>
              </w:rPr>
              <w:fldChar w:fldCharType="begin"/>
            </w:r>
            <w:r>
              <w:rPr>
                <w:noProof/>
                <w:webHidden/>
              </w:rPr>
              <w:instrText xml:space="preserve"> PAGEREF _Toc511325389 \h </w:instrText>
            </w:r>
            <w:r>
              <w:rPr>
                <w:noProof/>
                <w:webHidden/>
              </w:rPr>
            </w:r>
            <w:r>
              <w:rPr>
                <w:noProof/>
                <w:webHidden/>
              </w:rPr>
              <w:fldChar w:fldCharType="separate"/>
            </w:r>
            <w:r>
              <w:rPr>
                <w:noProof/>
                <w:webHidden/>
              </w:rPr>
              <w:t>8</w:t>
            </w:r>
            <w:r>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90" w:history="1">
            <w:r w:rsidRPr="00C43C65">
              <w:rPr>
                <w:rStyle w:val="Hyperlink"/>
                <w:noProof/>
              </w:rPr>
              <w:t>4.</w:t>
            </w:r>
            <w:r>
              <w:rPr>
                <w:rFonts w:eastAsiaTheme="minorEastAsia"/>
                <w:noProof/>
                <w:lang w:val="en-GB" w:eastAsia="en-GB" w:bidi="ar-SA"/>
              </w:rPr>
              <w:tab/>
            </w:r>
            <w:r w:rsidRPr="00C43C65">
              <w:rPr>
                <w:rStyle w:val="Hyperlink"/>
                <w:noProof/>
              </w:rPr>
              <w:t>Operativne kompetence</w:t>
            </w:r>
            <w:r>
              <w:rPr>
                <w:noProof/>
                <w:webHidden/>
              </w:rPr>
              <w:tab/>
            </w:r>
            <w:r>
              <w:rPr>
                <w:noProof/>
                <w:webHidden/>
              </w:rPr>
              <w:fldChar w:fldCharType="begin"/>
            </w:r>
            <w:r>
              <w:rPr>
                <w:noProof/>
                <w:webHidden/>
              </w:rPr>
              <w:instrText xml:space="preserve"> PAGEREF _Toc511325390 \h </w:instrText>
            </w:r>
            <w:r>
              <w:rPr>
                <w:noProof/>
                <w:webHidden/>
              </w:rPr>
            </w:r>
            <w:r>
              <w:rPr>
                <w:noProof/>
                <w:webHidden/>
              </w:rPr>
              <w:fldChar w:fldCharType="separate"/>
            </w:r>
            <w:r>
              <w:rPr>
                <w:noProof/>
                <w:webHidden/>
              </w:rPr>
              <w:t>10</w:t>
            </w:r>
            <w:r>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91" w:history="1">
            <w:r w:rsidRPr="00C43C65">
              <w:rPr>
                <w:rStyle w:val="Hyperlink"/>
                <w:noProof/>
              </w:rPr>
              <w:t>5.</w:t>
            </w:r>
            <w:r>
              <w:rPr>
                <w:rFonts w:eastAsiaTheme="minorEastAsia"/>
                <w:noProof/>
                <w:lang w:val="en-GB" w:eastAsia="en-GB" w:bidi="ar-SA"/>
              </w:rPr>
              <w:tab/>
            </w:r>
            <w:r w:rsidRPr="00C43C65">
              <w:rPr>
                <w:rStyle w:val="Hyperlink"/>
                <w:noProof/>
              </w:rPr>
              <w:t>Upravljavske kompetence</w:t>
            </w:r>
            <w:r>
              <w:rPr>
                <w:noProof/>
                <w:webHidden/>
              </w:rPr>
              <w:tab/>
            </w:r>
            <w:r>
              <w:rPr>
                <w:noProof/>
                <w:webHidden/>
              </w:rPr>
              <w:fldChar w:fldCharType="begin"/>
            </w:r>
            <w:r>
              <w:rPr>
                <w:noProof/>
                <w:webHidden/>
              </w:rPr>
              <w:instrText xml:space="preserve"> PAGEREF _Toc511325391 \h </w:instrText>
            </w:r>
            <w:r>
              <w:rPr>
                <w:noProof/>
                <w:webHidden/>
              </w:rPr>
            </w:r>
            <w:r>
              <w:rPr>
                <w:noProof/>
                <w:webHidden/>
              </w:rPr>
              <w:fldChar w:fldCharType="separate"/>
            </w:r>
            <w:r>
              <w:rPr>
                <w:noProof/>
                <w:webHidden/>
              </w:rPr>
              <w:t>13</w:t>
            </w:r>
            <w:r>
              <w:rPr>
                <w:noProof/>
                <w:webHidden/>
              </w:rPr>
              <w:fldChar w:fldCharType="end"/>
            </w:r>
          </w:hyperlink>
        </w:p>
        <w:p w:rsidR="00334B22" w:rsidRDefault="00334B22">
          <w:pPr>
            <w:pStyle w:val="TOC1"/>
            <w:tabs>
              <w:tab w:val="left" w:pos="440"/>
              <w:tab w:val="right" w:leader="dot" w:pos="12950"/>
            </w:tabs>
            <w:rPr>
              <w:rFonts w:eastAsiaTheme="minorEastAsia"/>
              <w:noProof/>
              <w:lang w:val="en-GB" w:eastAsia="en-GB" w:bidi="ar-SA"/>
            </w:rPr>
          </w:pPr>
          <w:hyperlink w:anchor="_Toc511325392" w:history="1">
            <w:r w:rsidRPr="00C43C65">
              <w:rPr>
                <w:rStyle w:val="Hyperlink"/>
                <w:noProof/>
              </w:rPr>
              <w:t>6.</w:t>
            </w:r>
            <w:r>
              <w:rPr>
                <w:rFonts w:eastAsiaTheme="minorEastAsia"/>
                <w:noProof/>
                <w:lang w:val="en-GB" w:eastAsia="en-GB" w:bidi="ar-SA"/>
              </w:rPr>
              <w:tab/>
            </w:r>
            <w:r w:rsidRPr="00C43C65">
              <w:rPr>
                <w:rStyle w:val="Hyperlink"/>
                <w:noProof/>
              </w:rPr>
              <w:t>Strokovne kompetence</w:t>
            </w:r>
            <w:r>
              <w:rPr>
                <w:noProof/>
                <w:webHidden/>
              </w:rPr>
              <w:tab/>
            </w:r>
            <w:r>
              <w:rPr>
                <w:noProof/>
                <w:webHidden/>
              </w:rPr>
              <w:fldChar w:fldCharType="begin"/>
            </w:r>
            <w:r>
              <w:rPr>
                <w:noProof/>
                <w:webHidden/>
              </w:rPr>
              <w:instrText xml:space="preserve"> PAGEREF _Toc511325392 \h </w:instrText>
            </w:r>
            <w:r>
              <w:rPr>
                <w:noProof/>
                <w:webHidden/>
              </w:rPr>
            </w:r>
            <w:r>
              <w:rPr>
                <w:noProof/>
                <w:webHidden/>
              </w:rPr>
              <w:fldChar w:fldCharType="separate"/>
            </w:r>
            <w:r>
              <w:rPr>
                <w:noProof/>
                <w:webHidden/>
              </w:rPr>
              <w:t>17</w:t>
            </w:r>
            <w:r>
              <w:rPr>
                <w:noProof/>
                <w:webHidden/>
              </w:rPr>
              <w:fldChar w:fldCharType="end"/>
            </w:r>
          </w:hyperlink>
        </w:p>
        <w:p w:rsidR="00B22F0E" w:rsidRPr="00B76BA7" w:rsidRDefault="00CF51E8">
          <w:pPr>
            <w:pStyle w:val="TOC1"/>
            <w:tabs>
              <w:tab w:val="left" w:pos="440"/>
              <w:tab w:val="right" w:leader="dot" w:pos="12950"/>
            </w:tabs>
            <w:rPr>
              <w:rFonts w:ascii="Verdana" w:eastAsiaTheme="minorEastAsia" w:hAnsi="Verdana"/>
              <w:noProof/>
              <w:sz w:val="32"/>
              <w:szCs w:val="32"/>
            </w:rPr>
          </w:pPr>
          <w:r>
            <w:rPr>
              <w:rFonts w:ascii="Verdana" w:hAnsi="Verdana"/>
              <w:bCs/>
              <w:noProof/>
              <w:sz w:val="32"/>
              <w:szCs w:val="32"/>
            </w:rPr>
            <w:fldChar w:fldCharType="end"/>
          </w:r>
        </w:p>
      </w:sdtContent>
    </w:sdt>
    <w:p w:rsidR="00CF51E8" w:rsidRPr="003870A6" w:rsidRDefault="00CF51E8" w:rsidP="00385389">
      <w:pPr>
        <w:pStyle w:val="Heading1"/>
        <w:sectPr w:rsidR="00CF51E8" w:rsidRPr="003870A6" w:rsidSect="00CD1306">
          <w:headerReference w:type="default" r:id="rId13"/>
          <w:pgSz w:w="15840" w:h="12240" w:orient="landscape"/>
          <w:pgMar w:top="1440" w:right="1440" w:bottom="1440" w:left="1440" w:header="720" w:footer="720" w:gutter="0"/>
          <w:cols w:space="720"/>
          <w:docGrid w:linePitch="360"/>
        </w:sectPr>
      </w:pPr>
      <w:bookmarkStart w:id="2" w:name="_GoBack"/>
      <w:bookmarkEnd w:id="2"/>
    </w:p>
    <w:p w:rsidR="00CD1306" w:rsidRPr="00385389" w:rsidRDefault="000C44D2" w:rsidP="00385389">
      <w:pPr>
        <w:pStyle w:val="Heading1"/>
      </w:pPr>
      <w:bookmarkStart w:id="3" w:name="_Toc494968295"/>
      <w:bookmarkStart w:id="4" w:name="_Toc511325387"/>
      <w:r>
        <w:lastRenderedPageBreak/>
        <w:t>Delovne vloge</w:t>
      </w:r>
      <w:bookmarkEnd w:id="3"/>
      <w:bookmarkEnd w:id="4"/>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7"/>
        <w:gridCol w:w="3863"/>
        <w:gridCol w:w="1472"/>
        <w:gridCol w:w="6707"/>
      </w:tblGrid>
      <w:tr w:rsidR="007A0134" w:rsidRPr="0062042A" w:rsidTr="007A0134">
        <w:trPr>
          <w:trHeight w:val="467"/>
        </w:trPr>
        <w:tc>
          <w:tcPr>
            <w:tcW w:w="1966" w:type="pct"/>
            <w:gridSpan w:val="2"/>
            <w:shd w:val="clear" w:color="auto" w:fill="1F4E79" w:themeFill="accent1" w:themeFillShade="80"/>
            <w:vAlign w:val="center"/>
          </w:tcPr>
          <w:p w:rsidR="007A0134" w:rsidRPr="0062042A" w:rsidRDefault="00162980" w:rsidP="007A0134">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Angleščina</w:t>
            </w:r>
          </w:p>
        </w:tc>
        <w:tc>
          <w:tcPr>
            <w:tcW w:w="3034" w:type="pct"/>
            <w:gridSpan w:val="2"/>
            <w:shd w:val="clear" w:color="auto" w:fill="1F4E79" w:themeFill="accent1" w:themeFillShade="80"/>
            <w:vAlign w:val="center"/>
          </w:tcPr>
          <w:p w:rsidR="007A0134" w:rsidRPr="00AD2B31" w:rsidRDefault="00166387"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Slovenščina</w:t>
            </w:r>
          </w:p>
        </w:tc>
      </w:tr>
      <w:tr w:rsidR="002223D2" w:rsidRPr="0062042A" w:rsidTr="007A0134">
        <w:trPr>
          <w:trHeight w:val="440"/>
        </w:trPr>
        <w:tc>
          <w:tcPr>
            <w:tcW w:w="533" w:type="pct"/>
            <w:shd w:val="clear" w:color="auto" w:fill="F2F2F2" w:themeFill="background1" w:themeFillShade="F2"/>
            <w:vAlign w:val="center"/>
            <w:hideMark/>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Job Role</w:t>
            </w:r>
          </w:p>
        </w:tc>
        <w:tc>
          <w:tcPr>
            <w:tcW w:w="1433" w:type="pct"/>
            <w:shd w:val="clear" w:color="auto" w:fill="F2F2F2" w:themeFill="background1" w:themeFillShade="F2"/>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Description</w:t>
            </w:r>
          </w:p>
        </w:tc>
        <w:tc>
          <w:tcPr>
            <w:tcW w:w="546" w:type="pct"/>
            <w:shd w:val="clear" w:color="auto" w:fill="F2F2F2" w:themeFill="background1" w:themeFillShade="F2"/>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Delovna vloga</w:t>
            </w:r>
          </w:p>
        </w:tc>
        <w:tc>
          <w:tcPr>
            <w:tcW w:w="2488" w:type="pct"/>
            <w:shd w:val="clear" w:color="auto" w:fill="F2F2F2" w:themeFill="background1" w:themeFillShade="F2"/>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Opis</w:t>
            </w:r>
          </w:p>
        </w:tc>
      </w:tr>
      <w:tr w:rsidR="002223D2" w:rsidRPr="0062042A" w:rsidTr="00181DD4">
        <w:trPr>
          <w:trHeight w:val="1250"/>
        </w:trPr>
        <w:tc>
          <w:tcPr>
            <w:tcW w:w="533" w:type="pct"/>
            <w:shd w:val="clear" w:color="000000" w:fill="FFFFFF"/>
            <w:vAlign w:val="center"/>
            <w:hideMark/>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Decision-making level</w:t>
            </w:r>
          </w:p>
        </w:tc>
        <w:tc>
          <w:tcPr>
            <w:tcW w:w="1433"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This is the head of the organization or persons that act on relatively high strategic management levels</w:t>
            </w:r>
          </w:p>
        </w:tc>
        <w:tc>
          <w:tcPr>
            <w:tcW w:w="546"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Raven odločanja</w:t>
            </w:r>
          </w:p>
        </w:tc>
        <w:tc>
          <w:tcPr>
            <w:tcW w:w="2488"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To je vodja organizacije ali osebe, ki delujejo na razmeroma visokih ravneh strateškega upravljanja.</w:t>
            </w:r>
          </w:p>
        </w:tc>
      </w:tr>
      <w:tr w:rsidR="002223D2" w:rsidRPr="0062042A" w:rsidTr="00E94980">
        <w:trPr>
          <w:trHeight w:val="1871"/>
        </w:trPr>
        <w:tc>
          <w:tcPr>
            <w:tcW w:w="533" w:type="pct"/>
            <w:shd w:val="clear" w:color="000000" w:fill="FFFFFF"/>
            <w:vAlign w:val="center"/>
            <w:hideMark/>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Supervisory level</w:t>
            </w:r>
          </w:p>
        </w:tc>
        <w:tc>
          <w:tcPr>
            <w:tcW w:w="1433"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 xml:space="preserve">This is the middle management level, responsible for a group of people and not directly involved in operational implementation of the </w:t>
            </w:r>
            <w:proofErr w:type="spellStart"/>
            <w:r>
              <w:rPr>
                <w:rFonts w:ascii="Verdana" w:hAnsi="Verdana" w:cstheme="minorHAnsi"/>
                <w:sz w:val="20"/>
                <w:szCs w:val="20"/>
                <w:lang w:val="en-US"/>
              </w:rPr>
              <w:t>programme</w:t>
            </w:r>
            <w:proofErr w:type="spellEnd"/>
            <w:r>
              <w:rPr>
                <w:rFonts w:ascii="Verdana" w:hAnsi="Verdana" w:cstheme="minorHAnsi"/>
                <w:sz w:val="20"/>
                <w:szCs w:val="20"/>
                <w:lang w:val="en-US"/>
              </w:rPr>
              <w:t>, for instance heads of organizational units</w:t>
            </w:r>
          </w:p>
        </w:tc>
        <w:tc>
          <w:tcPr>
            <w:tcW w:w="546"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Nadzorna raven</w:t>
            </w:r>
          </w:p>
        </w:tc>
        <w:tc>
          <w:tcPr>
            <w:tcW w:w="2488"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To je srednja vodstvena raven, zaposleni na tej ravni, kot so vodje organizacijskih enot, pa so odgovorni za skupino ljudi in niso neposredno vključeni v operativno izvajanje programa.</w:t>
            </w:r>
          </w:p>
        </w:tc>
      </w:tr>
      <w:tr w:rsidR="002223D2" w:rsidRPr="0062042A" w:rsidTr="00E94980">
        <w:trPr>
          <w:trHeight w:val="1439"/>
        </w:trPr>
        <w:tc>
          <w:tcPr>
            <w:tcW w:w="533" w:type="pct"/>
            <w:shd w:val="clear" w:color="000000" w:fill="FFFFFF"/>
            <w:vAlign w:val="center"/>
            <w:hideMark/>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Operational level</w:t>
            </w:r>
          </w:p>
        </w:tc>
        <w:tc>
          <w:tcPr>
            <w:tcW w:w="1433"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These are the experts that are directly working on the different tasks and sub-tasks within the organization</w:t>
            </w:r>
          </w:p>
        </w:tc>
        <w:tc>
          <w:tcPr>
            <w:tcW w:w="546"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Operativna raven</w:t>
            </w:r>
          </w:p>
        </w:tc>
        <w:tc>
          <w:tcPr>
            <w:tcW w:w="2488" w:type="pct"/>
            <w:shd w:val="clear" w:color="000000" w:fill="FFFFFF"/>
            <w:vAlign w:val="center"/>
          </w:tcPr>
          <w:p w:rsidR="002223D2" w:rsidRPr="0062042A" w:rsidRDefault="002223D2" w:rsidP="002223D2">
            <w:pPr>
              <w:spacing w:after="0"/>
              <w:rPr>
                <w:rFonts w:ascii="Verdana" w:hAnsi="Verdana" w:cstheme="minorHAnsi"/>
                <w:sz w:val="20"/>
                <w:szCs w:val="20"/>
              </w:rPr>
            </w:pPr>
            <w:r>
              <w:rPr>
                <w:rFonts w:ascii="Verdana" w:hAnsi="Verdana" w:cstheme="minorHAnsi"/>
                <w:sz w:val="20"/>
              </w:rPr>
              <w:t xml:space="preserve">To so strokovnjaki, ki neposredno opravljajo različne naloge in </w:t>
            </w:r>
            <w:proofErr w:type="spellStart"/>
            <w:r>
              <w:rPr>
                <w:rFonts w:ascii="Verdana" w:hAnsi="Verdana" w:cstheme="minorHAnsi"/>
                <w:sz w:val="20"/>
              </w:rPr>
              <w:t>podopravila</w:t>
            </w:r>
            <w:proofErr w:type="spellEnd"/>
            <w:r>
              <w:rPr>
                <w:rFonts w:ascii="Verdana" w:hAnsi="Verdana" w:cstheme="minorHAnsi"/>
                <w:sz w:val="20"/>
              </w:rPr>
              <w:t xml:space="preserve"> v organizaciji.</w:t>
            </w:r>
          </w:p>
        </w:tc>
      </w:tr>
    </w:tbl>
    <w:p w:rsidR="003928BC" w:rsidRPr="003870A6" w:rsidRDefault="003928BC">
      <w:pPr>
        <w:rPr>
          <w:rFonts w:ascii="Verdana" w:hAnsi="Verdana" w:cstheme="minorHAnsi"/>
          <w:i/>
          <w:sz w:val="18"/>
          <w:szCs w:val="20"/>
        </w:rPr>
      </w:pPr>
    </w:p>
    <w:p w:rsidR="0062042A" w:rsidRDefault="0062042A" w:rsidP="00385389">
      <w:pPr>
        <w:pStyle w:val="Heading1"/>
        <w:sectPr w:rsidR="0062042A" w:rsidSect="00CD1306">
          <w:pgSz w:w="15840" w:h="12240" w:orient="landscape"/>
          <w:pgMar w:top="1440" w:right="1440" w:bottom="1440" w:left="1440" w:header="720" w:footer="720" w:gutter="0"/>
          <w:cols w:space="720"/>
          <w:docGrid w:linePitch="360"/>
        </w:sectPr>
      </w:pPr>
    </w:p>
    <w:p w:rsidR="00CF6967" w:rsidRDefault="000C44D2" w:rsidP="00385389">
      <w:pPr>
        <w:pStyle w:val="Heading1"/>
      </w:pPr>
      <w:bookmarkStart w:id="5" w:name="_Toc494968296"/>
      <w:bookmarkStart w:id="6" w:name="_Toc511325388"/>
      <w:r>
        <w:lastRenderedPageBreak/>
        <w:t xml:space="preserve">Naloge in </w:t>
      </w:r>
      <w:proofErr w:type="spellStart"/>
      <w:r>
        <w:t>podopravila</w:t>
      </w:r>
      <w:bookmarkEnd w:id="5"/>
      <w:bookmarkEnd w:id="6"/>
      <w:proofErr w:type="spellEnd"/>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1"/>
        <w:gridCol w:w="4396"/>
        <w:gridCol w:w="2656"/>
        <w:gridCol w:w="3473"/>
      </w:tblGrid>
      <w:tr w:rsidR="004635E5" w:rsidRPr="00095F13" w:rsidTr="00385389">
        <w:trPr>
          <w:trHeight w:val="318"/>
          <w:tblHeader/>
        </w:trPr>
        <w:tc>
          <w:tcPr>
            <w:tcW w:w="2674" w:type="pct"/>
            <w:gridSpan w:val="2"/>
            <w:shd w:val="clear" w:color="auto" w:fill="44546A" w:themeFill="text2"/>
          </w:tcPr>
          <w:p w:rsidR="004635E5" w:rsidRPr="00095F13"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Angleščina</w:t>
            </w:r>
          </w:p>
        </w:tc>
        <w:tc>
          <w:tcPr>
            <w:tcW w:w="2326" w:type="pct"/>
            <w:gridSpan w:val="2"/>
            <w:shd w:val="clear" w:color="auto" w:fill="44546A" w:themeFill="text2"/>
            <w:vAlign w:val="center"/>
          </w:tcPr>
          <w:p w:rsidR="004635E5" w:rsidRPr="00095F13" w:rsidRDefault="00166387"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Slovenščina</w:t>
            </w:r>
          </w:p>
        </w:tc>
      </w:tr>
      <w:tr w:rsidR="002223D2" w:rsidRPr="00095F13" w:rsidTr="003C2E27">
        <w:trPr>
          <w:trHeight w:val="318"/>
          <w:tblHeader/>
        </w:trPr>
        <w:tc>
          <w:tcPr>
            <w:tcW w:w="1006" w:type="pct"/>
            <w:shd w:val="clear" w:color="auto" w:fill="F2F2F2" w:themeFill="background1" w:themeFillShade="F2"/>
          </w:tcPr>
          <w:p w:rsidR="002223D2" w:rsidRDefault="002223D2" w:rsidP="002223D2">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Task</w:t>
            </w:r>
          </w:p>
        </w:tc>
        <w:tc>
          <w:tcPr>
            <w:tcW w:w="1668" w:type="pct"/>
            <w:shd w:val="clear" w:color="auto" w:fill="F2F2F2" w:themeFill="background1" w:themeFillShade="F2"/>
            <w:vAlign w:val="center"/>
          </w:tcPr>
          <w:p w:rsidR="002223D2" w:rsidRDefault="002223D2" w:rsidP="002223D2">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Sub-task</w:t>
            </w:r>
          </w:p>
        </w:tc>
        <w:tc>
          <w:tcPr>
            <w:tcW w:w="1008" w:type="pct"/>
            <w:shd w:val="clear" w:color="auto" w:fill="F2F2F2" w:themeFill="background1" w:themeFillShade="F2"/>
          </w:tcPr>
          <w:p w:rsidR="002223D2" w:rsidRPr="00095F13" w:rsidRDefault="002223D2" w:rsidP="002223D2">
            <w:pPr>
              <w:spacing w:after="0" w:line="240" w:lineRule="auto"/>
              <w:jc w:val="center"/>
              <w:rPr>
                <w:rFonts w:ascii="Verdana" w:eastAsia="Times New Roman" w:hAnsi="Verdana" w:cstheme="minorHAnsi"/>
                <w:b/>
                <w:bCs/>
                <w:sz w:val="20"/>
                <w:szCs w:val="20"/>
              </w:rPr>
            </w:pPr>
            <w:r>
              <w:rPr>
                <w:rFonts w:ascii="Verdana" w:hAnsi="Verdana" w:cstheme="minorHAnsi"/>
                <w:b/>
                <w:sz w:val="20"/>
              </w:rPr>
              <w:t>Naloga</w:t>
            </w:r>
          </w:p>
        </w:tc>
        <w:tc>
          <w:tcPr>
            <w:tcW w:w="1318" w:type="pct"/>
            <w:shd w:val="clear" w:color="auto" w:fill="F2F2F2" w:themeFill="background1" w:themeFillShade="F2"/>
            <w:vAlign w:val="center"/>
          </w:tcPr>
          <w:p w:rsidR="002223D2" w:rsidRPr="00095F13" w:rsidRDefault="002223D2" w:rsidP="002223D2">
            <w:pPr>
              <w:spacing w:after="0" w:line="240" w:lineRule="auto"/>
              <w:jc w:val="center"/>
              <w:rPr>
                <w:rFonts w:ascii="Verdana" w:eastAsia="Times New Roman" w:hAnsi="Verdana" w:cstheme="minorHAnsi"/>
                <w:b/>
                <w:bCs/>
                <w:sz w:val="20"/>
                <w:szCs w:val="20"/>
              </w:rPr>
            </w:pPr>
            <w:proofErr w:type="spellStart"/>
            <w:r>
              <w:rPr>
                <w:rFonts w:ascii="Verdana" w:hAnsi="Verdana" w:cstheme="minorHAnsi"/>
                <w:b/>
                <w:sz w:val="20"/>
              </w:rPr>
              <w:t>Podopravilo</w:t>
            </w:r>
            <w:proofErr w:type="spellEnd"/>
          </w:p>
        </w:tc>
      </w:tr>
      <w:tr w:rsidR="002223D2" w:rsidRPr="00095F13" w:rsidTr="003C2E27">
        <w:trPr>
          <w:trHeight w:val="602"/>
        </w:trPr>
        <w:tc>
          <w:tcPr>
            <w:tcW w:w="1006" w:type="pct"/>
            <w:shd w:val="clear" w:color="000000" w:fill="FFFFFF"/>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1. Coordination and Partnership Agreement</w:t>
            </w: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1.1. Inter-institutional coordination and consultations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r>
              <w:rPr>
                <w:rFonts w:ascii="Verdana" w:hAnsi="Verdana" w:cstheme="minorHAnsi"/>
                <w:sz w:val="20"/>
              </w:rPr>
              <w:t>1. Usklajevanje in partnerski sporazum</w:t>
            </w: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1.1 Medinstitucionalno usklajevanje in posvetovanja</w:t>
            </w:r>
          </w:p>
        </w:tc>
      </w:tr>
      <w:tr w:rsidR="002223D2" w:rsidRPr="00095F13" w:rsidTr="003C2E27">
        <w:trPr>
          <w:trHeight w:val="318"/>
        </w:trPr>
        <w:tc>
          <w:tcPr>
            <w:tcW w:w="1006" w:type="pct"/>
            <w:shd w:val="clear" w:color="000000" w:fill="FFFFFF"/>
          </w:tcPr>
          <w:p w:rsidR="002223D2" w:rsidRDefault="002223D2" w:rsidP="002223D2">
            <w:pPr>
              <w:spacing w:after="0"/>
              <w:rPr>
                <w:rFonts w:ascii="Verdana" w:hAnsi="Verdana" w:cstheme="minorHAnsi"/>
                <w:sz w:val="20"/>
                <w:szCs w:val="20"/>
                <w:lang w:val="en-US"/>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 xml:space="preserve">1.2. Preparation of Partnership Agreement and coordination of Operational </w:t>
            </w:r>
            <w:proofErr w:type="spellStart"/>
            <w:r>
              <w:rPr>
                <w:rFonts w:ascii="Verdana" w:hAnsi="Verdana" w:cstheme="minorHAnsi"/>
                <w:sz w:val="20"/>
                <w:szCs w:val="20"/>
                <w:lang w:val="en-US"/>
              </w:rPr>
              <w:t>Programmes</w:t>
            </w:r>
            <w:proofErr w:type="spellEnd"/>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1.2 Priprava partnerskega sporazuma in usklajevanje operativnih programov</w:t>
            </w:r>
          </w:p>
        </w:tc>
      </w:tr>
      <w:tr w:rsidR="002223D2" w:rsidRPr="00095F13" w:rsidTr="003C2E27">
        <w:trPr>
          <w:trHeight w:val="318"/>
        </w:trPr>
        <w:tc>
          <w:tcPr>
            <w:tcW w:w="1006" w:type="pct"/>
            <w:shd w:val="clear" w:color="000000" w:fill="FFFFFF"/>
          </w:tcPr>
          <w:p w:rsidR="002223D2" w:rsidRPr="00166387" w:rsidRDefault="002223D2" w:rsidP="002223D2">
            <w:pPr>
              <w:spacing w:after="0"/>
              <w:rPr>
                <w:rFonts w:ascii="Verdana" w:hAnsi="Verdana" w:cstheme="minorHAnsi"/>
                <w:sz w:val="20"/>
                <w:szCs w:val="20"/>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1.3. Communication and negotiation with the European Commission</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1.3 Komuniciranje in pogajanje z Evropsko komisijo</w:t>
            </w:r>
          </w:p>
        </w:tc>
      </w:tr>
      <w:tr w:rsidR="002223D2" w:rsidRPr="00095F13" w:rsidTr="003C2E27">
        <w:trPr>
          <w:trHeight w:val="318"/>
        </w:trPr>
        <w:tc>
          <w:tcPr>
            <w:tcW w:w="1006" w:type="pct"/>
            <w:shd w:val="clear" w:color="000000" w:fill="FFFFFF"/>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 System set-up, development of procedures and tools</w:t>
            </w: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2.1. Development of the description of management and control systems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r>
              <w:rPr>
                <w:rFonts w:ascii="Verdana" w:hAnsi="Verdana" w:cstheme="minorHAnsi"/>
                <w:sz w:val="20"/>
              </w:rPr>
              <w:t>2. Vzpostavitev sistema, razvoj postopkov in orodij</w:t>
            </w: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2.1 Razvoj opisa sistemov upravljanja in nadzora</w:t>
            </w:r>
          </w:p>
        </w:tc>
      </w:tr>
      <w:tr w:rsidR="002223D2" w:rsidRPr="00095F13" w:rsidTr="003C2E27">
        <w:trPr>
          <w:trHeight w:val="318"/>
        </w:trPr>
        <w:tc>
          <w:tcPr>
            <w:tcW w:w="1006" w:type="pct"/>
            <w:shd w:val="clear" w:color="000000" w:fill="FFFFFF"/>
          </w:tcPr>
          <w:p w:rsidR="002223D2" w:rsidRPr="00166387" w:rsidRDefault="002223D2" w:rsidP="002223D2">
            <w:pPr>
              <w:spacing w:after="0"/>
              <w:rPr>
                <w:rFonts w:ascii="Verdana" w:hAnsi="Verdana" w:cstheme="minorHAnsi"/>
                <w:sz w:val="20"/>
                <w:szCs w:val="20"/>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2.2. Preparation of the proposals concerning the designation of Authorities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2.2 Priprava predlogov v zvezi z imenovanjem organov</w:t>
            </w:r>
          </w:p>
        </w:tc>
      </w:tr>
      <w:tr w:rsidR="002223D2" w:rsidRPr="00095F13" w:rsidTr="003C2E27">
        <w:trPr>
          <w:trHeight w:val="318"/>
        </w:trPr>
        <w:tc>
          <w:tcPr>
            <w:tcW w:w="1006" w:type="pct"/>
            <w:shd w:val="clear" w:color="000000" w:fill="FFFFFF"/>
          </w:tcPr>
          <w:p w:rsidR="002223D2" w:rsidRDefault="002223D2" w:rsidP="002223D2">
            <w:pPr>
              <w:spacing w:after="0"/>
              <w:rPr>
                <w:rFonts w:ascii="Verdana" w:hAnsi="Verdana" w:cstheme="minorHAnsi"/>
                <w:sz w:val="20"/>
                <w:szCs w:val="20"/>
                <w:lang w:val="en-US"/>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2.3. Development of institutional and administrative capacity</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2.3 Razvoj institucionalne in upravne zmogljivosti</w:t>
            </w:r>
          </w:p>
        </w:tc>
      </w:tr>
      <w:tr w:rsidR="002223D2" w:rsidRPr="00095F13" w:rsidTr="003C2E27">
        <w:trPr>
          <w:trHeight w:val="318"/>
        </w:trPr>
        <w:tc>
          <w:tcPr>
            <w:tcW w:w="1006" w:type="pct"/>
            <w:shd w:val="clear" w:color="000000" w:fill="FFFFFF"/>
          </w:tcPr>
          <w:p w:rsidR="002223D2" w:rsidRPr="00166387" w:rsidRDefault="002223D2" w:rsidP="002223D2">
            <w:pPr>
              <w:spacing w:after="0"/>
              <w:rPr>
                <w:rFonts w:ascii="Verdana" w:hAnsi="Verdana" w:cstheme="minorHAnsi"/>
                <w:sz w:val="20"/>
                <w:szCs w:val="20"/>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2.4. Development of common guidelines and procedures for Managing Authorities and Beneficiaries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2.4 Razvoj skupnih smernic in postopkov za organe upravljanja in upravičence</w:t>
            </w:r>
          </w:p>
        </w:tc>
      </w:tr>
      <w:tr w:rsidR="002223D2" w:rsidRPr="00095F13" w:rsidTr="003C2E27">
        <w:trPr>
          <w:trHeight w:val="318"/>
        </w:trPr>
        <w:tc>
          <w:tcPr>
            <w:tcW w:w="1006" w:type="pct"/>
            <w:shd w:val="clear" w:color="000000" w:fill="FFFFFF"/>
          </w:tcPr>
          <w:p w:rsidR="002223D2" w:rsidRPr="00166387" w:rsidRDefault="002223D2" w:rsidP="002223D2">
            <w:pPr>
              <w:spacing w:after="0"/>
              <w:rPr>
                <w:rFonts w:ascii="Verdana" w:hAnsi="Verdana" w:cstheme="minorHAnsi"/>
                <w:sz w:val="20"/>
                <w:szCs w:val="20"/>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2.5. Development and maintenance of a common monitoring and information systems and other technical tools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2.5 Razvoj in vzdrževanje skupnih sistemov spremljanja in obveščanja ter drugih tehničnih orodij</w:t>
            </w:r>
          </w:p>
        </w:tc>
      </w:tr>
      <w:tr w:rsidR="002223D2" w:rsidRPr="00095F13" w:rsidTr="003C2E27">
        <w:trPr>
          <w:trHeight w:val="318"/>
        </w:trPr>
        <w:tc>
          <w:tcPr>
            <w:tcW w:w="1006" w:type="pct"/>
            <w:shd w:val="clear" w:color="000000" w:fill="FFFFFF"/>
          </w:tcPr>
          <w:p w:rsidR="002223D2" w:rsidRPr="00166387" w:rsidRDefault="002223D2" w:rsidP="002223D2">
            <w:pPr>
              <w:spacing w:after="0"/>
              <w:rPr>
                <w:rFonts w:ascii="Verdana" w:hAnsi="Verdana" w:cstheme="minorHAnsi"/>
                <w:sz w:val="20"/>
                <w:szCs w:val="20"/>
              </w:rPr>
            </w:pPr>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2.6. Procurement of goods and services under Technical Assistance</w:t>
            </w:r>
          </w:p>
        </w:tc>
        <w:tc>
          <w:tcPr>
            <w:tcW w:w="1008" w:type="pct"/>
            <w:shd w:val="clear" w:color="000000" w:fill="FFFFFF"/>
          </w:tcPr>
          <w:p w:rsidR="002223D2" w:rsidRPr="00095F13" w:rsidRDefault="002223D2" w:rsidP="002223D2">
            <w:pPr>
              <w:spacing w:after="0"/>
              <w:rPr>
                <w:rFonts w:ascii="Verdana" w:hAnsi="Verdana" w:cstheme="minorHAnsi"/>
                <w:sz w:val="20"/>
                <w:szCs w:val="20"/>
              </w:rPr>
            </w:pP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t>2.6 Javno naročanje blaga in storitev v okviru tehnične podpore</w:t>
            </w:r>
          </w:p>
        </w:tc>
      </w:tr>
      <w:tr w:rsidR="002223D2" w:rsidRPr="00095F13" w:rsidTr="003C2E27">
        <w:trPr>
          <w:trHeight w:val="318"/>
        </w:trPr>
        <w:tc>
          <w:tcPr>
            <w:tcW w:w="1006" w:type="pct"/>
            <w:shd w:val="clear" w:color="000000" w:fill="FFFFFF"/>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t xml:space="preserve">3. Monitoring and evaluating the process and progress of implementation of the Partnership Agreement and Operational </w:t>
            </w:r>
            <w:proofErr w:type="spellStart"/>
            <w:r>
              <w:rPr>
                <w:rFonts w:ascii="Verdana" w:hAnsi="Verdana" w:cstheme="minorHAnsi"/>
                <w:sz w:val="20"/>
                <w:szCs w:val="20"/>
                <w:lang w:val="en-US"/>
              </w:rPr>
              <w:lastRenderedPageBreak/>
              <w:t>Programmes</w:t>
            </w:r>
            <w:proofErr w:type="spellEnd"/>
          </w:p>
        </w:tc>
        <w:tc>
          <w:tcPr>
            <w:tcW w:w="1668" w:type="pct"/>
            <w:shd w:val="clear" w:color="000000" w:fill="FFFFFF"/>
            <w:vAlign w:val="center"/>
          </w:tcPr>
          <w:p w:rsidR="002223D2" w:rsidRDefault="002223D2" w:rsidP="002223D2">
            <w:pPr>
              <w:spacing w:after="0"/>
              <w:rPr>
                <w:rFonts w:ascii="Verdana" w:hAnsi="Verdana" w:cstheme="minorHAnsi"/>
                <w:sz w:val="20"/>
                <w:szCs w:val="20"/>
                <w:lang w:val="en-US"/>
              </w:rPr>
            </w:pPr>
            <w:r>
              <w:rPr>
                <w:rFonts w:ascii="Verdana" w:hAnsi="Verdana" w:cstheme="minorHAnsi"/>
                <w:sz w:val="20"/>
                <w:szCs w:val="20"/>
                <w:lang w:val="en-US"/>
              </w:rPr>
              <w:lastRenderedPageBreak/>
              <w:t xml:space="preserve">3.1. Monitoring the Partnership Agreement implementation through the Operational </w:t>
            </w:r>
            <w:proofErr w:type="spellStart"/>
            <w:r>
              <w:rPr>
                <w:rFonts w:ascii="Verdana" w:hAnsi="Verdana" w:cstheme="minorHAnsi"/>
                <w:sz w:val="20"/>
                <w:szCs w:val="20"/>
                <w:lang w:val="en-US"/>
              </w:rPr>
              <w:t>Programmes</w:t>
            </w:r>
            <w:proofErr w:type="spellEnd"/>
            <w:r>
              <w:rPr>
                <w:rFonts w:ascii="Verdana" w:hAnsi="Verdana" w:cstheme="minorHAnsi"/>
                <w:sz w:val="20"/>
                <w:szCs w:val="20"/>
                <w:lang w:val="en-US"/>
              </w:rPr>
              <w:t>, identifying bottlenecks and corrective actions</w:t>
            </w:r>
          </w:p>
        </w:tc>
        <w:tc>
          <w:tcPr>
            <w:tcW w:w="1008" w:type="pct"/>
            <w:shd w:val="clear" w:color="000000" w:fill="FFFFFF"/>
          </w:tcPr>
          <w:p w:rsidR="002223D2" w:rsidRPr="00095F13" w:rsidRDefault="002223D2" w:rsidP="002223D2">
            <w:pPr>
              <w:spacing w:after="0"/>
              <w:rPr>
                <w:rFonts w:ascii="Verdana" w:hAnsi="Verdana" w:cstheme="minorHAnsi"/>
                <w:sz w:val="20"/>
                <w:szCs w:val="20"/>
              </w:rPr>
            </w:pPr>
            <w:r>
              <w:rPr>
                <w:rFonts w:ascii="Verdana" w:hAnsi="Verdana" w:cstheme="minorHAnsi"/>
                <w:sz w:val="20"/>
              </w:rPr>
              <w:t xml:space="preserve">3. Spremljanje in vrednotenje postopka izvajanja partnerskega sporazuma in operativnih programov ter napredka pri </w:t>
            </w:r>
            <w:r>
              <w:rPr>
                <w:rFonts w:ascii="Verdana" w:hAnsi="Verdana" w:cstheme="minorHAnsi"/>
                <w:sz w:val="20"/>
              </w:rPr>
              <w:lastRenderedPageBreak/>
              <w:t>njihovem izvajanju</w:t>
            </w:r>
          </w:p>
        </w:tc>
        <w:tc>
          <w:tcPr>
            <w:tcW w:w="1318" w:type="pct"/>
            <w:shd w:val="clear" w:color="000000" w:fill="FFFFFF"/>
            <w:vAlign w:val="center"/>
          </w:tcPr>
          <w:p w:rsidR="002223D2" w:rsidRPr="00095F13" w:rsidRDefault="002223D2" w:rsidP="002223D2">
            <w:pPr>
              <w:spacing w:after="0"/>
              <w:rPr>
                <w:rFonts w:ascii="Verdana" w:hAnsi="Verdana" w:cstheme="minorHAnsi"/>
                <w:sz w:val="20"/>
                <w:szCs w:val="20"/>
              </w:rPr>
            </w:pPr>
            <w:r>
              <w:rPr>
                <w:rFonts w:ascii="Verdana" w:hAnsi="Verdana" w:cstheme="minorHAnsi"/>
                <w:sz w:val="20"/>
              </w:rPr>
              <w:lastRenderedPageBreak/>
              <w:t>3.1 Spremljanje izvajanja partnerskega sporazuma prek operativnih programov ter opredelitev ozkih grl in popravnih ukrepov</w:t>
            </w:r>
          </w:p>
        </w:tc>
      </w:tr>
      <w:tr w:rsidR="004E76E2" w:rsidRPr="00095F13" w:rsidTr="00C061FA">
        <w:trPr>
          <w:trHeight w:val="318"/>
        </w:trPr>
        <w:tc>
          <w:tcPr>
            <w:tcW w:w="1006" w:type="pct"/>
            <w:shd w:val="clear" w:color="000000" w:fill="FFFFFF"/>
          </w:tcPr>
          <w:p w:rsidR="004E76E2" w:rsidRPr="00166387" w:rsidRDefault="004E76E2" w:rsidP="004E76E2">
            <w:pPr>
              <w:spacing w:after="0"/>
              <w:rPr>
                <w:rFonts w:ascii="Verdana" w:hAnsi="Verdana" w:cstheme="minorHAnsi"/>
                <w:sz w:val="20"/>
                <w:szCs w:val="20"/>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 xml:space="preserve">3.2. Management of the evaluation process of the Partnership Agreement and Operational </w:t>
            </w:r>
            <w:proofErr w:type="spellStart"/>
            <w:r>
              <w:rPr>
                <w:rFonts w:ascii="Verdana" w:hAnsi="Verdana" w:cstheme="minorHAnsi"/>
                <w:sz w:val="20"/>
                <w:szCs w:val="20"/>
                <w:lang w:val="en-US"/>
              </w:rPr>
              <w:t>Programmes</w:t>
            </w:r>
            <w:proofErr w:type="spellEnd"/>
          </w:p>
        </w:tc>
        <w:tc>
          <w:tcPr>
            <w:tcW w:w="1008" w:type="pct"/>
            <w:shd w:val="clear" w:color="000000" w:fill="FFFFFF"/>
          </w:tcPr>
          <w:p w:rsidR="004E76E2" w:rsidRPr="00095F13" w:rsidRDefault="004E76E2" w:rsidP="004E76E2">
            <w:pPr>
              <w:spacing w:after="0"/>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3.2 Upravljanje postopka vrednotenja partnerskega sporazuma in operativnih programov</w:t>
            </w:r>
          </w:p>
        </w:tc>
      </w:tr>
      <w:tr w:rsidR="004E76E2" w:rsidRPr="00095F13" w:rsidTr="00C061FA">
        <w:trPr>
          <w:trHeight w:val="318"/>
        </w:trPr>
        <w:tc>
          <w:tcPr>
            <w:tcW w:w="1006" w:type="pct"/>
            <w:shd w:val="clear" w:color="000000" w:fill="FFFFFF"/>
          </w:tcPr>
          <w:p w:rsidR="004E76E2" w:rsidRPr="00166387" w:rsidRDefault="004E76E2" w:rsidP="004E76E2">
            <w:pPr>
              <w:spacing w:after="0"/>
              <w:rPr>
                <w:rFonts w:ascii="Verdana" w:hAnsi="Verdana" w:cstheme="minorHAnsi"/>
                <w:sz w:val="20"/>
                <w:szCs w:val="20"/>
                <w:lang w:val="sv-SE"/>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3.3. Coordination of the information flow between the Commission, Managing Authorities and other authorities including reporting</w:t>
            </w:r>
          </w:p>
        </w:tc>
        <w:tc>
          <w:tcPr>
            <w:tcW w:w="1008" w:type="pct"/>
            <w:shd w:val="clear" w:color="000000" w:fill="FFFFFF"/>
          </w:tcPr>
          <w:p w:rsidR="004E76E2" w:rsidRPr="00095F13" w:rsidRDefault="004E76E2" w:rsidP="004E76E2">
            <w:pPr>
              <w:spacing w:after="0"/>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3.3 Usklajevanje pretoka informacij med Komisijo, organi upravljanja in drugimi organi, vključno s poročanjem</w:t>
            </w:r>
          </w:p>
        </w:tc>
      </w:tr>
      <w:tr w:rsidR="004E76E2" w:rsidRPr="00095F13" w:rsidTr="00C061FA">
        <w:trPr>
          <w:trHeight w:val="318"/>
        </w:trPr>
        <w:tc>
          <w:tcPr>
            <w:tcW w:w="1006" w:type="pct"/>
            <w:shd w:val="clear" w:color="000000" w:fill="FFFFFF"/>
          </w:tcPr>
          <w:p w:rsidR="004E76E2" w:rsidRPr="00166387" w:rsidRDefault="004E76E2" w:rsidP="004E76E2">
            <w:pPr>
              <w:spacing w:after="0"/>
              <w:rPr>
                <w:rFonts w:ascii="Verdana" w:hAnsi="Verdana" w:cstheme="minorHAnsi"/>
                <w:sz w:val="20"/>
                <w:szCs w:val="20"/>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 xml:space="preserve">3.4. Assessment ex ante </w:t>
            </w:r>
            <w:proofErr w:type="spellStart"/>
            <w:r>
              <w:rPr>
                <w:rFonts w:ascii="Verdana" w:hAnsi="Verdana" w:cstheme="minorHAnsi"/>
                <w:sz w:val="20"/>
                <w:szCs w:val="20"/>
                <w:lang w:val="en-US"/>
              </w:rPr>
              <w:t>conditionalities</w:t>
            </w:r>
            <w:proofErr w:type="spellEnd"/>
            <w:r>
              <w:rPr>
                <w:rFonts w:ascii="Verdana" w:hAnsi="Verdana" w:cstheme="minorHAnsi"/>
                <w:sz w:val="20"/>
                <w:szCs w:val="20"/>
                <w:lang w:val="en-US"/>
              </w:rPr>
              <w:t xml:space="preserve"> and implementation of the action plan</w:t>
            </w:r>
          </w:p>
        </w:tc>
        <w:tc>
          <w:tcPr>
            <w:tcW w:w="1008" w:type="pct"/>
            <w:shd w:val="clear" w:color="000000" w:fill="FFFFFF"/>
          </w:tcPr>
          <w:p w:rsidR="004E76E2" w:rsidRPr="00095F13" w:rsidRDefault="004E76E2" w:rsidP="004E76E2">
            <w:pPr>
              <w:spacing w:after="0"/>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3.4 Ocena predhodnih pogojenosti in izvajanja akcijskega načrta</w:t>
            </w:r>
          </w:p>
        </w:tc>
      </w:tr>
      <w:tr w:rsidR="004E76E2" w:rsidRPr="00095F13" w:rsidTr="00C061FA">
        <w:trPr>
          <w:trHeight w:val="318"/>
        </w:trPr>
        <w:tc>
          <w:tcPr>
            <w:tcW w:w="1006" w:type="pct"/>
            <w:shd w:val="clear" w:color="000000" w:fill="FFFFFF"/>
          </w:tcPr>
          <w:p w:rsidR="004E76E2" w:rsidRPr="00166387" w:rsidRDefault="004E76E2" w:rsidP="004E76E2">
            <w:pPr>
              <w:spacing w:after="0"/>
              <w:rPr>
                <w:rFonts w:ascii="Verdana" w:hAnsi="Verdana" w:cstheme="minorHAnsi"/>
                <w:sz w:val="20"/>
                <w:szCs w:val="20"/>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3.5. Procurement of goods and services under Technical Assistance</w:t>
            </w:r>
          </w:p>
        </w:tc>
        <w:tc>
          <w:tcPr>
            <w:tcW w:w="1008" w:type="pct"/>
            <w:shd w:val="clear" w:color="000000" w:fill="FFFFFF"/>
          </w:tcPr>
          <w:p w:rsidR="004E76E2" w:rsidRPr="00095F13" w:rsidRDefault="004E76E2" w:rsidP="004E76E2">
            <w:pPr>
              <w:spacing w:after="0"/>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3.5 Javno naročanje blaga in storitev v okviru tehnične podpore</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0"/>
              <w:rPr>
                <w:rFonts w:ascii="Verdana" w:hAnsi="Verdana" w:cstheme="minorHAnsi"/>
                <w:sz w:val="20"/>
                <w:szCs w:val="20"/>
                <w:lang w:val="en-US"/>
              </w:rPr>
            </w:pPr>
            <w:r>
              <w:rPr>
                <w:rFonts w:ascii="Verdana" w:hAnsi="Verdana" w:cstheme="minorHAnsi"/>
                <w:sz w:val="20"/>
                <w:szCs w:val="20"/>
                <w:lang w:val="en-US"/>
              </w:rPr>
              <w:t>4. Communication</w:t>
            </w: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4.1. Preparation of the communication plan and its implementation for different stakeholders</w:t>
            </w:r>
          </w:p>
        </w:tc>
        <w:tc>
          <w:tcPr>
            <w:tcW w:w="1008" w:type="pct"/>
            <w:shd w:val="clear" w:color="000000" w:fill="FFFFFF"/>
          </w:tcPr>
          <w:p w:rsidR="004E76E2" w:rsidRPr="00095F13" w:rsidRDefault="004E76E2" w:rsidP="004E76E2">
            <w:pPr>
              <w:pStyle w:val="ListParagraph"/>
              <w:spacing w:after="0"/>
              <w:ind w:left="0"/>
              <w:rPr>
                <w:rFonts w:ascii="Verdana" w:hAnsi="Verdana" w:cstheme="minorHAnsi"/>
                <w:sz w:val="20"/>
                <w:szCs w:val="20"/>
              </w:rPr>
            </w:pPr>
            <w:r>
              <w:rPr>
                <w:rFonts w:ascii="Verdana" w:hAnsi="Verdana" w:cstheme="minorHAnsi"/>
                <w:sz w:val="20"/>
              </w:rPr>
              <w:t>4. Komuniciranje</w:t>
            </w: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4.1 Priprava načrta komuniciranja in njegovo izvajanje za različne zainteresirane strani</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144"/>
              <w:rPr>
                <w:rFonts w:ascii="Verdana" w:hAnsi="Verdana" w:cstheme="minorHAnsi"/>
                <w:sz w:val="20"/>
                <w:szCs w:val="20"/>
                <w:lang w:val="en-US"/>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4.2 Building networks with different media</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4.2 Vzpostavljanje mrež z različnimi mediji</w:t>
            </w:r>
          </w:p>
        </w:tc>
      </w:tr>
      <w:tr w:rsidR="004E76E2" w:rsidRPr="00095F13" w:rsidTr="00C061FA">
        <w:trPr>
          <w:trHeight w:val="318"/>
        </w:trPr>
        <w:tc>
          <w:tcPr>
            <w:tcW w:w="1006" w:type="pct"/>
            <w:shd w:val="clear" w:color="000000" w:fill="FFFFFF"/>
          </w:tcPr>
          <w:p w:rsidR="004E76E2" w:rsidRPr="00166387" w:rsidRDefault="004E76E2" w:rsidP="004E76E2">
            <w:pPr>
              <w:pStyle w:val="ListParagraph"/>
              <w:spacing w:after="0"/>
              <w:ind w:left="144"/>
              <w:rPr>
                <w:rFonts w:ascii="Verdana" w:hAnsi="Verdana" w:cstheme="minorHAnsi"/>
                <w:sz w:val="20"/>
                <w:szCs w:val="20"/>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4.3 Procurement of goods and services under Technical Assistance</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4.3 Javno naročanje blaga in storitev v okviru tehnične podpore</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0"/>
              <w:rPr>
                <w:rFonts w:ascii="Verdana" w:hAnsi="Verdana" w:cstheme="minorHAnsi"/>
                <w:sz w:val="20"/>
                <w:szCs w:val="20"/>
                <w:lang w:val="en-US"/>
              </w:rPr>
            </w:pPr>
            <w:r>
              <w:rPr>
                <w:rFonts w:ascii="Verdana" w:hAnsi="Verdana" w:cstheme="minorHAnsi"/>
                <w:sz w:val="20"/>
                <w:szCs w:val="20"/>
                <w:lang w:val="en-US"/>
              </w:rPr>
              <w:t xml:space="preserve">5. Programming of Operational </w:t>
            </w:r>
            <w:proofErr w:type="spellStart"/>
            <w:r>
              <w:rPr>
                <w:rFonts w:ascii="Verdana" w:hAnsi="Verdana" w:cstheme="minorHAnsi"/>
                <w:sz w:val="20"/>
                <w:szCs w:val="20"/>
                <w:lang w:val="en-US"/>
              </w:rPr>
              <w:t>Programmes</w:t>
            </w:r>
            <w:proofErr w:type="spellEnd"/>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5.1 Inter-institutional coordination and stakeholder involvement</w:t>
            </w:r>
          </w:p>
        </w:tc>
        <w:tc>
          <w:tcPr>
            <w:tcW w:w="1008" w:type="pct"/>
            <w:shd w:val="clear" w:color="000000" w:fill="FFFFFF"/>
          </w:tcPr>
          <w:p w:rsidR="004E76E2" w:rsidRPr="00095F13" w:rsidRDefault="004E76E2" w:rsidP="004E76E2">
            <w:pPr>
              <w:pStyle w:val="ListParagraph"/>
              <w:spacing w:after="0"/>
              <w:ind w:left="0"/>
              <w:rPr>
                <w:rFonts w:ascii="Verdana" w:hAnsi="Verdana" w:cstheme="minorHAnsi"/>
                <w:sz w:val="20"/>
                <w:szCs w:val="20"/>
              </w:rPr>
            </w:pPr>
            <w:r>
              <w:rPr>
                <w:rFonts w:ascii="Verdana" w:hAnsi="Verdana" w:cstheme="minorHAnsi"/>
                <w:sz w:val="20"/>
              </w:rPr>
              <w:t>5. Načrtovanje operativnih programov</w:t>
            </w: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5.1 Medinstitucionalno usklajevanje in vključevanje zainteresiranih strani</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144"/>
              <w:rPr>
                <w:rFonts w:ascii="Verdana" w:hAnsi="Verdana" w:cstheme="minorHAnsi"/>
                <w:sz w:val="20"/>
                <w:szCs w:val="20"/>
                <w:lang w:val="en-US"/>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5.2 Preparation of the Programme</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5.2 Priprava programa</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144"/>
              <w:rPr>
                <w:rFonts w:ascii="Verdana" w:hAnsi="Verdana" w:cstheme="minorHAnsi"/>
                <w:sz w:val="20"/>
                <w:szCs w:val="20"/>
                <w:lang w:val="en-US"/>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5.3 Management of the evaluation process (ex-ante)</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5.3 Upravljanje postopka (predhodnega) vrednotenja</w:t>
            </w:r>
          </w:p>
        </w:tc>
      </w:tr>
      <w:tr w:rsidR="004E76E2" w:rsidRPr="00095F13" w:rsidTr="00C061FA">
        <w:trPr>
          <w:trHeight w:val="318"/>
        </w:trPr>
        <w:tc>
          <w:tcPr>
            <w:tcW w:w="1006" w:type="pct"/>
            <w:shd w:val="clear" w:color="000000" w:fill="FFFFFF"/>
          </w:tcPr>
          <w:p w:rsidR="004E76E2" w:rsidRDefault="004E76E2" w:rsidP="004E76E2">
            <w:pPr>
              <w:pStyle w:val="ListParagraph"/>
              <w:spacing w:after="0"/>
              <w:ind w:left="144"/>
              <w:rPr>
                <w:rFonts w:ascii="Verdana" w:hAnsi="Verdana" w:cstheme="minorHAnsi"/>
                <w:sz w:val="20"/>
                <w:szCs w:val="20"/>
                <w:lang w:val="en-US"/>
              </w:rPr>
            </w:pPr>
          </w:p>
        </w:tc>
        <w:tc>
          <w:tcPr>
            <w:tcW w:w="1668" w:type="pct"/>
            <w:shd w:val="clear" w:color="000000" w:fill="FFFFFF"/>
            <w:vAlign w:val="center"/>
          </w:tcPr>
          <w:p w:rsid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5.4 Negotiation with the EC</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5.4 Pogajanje z EK</w:t>
            </w:r>
          </w:p>
        </w:tc>
      </w:tr>
      <w:tr w:rsidR="004E76E2" w:rsidRPr="00095F13" w:rsidTr="00C061FA">
        <w:trPr>
          <w:trHeight w:val="318"/>
        </w:trPr>
        <w:tc>
          <w:tcPr>
            <w:tcW w:w="1006"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668" w:type="pct"/>
            <w:shd w:val="clear" w:color="000000" w:fill="FFFFFF"/>
            <w:vAlign w:val="center"/>
          </w:tcPr>
          <w:p w:rsidR="004E76E2" w:rsidRPr="004E76E2" w:rsidRDefault="004E76E2" w:rsidP="004E76E2">
            <w:pPr>
              <w:spacing w:after="0"/>
              <w:rPr>
                <w:rFonts w:ascii="Verdana" w:hAnsi="Verdana" w:cstheme="minorHAnsi"/>
                <w:sz w:val="20"/>
                <w:szCs w:val="20"/>
                <w:lang w:val="en-US"/>
              </w:rPr>
            </w:pPr>
            <w:r>
              <w:rPr>
                <w:rFonts w:ascii="Verdana" w:hAnsi="Verdana" w:cstheme="minorHAnsi"/>
                <w:sz w:val="20"/>
                <w:szCs w:val="20"/>
                <w:lang w:val="en-US"/>
              </w:rPr>
              <w:t>5.5 Procurement of goods and services under Technical Assistance</w:t>
            </w:r>
          </w:p>
        </w:tc>
        <w:tc>
          <w:tcPr>
            <w:tcW w:w="1008" w:type="pct"/>
            <w:shd w:val="clear" w:color="000000" w:fill="FFFFFF"/>
          </w:tcPr>
          <w:p w:rsidR="004E76E2" w:rsidRPr="00095F13" w:rsidRDefault="004E76E2" w:rsidP="004E76E2">
            <w:pPr>
              <w:pStyle w:val="ListParagraph"/>
              <w:spacing w:after="0"/>
              <w:ind w:left="144"/>
              <w:rPr>
                <w:rFonts w:ascii="Verdana" w:hAnsi="Verdana" w:cstheme="minorHAnsi"/>
                <w:sz w:val="20"/>
                <w:szCs w:val="20"/>
              </w:rPr>
            </w:pPr>
          </w:p>
        </w:tc>
        <w:tc>
          <w:tcPr>
            <w:tcW w:w="1318" w:type="pct"/>
            <w:shd w:val="clear" w:color="000000" w:fill="FFFFFF"/>
            <w:vAlign w:val="center"/>
          </w:tcPr>
          <w:p w:rsidR="004E76E2" w:rsidRPr="00095F13" w:rsidRDefault="004E76E2" w:rsidP="004E76E2">
            <w:pPr>
              <w:spacing w:after="0"/>
              <w:rPr>
                <w:rFonts w:ascii="Verdana" w:hAnsi="Verdana" w:cstheme="minorHAnsi"/>
                <w:sz w:val="20"/>
                <w:szCs w:val="20"/>
              </w:rPr>
            </w:pPr>
            <w:r>
              <w:rPr>
                <w:rFonts w:ascii="Verdana" w:hAnsi="Verdana" w:cstheme="minorHAnsi"/>
                <w:sz w:val="20"/>
              </w:rPr>
              <w:t>5.5 Javno naročanje blaga in storitev v okviru tehnične podpore</w:t>
            </w:r>
          </w:p>
        </w:tc>
      </w:tr>
    </w:tbl>
    <w:p w:rsidR="000C44D2" w:rsidRDefault="000C44D2">
      <w:pPr>
        <w:rPr>
          <w:rFonts w:ascii="Verdana" w:hAnsi="Verdana" w:cstheme="minorHAnsi"/>
          <w:i/>
          <w:sz w:val="18"/>
          <w:szCs w:val="20"/>
        </w:rPr>
      </w:pPr>
    </w:p>
    <w:p w:rsidR="0062042A" w:rsidRDefault="0062042A" w:rsidP="00385389">
      <w:pPr>
        <w:pStyle w:val="Heading1"/>
        <w:numPr>
          <w:ilvl w:val="0"/>
          <w:numId w:val="5"/>
        </w:numPr>
        <w:sectPr w:rsidR="0062042A" w:rsidSect="00CD1306">
          <w:pgSz w:w="15840" w:h="12240" w:orient="landscape"/>
          <w:pgMar w:top="1440" w:right="1440" w:bottom="1440" w:left="1440" w:header="720" w:footer="720" w:gutter="0"/>
          <w:cols w:space="720"/>
          <w:docGrid w:linePitch="360"/>
        </w:sectPr>
      </w:pPr>
    </w:p>
    <w:p w:rsidR="00822B80" w:rsidRDefault="00822B80" w:rsidP="00334B22">
      <w:pPr>
        <w:pStyle w:val="Heading1"/>
        <w:numPr>
          <w:ilvl w:val="0"/>
          <w:numId w:val="6"/>
        </w:numPr>
      </w:pPr>
      <w:bookmarkStart w:id="7" w:name="_Toc494968297"/>
      <w:bookmarkStart w:id="8" w:name="_Toc511325389"/>
      <w:r>
        <w:lastRenderedPageBreak/>
        <w:t>Lestvica stopenj znanja</w:t>
      </w:r>
      <w:bookmarkEnd w:id="7"/>
      <w:bookmarkEnd w:id="8"/>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162980" w:rsidRPr="0044373B" w:rsidTr="00162980">
        <w:trPr>
          <w:trHeight w:val="377"/>
          <w:tblHeader/>
        </w:trPr>
        <w:tc>
          <w:tcPr>
            <w:tcW w:w="2396" w:type="pct"/>
            <w:gridSpan w:val="2"/>
            <w:shd w:val="clear" w:color="auto" w:fill="44546A" w:themeFill="text2"/>
            <w:vAlign w:val="center"/>
          </w:tcPr>
          <w:p w:rsidR="00162980" w:rsidRPr="0044373B" w:rsidRDefault="00162980"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Angleščina</w:t>
            </w:r>
          </w:p>
        </w:tc>
        <w:tc>
          <w:tcPr>
            <w:tcW w:w="2604" w:type="pct"/>
            <w:gridSpan w:val="2"/>
            <w:shd w:val="clear" w:color="auto" w:fill="44546A" w:themeFill="text2"/>
            <w:vAlign w:val="center"/>
          </w:tcPr>
          <w:p w:rsidR="00162980" w:rsidRPr="0044373B" w:rsidRDefault="005634E6" w:rsidP="00B579F3">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Slovenščina</w:t>
            </w:r>
          </w:p>
        </w:tc>
      </w:tr>
      <w:tr w:rsidR="00512DA4" w:rsidRPr="0062042A" w:rsidTr="006645FC">
        <w:trPr>
          <w:trHeight w:val="332"/>
          <w:tblHeader/>
        </w:trPr>
        <w:tc>
          <w:tcPr>
            <w:tcW w:w="658" w:type="pct"/>
            <w:shd w:val="clear" w:color="auto" w:fill="F2F2F2" w:themeFill="background1" w:themeFillShade="F2"/>
          </w:tcPr>
          <w:p w:rsidR="00512DA4" w:rsidRDefault="00512DA4" w:rsidP="00512DA4">
            <w:pPr>
              <w:spacing w:after="0" w:line="240" w:lineRule="auto"/>
              <w:rPr>
                <w:rFonts w:ascii="Verdana" w:hAnsi="Verdana" w:cstheme="minorHAnsi"/>
                <w:sz w:val="20"/>
                <w:szCs w:val="20"/>
                <w:lang w:val="en-US"/>
              </w:rPr>
            </w:pPr>
            <w:r>
              <w:rPr>
                <w:rFonts w:ascii="Verdana" w:hAnsi="Verdana" w:cstheme="minorHAnsi"/>
                <w:sz w:val="20"/>
                <w:szCs w:val="20"/>
                <w:lang w:val="en-US"/>
              </w:rPr>
              <w:t xml:space="preserve">Scale </w:t>
            </w:r>
          </w:p>
        </w:tc>
        <w:tc>
          <w:tcPr>
            <w:tcW w:w="1738" w:type="pct"/>
            <w:shd w:val="clear" w:color="auto" w:fill="F2F2F2" w:themeFill="background1" w:themeFillShade="F2"/>
          </w:tcPr>
          <w:p w:rsidR="00512DA4" w:rsidRDefault="00512DA4" w:rsidP="00512DA4">
            <w:pPr>
              <w:spacing w:after="0" w:line="240" w:lineRule="auto"/>
              <w:rPr>
                <w:rFonts w:ascii="Verdana" w:hAnsi="Verdana" w:cstheme="minorHAnsi"/>
                <w:sz w:val="20"/>
                <w:szCs w:val="20"/>
                <w:lang w:val="en-US"/>
              </w:rPr>
            </w:pPr>
            <w:r>
              <w:rPr>
                <w:rFonts w:ascii="Verdana" w:hAnsi="Verdana" w:cstheme="minorHAnsi"/>
                <w:sz w:val="20"/>
                <w:szCs w:val="20"/>
                <w:lang w:val="en-US"/>
              </w:rPr>
              <w:t xml:space="preserve">Description </w:t>
            </w:r>
          </w:p>
        </w:tc>
        <w:tc>
          <w:tcPr>
            <w:tcW w:w="590" w:type="pct"/>
            <w:shd w:val="clear" w:color="auto" w:fill="F2F2F2" w:themeFill="background1" w:themeFillShade="F2"/>
          </w:tcPr>
          <w:p w:rsidR="00512DA4" w:rsidRPr="0044373B" w:rsidRDefault="00512DA4" w:rsidP="00512DA4">
            <w:pPr>
              <w:spacing w:after="0" w:line="240" w:lineRule="auto"/>
              <w:rPr>
                <w:rFonts w:ascii="Verdana" w:hAnsi="Verdana" w:cstheme="minorHAnsi"/>
                <w:sz w:val="20"/>
                <w:szCs w:val="20"/>
              </w:rPr>
            </w:pPr>
            <w:r>
              <w:rPr>
                <w:rFonts w:ascii="Verdana" w:hAnsi="Verdana" w:cstheme="minorHAnsi"/>
                <w:sz w:val="20"/>
              </w:rPr>
              <w:t xml:space="preserve">Lestvica </w:t>
            </w:r>
          </w:p>
        </w:tc>
        <w:tc>
          <w:tcPr>
            <w:tcW w:w="2014" w:type="pct"/>
            <w:shd w:val="clear" w:color="auto" w:fill="F2F2F2" w:themeFill="background1" w:themeFillShade="F2"/>
          </w:tcPr>
          <w:p w:rsidR="00512DA4" w:rsidRPr="0062042A" w:rsidRDefault="00512DA4" w:rsidP="00512DA4">
            <w:pPr>
              <w:spacing w:after="0" w:line="240" w:lineRule="auto"/>
              <w:rPr>
                <w:rFonts w:ascii="Verdana" w:hAnsi="Verdana" w:cstheme="minorHAnsi"/>
                <w:sz w:val="20"/>
                <w:szCs w:val="20"/>
              </w:rPr>
            </w:pPr>
            <w:r>
              <w:rPr>
                <w:rFonts w:ascii="Verdana" w:hAnsi="Verdana" w:cstheme="minorHAnsi"/>
                <w:sz w:val="20"/>
              </w:rPr>
              <w:t xml:space="preserve">Opis </w:t>
            </w:r>
          </w:p>
        </w:tc>
      </w:tr>
      <w:tr w:rsidR="00512DA4" w:rsidRPr="0062042A" w:rsidTr="006645FC">
        <w:trPr>
          <w:trHeight w:val="566"/>
        </w:trPr>
        <w:tc>
          <w:tcPr>
            <w:tcW w:w="65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N.A. - Not Applicable</w:t>
            </w:r>
          </w:p>
        </w:tc>
        <w:tc>
          <w:tcPr>
            <w:tcW w:w="1738" w:type="pct"/>
            <w:shd w:val="clear" w:color="000000" w:fill="FFFFFF"/>
            <w:hideMark/>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The competency is not applicable to the job role. </w:t>
            </w:r>
          </w:p>
        </w:tc>
        <w:tc>
          <w:tcPr>
            <w:tcW w:w="590" w:type="pct"/>
            <w:shd w:val="clear" w:color="000000" w:fill="FFFFFF"/>
          </w:tcPr>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n. r. – Ni relevantno</w:t>
            </w:r>
          </w:p>
        </w:tc>
        <w:tc>
          <w:tcPr>
            <w:tcW w:w="2014" w:type="pct"/>
            <w:shd w:val="clear" w:color="000000" w:fill="FFFFFF"/>
          </w:tcPr>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 xml:space="preserve">Kompetenca ni relevantna za delovno vlogo. </w:t>
            </w:r>
          </w:p>
        </w:tc>
      </w:tr>
      <w:tr w:rsidR="00512DA4" w:rsidRPr="0062042A" w:rsidTr="006645FC">
        <w:trPr>
          <w:trHeight w:val="908"/>
        </w:trPr>
        <w:tc>
          <w:tcPr>
            <w:tcW w:w="65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Level 0 – </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No knowledge</w:t>
            </w:r>
          </w:p>
        </w:tc>
        <w:tc>
          <w:tcPr>
            <w:tcW w:w="173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No knowledge of the competency or no ability to apply it in real situations.</w:t>
            </w:r>
          </w:p>
        </w:tc>
        <w:tc>
          <w:tcPr>
            <w:tcW w:w="590"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 xml:space="preserve">Stopnja 0 – </w:t>
            </w:r>
          </w:p>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neznanje</w:t>
            </w:r>
          </w:p>
        </w:tc>
        <w:tc>
          <w:tcPr>
            <w:tcW w:w="2014" w:type="pct"/>
            <w:shd w:val="clear" w:color="000000" w:fill="FFFFFF"/>
          </w:tcPr>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Zaposleni nima znanja, povezanega s kompetenco, ali ga ni sposoben uporabiti v dejanskih situacijah.</w:t>
            </w:r>
          </w:p>
        </w:tc>
      </w:tr>
      <w:tr w:rsidR="00512DA4" w:rsidRPr="0062042A" w:rsidTr="006645FC">
        <w:trPr>
          <w:trHeight w:val="1421"/>
        </w:trPr>
        <w:tc>
          <w:tcPr>
            <w:tcW w:w="65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Level 1 – </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Awareness</w:t>
            </w:r>
          </w:p>
        </w:tc>
        <w:tc>
          <w:tcPr>
            <w:tcW w:w="173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Basic knowledge of the competency (e.g. understands general concepts and processes, is familiar with related key terminology).</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demonstrate this competency after being given specific instructions and guidance.</w:t>
            </w:r>
          </w:p>
        </w:tc>
        <w:tc>
          <w:tcPr>
            <w:tcW w:w="590"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 xml:space="preserve">Stopnja 1 – </w:t>
            </w:r>
          </w:p>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poznavanje</w:t>
            </w:r>
          </w:p>
        </w:tc>
        <w:tc>
          <w:tcPr>
            <w:tcW w:w="2014"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Osnovno znanje, povezano s kompetenco (npr. zaposleni razume splošne koncepte in postopke ter je seznanjen z zadevno ključno terminologijo).</w:t>
            </w:r>
          </w:p>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Sposobnost dokazati to kompetenco po prejemu posebnih navodil in smernic.</w:t>
            </w:r>
          </w:p>
        </w:tc>
      </w:tr>
      <w:tr w:rsidR="00512DA4" w:rsidRPr="0062042A" w:rsidTr="006645FC">
        <w:trPr>
          <w:trHeight w:val="1103"/>
        </w:trPr>
        <w:tc>
          <w:tcPr>
            <w:tcW w:w="65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Level 2 – </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Trained</w:t>
            </w:r>
          </w:p>
        </w:tc>
        <w:tc>
          <w:tcPr>
            <w:tcW w:w="173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Good working knowledge of the competency. Ability to apply that knowledge in daily work.</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perform standard activities with regards to this competency in an independent manner</w:t>
            </w:r>
          </w:p>
        </w:tc>
        <w:tc>
          <w:tcPr>
            <w:tcW w:w="590"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 xml:space="preserve">Stopnja 2 – </w:t>
            </w:r>
          </w:p>
          <w:p w:rsidR="00512DA4" w:rsidRPr="0044373B" w:rsidRDefault="00512DA4" w:rsidP="00512DA4">
            <w:pPr>
              <w:spacing w:before="60" w:after="120" w:line="240" w:lineRule="auto"/>
              <w:rPr>
                <w:rFonts w:ascii="Verdana" w:hAnsi="Verdana" w:cstheme="minorHAnsi"/>
                <w:sz w:val="20"/>
                <w:szCs w:val="20"/>
              </w:rPr>
            </w:pPr>
            <w:r>
              <w:rPr>
                <w:rFonts w:ascii="Verdana" w:hAnsi="Verdana" w:cstheme="minorHAnsi"/>
                <w:sz w:val="20"/>
              </w:rPr>
              <w:t>usposobljenost</w:t>
            </w:r>
          </w:p>
        </w:tc>
        <w:tc>
          <w:tcPr>
            <w:tcW w:w="2014"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Aktivno znanje, povezano s kompetenco. Sposobnost uporabiti znanje pri vsakodnevnem delu.</w:t>
            </w:r>
          </w:p>
          <w:p w:rsidR="00512DA4" w:rsidRPr="0044373B" w:rsidRDefault="00512DA4" w:rsidP="00512DA4">
            <w:pPr>
              <w:spacing w:before="60" w:after="120" w:line="240" w:lineRule="auto"/>
              <w:rPr>
                <w:rFonts w:ascii="Verdana" w:hAnsi="Verdana" w:cstheme="minorHAnsi"/>
                <w:sz w:val="20"/>
                <w:szCs w:val="20"/>
              </w:rPr>
            </w:pPr>
            <w:r>
              <w:rPr>
                <w:rFonts w:ascii="Verdana" w:hAnsi="Verdana" w:cstheme="minorHAnsi"/>
                <w:sz w:val="20"/>
              </w:rPr>
              <w:t>Sposobnost za neodvisno izvajati standardne dejavnosti v zvezi s to kompetenco.</w:t>
            </w:r>
          </w:p>
        </w:tc>
      </w:tr>
      <w:tr w:rsidR="00512DA4" w:rsidRPr="0062042A" w:rsidTr="004258A9">
        <w:trPr>
          <w:trHeight w:val="1103"/>
        </w:trPr>
        <w:tc>
          <w:tcPr>
            <w:tcW w:w="658" w:type="pct"/>
            <w:shd w:val="clear" w:color="000000" w:fill="FFFFFF"/>
            <w:vAlign w:val="center"/>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 xml:space="preserve">Level 3 – </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Intermediate</w:t>
            </w:r>
          </w:p>
        </w:tc>
        <w:tc>
          <w:tcPr>
            <w:tcW w:w="173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Broad and in-depth knowledge and skills with regards to the competency.</w:t>
            </w:r>
            <w:r>
              <w:rPr>
                <w:rFonts w:ascii="Verdana" w:hAnsi="Verdana" w:cstheme="minorHAnsi"/>
                <w:sz w:val="20"/>
                <w:szCs w:val="20"/>
                <w:lang w:val="en-US"/>
              </w:rPr>
              <w:br/>
              <w:t>Ability to deal with a variety of exceptions and special cases related to the competency in an independent manner.</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effectively share knowledge and experience with more junior profiles.</w:t>
            </w:r>
            <w:r>
              <w:rPr>
                <w:rFonts w:ascii="Verdana" w:hAnsi="Verdana" w:cstheme="minorHAnsi"/>
                <w:sz w:val="20"/>
                <w:szCs w:val="20"/>
                <w:lang w:val="en-US"/>
              </w:rPr>
              <w:br/>
              <w:t xml:space="preserve">Confidence in serving as an advisor and is sought out to provide insight in the </w:t>
            </w:r>
            <w:r>
              <w:rPr>
                <w:rFonts w:ascii="Verdana" w:hAnsi="Verdana" w:cstheme="minorHAnsi"/>
                <w:sz w:val="20"/>
                <w:szCs w:val="20"/>
                <w:lang w:val="en-US"/>
              </w:rPr>
              <w:lastRenderedPageBreak/>
              <w:t>application of this competency.</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lastRenderedPageBreak/>
              <w:t xml:space="preserve">Stopnja 3 – </w:t>
            </w:r>
          </w:p>
          <w:p w:rsidR="00512DA4" w:rsidRPr="0044373B" w:rsidRDefault="00512DA4" w:rsidP="00512DA4">
            <w:pPr>
              <w:spacing w:before="60" w:after="120" w:line="240" w:lineRule="auto"/>
              <w:rPr>
                <w:rFonts w:ascii="Verdana" w:hAnsi="Verdana" w:cstheme="minorHAnsi"/>
                <w:sz w:val="20"/>
                <w:szCs w:val="20"/>
              </w:rPr>
            </w:pPr>
            <w:r>
              <w:rPr>
                <w:rFonts w:ascii="Verdana" w:hAnsi="Verdana" w:cstheme="minorHAnsi"/>
                <w:sz w:val="20"/>
              </w:rPr>
              <w:t>vmesna stopnja</w:t>
            </w:r>
          </w:p>
        </w:tc>
        <w:tc>
          <w:tcPr>
            <w:tcW w:w="2014" w:type="pct"/>
            <w:shd w:val="clear" w:color="000000" w:fill="FFFFFF"/>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Obsežno in poglobljeno znanje in spretnosti v zvezi s kompetenco.</w:t>
            </w:r>
            <w:r>
              <w:rPr>
                <w:rFonts w:ascii="Verdana" w:hAnsi="Verdana" w:cstheme="minorHAnsi"/>
                <w:sz w:val="20"/>
                <w:szCs w:val="20"/>
              </w:rPr>
              <w:br/>
            </w:r>
            <w:r>
              <w:rPr>
                <w:rFonts w:ascii="Verdana" w:hAnsi="Verdana" w:cstheme="minorHAnsi"/>
                <w:sz w:val="20"/>
              </w:rPr>
              <w:t>Sposobnost neodvisno obravnavati različne izjeme in posebne primere, povezane s kompetenco.</w:t>
            </w:r>
          </w:p>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Sposobnost učinkovite izmenjave znanja in izkušenj z zaposlenimi na nižjih stopnjah.</w:t>
            </w:r>
            <w:r>
              <w:rPr>
                <w:rFonts w:ascii="Verdana" w:hAnsi="Verdana" w:cstheme="minorHAnsi"/>
                <w:sz w:val="20"/>
                <w:szCs w:val="20"/>
              </w:rPr>
              <w:br/>
            </w:r>
            <w:r>
              <w:rPr>
                <w:rFonts w:ascii="Verdana" w:hAnsi="Verdana" w:cstheme="minorHAnsi"/>
                <w:sz w:val="20"/>
              </w:rPr>
              <w:t>Zaposleni je samozavesten pri zagotavljanju nasvetov, drugi pa se nanj obračajo za vpoglede glede uporabe te kompetence.</w:t>
            </w:r>
          </w:p>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lastRenderedPageBreak/>
              <w:t>Zaposleni lahko druge uči, kako uporabljati to kompetenco, pri čemer lahko zapletene vidike in vprašanja v zvezi s to kompetenco predstavi na preprosto razumljiv način.</w:t>
            </w:r>
          </w:p>
        </w:tc>
      </w:tr>
      <w:tr w:rsidR="00512DA4" w:rsidRPr="0062042A" w:rsidTr="004258A9">
        <w:trPr>
          <w:trHeight w:val="1103"/>
        </w:trPr>
        <w:tc>
          <w:tcPr>
            <w:tcW w:w="658" w:type="pct"/>
            <w:shd w:val="clear" w:color="000000" w:fill="FFFFFF"/>
            <w:vAlign w:val="center"/>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lastRenderedPageBreak/>
              <w:t xml:space="preserve">Level 4 – </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Expert</w:t>
            </w:r>
          </w:p>
        </w:tc>
        <w:tc>
          <w:tcPr>
            <w:tcW w:w="1738" w:type="pct"/>
            <w:shd w:val="clear" w:color="000000" w:fill="FFFFFF"/>
          </w:tcPr>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Extensive expert knowledge and skills with regards to the competency.</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highlight the (dis)advantages of each of the processes related to the competency whilst linking them to the bigger picture.</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Ability to provide tailored advice and to support the advice with relevant and context specific arguments when responding to internal and external queries.</w:t>
            </w:r>
          </w:p>
          <w:p w:rsidR="00512DA4" w:rsidRDefault="00512DA4" w:rsidP="00512DA4">
            <w:pPr>
              <w:spacing w:before="60" w:after="120" w:line="240" w:lineRule="auto"/>
              <w:rPr>
                <w:rFonts w:ascii="Verdana" w:hAnsi="Verdana" w:cstheme="minorHAnsi"/>
                <w:sz w:val="20"/>
                <w:szCs w:val="20"/>
                <w:lang w:val="en-US"/>
              </w:rPr>
            </w:pPr>
            <w:r>
              <w:rPr>
                <w:rFonts w:ascii="Verdana" w:hAnsi="Verdana" w:cstheme="minorHAnsi"/>
                <w:sz w:val="20"/>
                <w:szCs w:val="20"/>
                <w:lang w:val="en-US"/>
              </w:rPr>
              <w:t>Viewed by others as a role model who is capable of leading or teaching others in the area of the competency.</w:t>
            </w:r>
          </w:p>
        </w:tc>
        <w:tc>
          <w:tcPr>
            <w:tcW w:w="590" w:type="pct"/>
            <w:shd w:val="clear" w:color="000000" w:fill="FFFFFF"/>
            <w:vAlign w:val="center"/>
          </w:tcPr>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 xml:space="preserve">Stopnja 4 – </w:t>
            </w:r>
          </w:p>
          <w:p w:rsidR="00512DA4" w:rsidRPr="0044373B" w:rsidRDefault="00512DA4" w:rsidP="00512DA4">
            <w:pPr>
              <w:spacing w:before="60" w:after="120" w:line="240" w:lineRule="auto"/>
              <w:rPr>
                <w:rFonts w:ascii="Verdana" w:hAnsi="Verdana" w:cstheme="minorHAnsi"/>
                <w:sz w:val="20"/>
                <w:szCs w:val="20"/>
              </w:rPr>
            </w:pPr>
            <w:r>
              <w:rPr>
                <w:rFonts w:ascii="Verdana" w:hAnsi="Verdana" w:cstheme="minorHAnsi"/>
                <w:sz w:val="20"/>
              </w:rPr>
              <w:t>strokovna stopnja</w:t>
            </w:r>
          </w:p>
        </w:tc>
        <w:tc>
          <w:tcPr>
            <w:tcW w:w="2014" w:type="pct"/>
            <w:shd w:val="clear" w:color="000000" w:fill="FFFFFF"/>
          </w:tcPr>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Obsežno strokovno znanje in spretnosti v zvezi s kompetenco.</w:t>
            </w:r>
          </w:p>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Sposobnost opredeliti prednosti (pomanjkljivosti) posameznih postopkov, povezanih s kompetenco, in jih povezati s širšim okvirom.</w:t>
            </w:r>
          </w:p>
          <w:p w:rsidR="00512DA4" w:rsidRDefault="00512DA4" w:rsidP="00512DA4">
            <w:pPr>
              <w:spacing w:before="60" w:after="120" w:line="240" w:lineRule="auto"/>
              <w:rPr>
                <w:rFonts w:ascii="Verdana" w:hAnsi="Verdana" w:cstheme="minorHAnsi"/>
                <w:sz w:val="20"/>
                <w:szCs w:val="20"/>
              </w:rPr>
            </w:pPr>
            <w:r>
              <w:rPr>
                <w:rFonts w:ascii="Verdana" w:hAnsi="Verdana" w:cstheme="minorHAnsi"/>
                <w:sz w:val="20"/>
              </w:rPr>
              <w:t>Sposobnost odzvati se na notranje in zunanje poizvedbe s prilagojenimi nasveti ter podpreti nasvete z ustreznimi in okoliščinam prilagojenimi argumenti.</w:t>
            </w:r>
          </w:p>
          <w:p w:rsidR="00512DA4" w:rsidRPr="0062042A" w:rsidRDefault="00512DA4" w:rsidP="00512DA4">
            <w:pPr>
              <w:spacing w:before="60" w:after="120" w:line="240" w:lineRule="auto"/>
              <w:rPr>
                <w:rFonts w:ascii="Verdana" w:hAnsi="Verdana" w:cstheme="minorHAnsi"/>
                <w:sz w:val="20"/>
                <w:szCs w:val="20"/>
              </w:rPr>
            </w:pPr>
            <w:r>
              <w:rPr>
                <w:rFonts w:ascii="Verdana" w:hAnsi="Verdana" w:cstheme="minorHAnsi"/>
                <w:sz w:val="20"/>
              </w:rPr>
              <w:t>Zaposlenega drugi vidijo kot zgled, ki je sposoben voditi ali učiti druge na področju kompetence.</w:t>
            </w:r>
          </w:p>
        </w:tc>
      </w:tr>
    </w:tbl>
    <w:p w:rsidR="0044373B" w:rsidRDefault="0044373B" w:rsidP="0044373B"/>
    <w:p w:rsidR="0044373B" w:rsidRDefault="0044373B" w:rsidP="0044373B"/>
    <w:p w:rsidR="006645FC" w:rsidRDefault="006645FC" w:rsidP="00334B22">
      <w:pPr>
        <w:pStyle w:val="Heading1"/>
        <w:numPr>
          <w:ilvl w:val="0"/>
          <w:numId w:val="6"/>
        </w:numPr>
        <w:sectPr w:rsidR="006645FC" w:rsidSect="00CD1306">
          <w:pgSz w:w="15840" w:h="12240" w:orient="landscape"/>
          <w:pgMar w:top="1440" w:right="1440" w:bottom="1440" w:left="1440" w:header="720" w:footer="720" w:gutter="0"/>
          <w:cols w:space="720"/>
          <w:docGrid w:linePitch="360"/>
        </w:sectPr>
      </w:pPr>
    </w:p>
    <w:p w:rsidR="0057384D" w:rsidRPr="005957F4" w:rsidRDefault="00CD1306" w:rsidP="00334B22">
      <w:pPr>
        <w:pStyle w:val="Heading1"/>
        <w:numPr>
          <w:ilvl w:val="0"/>
          <w:numId w:val="6"/>
        </w:numPr>
      </w:pPr>
      <w:bookmarkStart w:id="9" w:name="_Toc494968298"/>
      <w:bookmarkStart w:id="10" w:name="_Toc511325390"/>
      <w:r>
        <w:lastRenderedPageBreak/>
        <w:t>Operativne kompetence</w:t>
      </w:r>
      <w:bookmarkEnd w:id="9"/>
      <w:bookmarkEnd w:id="10"/>
    </w:p>
    <w:tbl>
      <w:tblPr>
        <w:tblW w:w="12960" w:type="dxa"/>
        <w:tblInd w:w="-5" w:type="dxa"/>
        <w:shd w:val="clear" w:color="auto" w:fill="FFFFFF" w:themeFill="background1"/>
        <w:tblLook w:val="04A0" w:firstRow="1" w:lastRow="0" w:firstColumn="1" w:lastColumn="0" w:noHBand="0" w:noVBand="1"/>
      </w:tblPr>
      <w:tblGrid>
        <w:gridCol w:w="1530"/>
        <w:gridCol w:w="4680"/>
        <w:gridCol w:w="6750"/>
      </w:tblGrid>
      <w:tr w:rsidR="006E6B6A" w:rsidRPr="00095F13" w:rsidTr="00545520">
        <w:trPr>
          <w:trHeight w:val="20"/>
          <w:tblHeader/>
        </w:trPr>
        <w:tc>
          <w:tcPr>
            <w:tcW w:w="1530" w:type="dxa"/>
            <w:tcBorders>
              <w:top w:val="single" w:sz="4" w:space="0" w:color="808080"/>
              <w:left w:val="single" w:sz="4" w:space="0" w:color="808080"/>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p>
        </w:tc>
        <w:tc>
          <w:tcPr>
            <w:tcW w:w="468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Angleščina</w:t>
            </w:r>
          </w:p>
        </w:tc>
        <w:tc>
          <w:tcPr>
            <w:tcW w:w="675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FB424C" w:rsidP="006E6B6A">
            <w:pPr>
              <w:spacing w:after="0" w:line="240" w:lineRule="auto"/>
              <w:jc w:val="center"/>
              <w:rPr>
                <w:rFonts w:ascii="Verdana" w:eastAsia="Times New Roman" w:hAnsi="Verdana" w:cs="Times New Roman"/>
                <w:b/>
                <w:bCs/>
                <w:color w:val="FFFFFF" w:themeColor="background1"/>
                <w:sz w:val="20"/>
                <w:szCs w:val="20"/>
              </w:rPr>
            </w:pPr>
            <w:r>
              <w:rPr>
                <w:rFonts w:ascii="Verdana" w:hAnsi="Verdana" w:cstheme="minorHAnsi"/>
                <w:b/>
                <w:color w:val="FFFFFF" w:themeColor="background1"/>
                <w:sz w:val="20"/>
              </w:rPr>
              <w:t>Slovenščina</w:t>
            </w:r>
          </w:p>
        </w:tc>
      </w:tr>
      <w:tr w:rsidR="007764F0" w:rsidRPr="00095F13" w:rsidTr="007517C1">
        <w:tblPrEx>
          <w:shd w:val="clear" w:color="auto" w:fill="auto"/>
        </w:tblPrEx>
        <w:trPr>
          <w:trHeight w:val="296"/>
          <w:tblHeader/>
        </w:trPr>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7764F0" w:rsidRPr="00095F13" w:rsidRDefault="007764F0" w:rsidP="007764F0">
            <w:pPr>
              <w:rPr>
                <w:rFonts w:ascii="Verdana" w:hAnsi="Verdana"/>
                <w:b/>
                <w:sz w:val="20"/>
                <w:szCs w:val="20"/>
              </w:rPr>
            </w:pPr>
            <w:r>
              <w:rPr>
                <w:rFonts w:ascii="Verdana" w:hAnsi="Verdana"/>
                <w:b/>
                <w:sz w:val="20"/>
              </w:rPr>
              <w:t>Koda</w:t>
            </w:r>
          </w:p>
        </w:tc>
        <w:tc>
          <w:tcPr>
            <w:tcW w:w="468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7764F0" w:rsidRPr="007764F0" w:rsidRDefault="007764F0" w:rsidP="007764F0">
            <w:pPr>
              <w:rPr>
                <w:rFonts w:ascii="Verdana" w:hAnsi="Verdana"/>
                <w:b/>
                <w:sz w:val="20"/>
                <w:szCs w:val="20"/>
                <w:lang w:val="en-US"/>
              </w:rPr>
            </w:pPr>
            <w:r>
              <w:rPr>
                <w:rFonts w:ascii="Verdana" w:hAnsi="Verdana"/>
                <w:b/>
                <w:sz w:val="20"/>
                <w:szCs w:val="20"/>
                <w:lang w:val="en-US"/>
              </w:rPr>
              <w:t>Competency</w:t>
            </w:r>
          </w:p>
        </w:tc>
        <w:tc>
          <w:tcPr>
            <w:tcW w:w="675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7764F0" w:rsidRPr="00095F13" w:rsidRDefault="007764F0" w:rsidP="007764F0">
            <w:pPr>
              <w:rPr>
                <w:rFonts w:ascii="Verdana" w:hAnsi="Verdana"/>
                <w:b/>
                <w:sz w:val="20"/>
                <w:szCs w:val="20"/>
              </w:rPr>
            </w:pPr>
            <w:r>
              <w:rPr>
                <w:rFonts w:ascii="Verdana" w:hAnsi="Verdana"/>
                <w:b/>
                <w:sz w:val="20"/>
              </w:rPr>
              <w:t>Kompetenca</w:t>
            </w:r>
          </w:p>
        </w:tc>
      </w:tr>
      <w:tr w:rsidR="00757D6B" w:rsidRPr="00095F13" w:rsidTr="00F16688">
        <w:tblPrEx>
          <w:shd w:val="clear" w:color="auto" w:fill="auto"/>
        </w:tblPrEx>
        <w:trPr>
          <w:trHeight w:val="20"/>
        </w:trPr>
        <w:tc>
          <w:tcPr>
            <w:tcW w:w="15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General provisions of ESIF EU / National legal acts</w:t>
            </w:r>
          </w:p>
        </w:tc>
        <w:tc>
          <w:tcPr>
            <w:tcW w:w="6750" w:type="dxa"/>
            <w:tcBorders>
              <w:top w:val="single" w:sz="4" w:space="0" w:color="808080"/>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Splošne določbe pravnih aktov EU/nacionalnih pravnih aktov o skladih ESI</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European strategic documents (e.g. relevant thematic EU policies, Council Recommendations)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Evropski strateški dokumenti (na primer ustrezne tematske politike EU, priporočila Sveta)</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Relevant thematic knowledge (thematic legislation, costs, applicable standards, trends)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Ustrezno tematsko znanje (tematska zakonodaja, stroški, veljavni standardi, trendi)</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CB.O.C4</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 xml:space="preserve">Eligibility of expenditure provisions </w:t>
            </w:r>
            <w:r>
              <w:rPr>
                <w:rFonts w:ascii="Verdana" w:hAnsi="Verdana"/>
                <w:color w:val="000000"/>
                <w:sz w:val="20"/>
                <w:szCs w:val="20"/>
                <w:lang w:val="en-US"/>
              </w:rPr>
              <w:t>included in ESIF EU / National legal acts (rules, guidelines and methodologies, including the scope of support)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 xml:space="preserve">Določbe o upravičenosti izdatkov, </w:t>
            </w:r>
            <w:r>
              <w:rPr>
                <w:rFonts w:ascii="Verdana" w:hAnsi="Verdana"/>
                <w:color w:val="000000"/>
                <w:sz w:val="20"/>
              </w:rPr>
              <w:t>vključene v pravne akte EU/nacionalne pravne akte o skladih ESI (pravila, smernice in metodologije, vključno s področjem uporabe podpore)</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CB.O.C5</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 xml:space="preserve">Management of </w:t>
            </w:r>
            <w:proofErr w:type="spellStart"/>
            <w:r>
              <w:rPr>
                <w:rFonts w:ascii="Verdana" w:hAnsi="Verdana"/>
                <w:sz w:val="20"/>
                <w:szCs w:val="20"/>
                <w:lang w:val="en-US"/>
              </w:rPr>
              <w:t>programme</w:t>
            </w:r>
            <w:proofErr w:type="spellEnd"/>
            <w:r>
              <w:rPr>
                <w:rFonts w:ascii="Verdana" w:hAnsi="Verdana"/>
                <w:sz w:val="20"/>
                <w:szCs w:val="20"/>
                <w:lang w:val="en-US"/>
              </w:rPr>
              <w:t>, priority or measure evaluation process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Upravljanje postopka vrednotenja programa, prednostne naloge ali ukrepa</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CB.O.C6</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Territorial issues, such as ITI, CLLD, Sustainable urban development, macro/regional strategies and interregional cooperation planning</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 xml:space="preserve">Teritorialna vprašanja, kot so celostne teritorialne naložbe, lokalni razvoj, ki ga vodi skupnost, trajnostni urbani razvoj, makro/regionalne strategije in načrtovanje </w:t>
            </w:r>
            <w:proofErr w:type="spellStart"/>
            <w:r>
              <w:rPr>
                <w:rFonts w:ascii="Verdana" w:hAnsi="Verdana"/>
                <w:sz w:val="20"/>
              </w:rPr>
              <w:t>medregionalnega</w:t>
            </w:r>
            <w:proofErr w:type="spellEnd"/>
            <w:r>
              <w:rPr>
                <w:rFonts w:ascii="Verdana" w:hAnsi="Verdana"/>
                <w:sz w:val="20"/>
              </w:rPr>
              <w:t xml:space="preserve"> sodelovanja</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CB.O.C7</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 xml:space="preserve">Ex-ante </w:t>
            </w:r>
            <w:proofErr w:type="spellStart"/>
            <w:r>
              <w:rPr>
                <w:rFonts w:ascii="Verdana" w:hAnsi="Verdana"/>
                <w:sz w:val="20"/>
                <w:szCs w:val="20"/>
                <w:lang w:val="en-US"/>
              </w:rPr>
              <w:t>conditionalities</w:t>
            </w:r>
            <w:proofErr w:type="spellEnd"/>
            <w:r>
              <w:rPr>
                <w:rFonts w:ascii="Verdana" w:hAnsi="Verdana"/>
                <w:sz w:val="20"/>
                <w:szCs w:val="20"/>
                <w:lang w:val="en-US"/>
              </w:rPr>
              <w:t xml:space="preserve"> (assessment and follow-up of implementation of action plans for fulfilment)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Predhodne pogojenosti (ocenjevanje in nadaljnje spremljanje izvajanja akcijskih načrtov za njihovo izpolnitev)</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CB.O.C8</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Socio-economic analysis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Socialno-ekonomska analiza</w:t>
            </w:r>
          </w:p>
        </w:tc>
      </w:tr>
      <w:tr w:rsidR="00757D6B" w:rsidRPr="00095F13" w:rsidTr="00F16688">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CB.O.C9</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Intervention logic</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Intervencijska logika</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CB.O.C10</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 xml:space="preserve">Coherence and complementarity with ESIF, </w:t>
            </w:r>
            <w:r>
              <w:rPr>
                <w:rFonts w:ascii="Verdana" w:hAnsi="Verdana"/>
                <w:sz w:val="20"/>
                <w:szCs w:val="20"/>
                <w:lang w:val="en-US"/>
              </w:rPr>
              <w:lastRenderedPageBreak/>
              <w:t>EU and national policies and instruments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lastRenderedPageBreak/>
              <w:t xml:space="preserve">Usklajenost in dopolnjevanje s skladi ESI, politikami in </w:t>
            </w:r>
            <w:r>
              <w:rPr>
                <w:rFonts w:ascii="Verdana" w:hAnsi="Verdana"/>
                <w:sz w:val="20"/>
              </w:rPr>
              <w:lastRenderedPageBreak/>
              <w:t>instrumenti EU ter nacionalnimi politikami in instrumenti</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lastRenderedPageBreak/>
              <w:t>CB.O.C11</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proofErr w:type="spellStart"/>
            <w:r>
              <w:rPr>
                <w:rFonts w:ascii="Verdana" w:hAnsi="Verdana"/>
                <w:sz w:val="20"/>
                <w:szCs w:val="20"/>
                <w:lang w:val="en-US"/>
              </w:rPr>
              <w:t>Prioritising</w:t>
            </w:r>
            <w:proofErr w:type="spellEnd"/>
            <w:r>
              <w:rPr>
                <w:rFonts w:ascii="Verdana" w:hAnsi="Verdana"/>
                <w:sz w:val="20"/>
                <w:szCs w:val="20"/>
                <w:lang w:val="en-US"/>
              </w:rPr>
              <w:t xml:space="preserve"> and planning financial allocations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Prednostno razvrščanje in načrtovanje finančnih dodelitev</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CB.O.C12</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Additionality assessment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 xml:space="preserve">Ocenjevanje </w:t>
            </w:r>
            <w:proofErr w:type="spellStart"/>
            <w:r>
              <w:rPr>
                <w:rFonts w:ascii="Verdana" w:hAnsi="Verdana"/>
                <w:sz w:val="20"/>
              </w:rPr>
              <w:t>dodatnosti</w:t>
            </w:r>
            <w:proofErr w:type="spellEnd"/>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CB.O.C13</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Financial instruments design and implementation mechanisms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Mehanizmi načrtovanja in izvajanja finančnih instrumentov</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CB.O.C14</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Public procurement rules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Pravila o javnem naročanju</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CB.O.C15</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Horizontal issues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Horizontalna vprašanja</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CB.O.C16</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Programme management and project cycle management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Upravljanje programa in upravljanje projektnega cikla</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CB.O.C17</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Fraud risk, irregularities management (incl. prevention, detection and mitigation measures)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Obvladovanje tveganja goljufije, upravljanje nepravilnosti (vključno z ukrepi za preprečevanje, odkrivanje in zmanjšanje)</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CB.O.C18</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State Aid</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Državna pomoč</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CB.O.C19</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Administrative organization definition and revision</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Opredelitev in revizija upravne organizacije</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CB.O.C20</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Assessment of ESIF system performance</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Ocenjevanje uspešnosti sistema skladov ESI</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CB.O.C21</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Development and maintenance of MIS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Razvoj in vzdrževanje MIS</w:t>
            </w:r>
          </w:p>
        </w:tc>
      </w:tr>
      <w:tr w:rsidR="00757D6B" w:rsidRPr="00095F13" w:rsidTr="002D21B4">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CB.O.C22</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Administrative burden assessment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Ocenjevanje upravnega bremena</w:t>
            </w:r>
          </w:p>
        </w:tc>
      </w:tr>
      <w:tr w:rsidR="00757D6B" w:rsidRPr="00095F13" w:rsidTr="003F2B80">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CB.O.C23</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Pr="00757D6B" w:rsidRDefault="00757D6B" w:rsidP="00757D6B">
            <w:pPr>
              <w:rPr>
                <w:rFonts w:ascii="Verdana" w:hAnsi="Verdana"/>
                <w:sz w:val="20"/>
                <w:szCs w:val="20"/>
                <w:lang w:val="en-US"/>
              </w:rPr>
            </w:pPr>
            <w:r>
              <w:rPr>
                <w:rFonts w:ascii="Verdana" w:hAnsi="Verdana"/>
                <w:sz w:val="20"/>
                <w:szCs w:val="20"/>
                <w:lang w:val="en-US"/>
              </w:rPr>
              <w:t>National strategic documents (e.g. National Development Strategies, relevant thematic and sectoral policies)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Nacionalni strateški dokumenti (na primer nacionalne razvojne strategije, ustrezne tematske in sektorske politike)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CB.O.C24</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Input, output, results indicators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Kazalniki vložka, učinka, rezultatov</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lastRenderedPageBreak/>
              <w:t>CB.O.C25</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Implementation mechanisms assessment</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Ocenjevanje mehanizmov izvajanja</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CB.O.C26</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Visibility rules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Pravila o prepoznavnosti</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CB.O.C27</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Identification of different stakeholders and their information needs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Opredelitev različnih zainteresiranih strani in njihovih potreb po informacijah</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CB.O.C28</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Management of relevant media</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Upravljanje ustreznih medijev</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CB.O.C29</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Administrative procedures for procurement of goods and services from Technical Assistance</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Upravni postopki za javno naročanje blaga in storitev v okviru tehnične podpore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CB.O.C30</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Web communication</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Spletno komuniciranje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CB.O.C31</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Cross-border, transnational and interregional cooperation and European Grouping of Territorial Cooperation</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 xml:space="preserve">Čezmejno, transnacionalno in </w:t>
            </w:r>
            <w:proofErr w:type="spellStart"/>
            <w:r>
              <w:rPr>
                <w:rFonts w:ascii="Verdana" w:hAnsi="Verdana"/>
                <w:sz w:val="20"/>
              </w:rPr>
              <w:t>medregionalno</w:t>
            </w:r>
            <w:proofErr w:type="spellEnd"/>
            <w:r>
              <w:rPr>
                <w:rFonts w:ascii="Verdana" w:hAnsi="Verdana"/>
                <w:sz w:val="20"/>
              </w:rPr>
              <w:t xml:space="preserve"> sodelovanje ter evropsko združenje za teritorialno sodelovanje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CB.O.C32</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Management of the outsourcing of TA activities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Upravljanje zunanjega izvajanja dejavnosti tehnične podpore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CB.O.C33</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 xml:space="preserve">Economic environment and reform processes (European Semester, National Reform </w:t>
            </w:r>
            <w:proofErr w:type="spellStart"/>
            <w:r>
              <w:rPr>
                <w:rFonts w:ascii="Verdana" w:hAnsi="Verdana"/>
                <w:sz w:val="20"/>
                <w:szCs w:val="20"/>
                <w:lang w:val="en-US"/>
              </w:rPr>
              <w:t>Programmes</w:t>
            </w:r>
            <w:proofErr w:type="spellEnd"/>
            <w:r>
              <w:rPr>
                <w:rFonts w:ascii="Verdana" w:hAnsi="Verdana"/>
                <w:sz w:val="20"/>
                <w:szCs w:val="20"/>
                <w:lang w:val="en-US"/>
              </w:rPr>
              <w:t xml:space="preserve"> and Country Specific Recommendations)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Gospodarsko okolje in procesi reform (evropski semester, nacionalni programi reform in priporočila za posamezne države)</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CB.O.C34</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Budgeting and cost estimation</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Priprava proračuna in ocena stroškov</w:t>
            </w:r>
          </w:p>
        </w:tc>
      </w:tr>
      <w:tr w:rsidR="00757D6B" w:rsidRPr="00095F13" w:rsidTr="006B38B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757D6B" w:rsidRPr="00095F13" w:rsidRDefault="00757D6B" w:rsidP="00757D6B">
            <w:pPr>
              <w:rPr>
                <w:rFonts w:ascii="Verdana" w:hAnsi="Verdana"/>
                <w:sz w:val="20"/>
                <w:szCs w:val="20"/>
              </w:rPr>
            </w:pPr>
            <w:proofErr w:type="spellStart"/>
            <w:r>
              <w:rPr>
                <w:rFonts w:ascii="Verdana" w:hAnsi="Verdana"/>
                <w:sz w:val="20"/>
              </w:rPr>
              <w:t>CB.O.C35</w:t>
            </w:r>
            <w:proofErr w:type="spellEnd"/>
          </w:p>
        </w:tc>
        <w:tc>
          <w:tcPr>
            <w:tcW w:w="4680" w:type="dxa"/>
            <w:tcBorders>
              <w:top w:val="nil"/>
              <w:left w:val="nil"/>
              <w:bottom w:val="single" w:sz="4" w:space="0" w:color="808080"/>
              <w:right w:val="single" w:sz="4" w:space="0" w:color="808080"/>
            </w:tcBorders>
            <w:shd w:val="clear" w:color="auto" w:fill="auto"/>
            <w:vAlign w:val="center"/>
            <w:hideMark/>
          </w:tcPr>
          <w:p w:rsidR="00757D6B" w:rsidRDefault="00757D6B" w:rsidP="00757D6B">
            <w:pPr>
              <w:rPr>
                <w:rFonts w:ascii="Verdana" w:hAnsi="Verdana"/>
                <w:sz w:val="20"/>
                <w:szCs w:val="20"/>
                <w:lang w:val="en-US"/>
              </w:rPr>
            </w:pPr>
            <w:r>
              <w:rPr>
                <w:rFonts w:ascii="Verdana" w:hAnsi="Verdana"/>
                <w:sz w:val="20"/>
                <w:szCs w:val="20"/>
                <w:lang w:val="en-US"/>
              </w:rPr>
              <w:t>Audit standards, procedures and methodologies</w:t>
            </w:r>
          </w:p>
        </w:tc>
        <w:tc>
          <w:tcPr>
            <w:tcW w:w="6750" w:type="dxa"/>
            <w:tcBorders>
              <w:top w:val="nil"/>
              <w:left w:val="nil"/>
              <w:bottom w:val="single" w:sz="4" w:space="0" w:color="808080"/>
              <w:right w:val="single" w:sz="4" w:space="0" w:color="808080"/>
            </w:tcBorders>
            <w:shd w:val="clear" w:color="auto" w:fill="auto"/>
            <w:vAlign w:val="center"/>
          </w:tcPr>
          <w:p w:rsidR="00757D6B" w:rsidRPr="00095F13" w:rsidRDefault="00757D6B" w:rsidP="00757D6B">
            <w:pPr>
              <w:rPr>
                <w:rFonts w:ascii="Verdana" w:hAnsi="Verdana"/>
                <w:sz w:val="20"/>
                <w:szCs w:val="20"/>
              </w:rPr>
            </w:pPr>
            <w:r>
              <w:rPr>
                <w:rFonts w:ascii="Verdana" w:hAnsi="Verdana"/>
                <w:sz w:val="20"/>
              </w:rPr>
              <w:t>Revizijski standardi, postopki in metodologije</w:t>
            </w:r>
          </w:p>
        </w:tc>
      </w:tr>
    </w:tbl>
    <w:p w:rsidR="001C491D" w:rsidRPr="003870A6" w:rsidRDefault="001C491D" w:rsidP="00385389">
      <w:pPr>
        <w:pStyle w:val="Heading1"/>
        <w:numPr>
          <w:ilvl w:val="0"/>
          <w:numId w:val="0"/>
        </w:numPr>
        <w:ind w:left="547"/>
      </w:pPr>
    </w:p>
    <w:p w:rsidR="00545520" w:rsidRDefault="00545520" w:rsidP="00334B22">
      <w:pPr>
        <w:pStyle w:val="Heading1"/>
        <w:numPr>
          <w:ilvl w:val="0"/>
          <w:numId w:val="6"/>
        </w:numPr>
        <w:sectPr w:rsidR="00545520" w:rsidSect="00CD1306">
          <w:pgSz w:w="15840" w:h="12240" w:orient="landscape"/>
          <w:pgMar w:top="1440" w:right="1440" w:bottom="1440" w:left="1440" w:header="720" w:footer="720" w:gutter="0"/>
          <w:cols w:space="720"/>
          <w:docGrid w:linePitch="360"/>
        </w:sectPr>
      </w:pPr>
    </w:p>
    <w:p w:rsidR="000E47BD" w:rsidRPr="003870A6" w:rsidRDefault="000E47BD" w:rsidP="00334B22">
      <w:pPr>
        <w:pStyle w:val="Heading1"/>
        <w:numPr>
          <w:ilvl w:val="0"/>
          <w:numId w:val="6"/>
        </w:numPr>
      </w:pPr>
      <w:bookmarkStart w:id="11" w:name="_Toc494968299"/>
      <w:bookmarkStart w:id="12" w:name="_Toc511325391"/>
      <w:r>
        <w:lastRenderedPageBreak/>
        <w:t>Upravljavske kompetence</w:t>
      </w:r>
      <w:bookmarkEnd w:id="11"/>
      <w:bookmarkEnd w:id="12"/>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663"/>
        <w:gridCol w:w="2108"/>
        <w:gridCol w:w="4298"/>
      </w:tblGrid>
      <w:tr w:rsidR="00545520" w:rsidRPr="00095F13" w:rsidTr="00545520">
        <w:trPr>
          <w:trHeight w:val="350"/>
          <w:tblHeader/>
        </w:trPr>
        <w:tc>
          <w:tcPr>
            <w:tcW w:w="2569" w:type="pct"/>
            <w:gridSpan w:val="3"/>
            <w:shd w:val="clear" w:color="auto" w:fill="1F3864" w:themeFill="accent5" w:themeFillShade="80"/>
            <w:vAlign w:val="center"/>
          </w:tcPr>
          <w:p w:rsidR="00545520" w:rsidRPr="00095F13" w:rsidRDefault="00545520" w:rsidP="00162980">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Angleščina</w:t>
            </w:r>
          </w:p>
        </w:tc>
        <w:tc>
          <w:tcPr>
            <w:tcW w:w="2431" w:type="pct"/>
            <w:gridSpan w:val="2"/>
            <w:shd w:val="clear" w:color="auto" w:fill="1F3864" w:themeFill="accent5" w:themeFillShade="80"/>
            <w:vAlign w:val="center"/>
          </w:tcPr>
          <w:p w:rsidR="00545520" w:rsidRPr="00095F13" w:rsidRDefault="0067494F" w:rsidP="000A1ECD">
            <w:pPr>
              <w:spacing w:after="0" w:line="240" w:lineRule="auto"/>
              <w:jc w:val="center"/>
              <w:rPr>
                <w:rFonts w:ascii="Verdana" w:eastAsia="Times New Roman" w:hAnsi="Verdana" w:cs="Times New Roman"/>
                <w:b/>
                <w:bCs/>
                <w:color w:val="FFFFFF" w:themeColor="background1"/>
                <w:sz w:val="20"/>
                <w:szCs w:val="20"/>
              </w:rPr>
            </w:pPr>
            <w:r>
              <w:rPr>
                <w:rFonts w:ascii="Verdana" w:hAnsi="Verdana" w:cstheme="minorHAnsi"/>
                <w:b/>
                <w:color w:val="FFFFFF" w:themeColor="background1"/>
                <w:sz w:val="20"/>
              </w:rPr>
              <w:t>Slovenščina</w:t>
            </w:r>
          </w:p>
        </w:tc>
      </w:tr>
      <w:tr w:rsidR="000150CF" w:rsidRPr="00095F13" w:rsidTr="00545520">
        <w:trPr>
          <w:trHeight w:val="255"/>
          <w:tblHeader/>
        </w:trPr>
        <w:tc>
          <w:tcPr>
            <w:tcW w:w="386" w:type="pct"/>
            <w:shd w:val="clear" w:color="auto" w:fill="EDEDED" w:themeFill="accent3" w:themeFillTint="33"/>
            <w:vAlign w:val="center"/>
          </w:tcPr>
          <w:p w:rsidR="000150CF" w:rsidRPr="00095F13" w:rsidRDefault="000150CF" w:rsidP="000150CF">
            <w:pPr>
              <w:spacing w:after="0" w:line="240" w:lineRule="auto"/>
              <w:rPr>
                <w:rFonts w:ascii="Verdana" w:eastAsia="Times New Roman" w:hAnsi="Verdana" w:cstheme="minorHAnsi"/>
                <w:b/>
                <w:bCs/>
                <w:sz w:val="20"/>
                <w:szCs w:val="20"/>
              </w:rPr>
            </w:pPr>
            <w:r>
              <w:rPr>
                <w:rFonts w:ascii="Verdana" w:hAnsi="Verdana" w:cstheme="minorHAnsi"/>
                <w:b/>
                <w:sz w:val="20"/>
              </w:rPr>
              <w:t>Koda</w:t>
            </w:r>
          </w:p>
        </w:tc>
        <w:tc>
          <w:tcPr>
            <w:tcW w:w="793" w:type="pct"/>
            <w:shd w:val="clear" w:color="auto" w:fill="EDEDED" w:themeFill="accent3" w:themeFillTint="33"/>
            <w:noWrap/>
            <w:vAlign w:val="center"/>
            <w:hideMark/>
          </w:tcPr>
          <w:p w:rsidR="000150CF" w:rsidRDefault="000150CF" w:rsidP="000150CF">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Competency</w:t>
            </w:r>
          </w:p>
        </w:tc>
        <w:tc>
          <w:tcPr>
            <w:tcW w:w="1390" w:type="pct"/>
            <w:shd w:val="clear" w:color="auto" w:fill="EDEDED" w:themeFill="accent3" w:themeFillTint="33"/>
            <w:noWrap/>
            <w:vAlign w:val="center"/>
            <w:hideMark/>
          </w:tcPr>
          <w:p w:rsidR="000150CF" w:rsidRDefault="000150CF" w:rsidP="000150CF">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Description</w:t>
            </w:r>
          </w:p>
        </w:tc>
        <w:tc>
          <w:tcPr>
            <w:tcW w:w="800" w:type="pct"/>
            <w:shd w:val="clear" w:color="auto" w:fill="EDEDED" w:themeFill="accent3" w:themeFillTint="33"/>
            <w:vAlign w:val="center"/>
          </w:tcPr>
          <w:p w:rsidR="000150CF" w:rsidRPr="00095F13" w:rsidRDefault="000150CF" w:rsidP="000150CF">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Kompetenca</w:t>
            </w:r>
          </w:p>
        </w:tc>
        <w:tc>
          <w:tcPr>
            <w:tcW w:w="1631" w:type="pct"/>
            <w:shd w:val="clear" w:color="auto" w:fill="EDEDED" w:themeFill="accent3" w:themeFillTint="33"/>
            <w:vAlign w:val="center"/>
          </w:tcPr>
          <w:p w:rsidR="000150CF" w:rsidRPr="00095F13" w:rsidRDefault="000150CF" w:rsidP="000150CF">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0150CF" w:rsidRPr="00095F13" w:rsidTr="00545520">
        <w:trPr>
          <w:trHeight w:val="579"/>
        </w:trPr>
        <w:tc>
          <w:tcPr>
            <w:tcW w:w="386" w:type="pct"/>
            <w:shd w:val="clear" w:color="000000" w:fill="FFFFFF"/>
            <w:vAlign w:val="center"/>
          </w:tcPr>
          <w:p w:rsidR="000150CF" w:rsidRPr="00095F13" w:rsidRDefault="000150CF" w:rsidP="000150CF">
            <w:pPr>
              <w:spacing w:after="0"/>
              <w:rPr>
                <w:rFonts w:ascii="Verdana" w:hAnsi="Verdana" w:cstheme="minorHAnsi"/>
                <w:sz w:val="20"/>
                <w:szCs w:val="20"/>
              </w:rPr>
            </w:pPr>
            <w:proofErr w:type="spellStart"/>
            <w:r>
              <w:rPr>
                <w:rFonts w:ascii="Verdana" w:hAnsi="Verdana" w:cstheme="minorHAnsi"/>
                <w:sz w:val="20"/>
              </w:rPr>
              <w:t>M.C1</w:t>
            </w:r>
            <w:proofErr w:type="spellEnd"/>
          </w:p>
        </w:tc>
        <w:tc>
          <w:tcPr>
            <w:tcW w:w="793"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Developing others and people management</w:t>
            </w:r>
          </w:p>
        </w:tc>
        <w:tc>
          <w:tcPr>
            <w:tcW w:w="1390"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w:t>
            </w:r>
            <w:proofErr w:type="spellStart"/>
            <w:r>
              <w:rPr>
                <w:rFonts w:ascii="Verdana" w:hAnsi="Verdana" w:cstheme="minorHAnsi"/>
                <w:sz w:val="20"/>
                <w:szCs w:val="20"/>
                <w:lang w:val="en-US"/>
              </w:rPr>
              <w:t>maximise</w:t>
            </w:r>
            <w:proofErr w:type="spellEnd"/>
            <w:r>
              <w:rPr>
                <w:rFonts w:ascii="Verdana" w:hAnsi="Verdana" w:cstheme="minorHAnsi"/>
                <w:sz w:val="20"/>
                <w:szCs w:val="20"/>
                <w:lang w:val="en-US"/>
              </w:rPr>
              <w:t xml:space="preserve"> the efficiency of human resources.</w:t>
            </w:r>
          </w:p>
        </w:tc>
        <w:tc>
          <w:tcPr>
            <w:tcW w:w="800"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t>Razvoj drugih in upravljanje človeških virov</w:t>
            </w:r>
          </w:p>
        </w:tc>
        <w:tc>
          <w:tcPr>
            <w:tcW w:w="1631"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t>Dokazovanje sposobnosti zagotoviti pravočasna, jasna in konkretna navodila, povratne informacije in podporo drugim pri opredelitvi potreb po razvoju in usposabljanju ter priložnosti zanju, razvoju njihovega znanja, spretnosti in sposobnosti, potrebnih za opravljanje dodeljenih nalog ali reševanje težav, pa tudi dokazovanje sposobnosti upravljati delovne dejavnosti zaposlenih ter njihovega razvoja in uspešnosti tako, da se kar najbolj poveča učinkovitost človeških virov.</w:t>
            </w:r>
          </w:p>
        </w:tc>
      </w:tr>
      <w:tr w:rsidR="000150CF" w:rsidRPr="00095F13" w:rsidTr="00545520">
        <w:trPr>
          <w:trHeight w:val="765"/>
        </w:trPr>
        <w:tc>
          <w:tcPr>
            <w:tcW w:w="386" w:type="pct"/>
            <w:shd w:val="clear" w:color="000000" w:fill="FFFFFF"/>
            <w:vAlign w:val="center"/>
          </w:tcPr>
          <w:p w:rsidR="000150CF" w:rsidRPr="00095F13" w:rsidRDefault="000150CF" w:rsidP="000150CF">
            <w:pPr>
              <w:spacing w:after="0"/>
              <w:rPr>
                <w:rFonts w:ascii="Verdana" w:hAnsi="Verdana" w:cstheme="minorHAnsi"/>
                <w:sz w:val="20"/>
                <w:szCs w:val="20"/>
              </w:rPr>
            </w:pPr>
            <w:proofErr w:type="spellStart"/>
            <w:r>
              <w:rPr>
                <w:rFonts w:ascii="Verdana" w:hAnsi="Verdana" w:cstheme="minorHAnsi"/>
                <w:sz w:val="20"/>
              </w:rPr>
              <w:t>M.C2</w:t>
            </w:r>
            <w:proofErr w:type="spellEnd"/>
          </w:p>
        </w:tc>
        <w:tc>
          <w:tcPr>
            <w:tcW w:w="793"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Decision making</w:t>
            </w:r>
          </w:p>
        </w:tc>
        <w:tc>
          <w:tcPr>
            <w:tcW w:w="1390"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800"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t>Odločanje</w:t>
            </w:r>
          </w:p>
        </w:tc>
        <w:tc>
          <w:tcPr>
            <w:tcW w:w="1631"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t>Dokazovanje sposobnosti uporabljati učinkovite pristope za oblikovanje sklepov ali razvoj rešitev ter sprejemati pravočasne ukrepe v skladu z razpoložljivimi podatki in dejstvi, pridobljenimi iz različnih virov, omejitvami in morebitnimi posledicami.</w:t>
            </w:r>
          </w:p>
        </w:tc>
      </w:tr>
      <w:tr w:rsidR="000150CF" w:rsidRPr="00095F13" w:rsidTr="00545520">
        <w:trPr>
          <w:trHeight w:val="1020"/>
        </w:trPr>
        <w:tc>
          <w:tcPr>
            <w:tcW w:w="386" w:type="pct"/>
            <w:shd w:val="clear" w:color="000000" w:fill="FFFFFF"/>
            <w:vAlign w:val="center"/>
          </w:tcPr>
          <w:p w:rsidR="000150CF" w:rsidRPr="00095F13" w:rsidRDefault="000150CF" w:rsidP="000150CF">
            <w:pPr>
              <w:spacing w:after="0"/>
              <w:rPr>
                <w:rFonts w:ascii="Verdana" w:hAnsi="Verdana" w:cstheme="minorHAnsi"/>
                <w:sz w:val="20"/>
                <w:szCs w:val="20"/>
              </w:rPr>
            </w:pPr>
            <w:proofErr w:type="spellStart"/>
            <w:r>
              <w:rPr>
                <w:rFonts w:ascii="Verdana" w:hAnsi="Verdana" w:cstheme="minorHAnsi"/>
                <w:sz w:val="20"/>
              </w:rPr>
              <w:t>M.C3</w:t>
            </w:r>
            <w:proofErr w:type="spellEnd"/>
          </w:p>
        </w:tc>
        <w:tc>
          <w:tcPr>
            <w:tcW w:w="793"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Delegation</w:t>
            </w:r>
          </w:p>
        </w:tc>
        <w:tc>
          <w:tcPr>
            <w:tcW w:w="1390" w:type="pct"/>
            <w:shd w:val="clear" w:color="000000" w:fill="FFFFFF"/>
            <w:vAlign w:val="center"/>
            <w:hideMark/>
          </w:tcPr>
          <w:p w:rsidR="000150CF" w:rsidRDefault="000150CF" w:rsidP="000150CF">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allocate decision-making and/or task responsibility to others, to ensure clear communication about the allocation and completion of responsibilities, and to provide appropriate support in a manner </w:t>
            </w:r>
            <w:r>
              <w:rPr>
                <w:rFonts w:ascii="Verdana" w:hAnsi="Verdana" w:cstheme="minorHAnsi"/>
                <w:sz w:val="20"/>
                <w:szCs w:val="20"/>
                <w:lang w:val="en-US"/>
              </w:rPr>
              <w:lastRenderedPageBreak/>
              <w:t xml:space="preserve">to </w:t>
            </w:r>
            <w:proofErr w:type="spellStart"/>
            <w:r>
              <w:rPr>
                <w:rFonts w:ascii="Verdana" w:hAnsi="Verdana" w:cstheme="minorHAnsi"/>
                <w:sz w:val="20"/>
                <w:szCs w:val="20"/>
                <w:lang w:val="en-US"/>
              </w:rPr>
              <w:t>maximise</w:t>
            </w:r>
            <w:proofErr w:type="spellEnd"/>
            <w:r>
              <w:rPr>
                <w:rFonts w:ascii="Verdana" w:hAnsi="Verdana" w:cstheme="minorHAnsi"/>
                <w:sz w:val="20"/>
                <w:szCs w:val="20"/>
                <w:lang w:val="en-US"/>
              </w:rPr>
              <w:t xml:space="preserve"> the </w:t>
            </w:r>
            <w:proofErr w:type="spellStart"/>
            <w:r>
              <w:rPr>
                <w:rFonts w:ascii="Verdana" w:hAnsi="Verdana" w:cstheme="minorHAnsi"/>
                <w:sz w:val="20"/>
                <w:szCs w:val="20"/>
                <w:lang w:val="en-US"/>
              </w:rPr>
              <w:t>organisational</w:t>
            </w:r>
            <w:proofErr w:type="spellEnd"/>
            <w:r>
              <w:rPr>
                <w:rFonts w:ascii="Verdana" w:hAnsi="Verdana" w:cstheme="minorHAnsi"/>
                <w:sz w:val="20"/>
                <w:szCs w:val="20"/>
                <w:lang w:val="en-US"/>
              </w:rPr>
              <w:t xml:space="preserve"> and individuals effectiveness.</w:t>
            </w:r>
          </w:p>
        </w:tc>
        <w:tc>
          <w:tcPr>
            <w:tcW w:w="800"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lastRenderedPageBreak/>
              <w:t>Prenos</w:t>
            </w:r>
          </w:p>
        </w:tc>
        <w:tc>
          <w:tcPr>
            <w:tcW w:w="1631" w:type="pct"/>
            <w:shd w:val="clear" w:color="000000" w:fill="FFFFFF"/>
            <w:vAlign w:val="center"/>
          </w:tcPr>
          <w:p w:rsidR="000150CF" w:rsidRPr="00095F13" w:rsidRDefault="000150CF" w:rsidP="000150CF">
            <w:pPr>
              <w:spacing w:after="0"/>
              <w:rPr>
                <w:rFonts w:ascii="Verdana" w:hAnsi="Verdana" w:cstheme="minorHAnsi"/>
                <w:sz w:val="20"/>
                <w:szCs w:val="20"/>
              </w:rPr>
            </w:pPr>
            <w:r>
              <w:rPr>
                <w:rFonts w:ascii="Verdana" w:hAnsi="Verdana" w:cstheme="minorHAnsi"/>
                <w:sz w:val="20"/>
              </w:rPr>
              <w:t>Dokazovanje sposobnosti dodeliti odgovornost za odločanje in/ali nalogo drugim, zagotoviti jasno komunikacijo o dodelitvi in izvedbi odgovornosti ter zagotoviti ustrezno podporo tako, da se kar najbolj poveča uspešnost organizacije in posameznikov.</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lastRenderedPageBreak/>
              <w:t>M.C4</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Facilitation and communication</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Demonstrating ability to evoke engagement and creativity from others, use group capabilities to lead the group to consensus, effectively solve issues, accomplish tasks and mutual goals.</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Olajševanje in komuniciranje</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spodbuditi sodelovanje in ustvarjalnost drugih, uporabiti zmogljivosti skupine za usmerjanje skupine k soglasju, učinkovitemu reševanju težav, izpolnjevanju nalog in skupnih ciljev.</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M.C5</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bookmarkStart w:id="13" w:name="RANGE!B8"/>
            <w:r>
              <w:rPr>
                <w:rFonts w:ascii="Verdana" w:hAnsi="Verdana" w:cstheme="minorHAnsi"/>
                <w:sz w:val="20"/>
                <w:szCs w:val="20"/>
                <w:lang w:val="en-US"/>
              </w:rPr>
              <w:t>Leadership</w:t>
            </w:r>
            <w:bookmarkEnd w:id="13"/>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Demonstrating ability to energize and inspire individuals to strive towards the vision of the future, present clearly goals and objectives, create a sense of direction and purpose for employees and act as a catalyst for action.</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Vodstvene sposobnosti</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motivirati in navdihniti posameznike k prizadevanju za uresničitev vizije za prihodnost, jasno predstaviti cilje, ustvariti občutek usmerjenosti in namena med zaposlenimi ter spodbujati ukrepanje.</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M.C6</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Multi-level stakeholder management</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understand the goals and objectives of various stakeholders, ensure efficient cooperation and stakeholders engagement (incl. being open and stimulating exchange of good practices between different Member States).  </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Upravljanje zainteresiranih strani na več ravneh</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 xml:space="preserve">Dokazovanje sposobnosti razumeti cilje različnih zainteresiranih strani, zagotoviti učinkovito sodelovanje in vključevanje zainteresiranih strani (vključno z dovzetnostjo in spodbujanjem izmenjave dobrih praks med različnimi državami članicami).  </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M.C7</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Negotiating</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effectively explore (facilitating discussion, asking questions, responding to objections, etc.) alternatives and positions of </w:t>
            </w:r>
            <w:r>
              <w:rPr>
                <w:rFonts w:ascii="Verdana" w:hAnsi="Verdana" w:cstheme="minorHAnsi"/>
                <w:sz w:val="20"/>
                <w:szCs w:val="20"/>
                <w:lang w:val="en-US"/>
              </w:rPr>
              <w:lastRenderedPageBreak/>
              <w:t>others to reach outcomes that are accepted by all parties (a win-win solution).</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lastRenderedPageBreak/>
              <w:t>Pogajanje</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 xml:space="preserve">Dokazovanje sposobnosti učinkovito proučiti (olajšati razpravo, spraševati, odzivati se na nasprotovanja itd.) alternativne možnosti in stališča drugih, da bi se dosegli rezultati, ki so </w:t>
            </w:r>
            <w:r>
              <w:rPr>
                <w:rFonts w:ascii="Verdana" w:hAnsi="Verdana" w:cstheme="minorHAnsi"/>
                <w:sz w:val="20"/>
              </w:rPr>
              <w:lastRenderedPageBreak/>
              <w:t>sprejemljivi za vse strani (rešitev, ki koristi vsem).</w:t>
            </w:r>
          </w:p>
        </w:tc>
      </w:tr>
      <w:tr w:rsidR="006006C7" w:rsidRPr="00095F13" w:rsidTr="00545520">
        <w:trPr>
          <w:trHeight w:val="510"/>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lastRenderedPageBreak/>
              <w:t>M.C8</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Result orientation</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Demonstrating ability to set challenging goals, maintain focus and persistence and constantly achieve goals or deliver required results even in the case of adversity.</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Usmerjenost v rezultate</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določiti zahtevne cilje, ohraniti osredotočenost in vztrajnost ter stalno dosegati cilje ali zahtevane rezultate tudi v neugodnih okoliščinah.</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M.C9</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Strategic management</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make decisions and take actions that lead to development and implementation of strategies aligned with the strategic direction of the </w:t>
            </w:r>
            <w:proofErr w:type="spellStart"/>
            <w:r>
              <w:rPr>
                <w:rFonts w:ascii="Verdana" w:hAnsi="Verdana" w:cstheme="minorHAnsi"/>
                <w:sz w:val="20"/>
                <w:szCs w:val="20"/>
                <w:lang w:val="en-US"/>
              </w:rPr>
              <w:t>organisation</w:t>
            </w:r>
            <w:proofErr w:type="spellEnd"/>
            <w:r>
              <w:rPr>
                <w:rFonts w:ascii="Verdana" w:hAnsi="Verdana" w:cstheme="minorHAnsi"/>
                <w:sz w:val="20"/>
                <w:szCs w:val="20"/>
                <w:lang w:val="en-US"/>
              </w:rPr>
              <w:t xml:space="preserve"> and achievement of objectives.</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Strateško upravljanje</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sprejemati odločitve in ukrepe, ki vodijo v razvoj in izvedbo strategij, usklajenih s strateško usmerjenostjo organizacije, ter doseganje ciljev.</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M.C10</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Risk management</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identify, </w:t>
            </w:r>
            <w:proofErr w:type="spellStart"/>
            <w:r>
              <w:rPr>
                <w:rFonts w:ascii="Verdana" w:hAnsi="Verdana" w:cstheme="minorHAnsi"/>
                <w:sz w:val="20"/>
                <w:szCs w:val="20"/>
                <w:lang w:val="en-US"/>
              </w:rPr>
              <w:t>analyse</w:t>
            </w:r>
            <w:proofErr w:type="spellEnd"/>
            <w:r>
              <w:rPr>
                <w:rFonts w:ascii="Verdana" w:hAnsi="Verdana" w:cstheme="minorHAnsi"/>
                <w:sz w:val="20"/>
                <w:szCs w:val="20"/>
                <w:lang w:val="en-US"/>
              </w:rPr>
              <w:t xml:space="preserve">, assess and prioritize risks and to minimize, </w:t>
            </w:r>
            <w:proofErr w:type="gramStart"/>
            <w:r>
              <w:rPr>
                <w:rFonts w:ascii="Verdana" w:hAnsi="Verdana" w:cstheme="minorHAnsi"/>
                <w:sz w:val="20"/>
                <w:szCs w:val="20"/>
                <w:lang w:val="en-US"/>
              </w:rPr>
              <w:t>monitor</w:t>
            </w:r>
            <w:proofErr w:type="gramEnd"/>
            <w:r>
              <w:rPr>
                <w:rFonts w:ascii="Verdana" w:hAnsi="Verdana" w:cstheme="minorHAnsi"/>
                <w:sz w:val="20"/>
                <w:szCs w:val="20"/>
                <w:lang w:val="en-US"/>
              </w:rPr>
              <w:t>, and control the probability and/or impact of unfortunate events or to maximize the realization of opportunities.</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Obvladovanje tveganja</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opredeliti, analizirati, oceniti in prednostno razvrstiti tveganja ter kar najbolj zmanjšati, spremljati in nadzorovati verjetnost in/ali učinek neugodnih dogodkov ali kar najbolj povečati uresničevanje priložnosti.</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t>M.C11</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Planning of resources</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Demonstrating ability to manage organization's resources including but not limited to financial resources, inventory, human skills, production resources, information technology (IT) in an efficient and effective way.</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Načrtovanje virov</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učinkovito in uspešno upravljati vire organizacije, med drugim finančne vire, inventar, človeško znanje in spretnosti, proizvodne vire, informacijsko tehnologijo (IT).</w:t>
            </w:r>
          </w:p>
        </w:tc>
      </w:tr>
      <w:tr w:rsidR="006006C7" w:rsidRPr="00095F13" w:rsidTr="00545520">
        <w:trPr>
          <w:trHeight w:val="765"/>
        </w:trPr>
        <w:tc>
          <w:tcPr>
            <w:tcW w:w="386" w:type="pct"/>
            <w:shd w:val="clear" w:color="000000" w:fill="FFFFFF"/>
            <w:vAlign w:val="center"/>
          </w:tcPr>
          <w:p w:rsidR="006006C7" w:rsidRPr="00095F13" w:rsidRDefault="006006C7" w:rsidP="006006C7">
            <w:pPr>
              <w:spacing w:after="0"/>
              <w:rPr>
                <w:rFonts w:ascii="Verdana" w:hAnsi="Verdana" w:cstheme="minorHAnsi"/>
                <w:sz w:val="20"/>
                <w:szCs w:val="20"/>
              </w:rPr>
            </w:pPr>
            <w:proofErr w:type="spellStart"/>
            <w:r>
              <w:rPr>
                <w:rFonts w:ascii="Verdana" w:hAnsi="Verdana" w:cstheme="minorHAnsi"/>
                <w:sz w:val="20"/>
              </w:rPr>
              <w:lastRenderedPageBreak/>
              <w:t>M.C12</w:t>
            </w:r>
            <w:proofErr w:type="spellEnd"/>
          </w:p>
        </w:tc>
        <w:tc>
          <w:tcPr>
            <w:tcW w:w="793"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HR Strategy development and implementation</w:t>
            </w:r>
          </w:p>
        </w:tc>
        <w:tc>
          <w:tcPr>
            <w:tcW w:w="1390" w:type="pct"/>
            <w:shd w:val="clear" w:color="000000" w:fill="FFFFFF"/>
            <w:vAlign w:val="center"/>
            <w:hideMark/>
          </w:tcPr>
          <w:p w:rsidR="006006C7" w:rsidRDefault="006006C7" w:rsidP="006006C7">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make decisions and take actions that lead to development and implementation of HR strategies aligned with the strategic direction of the </w:t>
            </w:r>
            <w:proofErr w:type="spellStart"/>
            <w:r>
              <w:rPr>
                <w:rFonts w:ascii="Verdana" w:hAnsi="Verdana" w:cstheme="minorHAnsi"/>
                <w:sz w:val="20"/>
                <w:szCs w:val="20"/>
                <w:lang w:val="en-US"/>
              </w:rPr>
              <w:t>organisation</w:t>
            </w:r>
            <w:proofErr w:type="spellEnd"/>
            <w:r>
              <w:rPr>
                <w:rFonts w:ascii="Verdana" w:hAnsi="Verdana" w:cstheme="minorHAnsi"/>
                <w:sz w:val="20"/>
                <w:szCs w:val="20"/>
                <w:lang w:val="en-US"/>
              </w:rPr>
              <w:t xml:space="preserve"> and achievement of objectives.</w:t>
            </w:r>
          </w:p>
        </w:tc>
        <w:tc>
          <w:tcPr>
            <w:tcW w:w="800"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Razvoj in izvajanje strategije človeških virov</w:t>
            </w:r>
          </w:p>
        </w:tc>
        <w:tc>
          <w:tcPr>
            <w:tcW w:w="1631" w:type="pct"/>
            <w:shd w:val="clear" w:color="000000" w:fill="FFFFFF"/>
            <w:vAlign w:val="center"/>
          </w:tcPr>
          <w:p w:rsidR="006006C7" w:rsidRPr="00095F13" w:rsidRDefault="006006C7" w:rsidP="006006C7">
            <w:pPr>
              <w:spacing w:after="0"/>
              <w:rPr>
                <w:rFonts w:ascii="Verdana" w:hAnsi="Verdana" w:cstheme="minorHAnsi"/>
                <w:sz w:val="20"/>
                <w:szCs w:val="20"/>
              </w:rPr>
            </w:pPr>
            <w:r>
              <w:rPr>
                <w:rFonts w:ascii="Verdana" w:hAnsi="Verdana" w:cstheme="minorHAnsi"/>
                <w:sz w:val="20"/>
              </w:rPr>
              <w:t>Dokazovanje sposobnosti sprejemati odločitve in ukrepe, ki vodijo v razvoj in izvedbo strategij človeških virov, usklajenih s strateško usmerjenostjo organizacije, ter doseganje ciljev.</w:t>
            </w:r>
          </w:p>
        </w:tc>
      </w:tr>
    </w:tbl>
    <w:p w:rsidR="000E47BD" w:rsidRPr="003870A6" w:rsidRDefault="000E47BD" w:rsidP="000E47BD">
      <w:pPr>
        <w:spacing w:after="0"/>
        <w:rPr>
          <w:rFonts w:ascii="Verdana" w:hAnsi="Verdana" w:cstheme="minorHAnsi"/>
          <w:sz w:val="18"/>
          <w:szCs w:val="20"/>
        </w:rPr>
      </w:pPr>
    </w:p>
    <w:p w:rsidR="00306B4F" w:rsidRPr="003870A6" w:rsidRDefault="00306B4F" w:rsidP="00385389">
      <w:pPr>
        <w:pStyle w:val="Heading1"/>
        <w:sectPr w:rsidR="00306B4F" w:rsidRPr="003870A6" w:rsidSect="00CD1306">
          <w:pgSz w:w="15840" w:h="12240" w:orient="landscape"/>
          <w:pgMar w:top="1440" w:right="1440" w:bottom="1440" w:left="1440" w:header="720" w:footer="720" w:gutter="0"/>
          <w:cols w:space="720"/>
          <w:docGrid w:linePitch="360"/>
        </w:sectPr>
      </w:pPr>
    </w:p>
    <w:p w:rsidR="000E47BD" w:rsidRPr="003870A6" w:rsidRDefault="000E47BD" w:rsidP="00334B22">
      <w:pPr>
        <w:pStyle w:val="Heading1"/>
        <w:numPr>
          <w:ilvl w:val="0"/>
          <w:numId w:val="6"/>
        </w:numPr>
      </w:pPr>
      <w:bookmarkStart w:id="14" w:name="_Toc494968300"/>
      <w:bookmarkStart w:id="15" w:name="_Toc511325392"/>
      <w:r>
        <w:lastRenderedPageBreak/>
        <w:t>Strokovne kompetence</w:t>
      </w:r>
      <w:bookmarkEnd w:id="14"/>
      <w:bookmarkEnd w:id="15"/>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5"/>
        <w:gridCol w:w="1913"/>
        <w:gridCol w:w="3299"/>
        <w:gridCol w:w="2287"/>
        <w:gridCol w:w="4482"/>
      </w:tblGrid>
      <w:tr w:rsidR="00545520" w:rsidRPr="00095F13" w:rsidTr="00545520">
        <w:trPr>
          <w:trHeight w:val="377"/>
          <w:tblHeader/>
        </w:trPr>
        <w:tc>
          <w:tcPr>
            <w:tcW w:w="2431" w:type="pct"/>
            <w:gridSpan w:val="3"/>
            <w:shd w:val="clear" w:color="auto" w:fill="1F3864" w:themeFill="accent5" w:themeFillShade="80"/>
          </w:tcPr>
          <w:p w:rsidR="00545520" w:rsidRPr="00095F13" w:rsidRDefault="0054552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Angleščina</w:t>
            </w:r>
          </w:p>
        </w:tc>
        <w:tc>
          <w:tcPr>
            <w:tcW w:w="2569" w:type="pct"/>
            <w:gridSpan w:val="2"/>
            <w:shd w:val="clear" w:color="auto" w:fill="1F3864" w:themeFill="accent5" w:themeFillShade="80"/>
            <w:vAlign w:val="center"/>
          </w:tcPr>
          <w:p w:rsidR="00545520" w:rsidRPr="00095F13" w:rsidRDefault="00DC428E"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Slovenščina</w:t>
            </w:r>
          </w:p>
        </w:tc>
      </w:tr>
      <w:tr w:rsidR="007764F0" w:rsidRPr="00095F13" w:rsidTr="00904DCA">
        <w:trPr>
          <w:trHeight w:val="219"/>
          <w:tblHeader/>
        </w:trPr>
        <w:tc>
          <w:tcPr>
            <w:tcW w:w="453" w:type="pct"/>
            <w:shd w:val="clear" w:color="auto" w:fill="EDEDED" w:themeFill="accent3" w:themeFillTint="33"/>
            <w:vAlign w:val="center"/>
          </w:tcPr>
          <w:p w:rsidR="007764F0" w:rsidRPr="00095F13" w:rsidRDefault="007764F0" w:rsidP="007764F0">
            <w:pPr>
              <w:spacing w:after="0" w:line="240" w:lineRule="auto"/>
              <w:jc w:val="center"/>
              <w:rPr>
                <w:rFonts w:ascii="Verdana" w:eastAsia="Times New Roman" w:hAnsi="Verdana" w:cstheme="minorHAnsi"/>
                <w:b/>
                <w:bCs/>
                <w:sz w:val="20"/>
                <w:szCs w:val="20"/>
              </w:rPr>
            </w:pPr>
            <w:r>
              <w:rPr>
                <w:rFonts w:ascii="Verdana" w:hAnsi="Verdana" w:cstheme="minorHAnsi"/>
                <w:b/>
                <w:sz w:val="20"/>
              </w:rPr>
              <w:t>Koda</w:t>
            </w:r>
          </w:p>
        </w:tc>
        <w:tc>
          <w:tcPr>
            <w:tcW w:w="726" w:type="pct"/>
            <w:shd w:val="clear" w:color="auto" w:fill="EDEDED" w:themeFill="accent3" w:themeFillTint="33"/>
            <w:noWrap/>
            <w:vAlign w:val="center"/>
            <w:hideMark/>
          </w:tcPr>
          <w:p w:rsidR="007764F0" w:rsidRDefault="007764F0" w:rsidP="007764F0">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Competency</w:t>
            </w:r>
          </w:p>
        </w:tc>
        <w:tc>
          <w:tcPr>
            <w:tcW w:w="1252" w:type="pct"/>
            <w:shd w:val="clear" w:color="auto" w:fill="EDEDED" w:themeFill="accent3" w:themeFillTint="33"/>
            <w:noWrap/>
            <w:vAlign w:val="center"/>
            <w:hideMark/>
          </w:tcPr>
          <w:p w:rsidR="007764F0" w:rsidRDefault="007764F0" w:rsidP="007764F0">
            <w:pPr>
              <w:spacing w:after="0" w:line="240" w:lineRule="auto"/>
              <w:jc w:val="center"/>
              <w:rPr>
                <w:rFonts w:ascii="Verdana" w:eastAsia="Times New Roman" w:hAnsi="Verdana" w:cstheme="minorHAnsi"/>
                <w:b/>
                <w:bCs/>
                <w:sz w:val="20"/>
                <w:szCs w:val="20"/>
                <w:lang w:val="en-US"/>
              </w:rPr>
            </w:pPr>
            <w:r>
              <w:rPr>
                <w:rFonts w:ascii="Verdana" w:eastAsia="Times New Roman" w:hAnsi="Verdana" w:cstheme="minorHAnsi"/>
                <w:b/>
                <w:bCs/>
                <w:sz w:val="20"/>
                <w:szCs w:val="20"/>
                <w:lang w:val="en-US"/>
              </w:rPr>
              <w:t>Description</w:t>
            </w:r>
          </w:p>
        </w:tc>
        <w:tc>
          <w:tcPr>
            <w:tcW w:w="868" w:type="pct"/>
            <w:shd w:val="clear" w:color="auto" w:fill="EDEDED" w:themeFill="accent3" w:themeFillTint="33"/>
            <w:vAlign w:val="center"/>
          </w:tcPr>
          <w:p w:rsidR="007764F0" w:rsidRPr="00095F13" w:rsidRDefault="007764F0" w:rsidP="007764F0">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Kompetenca</w:t>
            </w:r>
          </w:p>
        </w:tc>
        <w:tc>
          <w:tcPr>
            <w:tcW w:w="1701" w:type="pct"/>
            <w:shd w:val="clear" w:color="auto" w:fill="EDEDED" w:themeFill="accent3" w:themeFillTint="33"/>
            <w:vAlign w:val="center"/>
          </w:tcPr>
          <w:p w:rsidR="007764F0" w:rsidRPr="00095F13" w:rsidRDefault="007764F0" w:rsidP="007764F0">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A8234D" w:rsidRPr="00095F13" w:rsidTr="00545520">
        <w:trPr>
          <w:trHeight w:val="421"/>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P.C1</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Analytical skills</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 xml:space="preserve">Building a logical approach to address complex problems or opportunities by splitting them into constituent parts to identify underlying issues, determine cause and </w:t>
            </w:r>
            <w:proofErr w:type="gramStart"/>
            <w:r>
              <w:rPr>
                <w:rFonts w:ascii="Verdana" w:hAnsi="Verdana" w:cstheme="minorHAnsi"/>
                <w:sz w:val="20"/>
                <w:szCs w:val="20"/>
                <w:lang w:val="en-US"/>
              </w:rPr>
              <w:t>effect</w:t>
            </w:r>
            <w:proofErr w:type="gramEnd"/>
            <w:r>
              <w:rPr>
                <w:rFonts w:ascii="Verdana" w:hAnsi="Verdana" w:cstheme="minorHAnsi"/>
                <w:sz w:val="20"/>
                <w:szCs w:val="20"/>
                <w:lang w:val="en-US"/>
              </w:rPr>
              <w:t xml:space="preserve"> relationships and arrive at conclusions or decisions.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Analitične spretnosti</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Oblikovanje logičnega pristopa k obravnavanju zapletenih problemov ali priložnosti z njihovo razčlenitvijo na sestavne dele za opredelitev osnovnih vprašanj in vzročno-posledičnih zvez ter sprejemanje sklepov ali odločitev.</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P.C2</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Communicating in writing</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Pisno komuniciranje</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jasno in prepričljivo predstaviti informacije in zamisli v pisni obliki, izbrati ustrezna sredstva in slog pisnega komuniciranja za nagovarjanje občinstva, uporabiti pravilno črkovanje, slovnico in ločila ter dokazovanje sposobnosti komunicirati z različnimi kulturami.</w:t>
            </w:r>
          </w:p>
        </w:tc>
      </w:tr>
      <w:tr w:rsidR="00A8234D" w:rsidRPr="00095F13" w:rsidTr="00545520">
        <w:trPr>
          <w:trHeight w:val="878"/>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P.C3</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Communicating verbally</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clearly express thoughts and ideas to individuals or groups using speech in a way that engages the </w:t>
            </w:r>
            <w:proofErr w:type="gramStart"/>
            <w:r>
              <w:rPr>
                <w:rFonts w:ascii="Verdana" w:hAnsi="Verdana" w:cstheme="minorHAnsi"/>
                <w:sz w:val="20"/>
                <w:szCs w:val="20"/>
                <w:lang w:val="en-US"/>
              </w:rPr>
              <w:t>audience,</w:t>
            </w:r>
            <w:proofErr w:type="gramEnd"/>
            <w:r>
              <w:rPr>
                <w:rFonts w:ascii="Verdana" w:hAnsi="Verdana" w:cstheme="minorHAnsi"/>
                <w:sz w:val="20"/>
                <w:szCs w:val="20"/>
                <w:lang w:val="en-US"/>
              </w:rPr>
              <w:t xml:space="preserve"> encourages two-way communication and helps them understand and retain the message, as well as demonstrating ability to </w:t>
            </w:r>
            <w:r>
              <w:rPr>
                <w:rFonts w:ascii="Verdana" w:hAnsi="Verdana" w:cstheme="minorHAnsi"/>
                <w:sz w:val="20"/>
                <w:szCs w:val="20"/>
                <w:lang w:val="en-US"/>
              </w:rPr>
              <w:lastRenderedPageBreak/>
              <w:t>communicate across cultures.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lastRenderedPageBreak/>
              <w:t>Govorno komuniciranje</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jasno ustno predstaviti misli in zamisli posameznikom ali skupinam na način, ki pritegne občinstvo, mu pomaga razumeti in si zapomniti sporočilo ter spodbudi dvosmerno komunikacijo, pa tudi dokazovanje sposobnosti komunicirati z različnimi kulturami.</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lastRenderedPageBreak/>
              <w:t>P.C4</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Conflict handling</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deal effectively with others in an antagonistic situation by </w:t>
            </w:r>
            <w:proofErr w:type="spellStart"/>
            <w:r>
              <w:rPr>
                <w:rFonts w:ascii="Verdana" w:hAnsi="Verdana" w:cstheme="minorHAnsi"/>
                <w:sz w:val="20"/>
                <w:szCs w:val="20"/>
                <w:lang w:val="en-US"/>
              </w:rPr>
              <w:t>recognising</w:t>
            </w:r>
            <w:proofErr w:type="spellEnd"/>
            <w:r>
              <w:rPr>
                <w:rFonts w:ascii="Verdana" w:hAnsi="Verdana" w:cstheme="minorHAnsi"/>
                <w:sz w:val="20"/>
                <w:szCs w:val="20"/>
                <w:lang w:val="en-US"/>
              </w:rPr>
              <w:t xml:space="preserve"> different opinions, bringing them for open discussion and using appropriate interpersonal styles and techniques in order to find a win-win solution in a conflict between two or more people.</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Obravnavanje sporov</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učinkovito ravnati z drugimi v primeru spora z upoštevanjem različnih mnenj, organiziranjem odprte razprave ter uporabo ustreznih medosebnih slogov in metod za tako rešitev spora med dvema ali več osebami, ki koristi vsem.</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P.C5</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Flexibility and adaptability to change </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adjust and retain effectiveness when experiencing major changes in work tasks, work environment, </w:t>
            </w:r>
            <w:proofErr w:type="spellStart"/>
            <w:r>
              <w:rPr>
                <w:rFonts w:ascii="Verdana" w:hAnsi="Verdana" w:cstheme="minorHAnsi"/>
                <w:sz w:val="20"/>
                <w:szCs w:val="20"/>
                <w:lang w:val="en-US"/>
              </w:rPr>
              <w:t>organisational</w:t>
            </w:r>
            <w:proofErr w:type="spellEnd"/>
            <w:r>
              <w:rPr>
                <w:rFonts w:ascii="Verdana" w:hAnsi="Verdana" w:cstheme="minorHAnsi"/>
                <w:sz w:val="20"/>
                <w:szCs w:val="20"/>
                <w:lang w:val="en-US"/>
              </w:rPr>
              <w:t xml:space="preserve"> structure and culture, processes, requirements, and other work related aspects. </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Prožnost in prilagodljivost spremembam </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 xml:space="preserve">Dokazovanje sposobnosti prilagajanja in ohranjanja učinkovitosti v primeru velikih sprememb delovnih nalog, delovnega okolja, organizacijske strukture in kulture, postopkov, zahtev in drugih vidikov, povezanih z delom. </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P.C6</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Problem solving</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identify problems by using logic, intuition, data, conducting appropriate analyses, searches and involving others (if needed) in order to arrive at solutions or decisions.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Reševanje problemov</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opredeliti probleme z uporabo logike, občutka, podatkov, izvajanjem ustreznih analiz in poizvedb ter (po potrebi) vključevanjem drugih za oblikovanje rešitev ali odločitev.</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lastRenderedPageBreak/>
              <w:t>P.C7</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Team work</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work cooperatively and collaboratively with other colleagues from different structural units and ranks in order to accomplish collective goals.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Timsko delo</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sodelovati z drugimi sodelavci iz različnih strukturnih enot in položajev za izpolnjevanje skupnih ciljev.</w:t>
            </w:r>
          </w:p>
        </w:tc>
      </w:tr>
      <w:tr w:rsidR="00A8234D" w:rsidRPr="00095F13" w:rsidTr="00545520">
        <w:trPr>
          <w:trHeight w:val="43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P.C8</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Technological ability</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use appropriate personal computer software, information systems and other IT tools (e.g. Microsoft Office programs) that are required to accomplish work goals.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Tehnološka sposobnost</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uporabiti ustrezno programsko opremo za osebne računalnike, informacijske sisteme in druga orodja IT (na primer programe Microsoft Office), ki so potrebni za izpolnjevanje delovnih ciljev.</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P.C9</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Usage of monitoring and information system</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use EU funds monitoring and information systems (both external and internal if available) in order to accomplish work goals.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Uporaba sistema spremljanja in obveščanja</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uporabiti sisteme spremljanja skladov EU in obveščanja (zunanjih in notranjih, če so na voljo) za izpolnjevanje delovnih ciljev.</w:t>
            </w:r>
          </w:p>
        </w:tc>
      </w:tr>
      <w:tr w:rsidR="00A8234D" w:rsidRPr="00095F13" w:rsidTr="00545520">
        <w:trPr>
          <w:trHeight w:val="398"/>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P.C10</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Representation to the outside world</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act or speak for institution in an efficient way and appropriate manner.</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Zunanje zastopanje</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učinkovito in ustrezno ravnati ali govoriti v imenu institucije.</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P.C11</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Relevant language skills</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Demonstrating ability to apply relevant foreign language skills in order to carry out the assigned functions and accomplish work goals.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Ustrezne jezikovne spretnosti in znanje</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Dokazovanje sposobnosti uporabiti ustrezne jezikovne spretnosti in znanje tujih jezikov za izvajanje dodeljenih funkcij in doseganje delovnih ciljev.</w:t>
            </w:r>
          </w:p>
        </w:tc>
      </w:tr>
      <w:tr w:rsidR="00A8234D" w:rsidRPr="00095F13" w:rsidTr="00545520">
        <w:trPr>
          <w:trHeight w:val="659"/>
        </w:trPr>
        <w:tc>
          <w:tcPr>
            <w:tcW w:w="453" w:type="pct"/>
            <w:shd w:val="clear" w:color="000000" w:fill="FFFFFF"/>
            <w:vAlign w:val="center"/>
          </w:tcPr>
          <w:p w:rsidR="00A8234D" w:rsidRPr="00095F13" w:rsidRDefault="00A8234D" w:rsidP="00A8234D">
            <w:pPr>
              <w:spacing w:after="0"/>
              <w:rPr>
                <w:rFonts w:ascii="Verdana" w:hAnsi="Verdana" w:cstheme="minorHAnsi"/>
                <w:sz w:val="20"/>
                <w:szCs w:val="20"/>
              </w:rPr>
            </w:pPr>
            <w:proofErr w:type="spellStart"/>
            <w:r>
              <w:rPr>
                <w:rFonts w:ascii="Verdana" w:hAnsi="Verdana" w:cstheme="minorHAnsi"/>
                <w:sz w:val="20"/>
              </w:rPr>
              <w:t>P.C12</w:t>
            </w:r>
            <w:proofErr w:type="spellEnd"/>
          </w:p>
        </w:tc>
        <w:tc>
          <w:tcPr>
            <w:tcW w:w="726"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Intercultural skills</w:t>
            </w:r>
          </w:p>
        </w:tc>
        <w:tc>
          <w:tcPr>
            <w:tcW w:w="1252" w:type="pct"/>
            <w:shd w:val="clear" w:color="000000" w:fill="FFFFFF"/>
            <w:vAlign w:val="center"/>
          </w:tcPr>
          <w:p w:rsidR="00A8234D" w:rsidRDefault="00A8234D" w:rsidP="00A8234D">
            <w:pPr>
              <w:spacing w:after="0"/>
              <w:rPr>
                <w:rFonts w:ascii="Verdana" w:hAnsi="Verdana" w:cstheme="minorHAnsi"/>
                <w:sz w:val="20"/>
                <w:szCs w:val="20"/>
                <w:lang w:val="en-US"/>
              </w:rPr>
            </w:pPr>
            <w:r>
              <w:rPr>
                <w:rFonts w:ascii="Verdana" w:hAnsi="Verdana" w:cstheme="minorHAnsi"/>
                <w:sz w:val="20"/>
                <w:szCs w:val="20"/>
                <w:lang w:val="en-US"/>
              </w:rPr>
              <w:t xml:space="preserve">Demonstrating ability to work in multi-cultural environment, </w:t>
            </w:r>
            <w:r>
              <w:rPr>
                <w:rFonts w:ascii="Verdana" w:hAnsi="Verdana" w:cstheme="minorHAnsi"/>
                <w:sz w:val="20"/>
                <w:szCs w:val="20"/>
                <w:lang w:val="en-US"/>
              </w:rPr>
              <w:lastRenderedPageBreak/>
              <w:t>efficiently dealing with stakeholders in EU institutions and other member states.</w:t>
            </w:r>
          </w:p>
        </w:tc>
        <w:tc>
          <w:tcPr>
            <w:tcW w:w="868"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lastRenderedPageBreak/>
              <w:t>Medkulturna znanja in spretnosti</w:t>
            </w:r>
          </w:p>
        </w:tc>
        <w:tc>
          <w:tcPr>
            <w:tcW w:w="1701" w:type="pct"/>
            <w:shd w:val="clear" w:color="000000" w:fill="FFFFFF"/>
            <w:vAlign w:val="center"/>
          </w:tcPr>
          <w:p w:rsidR="00A8234D" w:rsidRPr="00095F13" w:rsidRDefault="00A8234D" w:rsidP="00A8234D">
            <w:pPr>
              <w:spacing w:after="0"/>
              <w:rPr>
                <w:rFonts w:ascii="Verdana" w:hAnsi="Verdana" w:cstheme="minorHAnsi"/>
                <w:sz w:val="20"/>
                <w:szCs w:val="20"/>
              </w:rPr>
            </w:pPr>
            <w:r>
              <w:rPr>
                <w:rFonts w:ascii="Verdana" w:hAnsi="Verdana" w:cstheme="minorHAnsi"/>
                <w:sz w:val="20"/>
              </w:rPr>
              <w:t xml:space="preserve">Dokazovanje sposobnosti delati v večkulturnem okolju ter učinkovito </w:t>
            </w:r>
            <w:r>
              <w:rPr>
                <w:rFonts w:ascii="Verdana" w:hAnsi="Verdana" w:cstheme="minorHAnsi"/>
                <w:sz w:val="20"/>
              </w:rPr>
              <w:lastRenderedPageBreak/>
              <w:t>sodelovati z zainteresiranimi stranmi iz institucij EU in drugih držav članic.</w:t>
            </w:r>
          </w:p>
        </w:tc>
      </w:tr>
    </w:tbl>
    <w:p w:rsidR="00A30ABC" w:rsidRPr="00545520" w:rsidRDefault="00A30ABC" w:rsidP="00385389">
      <w:pPr>
        <w:pStyle w:val="Heading1"/>
        <w:numPr>
          <w:ilvl w:val="0"/>
          <w:numId w:val="0"/>
        </w:numPr>
      </w:pPr>
    </w:p>
    <w:sectPr w:rsidR="00A30ABC" w:rsidRPr="00545520"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E2" w:rsidRDefault="007176E2" w:rsidP="0008776A">
      <w:pPr>
        <w:spacing w:after="0" w:line="240" w:lineRule="auto"/>
      </w:pPr>
      <w:r>
        <w:separator/>
      </w:r>
    </w:p>
  </w:endnote>
  <w:endnote w:type="continuationSeparator" w:id="0">
    <w:p w:rsidR="007176E2" w:rsidRDefault="007176E2"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16178"/>
      <w:docPartObj>
        <w:docPartGallery w:val="Page Numbers (Bottom of Page)"/>
        <w:docPartUnique/>
      </w:docPartObj>
    </w:sdtPr>
    <w:sdtEndPr>
      <w:rPr>
        <w:rFonts w:asciiTheme="minorHAnsi" w:hAnsiTheme="minorHAnsi" w:cstheme="minorHAnsi"/>
        <w:noProof/>
      </w:rPr>
    </w:sdtEndPr>
    <w:sdtContent>
      <w:p w:rsidR="00AD2B31" w:rsidRPr="0008776A" w:rsidRDefault="00AD2B31"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334B22">
          <w:rPr>
            <w:rFonts w:asciiTheme="minorHAnsi" w:hAnsiTheme="minorHAnsi" w:cstheme="minorHAnsi"/>
            <w:noProof/>
          </w:rPr>
          <w:t>3</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E2" w:rsidRDefault="007176E2" w:rsidP="0008776A">
      <w:pPr>
        <w:spacing w:after="0" w:line="240" w:lineRule="auto"/>
      </w:pPr>
      <w:r>
        <w:separator/>
      </w:r>
    </w:p>
  </w:footnote>
  <w:footnote w:type="continuationSeparator" w:id="0">
    <w:p w:rsidR="007176E2" w:rsidRDefault="007176E2"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32" w:rsidRPr="00841032" w:rsidRDefault="00841032"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 xml:space="preserve">Okvir kompetenc EU – </w:t>
    </w:r>
    <w:proofErr w:type="spellStart"/>
    <w:r>
      <w:rPr>
        <w:rFonts w:ascii="Verdana" w:hAnsi="Verdana"/>
        <w:color w:val="808080" w:themeColor="background1" w:themeShade="80"/>
      </w:rPr>
      <w:t>glosar</w:t>
    </w:r>
    <w:proofErr w:type="spellEnd"/>
    <w:r>
      <w:rPr>
        <w:rFonts w:ascii="Verdana" w:hAnsi="Verdana"/>
        <w:color w:val="808080" w:themeColor="background1" w:themeShade="80"/>
      </w:rPr>
      <w:t xml:space="preserve"> izrazov, uporabljenih v orodju za samoocenjevanje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32" w:rsidRPr="00841032" w:rsidRDefault="00841032"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 xml:space="preserve">Okvir kompetenc EU – </w:t>
    </w:r>
    <w:proofErr w:type="spellStart"/>
    <w:r>
      <w:rPr>
        <w:rFonts w:ascii="Verdana" w:hAnsi="Verdana"/>
        <w:color w:val="808080" w:themeColor="background1" w:themeShade="80"/>
      </w:rPr>
      <w:t>glosar</w:t>
    </w:r>
    <w:proofErr w:type="spellEnd"/>
    <w:r>
      <w:rPr>
        <w:rFonts w:ascii="Verdana" w:hAnsi="Verdana"/>
        <w:color w:val="808080" w:themeColor="background1" w:themeShade="80"/>
      </w:rPr>
      <w:t xml:space="preserve"> izrazov, uporabljenih v orodju za samoocenjevanje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6B" w:rsidRPr="00841032" w:rsidRDefault="00725D6B" w:rsidP="00725D6B">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 xml:space="preserve">Okvir kompetenc EU – </w:t>
    </w:r>
    <w:proofErr w:type="spellStart"/>
    <w:r>
      <w:rPr>
        <w:rFonts w:ascii="Verdana" w:hAnsi="Verdana"/>
        <w:color w:val="808080" w:themeColor="background1" w:themeShade="80"/>
      </w:rPr>
      <w:t>glosar</w:t>
    </w:r>
    <w:proofErr w:type="spellEnd"/>
    <w:r>
      <w:rPr>
        <w:rFonts w:ascii="Verdana" w:hAnsi="Verdana"/>
        <w:color w:val="808080" w:themeColor="background1" w:themeShade="80"/>
      </w:rPr>
      <w:t xml:space="preserve"> izrazov, uporabljenih v orodju za samoocenjevanje</w:t>
    </w:r>
  </w:p>
  <w:p w:rsidR="00841032" w:rsidRPr="00841032" w:rsidRDefault="00841032" w:rsidP="00841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039E"/>
    <w:multiLevelType w:val="hybridMultilevel"/>
    <w:tmpl w:val="F3F6E6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00E4"/>
    <w:multiLevelType w:val="multilevel"/>
    <w:tmpl w:val="6E8A2EB4"/>
    <w:lvl w:ilvl="0">
      <w:start w:val="5"/>
      <w:numFmt w:val="decimal"/>
      <w:lvlText w:val="%1."/>
      <w:lvlJc w:val="left"/>
      <w:pPr>
        <w:ind w:left="144" w:hanging="72"/>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232" w:hanging="2160"/>
      </w:pPr>
      <w:rPr>
        <w:rFonts w:hint="default"/>
      </w:rPr>
    </w:lvl>
  </w:abstractNum>
  <w:abstractNum w:abstractNumId="2">
    <w:nsid w:val="43526D34"/>
    <w:multiLevelType w:val="multilevel"/>
    <w:tmpl w:val="02BC4EAC"/>
    <w:lvl w:ilvl="0">
      <w:start w:val="3"/>
      <w:numFmt w:val="decimal"/>
      <w:lvlText w:val="%1."/>
      <w:lvlJc w:val="left"/>
      <w:pPr>
        <w:ind w:left="144" w:hanging="72"/>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232" w:hanging="2160"/>
      </w:pPr>
      <w:rPr>
        <w:rFonts w:hint="default"/>
      </w:rPr>
    </w:lvl>
  </w:abstractNum>
  <w:abstractNum w:abstractNumId="3">
    <w:nsid w:val="48330698"/>
    <w:multiLevelType w:val="multilevel"/>
    <w:tmpl w:val="0A2EF77E"/>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45138"/>
    <w:multiLevelType w:val="multilevel"/>
    <w:tmpl w:val="B69CF91C"/>
    <w:lvl w:ilvl="0">
      <w:start w:val="4"/>
      <w:numFmt w:val="decimal"/>
      <w:lvlText w:val="%1."/>
      <w:lvlJc w:val="left"/>
      <w:pPr>
        <w:ind w:left="0" w:firstLine="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150CF"/>
    <w:rsid w:val="00047CBE"/>
    <w:rsid w:val="0008776A"/>
    <w:rsid w:val="000950D5"/>
    <w:rsid w:val="00095F13"/>
    <w:rsid w:val="000A1ECD"/>
    <w:rsid w:val="000C44D2"/>
    <w:rsid w:val="000E47BD"/>
    <w:rsid w:val="00107E71"/>
    <w:rsid w:val="00123EE5"/>
    <w:rsid w:val="00130E81"/>
    <w:rsid w:val="001319E4"/>
    <w:rsid w:val="00162980"/>
    <w:rsid w:val="00166387"/>
    <w:rsid w:val="001A76D3"/>
    <w:rsid w:val="001B5122"/>
    <w:rsid w:val="001C491D"/>
    <w:rsid w:val="001D4E04"/>
    <w:rsid w:val="001D7CC2"/>
    <w:rsid w:val="001F0D1D"/>
    <w:rsid w:val="00206F86"/>
    <w:rsid w:val="002223D2"/>
    <w:rsid w:val="00231B6E"/>
    <w:rsid w:val="0024769A"/>
    <w:rsid w:val="002717F0"/>
    <w:rsid w:val="00272779"/>
    <w:rsid w:val="00282BBB"/>
    <w:rsid w:val="002A4AB7"/>
    <w:rsid w:val="002D5C34"/>
    <w:rsid w:val="00306B4F"/>
    <w:rsid w:val="00323C20"/>
    <w:rsid w:val="00334B22"/>
    <w:rsid w:val="00366D75"/>
    <w:rsid w:val="00374ED3"/>
    <w:rsid w:val="003839D5"/>
    <w:rsid w:val="00385389"/>
    <w:rsid w:val="003870A6"/>
    <w:rsid w:val="00390240"/>
    <w:rsid w:val="003928BC"/>
    <w:rsid w:val="0039606F"/>
    <w:rsid w:val="003966E7"/>
    <w:rsid w:val="003C3247"/>
    <w:rsid w:val="003F0065"/>
    <w:rsid w:val="003F2AC4"/>
    <w:rsid w:val="00416AA7"/>
    <w:rsid w:val="00441B09"/>
    <w:rsid w:val="0044373B"/>
    <w:rsid w:val="004504AE"/>
    <w:rsid w:val="004635E5"/>
    <w:rsid w:val="00476CF8"/>
    <w:rsid w:val="004A4DEE"/>
    <w:rsid w:val="004B0758"/>
    <w:rsid w:val="004B6531"/>
    <w:rsid w:val="004E76E2"/>
    <w:rsid w:val="004F71B4"/>
    <w:rsid w:val="00512DA4"/>
    <w:rsid w:val="00536145"/>
    <w:rsid w:val="00545520"/>
    <w:rsid w:val="00554E39"/>
    <w:rsid w:val="005634E6"/>
    <w:rsid w:val="0057384D"/>
    <w:rsid w:val="00584C64"/>
    <w:rsid w:val="00594DDB"/>
    <w:rsid w:val="005957F4"/>
    <w:rsid w:val="005A43B4"/>
    <w:rsid w:val="005C3880"/>
    <w:rsid w:val="005D6AFD"/>
    <w:rsid w:val="005F5DB2"/>
    <w:rsid w:val="006006C7"/>
    <w:rsid w:val="00614B9B"/>
    <w:rsid w:val="0062042A"/>
    <w:rsid w:val="00661F47"/>
    <w:rsid w:val="006645FC"/>
    <w:rsid w:val="006744F9"/>
    <w:rsid w:val="0067494F"/>
    <w:rsid w:val="006B62F1"/>
    <w:rsid w:val="006C2D1C"/>
    <w:rsid w:val="006E6B6A"/>
    <w:rsid w:val="006E738D"/>
    <w:rsid w:val="007027ED"/>
    <w:rsid w:val="00716D09"/>
    <w:rsid w:val="007176E2"/>
    <w:rsid w:val="00725D6B"/>
    <w:rsid w:val="007320E2"/>
    <w:rsid w:val="00757D2E"/>
    <w:rsid w:val="00757D6B"/>
    <w:rsid w:val="007764F0"/>
    <w:rsid w:val="007A0134"/>
    <w:rsid w:val="007B1D04"/>
    <w:rsid w:val="007D60DC"/>
    <w:rsid w:val="00822B80"/>
    <w:rsid w:val="008339CD"/>
    <w:rsid w:val="00834E93"/>
    <w:rsid w:val="00841032"/>
    <w:rsid w:val="0084461D"/>
    <w:rsid w:val="008806DD"/>
    <w:rsid w:val="00894A34"/>
    <w:rsid w:val="008B2CF8"/>
    <w:rsid w:val="008E21AD"/>
    <w:rsid w:val="008F4A1B"/>
    <w:rsid w:val="00910BED"/>
    <w:rsid w:val="009248AB"/>
    <w:rsid w:val="009259B3"/>
    <w:rsid w:val="00927761"/>
    <w:rsid w:val="009319AA"/>
    <w:rsid w:val="00933ABC"/>
    <w:rsid w:val="009A279A"/>
    <w:rsid w:val="009B34F8"/>
    <w:rsid w:val="009C5CE6"/>
    <w:rsid w:val="00A1230E"/>
    <w:rsid w:val="00A30ABC"/>
    <w:rsid w:val="00A564CD"/>
    <w:rsid w:val="00A773CC"/>
    <w:rsid w:val="00A8234D"/>
    <w:rsid w:val="00AB64E3"/>
    <w:rsid w:val="00AC55BA"/>
    <w:rsid w:val="00AD2B31"/>
    <w:rsid w:val="00AD341D"/>
    <w:rsid w:val="00B22F0E"/>
    <w:rsid w:val="00B579F3"/>
    <w:rsid w:val="00B618B5"/>
    <w:rsid w:val="00B76BA7"/>
    <w:rsid w:val="00B967FA"/>
    <w:rsid w:val="00C46104"/>
    <w:rsid w:val="00C65FA8"/>
    <w:rsid w:val="00C971E1"/>
    <w:rsid w:val="00CC3497"/>
    <w:rsid w:val="00CD1306"/>
    <w:rsid w:val="00CE608F"/>
    <w:rsid w:val="00CF51E8"/>
    <w:rsid w:val="00CF661F"/>
    <w:rsid w:val="00CF6967"/>
    <w:rsid w:val="00D02119"/>
    <w:rsid w:val="00D27017"/>
    <w:rsid w:val="00D71900"/>
    <w:rsid w:val="00D92F59"/>
    <w:rsid w:val="00DC428E"/>
    <w:rsid w:val="00DE6C01"/>
    <w:rsid w:val="00E44B41"/>
    <w:rsid w:val="00E82D2D"/>
    <w:rsid w:val="00E87A35"/>
    <w:rsid w:val="00EB6450"/>
    <w:rsid w:val="00ED2862"/>
    <w:rsid w:val="00EE1F94"/>
    <w:rsid w:val="00F01A52"/>
    <w:rsid w:val="00F40B43"/>
    <w:rsid w:val="00F50847"/>
    <w:rsid w:val="00F74AE6"/>
    <w:rsid w:val="00F863CF"/>
    <w:rsid w:val="00F93A46"/>
    <w:rsid w:val="00FB424C"/>
    <w:rsid w:val="00FC0AA0"/>
    <w:rsid w:val="00FD6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389"/>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89"/>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sl-SI"/>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sl-SI"/>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sl-SI"/>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sl-SI"/>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9B34F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389"/>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89"/>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sl-SI"/>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sl-SI"/>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sl-SI"/>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sl-SI"/>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9B34F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152843960">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44091412">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45044090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860977152">
      <w:bodyDiv w:val="1"/>
      <w:marLeft w:val="0"/>
      <w:marRight w:val="0"/>
      <w:marTop w:val="0"/>
      <w:marBottom w:val="0"/>
      <w:divBdr>
        <w:top w:val="none" w:sz="0" w:space="0" w:color="auto"/>
        <w:left w:val="none" w:sz="0" w:space="0" w:color="auto"/>
        <w:bottom w:val="none" w:sz="0" w:space="0" w:color="auto"/>
        <w:right w:val="none" w:sz="0" w:space="0" w:color="auto"/>
      </w:divBdr>
    </w:div>
    <w:div w:id="968626684">
      <w:bodyDiv w:val="1"/>
      <w:marLeft w:val="0"/>
      <w:marRight w:val="0"/>
      <w:marTop w:val="0"/>
      <w:marBottom w:val="0"/>
      <w:divBdr>
        <w:top w:val="none" w:sz="0" w:space="0" w:color="auto"/>
        <w:left w:val="none" w:sz="0" w:space="0" w:color="auto"/>
        <w:bottom w:val="none" w:sz="0" w:space="0" w:color="auto"/>
        <w:right w:val="none" w:sz="0" w:space="0" w:color="auto"/>
      </w:divBdr>
    </w:div>
    <w:div w:id="97163789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256786983">
      <w:bodyDiv w:val="1"/>
      <w:marLeft w:val="0"/>
      <w:marRight w:val="0"/>
      <w:marTop w:val="0"/>
      <w:marBottom w:val="0"/>
      <w:divBdr>
        <w:top w:val="none" w:sz="0" w:space="0" w:color="auto"/>
        <w:left w:val="none" w:sz="0" w:space="0" w:color="auto"/>
        <w:bottom w:val="none" w:sz="0" w:space="0" w:color="auto"/>
        <w:right w:val="none" w:sz="0" w:space="0" w:color="auto"/>
      </w:divBdr>
    </w:div>
    <w:div w:id="1271818916">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619409560">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307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8CF1-6293-4C5C-BBED-9953E461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20</Pages>
  <Words>3827</Words>
  <Characters>21814</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Scataglini</dc:creator>
  <cp:keywords/>
  <dc:description/>
  <cp:lastModifiedBy>MYLEUS Ann-Kerstin (REGIO)</cp:lastModifiedBy>
  <cp:revision>42</cp:revision>
  <cp:lastPrinted>2017-03-22T18:35:00Z</cp:lastPrinted>
  <dcterms:created xsi:type="dcterms:W3CDTF">2017-10-04T14:17:00Z</dcterms:created>
  <dcterms:modified xsi:type="dcterms:W3CDTF">2018-04-12T17:41:00Z</dcterms:modified>
</cp:coreProperties>
</file>