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31" w:rsidRDefault="007450C5" w:rsidP="007450C5">
      <w:pPr>
        <w:ind w:left="-480" w:hanging="960"/>
        <w:rPr>
          <w:rFonts w:ascii="Verdana" w:hAnsi="Verdana" w:cstheme="minorHAnsi"/>
          <w:b/>
          <w:color w:val="003399"/>
          <w:kern w:val="12"/>
          <w:sz w:val="40"/>
          <w:szCs w:val="40"/>
        </w:rPr>
        <w:sectPr w:rsidR="004B6531" w:rsidSect="007B6F56">
          <w:headerReference w:type="even" r:id="rId8"/>
          <w:headerReference w:type="default" r:id="rId9"/>
          <w:footerReference w:type="even" r:id="rId10"/>
          <w:footerReference w:type="default" r:id="rId11"/>
          <w:headerReference w:type="first" r:id="rId12"/>
          <w:footerReference w:type="first" r:id="rId13"/>
          <w:pgSz w:w="15840" w:h="12240" w:orient="landscape"/>
          <w:pgMar w:top="600" w:right="1440" w:bottom="1440" w:left="1440" w:header="720" w:footer="720" w:gutter="0"/>
          <w:pgNumType w:start="1"/>
          <w:cols w:space="720"/>
          <w:docGrid w:linePitch="360"/>
        </w:sectPr>
      </w:pPr>
      <w:r>
        <w:rPr>
          <w:noProof/>
          <w:lang w:val="en-GB" w:eastAsia="en-GB" w:bidi="ar-SA"/>
        </w:rPr>
        <w:drawing>
          <wp:anchor distT="0" distB="0" distL="114300" distR="114300" simplePos="0" relativeHeight="251658240" behindDoc="0" locked="0" layoutInCell="1" allowOverlap="1">
            <wp:simplePos x="0" y="628650"/>
            <wp:positionH relativeFrom="margin">
              <wp:align>center</wp:align>
            </wp:positionH>
            <wp:positionV relativeFrom="margin">
              <wp:align>center</wp:align>
            </wp:positionV>
            <wp:extent cx="10058400" cy="6720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053931" cy="6717854"/>
                    </a:xfrm>
                    <a:prstGeom prst="rect">
                      <a:avLst/>
                    </a:prstGeom>
                  </pic:spPr>
                </pic:pic>
              </a:graphicData>
            </a:graphic>
            <wp14:sizeRelH relativeFrom="margin">
              <wp14:pctWidth>0</wp14:pctWidth>
            </wp14:sizeRelH>
            <wp14:sizeRelV relativeFrom="margin">
              <wp14:pctHeight>0</wp14:pctHeight>
            </wp14:sizeRelV>
          </wp:anchor>
        </w:drawing>
      </w: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Verzie dokumentu</w:t>
      </w:r>
    </w:p>
    <w:tbl>
      <w:tblPr>
        <w:tblStyle w:val="TableGrid"/>
        <w:tblW w:w="5000" w:type="pct"/>
        <w:tblLook w:val="04A0" w:firstRow="1" w:lastRow="0" w:firstColumn="1" w:lastColumn="0" w:noHBand="0" w:noVBand="1"/>
      </w:tblPr>
      <w:tblGrid>
        <w:gridCol w:w="6588"/>
        <w:gridCol w:w="6588"/>
      </w:tblGrid>
      <w:tr w:rsidR="004B6531" w:rsidRPr="00095F13" w:rsidTr="007B6F56">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7B6F56">
            <w:pPr>
              <w:rPr>
                <w:rFonts w:cstheme="minorHAnsi"/>
                <w:sz w:val="20"/>
              </w:rPr>
            </w:pPr>
            <w:r>
              <w:rPr>
                <w:rFonts w:cstheme="minorHAnsi"/>
                <w:sz w:val="20"/>
              </w:rPr>
              <w:t>Verzia</w:t>
            </w:r>
          </w:p>
        </w:tc>
        <w:tc>
          <w:tcPr>
            <w:tcW w:w="2500" w:type="pct"/>
            <w:shd w:val="clear" w:color="auto" w:fill="44546A" w:themeFill="text2"/>
          </w:tcPr>
          <w:p w:rsidR="004B6531" w:rsidRPr="00095F13" w:rsidRDefault="004B6531" w:rsidP="007B6F56">
            <w:pPr>
              <w:rPr>
                <w:rFonts w:cstheme="minorHAnsi"/>
                <w:sz w:val="20"/>
              </w:rPr>
            </w:pPr>
            <w:r>
              <w:rPr>
                <w:rFonts w:cstheme="minorHAnsi"/>
                <w:sz w:val="20"/>
              </w:rPr>
              <w:t>Dátum</w:t>
            </w:r>
          </w:p>
        </w:tc>
      </w:tr>
      <w:tr w:rsidR="004B6531" w:rsidRPr="00095F13" w:rsidTr="007B6F56">
        <w:trPr>
          <w:trHeight w:val="265"/>
        </w:trPr>
        <w:tc>
          <w:tcPr>
            <w:tcW w:w="2500" w:type="pct"/>
          </w:tcPr>
          <w:p w:rsidR="004B6531" w:rsidRPr="00095F13" w:rsidRDefault="004B6531" w:rsidP="007B6F56">
            <w:pPr>
              <w:rPr>
                <w:rFonts w:cstheme="minorHAnsi"/>
                <w:sz w:val="20"/>
              </w:rPr>
            </w:pPr>
            <w:r>
              <w:rPr>
                <w:rFonts w:cstheme="minorHAnsi"/>
                <w:sz w:val="20"/>
              </w:rPr>
              <w:t>V1</w:t>
            </w:r>
          </w:p>
        </w:tc>
        <w:tc>
          <w:tcPr>
            <w:tcW w:w="2500" w:type="pct"/>
          </w:tcPr>
          <w:p w:rsidR="004B6531" w:rsidRPr="00095F13" w:rsidRDefault="00661F47" w:rsidP="007B6F56">
            <w:pPr>
              <w:rPr>
                <w:rFonts w:cstheme="minorHAnsi"/>
                <w:sz w:val="20"/>
              </w:rPr>
            </w:pPr>
            <w:r>
              <w:rPr>
                <w:rFonts w:cstheme="minorHAnsi"/>
                <w:sz w:val="20"/>
              </w:rPr>
              <w:t>3. novembra 2017</w:t>
            </w: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65"/>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65"/>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65"/>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r w:rsidR="004B6531" w:rsidRPr="00095F13" w:rsidTr="007B6F56">
        <w:trPr>
          <w:trHeight w:val="254"/>
        </w:trPr>
        <w:tc>
          <w:tcPr>
            <w:tcW w:w="2500" w:type="pct"/>
          </w:tcPr>
          <w:p w:rsidR="004B6531" w:rsidRPr="00095F13" w:rsidRDefault="004B6531" w:rsidP="007B6F56">
            <w:pPr>
              <w:rPr>
                <w:rFonts w:cstheme="minorHAnsi"/>
                <w:sz w:val="20"/>
              </w:rPr>
            </w:pPr>
          </w:p>
        </w:tc>
        <w:tc>
          <w:tcPr>
            <w:tcW w:w="2500" w:type="pct"/>
          </w:tcPr>
          <w:p w:rsidR="004B6531" w:rsidRPr="00095F13" w:rsidRDefault="004B6531" w:rsidP="007B6F56">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5"/>
          <w:pgSz w:w="15840" w:h="12240" w:orient="landscape"/>
          <w:pgMar w:top="1440" w:right="1440" w:bottom="1440" w:left="1440" w:header="720" w:footer="720" w:gutter="0"/>
          <w:cols w:space="720"/>
          <w:titlePg/>
          <w:docGrid w:linePitch="360"/>
        </w:sectPr>
      </w:pPr>
    </w:p>
    <w:bookmarkStart w:id="0" w:name="_Toc511314412"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Obsah</w:t>
          </w:r>
          <w:bookmarkEnd w:id="0"/>
        </w:p>
        <w:p w:rsidR="00B22F0E" w:rsidRPr="00B76BA7" w:rsidRDefault="00B22F0E" w:rsidP="00B22F0E">
          <w:pPr>
            <w:rPr>
              <w:rFonts w:ascii="Verdana" w:hAnsi="Verdana"/>
              <w:sz w:val="32"/>
              <w:szCs w:val="32"/>
            </w:rPr>
          </w:pPr>
        </w:p>
        <w:bookmarkStart w:id="1" w:name="_GoBack"/>
        <w:bookmarkEnd w:id="1"/>
        <w:p w:rsidR="0041503A"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11314412" w:history="1">
            <w:r w:rsidR="0041503A" w:rsidRPr="004866CC">
              <w:rPr>
                <w:rStyle w:val="Hyperlink"/>
                <w:rFonts w:cstheme="minorHAnsi"/>
                <w:noProof/>
                <w:kern w:val="12"/>
              </w:rPr>
              <w:t>Obsah</w:t>
            </w:r>
            <w:r w:rsidR="0041503A">
              <w:rPr>
                <w:noProof/>
                <w:webHidden/>
              </w:rPr>
              <w:tab/>
            </w:r>
            <w:r w:rsidR="0041503A">
              <w:rPr>
                <w:noProof/>
                <w:webHidden/>
              </w:rPr>
              <w:fldChar w:fldCharType="begin"/>
            </w:r>
            <w:r w:rsidR="0041503A">
              <w:rPr>
                <w:noProof/>
                <w:webHidden/>
              </w:rPr>
              <w:instrText xml:space="preserve"> PAGEREF _Toc511314412 \h </w:instrText>
            </w:r>
            <w:r w:rsidR="0041503A">
              <w:rPr>
                <w:noProof/>
                <w:webHidden/>
              </w:rPr>
            </w:r>
            <w:r w:rsidR="0041503A">
              <w:rPr>
                <w:noProof/>
                <w:webHidden/>
              </w:rPr>
              <w:fldChar w:fldCharType="separate"/>
            </w:r>
            <w:r w:rsidR="0041503A">
              <w:rPr>
                <w:noProof/>
                <w:webHidden/>
              </w:rPr>
              <w:t>3</w:t>
            </w:r>
            <w:r w:rsidR="0041503A">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3" w:history="1">
            <w:r w:rsidRPr="004866CC">
              <w:rPr>
                <w:rStyle w:val="Hyperlink"/>
                <w:noProof/>
              </w:rPr>
              <w:t>1.</w:t>
            </w:r>
            <w:r>
              <w:rPr>
                <w:rFonts w:eastAsiaTheme="minorEastAsia"/>
                <w:noProof/>
                <w:lang w:val="en-GB" w:eastAsia="en-GB" w:bidi="ar-SA"/>
              </w:rPr>
              <w:tab/>
            </w:r>
            <w:r w:rsidRPr="004866CC">
              <w:rPr>
                <w:rStyle w:val="Hyperlink"/>
                <w:noProof/>
              </w:rPr>
              <w:t>Pracovné pozície</w:t>
            </w:r>
            <w:r>
              <w:rPr>
                <w:noProof/>
                <w:webHidden/>
              </w:rPr>
              <w:tab/>
            </w:r>
            <w:r>
              <w:rPr>
                <w:noProof/>
                <w:webHidden/>
              </w:rPr>
              <w:fldChar w:fldCharType="begin"/>
            </w:r>
            <w:r>
              <w:rPr>
                <w:noProof/>
                <w:webHidden/>
              </w:rPr>
              <w:instrText xml:space="preserve"> PAGEREF _Toc511314413 \h </w:instrText>
            </w:r>
            <w:r>
              <w:rPr>
                <w:noProof/>
                <w:webHidden/>
              </w:rPr>
            </w:r>
            <w:r>
              <w:rPr>
                <w:noProof/>
                <w:webHidden/>
              </w:rPr>
              <w:fldChar w:fldCharType="separate"/>
            </w:r>
            <w:r>
              <w:rPr>
                <w:noProof/>
                <w:webHidden/>
              </w:rPr>
              <w:t>4</w:t>
            </w:r>
            <w:r>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4" w:history="1">
            <w:r w:rsidRPr="004866CC">
              <w:rPr>
                <w:rStyle w:val="Hyperlink"/>
                <w:noProof/>
              </w:rPr>
              <w:t>2.</w:t>
            </w:r>
            <w:r>
              <w:rPr>
                <w:rFonts w:eastAsiaTheme="minorEastAsia"/>
                <w:noProof/>
                <w:lang w:val="en-GB" w:eastAsia="en-GB" w:bidi="ar-SA"/>
              </w:rPr>
              <w:tab/>
            </w:r>
            <w:r w:rsidRPr="004866CC">
              <w:rPr>
                <w:rStyle w:val="Hyperlink"/>
                <w:noProof/>
              </w:rPr>
              <w:t>Úlohy a čiastkové úlohy</w:t>
            </w:r>
            <w:r>
              <w:rPr>
                <w:noProof/>
                <w:webHidden/>
              </w:rPr>
              <w:tab/>
            </w:r>
            <w:r>
              <w:rPr>
                <w:noProof/>
                <w:webHidden/>
              </w:rPr>
              <w:fldChar w:fldCharType="begin"/>
            </w:r>
            <w:r>
              <w:rPr>
                <w:noProof/>
                <w:webHidden/>
              </w:rPr>
              <w:instrText xml:space="preserve"> PAGEREF _Toc511314414 \h </w:instrText>
            </w:r>
            <w:r>
              <w:rPr>
                <w:noProof/>
                <w:webHidden/>
              </w:rPr>
            </w:r>
            <w:r>
              <w:rPr>
                <w:noProof/>
                <w:webHidden/>
              </w:rPr>
              <w:fldChar w:fldCharType="separate"/>
            </w:r>
            <w:r>
              <w:rPr>
                <w:noProof/>
                <w:webHidden/>
              </w:rPr>
              <w:t>5</w:t>
            </w:r>
            <w:r>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5" w:history="1">
            <w:r w:rsidRPr="004866CC">
              <w:rPr>
                <w:rStyle w:val="Hyperlink"/>
                <w:noProof/>
              </w:rPr>
              <w:t>3.</w:t>
            </w:r>
            <w:r>
              <w:rPr>
                <w:rFonts w:eastAsiaTheme="minorEastAsia"/>
                <w:noProof/>
                <w:lang w:val="en-GB" w:eastAsia="en-GB" w:bidi="ar-SA"/>
              </w:rPr>
              <w:tab/>
            </w:r>
            <w:r w:rsidRPr="004866CC">
              <w:rPr>
                <w:rStyle w:val="Hyperlink"/>
                <w:noProof/>
              </w:rPr>
              <w:t>Stupnica spôsobilosti</w:t>
            </w:r>
            <w:r>
              <w:rPr>
                <w:noProof/>
                <w:webHidden/>
              </w:rPr>
              <w:tab/>
            </w:r>
            <w:r>
              <w:rPr>
                <w:noProof/>
                <w:webHidden/>
              </w:rPr>
              <w:fldChar w:fldCharType="begin"/>
            </w:r>
            <w:r>
              <w:rPr>
                <w:noProof/>
                <w:webHidden/>
              </w:rPr>
              <w:instrText xml:space="preserve"> PAGEREF _Toc511314415 \h </w:instrText>
            </w:r>
            <w:r>
              <w:rPr>
                <w:noProof/>
                <w:webHidden/>
              </w:rPr>
            </w:r>
            <w:r>
              <w:rPr>
                <w:noProof/>
                <w:webHidden/>
              </w:rPr>
              <w:fldChar w:fldCharType="separate"/>
            </w:r>
            <w:r>
              <w:rPr>
                <w:noProof/>
                <w:webHidden/>
              </w:rPr>
              <w:t>7</w:t>
            </w:r>
            <w:r>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6" w:history="1">
            <w:r w:rsidRPr="004866CC">
              <w:rPr>
                <w:rStyle w:val="Hyperlink"/>
                <w:noProof/>
              </w:rPr>
              <w:t>4.</w:t>
            </w:r>
            <w:r>
              <w:rPr>
                <w:rFonts w:eastAsiaTheme="minorEastAsia"/>
                <w:noProof/>
                <w:lang w:val="en-GB" w:eastAsia="en-GB" w:bidi="ar-SA"/>
              </w:rPr>
              <w:tab/>
            </w:r>
            <w:r w:rsidRPr="004866CC">
              <w:rPr>
                <w:rStyle w:val="Hyperlink"/>
                <w:noProof/>
              </w:rPr>
              <w:t>Prevádzkové kompetencie</w:t>
            </w:r>
            <w:r>
              <w:rPr>
                <w:noProof/>
                <w:webHidden/>
              </w:rPr>
              <w:tab/>
            </w:r>
            <w:r>
              <w:rPr>
                <w:noProof/>
                <w:webHidden/>
              </w:rPr>
              <w:fldChar w:fldCharType="begin"/>
            </w:r>
            <w:r>
              <w:rPr>
                <w:noProof/>
                <w:webHidden/>
              </w:rPr>
              <w:instrText xml:space="preserve"> PAGEREF _Toc511314416 \h </w:instrText>
            </w:r>
            <w:r>
              <w:rPr>
                <w:noProof/>
                <w:webHidden/>
              </w:rPr>
            </w:r>
            <w:r>
              <w:rPr>
                <w:noProof/>
                <w:webHidden/>
              </w:rPr>
              <w:fldChar w:fldCharType="separate"/>
            </w:r>
            <w:r>
              <w:rPr>
                <w:noProof/>
                <w:webHidden/>
              </w:rPr>
              <w:t>9</w:t>
            </w:r>
            <w:r>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7" w:history="1">
            <w:r w:rsidRPr="004866CC">
              <w:rPr>
                <w:rStyle w:val="Hyperlink"/>
                <w:noProof/>
              </w:rPr>
              <w:t>5.</w:t>
            </w:r>
            <w:r>
              <w:rPr>
                <w:rFonts w:eastAsiaTheme="minorEastAsia"/>
                <w:noProof/>
                <w:lang w:val="en-GB" w:eastAsia="en-GB" w:bidi="ar-SA"/>
              </w:rPr>
              <w:tab/>
            </w:r>
            <w:r w:rsidRPr="004866CC">
              <w:rPr>
                <w:rStyle w:val="Hyperlink"/>
                <w:noProof/>
              </w:rPr>
              <w:t>Kompetencie v oblasti riadenia</w:t>
            </w:r>
            <w:r>
              <w:rPr>
                <w:noProof/>
                <w:webHidden/>
              </w:rPr>
              <w:tab/>
            </w:r>
            <w:r>
              <w:rPr>
                <w:noProof/>
                <w:webHidden/>
              </w:rPr>
              <w:fldChar w:fldCharType="begin"/>
            </w:r>
            <w:r>
              <w:rPr>
                <w:noProof/>
                <w:webHidden/>
              </w:rPr>
              <w:instrText xml:space="preserve"> PAGEREF _Toc511314417 \h </w:instrText>
            </w:r>
            <w:r>
              <w:rPr>
                <w:noProof/>
                <w:webHidden/>
              </w:rPr>
            </w:r>
            <w:r>
              <w:rPr>
                <w:noProof/>
                <w:webHidden/>
              </w:rPr>
              <w:fldChar w:fldCharType="separate"/>
            </w:r>
            <w:r>
              <w:rPr>
                <w:noProof/>
                <w:webHidden/>
              </w:rPr>
              <w:t>12</w:t>
            </w:r>
            <w:r>
              <w:rPr>
                <w:noProof/>
                <w:webHidden/>
              </w:rPr>
              <w:fldChar w:fldCharType="end"/>
            </w:r>
          </w:hyperlink>
        </w:p>
        <w:p w:rsidR="0041503A" w:rsidRDefault="0041503A">
          <w:pPr>
            <w:pStyle w:val="TOC1"/>
            <w:tabs>
              <w:tab w:val="left" w:pos="440"/>
              <w:tab w:val="right" w:leader="dot" w:pos="12950"/>
            </w:tabs>
            <w:rPr>
              <w:rFonts w:eastAsiaTheme="minorEastAsia"/>
              <w:noProof/>
              <w:lang w:val="en-GB" w:eastAsia="en-GB" w:bidi="ar-SA"/>
            </w:rPr>
          </w:pPr>
          <w:hyperlink w:anchor="_Toc511314418" w:history="1">
            <w:r w:rsidRPr="004866CC">
              <w:rPr>
                <w:rStyle w:val="Hyperlink"/>
                <w:noProof/>
              </w:rPr>
              <w:t>6.</w:t>
            </w:r>
            <w:r>
              <w:rPr>
                <w:rFonts w:eastAsiaTheme="minorEastAsia"/>
                <w:noProof/>
                <w:lang w:val="en-GB" w:eastAsia="en-GB" w:bidi="ar-SA"/>
              </w:rPr>
              <w:tab/>
            </w:r>
            <w:r w:rsidRPr="004866CC">
              <w:rPr>
                <w:rStyle w:val="Hyperlink"/>
                <w:noProof/>
              </w:rPr>
              <w:t>Odborné kompetencie</w:t>
            </w:r>
            <w:r>
              <w:rPr>
                <w:noProof/>
                <w:webHidden/>
              </w:rPr>
              <w:tab/>
            </w:r>
            <w:r>
              <w:rPr>
                <w:noProof/>
                <w:webHidden/>
              </w:rPr>
              <w:fldChar w:fldCharType="begin"/>
            </w:r>
            <w:r>
              <w:rPr>
                <w:noProof/>
                <w:webHidden/>
              </w:rPr>
              <w:instrText xml:space="preserve"> PAGEREF _Toc511314418 \h </w:instrText>
            </w:r>
            <w:r>
              <w:rPr>
                <w:noProof/>
                <w:webHidden/>
              </w:rPr>
            </w:r>
            <w:r>
              <w:rPr>
                <w:noProof/>
                <w:webHidden/>
              </w:rPr>
              <w:fldChar w:fldCharType="separate"/>
            </w:r>
            <w:r>
              <w:rPr>
                <w:noProof/>
                <w:webHidden/>
              </w:rPr>
              <w:t>16</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6"/>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11314413"/>
      <w:r>
        <w:lastRenderedPageBreak/>
        <w:t>Pracovné pozície</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2"/>
        <w:gridCol w:w="3726"/>
        <w:gridCol w:w="1594"/>
        <w:gridCol w:w="6567"/>
      </w:tblGrid>
      <w:tr w:rsidR="007A0134" w:rsidRPr="0062042A" w:rsidTr="00302306">
        <w:trPr>
          <w:trHeight w:val="467"/>
        </w:trPr>
        <w:tc>
          <w:tcPr>
            <w:tcW w:w="1973"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3027"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3E5A5C" w:rsidRPr="0062042A" w:rsidTr="00302306">
        <w:trPr>
          <w:trHeight w:val="440"/>
        </w:trPr>
        <w:tc>
          <w:tcPr>
            <w:tcW w:w="591" w:type="pct"/>
            <w:shd w:val="clear" w:color="auto" w:fill="F2F2F2" w:themeFill="background1" w:themeFillShade="F2"/>
            <w:vAlign w:val="center"/>
            <w:hideMark/>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Job Role</w:t>
            </w:r>
          </w:p>
        </w:tc>
        <w:tc>
          <w:tcPr>
            <w:tcW w:w="1382" w:type="pct"/>
            <w:shd w:val="clear" w:color="auto" w:fill="F2F2F2" w:themeFill="background1" w:themeFillShade="F2"/>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Description</w:t>
            </w:r>
          </w:p>
        </w:tc>
        <w:tc>
          <w:tcPr>
            <w:tcW w:w="591" w:type="pct"/>
            <w:shd w:val="clear" w:color="auto" w:fill="F2F2F2" w:themeFill="background1" w:themeFillShade="F2"/>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Pracovná pozícia</w:t>
            </w:r>
          </w:p>
        </w:tc>
        <w:tc>
          <w:tcPr>
            <w:tcW w:w="2436" w:type="pct"/>
            <w:shd w:val="clear" w:color="auto" w:fill="F2F2F2" w:themeFill="background1" w:themeFillShade="F2"/>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Opis</w:t>
            </w:r>
          </w:p>
        </w:tc>
      </w:tr>
      <w:tr w:rsidR="003E5A5C" w:rsidRPr="0062042A" w:rsidTr="00302306">
        <w:trPr>
          <w:trHeight w:val="1250"/>
        </w:trPr>
        <w:tc>
          <w:tcPr>
            <w:tcW w:w="591" w:type="pct"/>
            <w:shd w:val="clear" w:color="000000" w:fill="FFFFFF"/>
            <w:vAlign w:val="center"/>
            <w:hideMark/>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Decision-making level</w:t>
            </w:r>
          </w:p>
        </w:tc>
        <w:tc>
          <w:tcPr>
            <w:tcW w:w="1382"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head of the organization or persons that act on relatively high strategic management levels</w:t>
            </w:r>
          </w:p>
        </w:tc>
        <w:tc>
          <w:tcPr>
            <w:tcW w:w="591"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Rozhodovacia úroveň</w:t>
            </w:r>
          </w:p>
        </w:tc>
        <w:tc>
          <w:tcPr>
            <w:tcW w:w="2436"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Vedúci predstaviteľ organizácie alebo osoby, ktoré pôsobia na pomerne vysokých úrovniach strategického riadenia</w:t>
            </w:r>
          </w:p>
        </w:tc>
      </w:tr>
      <w:tr w:rsidR="003E5A5C" w:rsidRPr="0062042A" w:rsidTr="00302306">
        <w:trPr>
          <w:trHeight w:val="1871"/>
        </w:trPr>
        <w:tc>
          <w:tcPr>
            <w:tcW w:w="591" w:type="pct"/>
            <w:shd w:val="clear" w:color="000000" w:fill="FFFFFF"/>
            <w:vAlign w:val="center"/>
            <w:hideMark/>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Supervisory level</w:t>
            </w:r>
          </w:p>
        </w:tc>
        <w:tc>
          <w:tcPr>
            <w:tcW w:w="1382"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middle management level, responsible for a group of people and not directly involved in operational implementation of the programme, for instance heads of organizational units</w:t>
            </w:r>
          </w:p>
        </w:tc>
        <w:tc>
          <w:tcPr>
            <w:tcW w:w="591"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Úroveň dohľadu</w:t>
            </w:r>
          </w:p>
        </w:tc>
        <w:tc>
          <w:tcPr>
            <w:tcW w:w="2436"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Úroveň stredného manažmentu, zodpovedajú za určitú skupinu osôb a nie sú priamo zapojení do prevádzkového vykonávania programu, napríklad vedúci organizačných jednotiek</w:t>
            </w:r>
          </w:p>
        </w:tc>
      </w:tr>
      <w:tr w:rsidR="003E5A5C" w:rsidRPr="0062042A" w:rsidTr="00302306">
        <w:trPr>
          <w:trHeight w:val="1439"/>
        </w:trPr>
        <w:tc>
          <w:tcPr>
            <w:tcW w:w="591" w:type="pct"/>
            <w:shd w:val="clear" w:color="000000" w:fill="FFFFFF"/>
            <w:vAlign w:val="center"/>
            <w:hideMark/>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Operational level</w:t>
            </w:r>
          </w:p>
        </w:tc>
        <w:tc>
          <w:tcPr>
            <w:tcW w:w="1382"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These are the experts that are directly working on the different tasks and sub-tasks within the organization</w:t>
            </w:r>
          </w:p>
        </w:tc>
        <w:tc>
          <w:tcPr>
            <w:tcW w:w="591"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Prevádzková úroveň</w:t>
            </w:r>
          </w:p>
        </w:tc>
        <w:tc>
          <w:tcPr>
            <w:tcW w:w="2436" w:type="pct"/>
            <w:shd w:val="clear" w:color="000000" w:fill="FFFFFF"/>
            <w:vAlign w:val="center"/>
          </w:tcPr>
          <w:p w:rsidR="003E5A5C" w:rsidRPr="0062042A" w:rsidRDefault="003E5A5C" w:rsidP="007B6F56">
            <w:pPr>
              <w:spacing w:after="0"/>
              <w:rPr>
                <w:rFonts w:ascii="Verdana" w:hAnsi="Verdana" w:cstheme="minorHAnsi"/>
                <w:sz w:val="20"/>
                <w:szCs w:val="20"/>
              </w:rPr>
            </w:pPr>
            <w:r>
              <w:rPr>
                <w:rFonts w:ascii="Verdana" w:hAnsi="Verdana" w:cstheme="minorHAnsi"/>
                <w:sz w:val="20"/>
              </w:rPr>
              <w:t>Experti, ktorí priamo pracujú na rôznych úlohách a čiastkových úlohách v rámci organizácie</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14414"/>
      <w:r>
        <w:lastRenderedPageBreak/>
        <w:t>Úlohy a čiastkové úlohy</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Slovenčina</w:t>
            </w:r>
          </w:p>
        </w:tc>
      </w:tr>
      <w:tr w:rsidR="003E5A5C" w:rsidRPr="00095F13" w:rsidTr="007B6F56">
        <w:trPr>
          <w:trHeight w:val="318"/>
          <w:tblHeader/>
        </w:trPr>
        <w:tc>
          <w:tcPr>
            <w:tcW w:w="1006" w:type="pct"/>
            <w:shd w:val="clear" w:color="auto" w:fill="F2F2F2" w:themeFill="background1" w:themeFillShade="F2"/>
          </w:tcPr>
          <w:p w:rsidR="003E5A5C" w:rsidRDefault="003E5A5C">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3E5A5C" w:rsidRDefault="003E5A5C">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3E5A5C" w:rsidRPr="00095F13" w:rsidRDefault="003E5A5C"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Úloha</w:t>
            </w:r>
          </w:p>
        </w:tc>
        <w:tc>
          <w:tcPr>
            <w:tcW w:w="1318" w:type="pct"/>
            <w:shd w:val="clear" w:color="auto" w:fill="F2F2F2" w:themeFill="background1" w:themeFillShade="F2"/>
            <w:vAlign w:val="center"/>
          </w:tcPr>
          <w:p w:rsidR="003E5A5C" w:rsidRPr="00095F13" w:rsidRDefault="003E5A5C"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Čiastková úloha</w:t>
            </w:r>
          </w:p>
        </w:tc>
      </w:tr>
      <w:tr w:rsidR="003E5A5C" w:rsidRPr="00095F13" w:rsidTr="007B6F56">
        <w:trPr>
          <w:trHeight w:val="602"/>
        </w:trPr>
        <w:tc>
          <w:tcPr>
            <w:tcW w:w="1006" w:type="pct"/>
            <w:shd w:val="clear" w:color="000000" w:fill="FFFFFF"/>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1. Coordination and Partnership Agreement</w:t>
            </w: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1.1. Inter-institutional coordination and consultations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r>
              <w:rPr>
                <w:rFonts w:ascii="Verdana" w:hAnsi="Verdana" w:cstheme="minorHAnsi"/>
                <w:sz w:val="20"/>
              </w:rPr>
              <w:t>1. Koordinačná a partnerská dohoda</w:t>
            </w: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1.1. Medziinštitucionálna koordinácia a konzultácie</w:t>
            </w:r>
          </w:p>
        </w:tc>
      </w:tr>
      <w:tr w:rsidR="003E5A5C" w:rsidRPr="00095F13" w:rsidTr="007B6F56">
        <w:trPr>
          <w:trHeight w:val="318"/>
        </w:trPr>
        <w:tc>
          <w:tcPr>
            <w:tcW w:w="1006" w:type="pct"/>
            <w:shd w:val="clear" w:color="000000" w:fill="FFFFFF"/>
          </w:tcPr>
          <w:p w:rsidR="003E5A5C" w:rsidRDefault="003E5A5C">
            <w:pPr>
              <w:spacing w:after="0" w:line="256" w:lineRule="auto"/>
              <w:rPr>
                <w:rFonts w:ascii="Verdana" w:hAnsi="Verdana" w:cstheme="minorHAnsi"/>
                <w:sz w:val="20"/>
                <w:szCs w:val="20"/>
                <w:lang w:val="en-US"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1.2. Preparation of Partnership Agreement and coordination of Operational Programmes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1.2. Príprava partnerskej dohody a koordinácia operačných programov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1.3. Communication and negotiation with the European Commission</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1.3. Komunikácia a rokovania s Európskou komisiou</w:t>
            </w:r>
          </w:p>
        </w:tc>
      </w:tr>
      <w:tr w:rsidR="003E5A5C" w:rsidRPr="00095F13" w:rsidTr="007B6F56">
        <w:trPr>
          <w:trHeight w:val="318"/>
        </w:trPr>
        <w:tc>
          <w:tcPr>
            <w:tcW w:w="1006" w:type="pct"/>
            <w:shd w:val="clear" w:color="000000" w:fill="FFFFFF"/>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 System set-up, development of procedures and tools</w:t>
            </w: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2.1. Development of the description of management and control systems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r>
              <w:rPr>
                <w:rFonts w:ascii="Verdana" w:hAnsi="Verdana" w:cstheme="minorHAnsi"/>
                <w:sz w:val="20"/>
              </w:rPr>
              <w:t>2. Nastavenie systému, tvorba postupov a nástrojov</w:t>
            </w: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2.1. Vypracovanie opisu systémov riadenia a kontroly</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val="pl-PL"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2.2. Preparation of the proposals concerning the designation of Authorities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2.2. Príprava návrhov týkajúcich sa určenia orgánov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2.3. Development of institutional and administrative capacity</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2.3. Rozvoj inštitucionálnej a administratívnej kapacity</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2.4. Development of common guidelines and procedures for Managing Authorities and Beneficiaries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2.4. Vypracovanie spoločných usmernení a postupov pre riadiace orgány a prijímateľov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2.5. Development and maintenance of a common monitoring and information systems and other technical tools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2.5. Tvorba a údržba spoločných monitorovacích a informačných systémov a iných technických nástrojov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2.6. Procurement of goods and services under Technical Assistance</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2.6. Obstarávanie tovaru a služieb v rámci technickej pomoci</w:t>
            </w:r>
          </w:p>
        </w:tc>
      </w:tr>
      <w:tr w:rsidR="003E5A5C" w:rsidRPr="00095F13" w:rsidTr="007B6F56">
        <w:trPr>
          <w:trHeight w:val="318"/>
        </w:trPr>
        <w:tc>
          <w:tcPr>
            <w:tcW w:w="1006" w:type="pct"/>
            <w:shd w:val="clear" w:color="000000" w:fill="FFFFFF"/>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 Monitoring and evaluating the process and progress of implementation of the Partnership Agreement and Operational Programmes</w:t>
            </w: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3.1. Monitoring the Partnership Agreement implementation through the Operational Programmes, identifying bottlenecks and corrective actions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r>
              <w:rPr>
                <w:rFonts w:ascii="Verdana" w:hAnsi="Verdana" w:cstheme="minorHAnsi"/>
                <w:sz w:val="20"/>
              </w:rPr>
              <w:t>3. Monitorovanie a hodnotenie procesu a pokroku vykonávania partnerskej dohody a operačných programov</w:t>
            </w: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3.1. Monitorovanie vykonávania partnerskej dohody v rámci operačných programov, určovanie nedostatkov a nápravných opatrení</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3.2. Management of the evaluation process of the Partnership Agreement and Operational Programmes</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3.2. Riadenie hodnotiaceho procesu partnerskej dohody a operačných programov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3.3. Coordination of the information flow between the Commission, Managing Authorities and other authorities including reporting</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3.3. Koordinácia informačného toku medzi Komisiou, riadiacimi orgánmi a inými orgánmi vrátane podávania správ</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3.4. Assessment ex ante conditionalities and implementation of the action plan</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 xml:space="preserve">3.4. Posúdenie </w:t>
            </w:r>
            <w:r>
              <w:rPr>
                <w:rFonts w:ascii="Verdana" w:hAnsi="Verdana" w:cstheme="minorHAnsi"/>
                <w:i/>
                <w:sz w:val="20"/>
              </w:rPr>
              <w:t>ex ante</w:t>
            </w:r>
            <w:r>
              <w:rPr>
                <w:rFonts w:ascii="Verdana" w:hAnsi="Verdana" w:cstheme="minorHAnsi"/>
                <w:sz w:val="20"/>
              </w:rPr>
              <w:t xml:space="preserve"> kondicionalít a vykonávanie akčného plánu</w:t>
            </w:r>
          </w:p>
        </w:tc>
      </w:tr>
      <w:tr w:rsidR="003E5A5C" w:rsidRPr="00095F13" w:rsidTr="007B6F56">
        <w:trPr>
          <w:trHeight w:val="318"/>
        </w:trPr>
        <w:tc>
          <w:tcPr>
            <w:tcW w:w="1006" w:type="pct"/>
            <w:shd w:val="clear" w:color="000000" w:fill="FFFFFF"/>
          </w:tcPr>
          <w:p w:rsidR="003E5A5C" w:rsidRPr="000D7AE0" w:rsidRDefault="003E5A5C">
            <w:pPr>
              <w:spacing w:after="0" w:line="256" w:lineRule="auto"/>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3.5. Procurement of goods and services under Technical Assistance</w:t>
            </w:r>
          </w:p>
        </w:tc>
        <w:tc>
          <w:tcPr>
            <w:tcW w:w="1008" w:type="pct"/>
            <w:shd w:val="clear" w:color="000000" w:fill="FFFFFF"/>
          </w:tcPr>
          <w:p w:rsidR="003E5A5C" w:rsidRPr="00095F13" w:rsidRDefault="003E5A5C" w:rsidP="007B6F56">
            <w:pPr>
              <w:spacing w:after="0"/>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3.5. Obstarávanie tovaru a služieb v rámci technickej pomoci</w:t>
            </w:r>
          </w:p>
        </w:tc>
      </w:tr>
      <w:tr w:rsidR="003E5A5C" w:rsidRPr="00095F13" w:rsidTr="007B6F56">
        <w:trPr>
          <w:trHeight w:val="318"/>
        </w:trPr>
        <w:tc>
          <w:tcPr>
            <w:tcW w:w="1006" w:type="pct"/>
            <w:shd w:val="clear" w:color="000000" w:fill="FFFFFF"/>
          </w:tcPr>
          <w:p w:rsidR="003E5A5C" w:rsidRDefault="003E5A5C">
            <w:pPr>
              <w:pStyle w:val="ListParagraph"/>
              <w:spacing w:after="0"/>
              <w:ind w:left="0"/>
              <w:rPr>
                <w:rFonts w:ascii="Verdana" w:hAnsi="Verdana" w:cstheme="minorHAnsi"/>
                <w:sz w:val="20"/>
                <w:szCs w:val="20"/>
                <w:lang w:val="en-US" w:eastAsia="en-US"/>
              </w:rPr>
            </w:pPr>
            <w:r>
              <w:rPr>
                <w:rFonts w:ascii="Verdana" w:hAnsi="Verdana" w:cstheme="minorHAnsi"/>
                <w:sz w:val="20"/>
                <w:szCs w:val="20"/>
                <w:lang w:val="en-US"/>
              </w:rPr>
              <w:t>4. Communication</w:t>
            </w: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4.1. Preparation of the communication plan and its implementation for different stakeholders</w:t>
            </w:r>
          </w:p>
        </w:tc>
        <w:tc>
          <w:tcPr>
            <w:tcW w:w="1008" w:type="pct"/>
            <w:shd w:val="clear" w:color="000000" w:fill="FFFFFF"/>
          </w:tcPr>
          <w:p w:rsidR="003E5A5C" w:rsidRPr="00095F13" w:rsidRDefault="003E5A5C" w:rsidP="007B6F56">
            <w:pPr>
              <w:pStyle w:val="ListParagraph"/>
              <w:spacing w:after="0"/>
              <w:ind w:left="0"/>
              <w:rPr>
                <w:rFonts w:ascii="Verdana" w:hAnsi="Verdana" w:cstheme="minorHAnsi"/>
                <w:sz w:val="20"/>
                <w:szCs w:val="20"/>
              </w:rPr>
            </w:pPr>
            <w:r>
              <w:rPr>
                <w:rFonts w:ascii="Verdana" w:hAnsi="Verdana" w:cstheme="minorHAnsi"/>
                <w:sz w:val="20"/>
              </w:rPr>
              <w:t>4. Komunikácia</w:t>
            </w: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4.1. Príprava plánu komunikácie a jeho vykonávanie pre rôzne zainteresované strany</w:t>
            </w:r>
          </w:p>
        </w:tc>
      </w:tr>
      <w:tr w:rsidR="003E5A5C" w:rsidRPr="00095F13" w:rsidTr="007B6F56">
        <w:trPr>
          <w:trHeight w:val="318"/>
        </w:trPr>
        <w:tc>
          <w:tcPr>
            <w:tcW w:w="1006" w:type="pct"/>
            <w:shd w:val="clear" w:color="000000" w:fill="FFFFFF"/>
          </w:tcPr>
          <w:p w:rsidR="003E5A5C" w:rsidRPr="000D7AE0" w:rsidRDefault="003E5A5C">
            <w:pPr>
              <w:pStyle w:val="ListParagraph"/>
              <w:spacing w:after="0"/>
              <w:ind w:left="144"/>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4.2 Building networks with different media</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4.2. Budovanie sietí s rôznymi médiami</w:t>
            </w:r>
          </w:p>
        </w:tc>
      </w:tr>
      <w:tr w:rsidR="003E5A5C" w:rsidRPr="00095F13" w:rsidTr="007B6F56">
        <w:trPr>
          <w:trHeight w:val="318"/>
        </w:trPr>
        <w:tc>
          <w:tcPr>
            <w:tcW w:w="1006" w:type="pct"/>
            <w:shd w:val="clear" w:color="000000" w:fill="FFFFFF"/>
          </w:tcPr>
          <w:p w:rsidR="003E5A5C" w:rsidRPr="000D7AE0" w:rsidRDefault="003E5A5C">
            <w:pPr>
              <w:pStyle w:val="ListParagraph"/>
              <w:spacing w:after="0"/>
              <w:ind w:left="144"/>
              <w:rPr>
                <w:rFonts w:ascii="Verdana" w:hAnsi="Verdana" w:cstheme="minorHAnsi"/>
                <w:sz w:val="20"/>
                <w:szCs w:val="20"/>
                <w:lang w:val="pl-PL"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4.3 Procurement of goods and services under Technical Assistance</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4.3. Obstarávanie tovaru a služieb v rámci technickej pomoci</w:t>
            </w:r>
          </w:p>
        </w:tc>
      </w:tr>
      <w:tr w:rsidR="003E5A5C" w:rsidRPr="00095F13" w:rsidTr="007B6F56">
        <w:trPr>
          <w:trHeight w:val="318"/>
        </w:trPr>
        <w:tc>
          <w:tcPr>
            <w:tcW w:w="1006" w:type="pct"/>
            <w:shd w:val="clear" w:color="000000" w:fill="FFFFFF"/>
          </w:tcPr>
          <w:p w:rsidR="003E5A5C" w:rsidRDefault="003E5A5C">
            <w:pPr>
              <w:pStyle w:val="ListParagraph"/>
              <w:spacing w:after="0"/>
              <w:ind w:left="0"/>
              <w:rPr>
                <w:rFonts w:ascii="Verdana" w:hAnsi="Verdana" w:cstheme="minorHAnsi"/>
                <w:sz w:val="20"/>
                <w:szCs w:val="20"/>
                <w:lang w:val="en-US" w:eastAsia="en-US"/>
              </w:rPr>
            </w:pPr>
            <w:r>
              <w:rPr>
                <w:rFonts w:ascii="Verdana" w:hAnsi="Verdana" w:cstheme="minorHAnsi"/>
                <w:sz w:val="20"/>
                <w:szCs w:val="20"/>
                <w:lang w:val="en-US"/>
              </w:rPr>
              <w:t>5. Programming of Operational Programmes</w:t>
            </w: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5.1 Inter-institutional coordination and stakeholder involvement</w:t>
            </w:r>
          </w:p>
        </w:tc>
        <w:tc>
          <w:tcPr>
            <w:tcW w:w="1008" w:type="pct"/>
            <w:shd w:val="clear" w:color="000000" w:fill="FFFFFF"/>
          </w:tcPr>
          <w:p w:rsidR="003E5A5C" w:rsidRPr="00095F13" w:rsidRDefault="003E5A5C" w:rsidP="007B6F56">
            <w:pPr>
              <w:pStyle w:val="ListParagraph"/>
              <w:spacing w:after="0"/>
              <w:ind w:left="0"/>
              <w:rPr>
                <w:rFonts w:ascii="Verdana" w:hAnsi="Verdana" w:cstheme="minorHAnsi"/>
                <w:sz w:val="20"/>
                <w:szCs w:val="20"/>
              </w:rPr>
            </w:pPr>
            <w:r>
              <w:rPr>
                <w:rFonts w:ascii="Verdana" w:hAnsi="Verdana" w:cstheme="minorHAnsi"/>
                <w:sz w:val="20"/>
              </w:rPr>
              <w:t>5. Programovanie operačných programov</w:t>
            </w: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5.1. Medziinštitucionálna koordinácia a zapojenie zainteresovaných strán</w:t>
            </w:r>
          </w:p>
        </w:tc>
      </w:tr>
      <w:tr w:rsidR="003E5A5C" w:rsidRPr="00095F13" w:rsidTr="007B6F56">
        <w:trPr>
          <w:trHeight w:val="318"/>
        </w:trPr>
        <w:tc>
          <w:tcPr>
            <w:tcW w:w="1006" w:type="pct"/>
            <w:shd w:val="clear" w:color="000000" w:fill="FFFFFF"/>
          </w:tcPr>
          <w:p w:rsidR="003E5A5C" w:rsidRPr="000D7AE0" w:rsidRDefault="003E5A5C">
            <w:pPr>
              <w:pStyle w:val="ListParagraph"/>
              <w:spacing w:after="0"/>
              <w:ind w:left="144"/>
              <w:rPr>
                <w:rFonts w:ascii="Verdana" w:hAnsi="Verdana" w:cstheme="minorHAnsi"/>
                <w:sz w:val="20"/>
                <w:szCs w:val="20"/>
                <w:lang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5.2 Preparation of the Programme</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5.2. Príprava programu</w:t>
            </w:r>
          </w:p>
        </w:tc>
      </w:tr>
      <w:tr w:rsidR="003E5A5C" w:rsidRPr="00095F13" w:rsidTr="007B6F56">
        <w:trPr>
          <w:trHeight w:val="318"/>
        </w:trPr>
        <w:tc>
          <w:tcPr>
            <w:tcW w:w="1006" w:type="pct"/>
            <w:shd w:val="clear" w:color="000000" w:fill="FFFFFF"/>
          </w:tcPr>
          <w:p w:rsidR="003E5A5C" w:rsidRDefault="003E5A5C">
            <w:pPr>
              <w:pStyle w:val="ListParagraph"/>
              <w:spacing w:after="0"/>
              <w:ind w:left="144"/>
              <w:rPr>
                <w:rFonts w:ascii="Verdana" w:hAnsi="Verdana" w:cstheme="minorHAnsi"/>
                <w:sz w:val="20"/>
                <w:szCs w:val="20"/>
                <w:lang w:val="en-US"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5.3 Management of the evaluation process (ex-ante)</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5.3. Riadenie hodnotiaceho procesu (</w:t>
            </w:r>
            <w:r>
              <w:rPr>
                <w:rFonts w:ascii="Verdana" w:hAnsi="Verdana" w:cstheme="minorHAnsi"/>
                <w:i/>
                <w:sz w:val="20"/>
              </w:rPr>
              <w:t>ex ante</w:t>
            </w:r>
            <w:r>
              <w:rPr>
                <w:rFonts w:ascii="Verdana" w:hAnsi="Verdana" w:cstheme="minorHAnsi"/>
                <w:sz w:val="20"/>
              </w:rPr>
              <w:t>)</w:t>
            </w:r>
          </w:p>
        </w:tc>
      </w:tr>
      <w:tr w:rsidR="003E5A5C" w:rsidRPr="00095F13" w:rsidTr="007B6F56">
        <w:trPr>
          <w:trHeight w:val="318"/>
        </w:trPr>
        <w:tc>
          <w:tcPr>
            <w:tcW w:w="1006" w:type="pct"/>
            <w:shd w:val="clear" w:color="000000" w:fill="FFFFFF"/>
          </w:tcPr>
          <w:p w:rsidR="003E5A5C" w:rsidRPr="000D7AE0" w:rsidRDefault="003E5A5C">
            <w:pPr>
              <w:pStyle w:val="ListParagraph"/>
              <w:spacing w:after="0"/>
              <w:ind w:left="144"/>
              <w:rPr>
                <w:rFonts w:ascii="Verdana" w:hAnsi="Verdana" w:cstheme="minorHAnsi"/>
                <w:sz w:val="20"/>
                <w:szCs w:val="20"/>
                <w:lang w:val="es-ES"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5.4 Negotiation with the EC</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5.4. Rokovanie s EK</w:t>
            </w:r>
          </w:p>
        </w:tc>
      </w:tr>
      <w:tr w:rsidR="003E5A5C" w:rsidRPr="00095F13" w:rsidTr="007B6F56">
        <w:trPr>
          <w:trHeight w:val="318"/>
        </w:trPr>
        <w:tc>
          <w:tcPr>
            <w:tcW w:w="1006" w:type="pct"/>
            <w:shd w:val="clear" w:color="000000" w:fill="FFFFFF"/>
          </w:tcPr>
          <w:p w:rsidR="003E5A5C" w:rsidRDefault="003E5A5C">
            <w:pPr>
              <w:pStyle w:val="ListParagraph"/>
              <w:spacing w:after="0"/>
              <w:ind w:left="144"/>
              <w:rPr>
                <w:rFonts w:ascii="Verdana" w:hAnsi="Verdana" w:cstheme="minorHAnsi"/>
                <w:sz w:val="20"/>
                <w:szCs w:val="20"/>
                <w:lang w:val="en-US" w:eastAsia="en-US"/>
              </w:rPr>
            </w:pPr>
          </w:p>
        </w:tc>
        <w:tc>
          <w:tcPr>
            <w:tcW w:w="1668" w:type="pct"/>
            <w:shd w:val="clear" w:color="000000" w:fill="FFFFFF"/>
            <w:vAlign w:val="center"/>
          </w:tcPr>
          <w:p w:rsidR="003E5A5C" w:rsidRDefault="003E5A5C">
            <w:pPr>
              <w:spacing w:after="0" w:line="256" w:lineRule="auto"/>
              <w:rPr>
                <w:rFonts w:ascii="Verdana" w:hAnsi="Verdana" w:cstheme="minorHAnsi"/>
                <w:sz w:val="20"/>
                <w:szCs w:val="20"/>
                <w:lang w:val="en-US" w:eastAsia="en-US"/>
              </w:rPr>
            </w:pPr>
            <w:r>
              <w:rPr>
                <w:rFonts w:ascii="Verdana" w:hAnsi="Verdana" w:cstheme="minorHAnsi"/>
                <w:sz w:val="20"/>
                <w:szCs w:val="20"/>
                <w:lang w:val="en-US"/>
              </w:rPr>
              <w:t>5.5 Procurement of goods and services under Technical Assistance</w:t>
            </w:r>
          </w:p>
        </w:tc>
        <w:tc>
          <w:tcPr>
            <w:tcW w:w="1008" w:type="pct"/>
            <w:shd w:val="clear" w:color="000000" w:fill="FFFFFF"/>
          </w:tcPr>
          <w:p w:rsidR="003E5A5C" w:rsidRPr="00095F13" w:rsidRDefault="003E5A5C" w:rsidP="007B6F56">
            <w:pPr>
              <w:pStyle w:val="ListParagraph"/>
              <w:spacing w:after="0"/>
              <w:ind w:left="144"/>
              <w:rPr>
                <w:rFonts w:ascii="Verdana" w:hAnsi="Verdana" w:cstheme="minorHAnsi"/>
                <w:sz w:val="20"/>
                <w:szCs w:val="20"/>
              </w:rPr>
            </w:pPr>
          </w:p>
        </w:tc>
        <w:tc>
          <w:tcPr>
            <w:tcW w:w="1318" w:type="pct"/>
            <w:shd w:val="clear" w:color="000000" w:fill="FFFFFF"/>
            <w:vAlign w:val="center"/>
          </w:tcPr>
          <w:p w:rsidR="003E5A5C" w:rsidRPr="00095F13" w:rsidRDefault="003E5A5C" w:rsidP="007B6F56">
            <w:pPr>
              <w:spacing w:after="0"/>
              <w:rPr>
                <w:rFonts w:ascii="Verdana" w:hAnsi="Verdana" w:cstheme="minorHAnsi"/>
                <w:sz w:val="20"/>
                <w:szCs w:val="20"/>
              </w:rPr>
            </w:pPr>
            <w:r>
              <w:rPr>
                <w:rFonts w:ascii="Verdana" w:hAnsi="Verdana" w:cstheme="minorHAnsi"/>
                <w:sz w:val="20"/>
              </w:rPr>
              <w:t>5.5. Obstarávanie tovaru a služieb v rámci technickej pomoci</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7B6F56">
          <w:pgSz w:w="15840" w:h="12240" w:orient="landscape"/>
          <w:pgMar w:top="1200" w:right="1440" w:bottom="1440" w:left="1440" w:header="720" w:footer="36" w:gutter="0"/>
          <w:cols w:space="720"/>
          <w:docGrid w:linePitch="360"/>
        </w:sectPr>
      </w:pPr>
    </w:p>
    <w:p w:rsidR="00822B80" w:rsidRDefault="00822B80" w:rsidP="0041503A">
      <w:pPr>
        <w:pStyle w:val="Heading1"/>
        <w:ind w:left="547" w:hanging="547"/>
      </w:pPr>
      <w:bookmarkStart w:id="6" w:name="_Toc494968297"/>
      <w:bookmarkStart w:id="7" w:name="_Toc511314415"/>
      <w:r>
        <w:lastRenderedPageBreak/>
        <w:t>Stupnica spôsobilosti</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Angličtina</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A312DD" w:rsidRPr="0062042A" w:rsidTr="006645FC">
        <w:trPr>
          <w:trHeight w:val="332"/>
          <w:tblHeader/>
        </w:trPr>
        <w:tc>
          <w:tcPr>
            <w:tcW w:w="658" w:type="pct"/>
            <w:shd w:val="clear" w:color="auto" w:fill="F2F2F2" w:themeFill="background1" w:themeFillShade="F2"/>
          </w:tcPr>
          <w:p w:rsidR="00A312DD" w:rsidRDefault="00A312DD">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Scale </w:t>
            </w:r>
          </w:p>
        </w:tc>
        <w:tc>
          <w:tcPr>
            <w:tcW w:w="1738" w:type="pct"/>
            <w:shd w:val="clear" w:color="auto" w:fill="F2F2F2" w:themeFill="background1" w:themeFillShade="F2"/>
          </w:tcPr>
          <w:p w:rsidR="00A312DD" w:rsidRDefault="00A312DD">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rsidR="00A312DD" w:rsidRPr="0044373B" w:rsidRDefault="00A312DD" w:rsidP="007B6F56">
            <w:pPr>
              <w:spacing w:after="0" w:line="240" w:lineRule="auto"/>
              <w:rPr>
                <w:rFonts w:ascii="Verdana" w:hAnsi="Verdana" w:cstheme="minorHAnsi"/>
                <w:sz w:val="20"/>
                <w:szCs w:val="20"/>
              </w:rPr>
            </w:pPr>
            <w:r>
              <w:rPr>
                <w:rFonts w:ascii="Verdana" w:hAnsi="Verdana" w:cstheme="minorHAnsi"/>
                <w:sz w:val="20"/>
              </w:rPr>
              <w:t xml:space="preserve">Stupnica </w:t>
            </w:r>
          </w:p>
        </w:tc>
        <w:tc>
          <w:tcPr>
            <w:tcW w:w="2014" w:type="pct"/>
            <w:shd w:val="clear" w:color="auto" w:fill="F2F2F2" w:themeFill="background1" w:themeFillShade="F2"/>
          </w:tcPr>
          <w:p w:rsidR="00A312DD" w:rsidRPr="0062042A" w:rsidRDefault="00A312DD" w:rsidP="007B6F56">
            <w:pPr>
              <w:spacing w:after="0" w:line="240" w:lineRule="auto"/>
              <w:rPr>
                <w:rFonts w:ascii="Verdana" w:hAnsi="Verdana" w:cstheme="minorHAnsi"/>
                <w:sz w:val="20"/>
                <w:szCs w:val="20"/>
              </w:rPr>
            </w:pPr>
            <w:r>
              <w:rPr>
                <w:rFonts w:ascii="Verdana" w:hAnsi="Verdana" w:cstheme="minorHAnsi"/>
                <w:sz w:val="20"/>
              </w:rPr>
              <w:t xml:space="preserve">Opis </w:t>
            </w:r>
          </w:p>
        </w:tc>
      </w:tr>
      <w:tr w:rsidR="00A312DD" w:rsidRPr="0062042A" w:rsidTr="006645FC">
        <w:trPr>
          <w:trHeight w:val="566"/>
        </w:trPr>
        <w:tc>
          <w:tcPr>
            <w:tcW w:w="658" w:type="pct"/>
            <w:shd w:val="clear" w:color="000000" w:fill="FFFFFF"/>
          </w:tcPr>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N.A. - Not Applicable</w:t>
            </w:r>
          </w:p>
        </w:tc>
        <w:tc>
          <w:tcPr>
            <w:tcW w:w="1738" w:type="pct"/>
            <w:shd w:val="clear" w:color="000000" w:fill="FFFFFF"/>
            <w:hideMark/>
          </w:tcPr>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 xml:space="preserve">The competency is not applicable to the job role. </w:t>
            </w:r>
          </w:p>
        </w:tc>
        <w:tc>
          <w:tcPr>
            <w:tcW w:w="590" w:type="pct"/>
            <w:shd w:val="clear" w:color="000000" w:fill="FFFFFF"/>
          </w:tcPr>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N/A – neuplatňuje sa</w:t>
            </w:r>
          </w:p>
        </w:tc>
        <w:tc>
          <w:tcPr>
            <w:tcW w:w="2014" w:type="pct"/>
            <w:shd w:val="clear" w:color="000000" w:fill="FFFFFF"/>
          </w:tcPr>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 xml:space="preserve">Kompetencia sa na pracovnú pozíciu neuplatňuje. </w:t>
            </w:r>
          </w:p>
        </w:tc>
      </w:tr>
      <w:tr w:rsidR="00A312DD" w:rsidRPr="0062042A" w:rsidTr="006645FC">
        <w:trPr>
          <w:trHeight w:val="908"/>
        </w:trPr>
        <w:tc>
          <w:tcPr>
            <w:tcW w:w="65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w:t>
            </w:r>
          </w:p>
        </w:tc>
        <w:tc>
          <w:tcPr>
            <w:tcW w:w="1738" w:type="pct"/>
            <w:shd w:val="clear" w:color="000000" w:fill="FFFFFF"/>
          </w:tcPr>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 xml:space="preserve">Úroveň 0 – </w:t>
            </w:r>
          </w:p>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nijaká znalosť</w:t>
            </w:r>
          </w:p>
        </w:tc>
        <w:tc>
          <w:tcPr>
            <w:tcW w:w="2014" w:type="pct"/>
            <w:shd w:val="clear" w:color="000000" w:fill="FFFFFF"/>
          </w:tcPr>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Nijaká znalosť kompetencie ani nijaká schopnosť uplatňovať kompetenciu v reálnych situáciách.</w:t>
            </w:r>
          </w:p>
        </w:tc>
      </w:tr>
      <w:tr w:rsidR="00A312DD" w:rsidRPr="0062042A" w:rsidTr="006645FC">
        <w:trPr>
          <w:trHeight w:val="1421"/>
        </w:trPr>
        <w:tc>
          <w:tcPr>
            <w:tcW w:w="65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1 – </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Awareness</w:t>
            </w:r>
          </w:p>
        </w:tc>
        <w:tc>
          <w:tcPr>
            <w:tcW w:w="173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 xml:space="preserve">Úroveň 1 – </w:t>
            </w:r>
          </w:p>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informovaný</w:t>
            </w:r>
          </w:p>
        </w:tc>
        <w:tc>
          <w:tcPr>
            <w:tcW w:w="2014"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Základná znalosť kompetencie (napr. chápe všeobecné pojmy a procesy, je oboznámený so súvisiacou kľúčovou terminológiou).</w:t>
            </w:r>
          </w:p>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Schopnosť preukázať túto kompetenciu po prijatí osobitných pokynov a usmernení.</w:t>
            </w:r>
          </w:p>
        </w:tc>
      </w:tr>
      <w:tr w:rsidR="00A312DD" w:rsidRPr="0062042A" w:rsidTr="006645FC">
        <w:trPr>
          <w:trHeight w:val="1103"/>
        </w:trPr>
        <w:tc>
          <w:tcPr>
            <w:tcW w:w="65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2 – </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Trained</w:t>
            </w:r>
          </w:p>
        </w:tc>
        <w:tc>
          <w:tcPr>
            <w:tcW w:w="173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 Ability to apply that knowledge in daily work.</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 xml:space="preserve">Úroveň 2 – </w:t>
            </w:r>
          </w:p>
          <w:p w:rsidR="00A312DD" w:rsidRPr="0044373B" w:rsidRDefault="00A312DD" w:rsidP="007B6F56">
            <w:pPr>
              <w:spacing w:before="60" w:after="120" w:line="240" w:lineRule="auto"/>
              <w:rPr>
                <w:rFonts w:ascii="Verdana" w:hAnsi="Verdana" w:cstheme="minorHAnsi"/>
                <w:sz w:val="20"/>
                <w:szCs w:val="20"/>
              </w:rPr>
            </w:pPr>
            <w:r>
              <w:rPr>
                <w:rFonts w:ascii="Verdana" w:hAnsi="Verdana" w:cstheme="minorHAnsi"/>
                <w:sz w:val="20"/>
              </w:rPr>
              <w:t>odborne pripravený</w:t>
            </w:r>
          </w:p>
        </w:tc>
        <w:tc>
          <w:tcPr>
            <w:tcW w:w="2014"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Dobrá pracovná znalosť kompetencie. Schopnosť uplatňovať túto znalosť v každodennej práci.</w:t>
            </w:r>
          </w:p>
          <w:p w:rsidR="00A312DD" w:rsidRPr="0044373B" w:rsidRDefault="00A312DD" w:rsidP="007B6F56">
            <w:pPr>
              <w:spacing w:before="60" w:after="120" w:line="240" w:lineRule="auto"/>
              <w:rPr>
                <w:rFonts w:ascii="Verdana" w:hAnsi="Verdana" w:cstheme="minorHAnsi"/>
                <w:sz w:val="20"/>
                <w:szCs w:val="20"/>
              </w:rPr>
            </w:pPr>
            <w:r>
              <w:rPr>
                <w:rFonts w:ascii="Verdana" w:hAnsi="Verdana" w:cstheme="minorHAnsi"/>
                <w:sz w:val="20"/>
              </w:rPr>
              <w:t>Schopnosť samostatne vykonávať štandardné činnosti vzhľadom na túto kompetenciu.</w:t>
            </w:r>
          </w:p>
        </w:tc>
      </w:tr>
      <w:tr w:rsidR="00A312DD" w:rsidRPr="0062042A" w:rsidTr="007B6F56">
        <w:trPr>
          <w:trHeight w:val="1103"/>
        </w:trPr>
        <w:tc>
          <w:tcPr>
            <w:tcW w:w="658" w:type="pct"/>
            <w:shd w:val="clear" w:color="000000" w:fill="FFFFFF"/>
            <w:vAlign w:val="center"/>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3 – </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Intermediate</w:t>
            </w:r>
          </w:p>
        </w:tc>
        <w:tc>
          <w:tcPr>
            <w:tcW w:w="173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r>
              <w:rPr>
                <w:rFonts w:ascii="Verdana" w:hAnsi="Verdana" w:cstheme="minorHAnsi"/>
                <w:sz w:val="20"/>
                <w:szCs w:val="20"/>
                <w:lang w:val="en-US"/>
              </w:rPr>
              <w:br/>
              <w:t>Ability to deal with a variety of exceptions and special cases related to the competency in an independent manner.</w:t>
            </w:r>
          </w:p>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t xml:space="preserve">Confidence in serving as an advisor and is </w:t>
            </w:r>
            <w:r>
              <w:rPr>
                <w:rFonts w:ascii="Verdana" w:hAnsi="Verdana" w:cstheme="minorHAnsi"/>
                <w:sz w:val="20"/>
                <w:szCs w:val="20"/>
                <w:lang w:val="en-US"/>
              </w:rPr>
              <w:lastRenderedPageBreak/>
              <w:t>sought out to provide insight in the application of this competency.</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lastRenderedPageBreak/>
              <w:t xml:space="preserve">Úroveň 3 – </w:t>
            </w:r>
          </w:p>
          <w:p w:rsidR="00A312DD" w:rsidRPr="0044373B" w:rsidRDefault="00A312DD" w:rsidP="007B6F56">
            <w:pPr>
              <w:spacing w:before="60" w:after="120" w:line="240" w:lineRule="auto"/>
              <w:rPr>
                <w:rFonts w:ascii="Verdana" w:hAnsi="Verdana" w:cstheme="minorHAnsi"/>
                <w:sz w:val="20"/>
                <w:szCs w:val="20"/>
              </w:rPr>
            </w:pPr>
            <w:r>
              <w:rPr>
                <w:rFonts w:ascii="Verdana" w:hAnsi="Verdana" w:cstheme="minorHAnsi"/>
                <w:sz w:val="20"/>
              </w:rPr>
              <w:t>stredne pokročilý</w:t>
            </w:r>
          </w:p>
        </w:tc>
        <w:tc>
          <w:tcPr>
            <w:tcW w:w="2014" w:type="pct"/>
            <w:shd w:val="clear" w:color="000000" w:fill="FFFFFF"/>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Rozsiahle a dôkladné vedomosti a zručnosti týkajúce sa kompetencie.</w:t>
            </w:r>
            <w:r>
              <w:rPr>
                <w:rFonts w:ascii="Verdana" w:hAnsi="Verdana" w:cstheme="minorHAnsi"/>
                <w:sz w:val="20"/>
                <w:szCs w:val="20"/>
              </w:rPr>
              <w:br/>
            </w:r>
            <w:r>
              <w:rPr>
                <w:rFonts w:ascii="Verdana" w:hAnsi="Verdana" w:cstheme="minorHAnsi"/>
                <w:sz w:val="20"/>
              </w:rPr>
              <w:t>Schopnosť samostatne riešiť rôzne výnimky a osobitné prípady súvisiace s kompetenciou.</w:t>
            </w:r>
          </w:p>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Schopnosť účinne spoločne využívať vedomosti a skúsenosti so služobne mladšími zamestnancami.</w:t>
            </w:r>
            <w:r>
              <w:rPr>
                <w:rFonts w:ascii="Verdana" w:hAnsi="Verdana" w:cstheme="minorHAnsi"/>
                <w:sz w:val="20"/>
                <w:szCs w:val="20"/>
              </w:rPr>
              <w:br/>
            </w:r>
            <w:r>
              <w:rPr>
                <w:rFonts w:ascii="Verdana" w:hAnsi="Verdana" w:cstheme="minorHAnsi"/>
                <w:sz w:val="20"/>
              </w:rPr>
              <w:t xml:space="preserve">Má sebadôveru pri poskytovaní poradenstva a je </w:t>
            </w:r>
            <w:r>
              <w:rPr>
                <w:rFonts w:ascii="Verdana" w:hAnsi="Verdana" w:cstheme="minorHAnsi"/>
                <w:sz w:val="20"/>
              </w:rPr>
              <w:lastRenderedPageBreak/>
              <w:t>vyhľadávaný, aby poskytoval názory pri uplatňovaní tejto kompetencie.</w:t>
            </w:r>
          </w:p>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Pri uplatňovaní tejto kompetencie dokáže koučovať iných vyjadrením zložitých odtienkov a otázok týkajúcich sa tejto kompetencie ľahko pochopiteľnými výrazmi.</w:t>
            </w:r>
          </w:p>
        </w:tc>
      </w:tr>
      <w:tr w:rsidR="00A312DD" w:rsidRPr="0062042A" w:rsidTr="007B6F56">
        <w:trPr>
          <w:trHeight w:val="1103"/>
        </w:trPr>
        <w:tc>
          <w:tcPr>
            <w:tcW w:w="658" w:type="pct"/>
            <w:shd w:val="clear" w:color="000000" w:fill="FFFFFF"/>
            <w:vAlign w:val="center"/>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lastRenderedPageBreak/>
              <w:t xml:space="preserve">Level 4 – </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Expert</w:t>
            </w:r>
          </w:p>
        </w:tc>
        <w:tc>
          <w:tcPr>
            <w:tcW w:w="1738" w:type="pct"/>
            <w:shd w:val="clear" w:color="000000" w:fill="FFFFFF"/>
          </w:tcPr>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rsidR="00A312DD" w:rsidRDefault="00A312DD">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rsidR="00A312DD" w:rsidRDefault="00A312DD">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 xml:space="preserve">Úroveň 4 – </w:t>
            </w:r>
          </w:p>
          <w:p w:rsidR="00A312DD" w:rsidRPr="0044373B" w:rsidRDefault="00A312DD" w:rsidP="007B6F56">
            <w:pPr>
              <w:spacing w:before="60" w:after="120" w:line="240" w:lineRule="auto"/>
              <w:rPr>
                <w:rFonts w:ascii="Verdana" w:hAnsi="Verdana" w:cstheme="minorHAnsi"/>
                <w:sz w:val="20"/>
                <w:szCs w:val="20"/>
              </w:rPr>
            </w:pPr>
            <w:r>
              <w:rPr>
                <w:rFonts w:ascii="Verdana" w:hAnsi="Verdana" w:cstheme="minorHAnsi"/>
                <w:sz w:val="20"/>
              </w:rPr>
              <w:t>odborník</w:t>
            </w:r>
          </w:p>
        </w:tc>
        <w:tc>
          <w:tcPr>
            <w:tcW w:w="2014" w:type="pct"/>
            <w:shd w:val="clear" w:color="000000" w:fill="FFFFFF"/>
          </w:tcPr>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Rozsiahle odborné vedomosti a zručnosti týkajúce sa kompetencie.</w:t>
            </w:r>
          </w:p>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Schopnosť zdôrazniť (ne)výhody jednotlivých procesov súvisiacich s kompetenciou a ich prepojenie so širšou perspektívou.</w:t>
            </w:r>
          </w:p>
          <w:p w:rsidR="00A312DD" w:rsidRDefault="00A312DD" w:rsidP="007B6F56">
            <w:pPr>
              <w:spacing w:before="60" w:after="120" w:line="240" w:lineRule="auto"/>
              <w:rPr>
                <w:rFonts w:ascii="Verdana" w:hAnsi="Verdana" w:cstheme="minorHAnsi"/>
                <w:sz w:val="20"/>
                <w:szCs w:val="20"/>
              </w:rPr>
            </w:pPr>
            <w:r>
              <w:rPr>
                <w:rFonts w:ascii="Verdana" w:hAnsi="Verdana" w:cstheme="minorHAnsi"/>
                <w:sz w:val="20"/>
              </w:rPr>
              <w:t>Schopnosť poskytnúť prispôsobené poradenstvo a toto poradenstvo podporiť relevantnými argumentmi podľa daného kontextu v reakcii na vnútorné a vonkajšie otázky.</w:t>
            </w:r>
          </w:p>
          <w:p w:rsidR="00A312DD" w:rsidRPr="0062042A" w:rsidRDefault="00A312DD" w:rsidP="007B6F56">
            <w:pPr>
              <w:spacing w:before="60" w:after="120" w:line="240" w:lineRule="auto"/>
              <w:rPr>
                <w:rFonts w:ascii="Verdana" w:hAnsi="Verdana" w:cstheme="minorHAnsi"/>
                <w:sz w:val="20"/>
                <w:szCs w:val="20"/>
              </w:rPr>
            </w:pPr>
            <w:r>
              <w:rPr>
                <w:rFonts w:ascii="Verdana" w:hAnsi="Verdana" w:cstheme="minorHAnsi"/>
                <w:sz w:val="20"/>
              </w:rPr>
              <w:t>Ostatnými je vnímaný ako vzor, ktorý dokáže viesť alebo učiť iných v oblasti danej kompetencie.</w:t>
            </w:r>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41503A">
      <w:pPr>
        <w:pStyle w:val="Heading1"/>
        <w:ind w:left="547" w:hanging="547"/>
      </w:pPr>
      <w:bookmarkStart w:id="8" w:name="_Toc494968298"/>
      <w:bookmarkStart w:id="9" w:name="_Toc511314416"/>
      <w:r>
        <w:lastRenderedPageBreak/>
        <w:t>Prevádzkové kompetencie</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Angličtina</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Slovenčina</w:t>
            </w:r>
          </w:p>
        </w:tc>
      </w:tr>
      <w:tr w:rsidR="004908E9" w:rsidRPr="00095F13" w:rsidTr="007B6F56">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908E9" w:rsidRDefault="004908E9">
            <w:pPr>
              <w:spacing w:line="256" w:lineRule="auto"/>
              <w:rPr>
                <w:rFonts w:ascii="Verdana" w:hAnsi="Verdana"/>
                <w:b/>
                <w:sz w:val="20"/>
                <w:szCs w:val="20"/>
                <w:lang w:val="en-US" w:eastAsia="en-US"/>
              </w:rPr>
            </w:pPr>
            <w:r>
              <w:rPr>
                <w:rFonts w:ascii="Verdana" w:hAnsi="Verdana"/>
                <w:b/>
                <w:sz w:val="20"/>
                <w:szCs w:val="20"/>
                <w:lang w:val="en-US"/>
              </w:rPr>
              <w:t>Code</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908E9" w:rsidRDefault="004908E9">
            <w:pPr>
              <w:spacing w:line="256" w:lineRule="auto"/>
              <w:rPr>
                <w:rFonts w:ascii="Verdana" w:hAnsi="Verdana"/>
                <w:b/>
                <w:sz w:val="20"/>
                <w:szCs w:val="20"/>
                <w:lang w:val="en-US" w:eastAsia="en-US"/>
              </w:rPr>
            </w:pPr>
            <w:r>
              <w:rPr>
                <w:rFonts w:ascii="Verdana" w:hAnsi="Verdana"/>
                <w:b/>
                <w:sz w:val="20"/>
                <w:szCs w:val="20"/>
                <w:lang w:val="en-US"/>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908E9" w:rsidRPr="00095F13" w:rsidRDefault="004908E9" w:rsidP="007B6F56">
            <w:pPr>
              <w:rPr>
                <w:rFonts w:ascii="Verdana" w:hAnsi="Verdana"/>
                <w:b/>
                <w:sz w:val="20"/>
                <w:szCs w:val="20"/>
              </w:rPr>
            </w:pPr>
            <w:r>
              <w:rPr>
                <w:rFonts w:ascii="Verdana" w:hAnsi="Verdana"/>
                <w:b/>
                <w:sz w:val="20"/>
              </w:rPr>
              <w:t>Kompetencia</w:t>
            </w:r>
          </w:p>
        </w:tc>
      </w:tr>
      <w:tr w:rsidR="004908E9" w:rsidRPr="00095F13" w:rsidTr="007B6F56">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Všeobecné ustanovenia právnych aktov EÚ/vnútroštátnych právnych aktov týkajúcich sa EŠIF</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Európske strategické dokumenty (napr. príslušné tematické politiky EÚ, odporúčania Rady)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Príslušné tematické vedomosti (tematické právne predpisy, náklady, uplatniteľné normy, trendy)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 xml:space="preserve">Eligibility of expenditure provisions </w:t>
            </w:r>
            <w:r>
              <w:rPr>
                <w:rFonts w:ascii="Verdana" w:hAnsi="Verdana"/>
                <w:color w:val="000000"/>
                <w:sz w:val="20"/>
                <w:szCs w:val="20"/>
                <w:lang w:val="en-US"/>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 xml:space="preserve">Ustanovenia o oprávnenosti výdavkov </w:t>
            </w:r>
            <w:r>
              <w:rPr>
                <w:rFonts w:ascii="Verdana" w:hAnsi="Verdana"/>
                <w:color w:val="000000"/>
                <w:sz w:val="20"/>
              </w:rPr>
              <w:t>zahrnuté v právnych aktoch EÚ/vnútroštátnych právnych aktoch týkajúcich sa EŠIF (pravidlá, usmernenia a metodiky vrátane rozsahu podpory)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Riadenie procesu hodnotenia programu, priority alebo opatrenia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Územné otázky, ako je integrovaná územná investícia (IÚI), miestny rozvoj vedený komunitou, trvalo udržateľný rozvoj miest, makroregionálne a regionálne stratégie a plánovanie medziregionálnej spolupráce</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i/>
                <w:sz w:val="20"/>
              </w:rPr>
              <w:t>Ex ante</w:t>
            </w:r>
            <w:r>
              <w:rPr>
                <w:rFonts w:ascii="Verdana" w:hAnsi="Verdana"/>
                <w:sz w:val="20"/>
              </w:rPr>
              <w:t xml:space="preserve"> kondicionality (posudzovanie a následné činnosti vykonávania akčných plánov pre plnenie)</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Sociálno-ekonomická analýza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Intervenčná logika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 xml:space="preserve">Coherence and complementarity with ESIF, </w:t>
            </w:r>
            <w:r>
              <w:rPr>
                <w:rFonts w:ascii="Verdana" w:hAnsi="Verdana"/>
                <w:sz w:val="20"/>
                <w:szCs w:val="20"/>
                <w:lang w:val="en-US"/>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lastRenderedPageBreak/>
              <w:t xml:space="preserve">Súdržnosť a komplementárnosť s EŠIF, politikami a nástrojmi </w:t>
            </w:r>
            <w:r>
              <w:rPr>
                <w:rFonts w:ascii="Verdana" w:hAnsi="Verdana"/>
                <w:sz w:val="20"/>
              </w:rPr>
              <w:lastRenderedPageBreak/>
              <w:t>EÚ a vnútroštátnymi politikami a nástrojmi</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Určovanie priorít a plánovanie prideľovania finančných prostriedkov</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Posudzovanie doplnkovosti</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Mechanizmy tvorby a vykonávania finančných nástrojov</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Pravidlá verejného obstarávania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Horizontal issues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Horizontálne otázky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Riadenie programu a riadenie projektového cyklu</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Riziko podvodov, riadenie nezrovnalostí (vrátane opatrení na predchádzanie, zisťovanie a zmierňovanie)</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State Aid</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Štátna pomoc</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Vymedzenie a revízia administratívnej organizácie</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Posúdenie výkonnosti systému EŠIF</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Tvorba a údržba monitorovacích a informačných systémov</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Posudzovanie administratívneho zaťaženia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Vnútroštátne strategické dokumenty (napr. národné stratégie rozvoja, príslušné tematické a odvetvové politiky)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CB.O.C24</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Ukazovatele vstupov, výstupov, výsledkov</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lastRenderedPageBreak/>
              <w:t>CB.O.C25</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Posudzovanie mechanizmov vykonávania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Visibility rules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Pravidlá viditeľnosti</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Určenie rôznych zainteresovaných strán a ich informačných potrieb</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Riadenie príslušných médií</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Administratívne postupy pre obstarávanie tovaru a služieb z technickej pomoci</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Web communication</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Internetová komunikácia</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Cezhraničná, nadnárodná a medziregionálna spolupráca a Európske zoskupenie územnej spolupráce</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Riadenie využívania externých zdrojov pre činnosti technickej pomoci</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Hospodárske prostredie a reformné procesy (európsky semester, národné programy reforiem a odporúčania pre jednotlivé krajiny)</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Zostavenie rozpočtu a odhad nákladov</w:t>
            </w:r>
          </w:p>
        </w:tc>
      </w:tr>
      <w:tr w:rsidR="004908E9" w:rsidRPr="00095F13" w:rsidTr="007B6F5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908E9" w:rsidRPr="00095F13" w:rsidRDefault="004908E9">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hideMark/>
          </w:tcPr>
          <w:p w:rsidR="004908E9" w:rsidRDefault="004908E9">
            <w:pPr>
              <w:spacing w:line="256" w:lineRule="auto"/>
              <w:rPr>
                <w:rFonts w:ascii="Verdana" w:hAnsi="Verdana"/>
                <w:sz w:val="20"/>
                <w:szCs w:val="20"/>
                <w:lang w:val="en-US" w:eastAsia="en-US"/>
              </w:rPr>
            </w:pPr>
            <w:r>
              <w:rPr>
                <w:rFonts w:ascii="Verdana" w:hAnsi="Verdana"/>
                <w:sz w:val="20"/>
                <w:szCs w:val="20"/>
                <w:lang w:val="en-US"/>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4908E9" w:rsidRPr="00095F13" w:rsidRDefault="004908E9" w:rsidP="007B6F56">
            <w:pPr>
              <w:rPr>
                <w:rFonts w:ascii="Verdana" w:hAnsi="Verdana"/>
                <w:sz w:val="20"/>
                <w:szCs w:val="20"/>
              </w:rPr>
            </w:pPr>
            <w:r>
              <w:rPr>
                <w:rFonts w:ascii="Verdana" w:hAnsi="Verdana"/>
                <w:sz w:val="20"/>
              </w:rPr>
              <w:t>Normy, postupy a metodiky auditu</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0" w:name="_Toc494968299"/>
      <w:bookmarkStart w:id="11" w:name="_Toc511314417"/>
      <w:r>
        <w:lastRenderedPageBreak/>
        <w:t>Kompetencie v oblasti riadenia</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Angličtina</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Slovenčina</w:t>
            </w:r>
          </w:p>
        </w:tc>
      </w:tr>
      <w:tr w:rsidR="003C0E1A" w:rsidRPr="00095F13" w:rsidTr="00545520">
        <w:trPr>
          <w:trHeight w:val="255"/>
          <w:tblHeader/>
        </w:trPr>
        <w:tc>
          <w:tcPr>
            <w:tcW w:w="386" w:type="pct"/>
            <w:shd w:val="clear" w:color="auto" w:fill="EDEDED" w:themeFill="accent3" w:themeFillTint="33"/>
            <w:vAlign w:val="center"/>
          </w:tcPr>
          <w:p w:rsidR="003C0E1A" w:rsidRPr="00095F13" w:rsidRDefault="003C0E1A" w:rsidP="00AD2B31">
            <w:pPr>
              <w:spacing w:after="0" w:line="240" w:lineRule="auto"/>
              <w:rPr>
                <w:rFonts w:ascii="Verdana" w:eastAsia="Times New Roman" w:hAnsi="Verdana" w:cstheme="minorHAnsi"/>
                <w:b/>
                <w:bCs/>
                <w:sz w:val="20"/>
                <w:szCs w:val="20"/>
              </w:rPr>
            </w:pPr>
            <w:r>
              <w:rPr>
                <w:rFonts w:ascii="Verdana" w:hAnsi="Verdana" w:cstheme="minorHAnsi"/>
                <w:b/>
                <w:sz w:val="20"/>
              </w:rPr>
              <w:t>Kód</w:t>
            </w:r>
          </w:p>
        </w:tc>
        <w:tc>
          <w:tcPr>
            <w:tcW w:w="793" w:type="pct"/>
            <w:shd w:val="clear" w:color="auto" w:fill="EDEDED" w:themeFill="accent3" w:themeFillTint="33"/>
            <w:noWrap/>
            <w:vAlign w:val="center"/>
            <w:hideMark/>
          </w:tcPr>
          <w:p w:rsidR="003C0E1A" w:rsidRDefault="003C0E1A">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3C0E1A" w:rsidRDefault="003C0E1A">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3C0E1A" w:rsidRPr="00095F13" w:rsidRDefault="003C0E1A"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631" w:type="pct"/>
            <w:shd w:val="clear" w:color="auto" w:fill="EDEDED" w:themeFill="accent3" w:themeFillTint="33"/>
            <w:vAlign w:val="center"/>
          </w:tcPr>
          <w:p w:rsidR="003C0E1A" w:rsidRPr="00095F13" w:rsidRDefault="003C0E1A"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3C0E1A" w:rsidRPr="00095F13" w:rsidTr="00545520">
        <w:trPr>
          <w:trHeight w:val="579"/>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Developing others and people management</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Rozvoj iných a riadenie ľudí</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poskytovať včasné, jasné a konkrétne usmernenia, spätnú väzbu a podporovať iných pri určovaní potrieb a možností rozvoja a odbornej prípravy, rozvíjaní ich vedomostí, zručností a schopností potrebných na plnenie pridelených úloh alebo riešenie problémov, ako aj preukázanie schopnosti riadiť pracovné činnosti zamestnancov, ich rozvoj a výkonnosť tak, aby sa maximalizovala účinnosť ľudských zdrojov.</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 making</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Rozhodovanie</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uplatňovať účinné prístupy na vyvodenie záverov alebo vypracovanie riešení a prijímať včasné opatrenia, ktoré sú v súlade s dostupnými údajmi a faktami získanými z rôznych zdrojov, obmedzení a potenciálnych dôsledkov.</w:t>
            </w:r>
          </w:p>
        </w:tc>
      </w:tr>
      <w:tr w:rsidR="003C0E1A" w:rsidRPr="00095F13" w:rsidTr="00545520">
        <w:trPr>
          <w:trHeight w:val="1020"/>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Delegation</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w:t>
            </w:r>
            <w:r>
              <w:rPr>
                <w:rFonts w:ascii="Verdana" w:hAnsi="Verdana" w:cstheme="minorHAnsi"/>
                <w:sz w:val="20"/>
                <w:szCs w:val="20"/>
                <w:lang w:val="en-US"/>
              </w:rPr>
              <w:lastRenderedPageBreak/>
              <w:t>to maximise the organisational and individuals effectiveness.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lastRenderedPageBreak/>
              <w:t>Delegovanie</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prideľovať rozhodovanie a/alebo zodpovednosť za úlohy iným, zabezpečovať jasnú komunikáciu o prideľovaní a plnení povinností a poskytovať primeranú podporu tak, aby sa maximalizovala efektívnosť organizácie a jednotlivcov.</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Facilitation and communication</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Napomáhanie a komunikácia</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podnietiť u iných angažovanosť a tvorivosť, využívať schopnosti skupiny na vedenie skupiny k dohode, účinne riešiť otázky, plniť úlohy a vzájomné ciele.</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bookmarkStart w:id="12" w:name="RANGE!B8"/>
            <w:r>
              <w:rPr>
                <w:rFonts w:ascii="Verdana" w:hAnsi="Verdana" w:cstheme="minorHAnsi"/>
                <w:sz w:val="20"/>
                <w:szCs w:val="20"/>
                <w:lang w:val="en-US"/>
              </w:rPr>
              <w:t>Leadership</w:t>
            </w:r>
            <w:bookmarkEnd w:id="12"/>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Vedenie</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povzbudzovať a inšpirovať jednotlivcov, aby sa usilovali o víziu budúcnosti, jasne predstaviť zámery a ciele, vytvárať u zamestnancov zmysel pre smerovanie a účel a pôsobiť ako katalyzátor konania.</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Multi-level stakeholder management</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understand the goals and objectives of various stakeholders, ensure efficient cooperation and stakeholders engagement (incl. being open and stimulating exchange of good practices bet</w:t>
            </w:r>
            <w:r w:rsidR="000D7AE0">
              <w:rPr>
                <w:rFonts w:ascii="Verdana" w:hAnsi="Verdana" w:cstheme="minorHAnsi"/>
                <w:sz w:val="20"/>
                <w:szCs w:val="20"/>
                <w:lang w:val="en-US"/>
              </w:rPr>
              <w:t>ween different Member States).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Viacúrovňové riadenie zainteresovaných strán</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porozumieť zámerom a cieľom rôznych zainteresovaných strán, zabezpečovať účinnú spoluprácu a zapojenie zainteresovaných strán (vrátane otvorenosti a podnecovania výmeny osvedčených postupov me</w:t>
            </w:r>
            <w:r w:rsidR="000D7AE0">
              <w:rPr>
                <w:rFonts w:ascii="Verdana" w:hAnsi="Verdana" w:cstheme="minorHAnsi"/>
                <w:sz w:val="20"/>
              </w:rPr>
              <w:t>dzi rôznymi členskými štátmi).</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Negotiating</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effectively explore (facilitating discussion, asking questions, responding to objections, etc.) alternatives and positions of </w:t>
            </w:r>
            <w:r>
              <w:rPr>
                <w:rFonts w:ascii="Verdana" w:hAnsi="Verdana" w:cstheme="minorHAnsi"/>
                <w:sz w:val="20"/>
                <w:szCs w:val="20"/>
                <w:lang w:val="en-US"/>
              </w:rPr>
              <w:lastRenderedPageBreak/>
              <w:t>others to reach outcomes that are accepted by all parties (a win-win solution).</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lastRenderedPageBreak/>
              <w:t>Vyjednávanie</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 xml:space="preserve">Preukázanie schopnosti účinne skúmať (napomáhanie diskusie, kladenie otázok, odpovedanie na námietky atď.) alternatívy a pozície iných na dosiahnutie výsledkov, ktoré akceptujú </w:t>
            </w:r>
            <w:r>
              <w:rPr>
                <w:rFonts w:ascii="Verdana" w:hAnsi="Verdana" w:cstheme="minorHAnsi"/>
                <w:sz w:val="20"/>
              </w:rPr>
              <w:lastRenderedPageBreak/>
              <w:t>všetky strany (riešenie výhodné pre všetkých – „win-win“).</w:t>
            </w:r>
          </w:p>
        </w:tc>
      </w:tr>
      <w:tr w:rsidR="003C0E1A" w:rsidRPr="00095F13" w:rsidTr="00545520">
        <w:trPr>
          <w:trHeight w:val="510"/>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Result orientation</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Orientácia na výsledky</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stanoviť náročné ciele, zachovávať sústredenosť a vytrvalosť a sústavne dosahovať ciele alebo plniť požadované výsledky, dokonca aj v prípade nepriaznivých okolností.</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Strategic management</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Strategické riadenie</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prijímať rozhodnutia a opatrenia, ktoré vedú k rozvoju a vykonávaniu stratégií zosúladených so strategickým smerovaním organizácie a dosahovaním cieľov.</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Risk management</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Riadenie rizík</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určiť, analyzovať a posúdiť riziká, stanoviť prioritné riziká a minimalizovať, monitorovať a kontrolovať pravdepodobnosť a/alebo vplyv nepriaznivých udalostí alebo maximalizovať realizáciu príležitostí.</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Planning of resources</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Plánovanie zdrojov</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t>Preukázanie schopnosti účinne a efektívne riadiť zdroje organizácie vrátane, ale nielen finančných zdrojov, zásob, ľudských zručností, výrobných prostriedkov, informačných technológií (IT).</w:t>
            </w:r>
          </w:p>
        </w:tc>
      </w:tr>
      <w:tr w:rsidR="003C0E1A" w:rsidRPr="00095F13" w:rsidTr="00545520">
        <w:trPr>
          <w:trHeight w:val="765"/>
        </w:trPr>
        <w:tc>
          <w:tcPr>
            <w:tcW w:w="386" w:type="pct"/>
            <w:shd w:val="clear" w:color="000000" w:fill="FFFFFF"/>
            <w:vAlign w:val="center"/>
          </w:tcPr>
          <w:p w:rsidR="003C0E1A" w:rsidRPr="00095F13" w:rsidRDefault="003C0E1A"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HR Strategy development and implementation</w:t>
            </w:r>
          </w:p>
        </w:tc>
        <w:tc>
          <w:tcPr>
            <w:tcW w:w="1390" w:type="pct"/>
            <w:shd w:val="clear" w:color="000000" w:fill="FFFFFF"/>
            <w:vAlign w:val="center"/>
            <w:hideMark/>
          </w:tcPr>
          <w:p w:rsidR="003C0E1A" w:rsidRDefault="003C0E1A">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make decisions and take actions that lead to development and </w:t>
            </w:r>
            <w:r>
              <w:rPr>
                <w:rFonts w:ascii="Verdana" w:hAnsi="Verdana" w:cstheme="minorHAnsi"/>
                <w:sz w:val="20"/>
                <w:szCs w:val="20"/>
                <w:lang w:val="en-US"/>
              </w:rPr>
              <w:lastRenderedPageBreak/>
              <w:t>implementation of HR strategies aligned with the strategic direction of the organisation and achievement of objectives.</w:t>
            </w:r>
          </w:p>
        </w:tc>
        <w:tc>
          <w:tcPr>
            <w:tcW w:w="800"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lastRenderedPageBreak/>
              <w:t xml:space="preserve">Rozvoj a vykonávanie stratégie v oblasti </w:t>
            </w:r>
            <w:r>
              <w:rPr>
                <w:rFonts w:ascii="Verdana" w:hAnsi="Verdana" w:cstheme="minorHAnsi"/>
                <w:sz w:val="20"/>
              </w:rPr>
              <w:lastRenderedPageBreak/>
              <w:t>ľudských zdrojov</w:t>
            </w:r>
          </w:p>
        </w:tc>
        <w:tc>
          <w:tcPr>
            <w:tcW w:w="1631" w:type="pct"/>
            <w:shd w:val="clear" w:color="000000" w:fill="FFFFFF"/>
            <w:vAlign w:val="center"/>
          </w:tcPr>
          <w:p w:rsidR="003C0E1A" w:rsidRPr="00095F13" w:rsidRDefault="003C0E1A" w:rsidP="007B6F56">
            <w:pPr>
              <w:spacing w:after="0"/>
              <w:rPr>
                <w:rFonts w:ascii="Verdana" w:hAnsi="Verdana" w:cstheme="minorHAnsi"/>
                <w:sz w:val="20"/>
                <w:szCs w:val="20"/>
              </w:rPr>
            </w:pPr>
            <w:r>
              <w:rPr>
                <w:rFonts w:ascii="Verdana" w:hAnsi="Verdana" w:cstheme="minorHAnsi"/>
                <w:sz w:val="20"/>
              </w:rPr>
              <w:lastRenderedPageBreak/>
              <w:t xml:space="preserve">Preukázanie schopnosti prijímať rozhodnutia a opatrenia, ktoré vedú k rozvoju a vykonávaniu stratégií </w:t>
            </w:r>
            <w:r>
              <w:rPr>
                <w:rFonts w:ascii="Verdana" w:hAnsi="Verdana" w:cstheme="minorHAnsi"/>
                <w:sz w:val="20"/>
              </w:rPr>
              <w:lastRenderedPageBreak/>
              <w:t>v oblasti ľudských zdrojov zosúladených so strategickým smerovaním organizácie a dosahovaním cieľov.</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3" w:name="_Toc494968300"/>
      <w:bookmarkStart w:id="14" w:name="_Toc511314418"/>
      <w:r>
        <w:lastRenderedPageBreak/>
        <w:t>Odborné kompetencie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Slovenčina</w:t>
            </w:r>
          </w:p>
        </w:tc>
      </w:tr>
      <w:tr w:rsidR="00E83C98" w:rsidRPr="00095F13" w:rsidTr="007B6F56">
        <w:trPr>
          <w:trHeight w:val="219"/>
          <w:tblHeader/>
        </w:trPr>
        <w:tc>
          <w:tcPr>
            <w:tcW w:w="453" w:type="pct"/>
            <w:shd w:val="clear" w:color="auto" w:fill="EDEDED" w:themeFill="accent3" w:themeFillTint="33"/>
            <w:vAlign w:val="center"/>
          </w:tcPr>
          <w:p w:rsidR="00E83C98" w:rsidRPr="00095F13" w:rsidRDefault="00E83C9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Kód</w:t>
            </w:r>
          </w:p>
        </w:tc>
        <w:tc>
          <w:tcPr>
            <w:tcW w:w="726" w:type="pct"/>
            <w:shd w:val="clear" w:color="auto" w:fill="EDEDED" w:themeFill="accent3" w:themeFillTint="33"/>
            <w:noWrap/>
            <w:vAlign w:val="center"/>
            <w:hideMark/>
          </w:tcPr>
          <w:p w:rsidR="00E83C98" w:rsidRDefault="00E83C98">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E83C98" w:rsidRDefault="00E83C98">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E83C98" w:rsidRPr="00095F13" w:rsidRDefault="00E83C98"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701" w:type="pct"/>
            <w:shd w:val="clear" w:color="auto" w:fill="EDEDED" w:themeFill="accent3" w:themeFillTint="33"/>
            <w:vAlign w:val="center"/>
          </w:tcPr>
          <w:p w:rsidR="00E83C98" w:rsidRPr="00095F13" w:rsidRDefault="00E83C98" w:rsidP="007B6F56">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E83C98" w:rsidRPr="00095F13" w:rsidTr="00545520">
        <w:trPr>
          <w:trHeight w:val="421"/>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Analytical skills</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Analytické zručnosti</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Budovanie logického prístupu k riešeniu zložitých problémov alebo príležitostí ich rozdelením na základné časti s cieľom identifikovať základné otázky, určiť príčinu a účinok vzťahov a dospieť k záverom alebo rozhodnutiam.</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in writing</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Písomná komunikácia</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jasne a presvedčivo prezentovať informácie a myšlienky písomnou formou výberom primeraných prostriedkov písomnej komunikácie a písomného štýlu na oslovenie publika a používaním správneho pravopisu, gramatiky a interpunkcie, ako aj preukázanie schopnosti komunikovať naprieč kultúrami.</w:t>
            </w:r>
          </w:p>
        </w:tc>
      </w:tr>
      <w:tr w:rsidR="00E83C98" w:rsidRPr="00095F13" w:rsidTr="00545520">
        <w:trPr>
          <w:trHeight w:val="878"/>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verbally</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Verbálna komunikácia</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jasne vyjadrovať myšlienky a názory jednotlivcom alebo skupinám pomocou reči spôsobom, ktorý zaujme poslucháčov, podporuje dvojstrannú komunikáciu a pomáha im pochopiť a zapamätať si odkaz, ako aj preukázanie schopnosti komunikovať naprieč kultúrami.</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Conflict handling</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Riešenie konfliktov</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účinne zaobchádzať s inými v antagonistickej situácii uznaním rôznych názorov, podnietením iných k otvorenej diskusii a používaním primeraných medziľudských štýlov a techník s cieľom nájsť v konflikte medzi dvoma alebo viacerými osobami riešenie prospešné pre všetky strany (win-win).</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Flexibility and adaptability to change </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Flexibilita a schopnosť prispôsobiť sa zmene </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 xml:space="preserve">Preukázanie schopnosti prispôsobiť sa a zachovať si efektívnosť v situácii veľkých zmien týkajúcich sa pracovných úloh, pracovného prostredia, organizačnej štruktúry a kultúry, procesov, požiadaviek a iných aspektov súvisiacich s prácou. </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Problem solving</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Riešenie problémov</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identifikovať problémy pomocou logiky, intuície, údajov, vykonávaním primeraných analýz, prieskumov a zapojením iných (ak je to potrebné) s cieľom dospieť k riešeniam alebo rozhodnutiam.</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Team work</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work cooperatively and collaboratively with other colleagues from different structural units and ranks in </w:t>
            </w:r>
            <w:r>
              <w:rPr>
                <w:rFonts w:ascii="Verdana" w:hAnsi="Verdana" w:cstheme="minorHAnsi"/>
                <w:sz w:val="20"/>
                <w:szCs w:val="20"/>
                <w:lang w:val="en-US"/>
              </w:rPr>
              <w:lastRenderedPageBreak/>
              <w:t>order to accomplish collective goals.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lastRenderedPageBreak/>
              <w:t>Tímová práca</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pracovať v spolupráci s inými kolegami z rôznych štrukturálnych jednotiek a stupňov s cieľom plniť kolektívne ciele.</w:t>
            </w:r>
          </w:p>
        </w:tc>
      </w:tr>
      <w:tr w:rsidR="00E83C98" w:rsidRPr="00095F13" w:rsidTr="00545520">
        <w:trPr>
          <w:trHeight w:val="43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Technological ability</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Technologická spôsobilosť</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využívať primeraný softvér pre osobný počítač, informačné systémy a iné nástroje informačných technológií (napr. programy Microsoft Office), ktoré sa vyžadujú na plnenie pracovných cieľov.</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Usage of monitoring and information system</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Používanie monitorovacieho a informačného systému</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používať monitorovacie a informačné systémy (externé aj interné, ak sú k dispozícii) pre fondy EÚ na plnenie pracovných cieľov.</w:t>
            </w:r>
          </w:p>
        </w:tc>
      </w:tr>
      <w:tr w:rsidR="00E83C98" w:rsidRPr="00095F13" w:rsidTr="00545520">
        <w:trPr>
          <w:trHeight w:val="398"/>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Representation to the outside world</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act or speak for institution in an efficient way and appropriate manner.</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Reprezentovanie na verejnosti</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konať alebo hovoriť za inštitúciu účinným a vhodným spôsobom.</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Relevant language skills</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Príslušné jazykové zručnosti</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uplatňovať príslušné zručnosti v oblasti cudzích jazykov s cieľom vykonávať pridelené funkcie a plniť pracovné ciele.</w:t>
            </w:r>
          </w:p>
        </w:tc>
      </w:tr>
      <w:tr w:rsidR="00E83C98" w:rsidRPr="00095F13" w:rsidTr="00545520">
        <w:trPr>
          <w:trHeight w:val="659"/>
        </w:trPr>
        <w:tc>
          <w:tcPr>
            <w:tcW w:w="453" w:type="pct"/>
            <w:shd w:val="clear" w:color="000000" w:fill="FFFFFF"/>
            <w:vAlign w:val="center"/>
          </w:tcPr>
          <w:p w:rsidR="00E83C98" w:rsidRPr="00095F13" w:rsidRDefault="00E83C98"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Intercultural skills</w:t>
            </w:r>
          </w:p>
        </w:tc>
        <w:tc>
          <w:tcPr>
            <w:tcW w:w="1252" w:type="pct"/>
            <w:shd w:val="clear" w:color="000000" w:fill="FFFFFF"/>
            <w:vAlign w:val="center"/>
          </w:tcPr>
          <w:p w:rsidR="00E83C98" w:rsidRDefault="00E83C98">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868"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Medzikultúrne zručnosti</w:t>
            </w:r>
          </w:p>
        </w:tc>
        <w:tc>
          <w:tcPr>
            <w:tcW w:w="1701" w:type="pct"/>
            <w:shd w:val="clear" w:color="000000" w:fill="FFFFFF"/>
            <w:vAlign w:val="center"/>
          </w:tcPr>
          <w:p w:rsidR="00E83C98" w:rsidRPr="00095F13" w:rsidRDefault="00E83C98" w:rsidP="007B6F56">
            <w:pPr>
              <w:spacing w:after="0"/>
              <w:rPr>
                <w:rFonts w:ascii="Verdana" w:hAnsi="Verdana" w:cstheme="minorHAnsi"/>
                <w:sz w:val="20"/>
                <w:szCs w:val="20"/>
              </w:rPr>
            </w:pPr>
            <w:r>
              <w:rPr>
                <w:rFonts w:ascii="Verdana" w:hAnsi="Verdana" w:cstheme="minorHAnsi"/>
                <w:sz w:val="20"/>
              </w:rPr>
              <w:t>Preukázanie schopnosti pracovať v prostredí mnohých kultúr a účinne pristupovať k zainteresovaným stranám v inštitúciách EÚ a iných členských štátoch.</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56" w:rsidRDefault="007B6F56" w:rsidP="0008776A">
      <w:pPr>
        <w:spacing w:after="0" w:line="240" w:lineRule="auto"/>
      </w:pPr>
      <w:r>
        <w:separator/>
      </w:r>
    </w:p>
  </w:endnote>
  <w:endnote w:type="continuationSeparator" w:id="0">
    <w:p w:rsidR="007B6F56" w:rsidRDefault="007B6F56"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Default="007B6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75215"/>
      <w:docPartObj>
        <w:docPartGallery w:val="Page Numbers (Bottom of Page)"/>
        <w:docPartUnique/>
      </w:docPartObj>
    </w:sdtPr>
    <w:sdtEndPr>
      <w:rPr>
        <w:noProof/>
      </w:rPr>
    </w:sdtEndPr>
    <w:sdtContent>
      <w:p w:rsidR="007B6F56" w:rsidRDefault="007B6F56">
        <w:pPr>
          <w:pStyle w:val="Footer"/>
          <w:jc w:val="center"/>
        </w:pPr>
        <w:r>
          <w:fldChar w:fldCharType="begin"/>
        </w:r>
        <w:r>
          <w:instrText xml:space="preserve"> PAGE   \* MERGEFORMAT </w:instrText>
        </w:r>
        <w:r>
          <w:fldChar w:fldCharType="separate"/>
        </w:r>
        <w:r w:rsidR="0041503A">
          <w:rPr>
            <w:noProof/>
          </w:rPr>
          <w:t>3</w:t>
        </w:r>
        <w:r>
          <w:rPr>
            <w:noProof/>
          </w:rPr>
          <w:fldChar w:fldCharType="end"/>
        </w:r>
      </w:p>
    </w:sdtContent>
  </w:sdt>
  <w:p w:rsidR="007B6F56" w:rsidRPr="0008776A" w:rsidRDefault="007B6F56" w:rsidP="0008776A">
    <w:pPr>
      <w:pStyle w:val="Footer"/>
      <w:jc w:val="cen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Default="007B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56" w:rsidRDefault="007B6F56" w:rsidP="0008776A">
      <w:pPr>
        <w:spacing w:after="0" w:line="240" w:lineRule="auto"/>
      </w:pPr>
      <w:r>
        <w:separator/>
      </w:r>
    </w:p>
  </w:footnote>
  <w:footnote w:type="continuationSeparator" w:id="0">
    <w:p w:rsidR="007B6F56" w:rsidRDefault="007B6F56"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Default="007B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Default="007B6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Pr="00841032" w:rsidRDefault="007B6F56"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Kompetenčný rámec EÚ – Slovník pojmov, ktoré sa používajú v nástroji na vlastné hodnotenie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Pr="00841032" w:rsidRDefault="007B6F56"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Kompetenčný rámec EÚ – Slovník pojmov, ktoré sa používajú v nástroji na vlastné hodnotenie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6" w:rsidRPr="00841032" w:rsidRDefault="007B6F56"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Kompetenčný rámec EÚ – Slovník pojmov, ktoré sa používajú v nástroji na vlastné hodnotenie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B08FB"/>
    <w:rsid w:val="000C44D2"/>
    <w:rsid w:val="000D7AE0"/>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2306"/>
    <w:rsid w:val="00306B4F"/>
    <w:rsid w:val="00323C20"/>
    <w:rsid w:val="00323CB7"/>
    <w:rsid w:val="00366D75"/>
    <w:rsid w:val="003839D5"/>
    <w:rsid w:val="00385389"/>
    <w:rsid w:val="003870A6"/>
    <w:rsid w:val="00390240"/>
    <w:rsid w:val="003928BC"/>
    <w:rsid w:val="0039606F"/>
    <w:rsid w:val="003966E7"/>
    <w:rsid w:val="003C0E1A"/>
    <w:rsid w:val="003C3247"/>
    <w:rsid w:val="003E5A5C"/>
    <w:rsid w:val="003F0065"/>
    <w:rsid w:val="003F2AC4"/>
    <w:rsid w:val="0041503A"/>
    <w:rsid w:val="00416AA7"/>
    <w:rsid w:val="00441B09"/>
    <w:rsid w:val="0044373B"/>
    <w:rsid w:val="004504AE"/>
    <w:rsid w:val="004635E5"/>
    <w:rsid w:val="00476CF8"/>
    <w:rsid w:val="004908E9"/>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455C7"/>
    <w:rsid w:val="0065730C"/>
    <w:rsid w:val="00661F47"/>
    <w:rsid w:val="006645FC"/>
    <w:rsid w:val="006744F9"/>
    <w:rsid w:val="006B62F1"/>
    <w:rsid w:val="006C2D1C"/>
    <w:rsid w:val="006E6B6A"/>
    <w:rsid w:val="006E738D"/>
    <w:rsid w:val="007027ED"/>
    <w:rsid w:val="00716D09"/>
    <w:rsid w:val="007171A7"/>
    <w:rsid w:val="00725D6B"/>
    <w:rsid w:val="007320E2"/>
    <w:rsid w:val="007450C5"/>
    <w:rsid w:val="00757D2E"/>
    <w:rsid w:val="007A0134"/>
    <w:rsid w:val="007B1D04"/>
    <w:rsid w:val="007B6F56"/>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312DD"/>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55752"/>
    <w:rsid w:val="00D71900"/>
    <w:rsid w:val="00D92F59"/>
    <w:rsid w:val="00DE6C01"/>
    <w:rsid w:val="00E44B41"/>
    <w:rsid w:val="00E82D2D"/>
    <w:rsid w:val="00E83C98"/>
    <w:rsid w:val="00E87A35"/>
    <w:rsid w:val="00EA4910"/>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43B8D62-DE02-4E28-90E3-E5F9854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k-S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k-S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k-S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k-S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D55752"/>
    <w:pPr>
      <w:spacing w:before="100" w:beforeAutospacing="1" w:after="100" w:afterAutospacing="1" w:line="240" w:lineRule="auto"/>
    </w:pPr>
    <w:rPr>
      <w:rFonts w:ascii="Times New Roman" w:eastAsiaTheme="minorEastAsia" w:hAnsi="Times New Roman" w:cs="Times New Roman"/>
      <w:sz w:val="24"/>
      <w:szCs w:val="24"/>
      <w:lang w:val="en-GB" w:eastAsia="en-GB"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8733-194D-4DF2-8C43-17475E0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3296</Words>
  <Characters>22283</Characters>
  <Application>Microsoft Office Word</Application>
  <DocSecurity>0</DocSecurity>
  <Lines>1061</Lines>
  <Paragraphs>465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38</cp:revision>
  <cp:lastPrinted>2017-03-22T18:35:00Z</cp:lastPrinted>
  <dcterms:created xsi:type="dcterms:W3CDTF">2017-10-04T14:17:00Z</dcterms:created>
  <dcterms:modified xsi:type="dcterms:W3CDTF">2018-04-12T14:38:00Z</dcterms:modified>
</cp:coreProperties>
</file>