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046411" w:rsidP="00282BBB">
      <w:pPr>
        <w:rPr>
          <w:rFonts w:ascii="Verdana" w:hAnsi="Verdana" w:cstheme="minorHAnsi"/>
          <w:b/>
          <w:color w:val="003399"/>
          <w:kern w:val="12"/>
          <w:sz w:val="40"/>
          <w:szCs w:val="40"/>
        </w:rPr>
      </w:pPr>
      <w:r w:rsidRPr="00046411">
        <w:rPr>
          <w:noProof/>
          <w:lang w:val="en-GB" w:eastAsia="en-GB" w:bidi="ar-SA"/>
        </w:rPr>
        <mc:AlternateContent>
          <mc:Choice Requires="wps">
            <w:drawing>
              <wp:anchor distT="0" distB="0" distL="114300" distR="114300" simplePos="0" relativeHeight="251661312" behindDoc="0" locked="0" layoutInCell="1" allowOverlap="1" wp14:anchorId="6F213F2D" wp14:editId="69818CDE">
                <wp:simplePos x="0" y="0"/>
                <wp:positionH relativeFrom="column">
                  <wp:posOffset>4542155</wp:posOffset>
                </wp:positionH>
                <wp:positionV relativeFrom="paragraph">
                  <wp:posOffset>6357368</wp:posOffset>
                </wp:positionV>
                <wp:extent cx="759124" cy="448573"/>
                <wp:effectExtent l="0" t="0" r="3175" b="8890"/>
                <wp:wrapNone/>
                <wp:docPr id="11" name="TextBox 10"/>
                <wp:cNvGraphicFramePr/>
                <a:graphic xmlns:a="http://schemas.openxmlformats.org/drawingml/2006/main">
                  <a:graphicData uri="http://schemas.microsoft.com/office/word/2010/wordprocessingShape">
                    <wps:wsp>
                      <wps:cNvSpPr txBox="1"/>
                      <wps:spPr>
                        <a:xfrm>
                          <a:off x="0" y="0"/>
                          <a:ext cx="759124" cy="448573"/>
                        </a:xfrm>
                        <a:prstGeom prst="rect">
                          <a:avLst/>
                        </a:prstGeom>
                        <a:solidFill>
                          <a:srgbClr val="6DAC59"/>
                        </a:solidFill>
                      </wps:spPr>
                      <wps:txbx>
                        <w:txbxContent>
                          <w:p w:rsidR="00046411" w:rsidRDefault="00046411" w:rsidP="00046411">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wps:txbx>
                      <wps:bodyPr wrap="square" lIns="43200" tIns="36000" rIns="3600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357.65pt;margin-top:500.6pt;width:59.7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" fillcolor="#6dac59" stroked="f">
                <v:textbox inset="1.2mm,1mm,1mm">
                  <w:txbxContent>
                    <w:p w:rsidR="00046411" w:rsidRDefault="00046411" w:rsidP="00046411">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v:textbox>
              </v:shape>
            </w:pict>
          </mc:Fallback>
        </mc:AlternateContent>
      </w:r>
      <w:r w:rsidRPr="00BD7994">
        <w:rPr>
          <w:rFonts w:ascii="Verdana" w:hAnsi="Verdana" w:cstheme="minorHAnsi"/>
          <w:b/>
          <w:noProof/>
          <w:color w:val="003399"/>
          <w:kern w:val="12"/>
          <w:sz w:val="40"/>
          <w:szCs w:val="40"/>
          <w:lang w:val="en-GB" w:eastAsia="en-GB"/>
        </w:rPr>
        <mc:AlternateContent>
          <mc:Choice Requires="wps">
            <w:drawing>
              <wp:anchor distT="0" distB="0" distL="114300" distR="114300" simplePos="0" relativeHeight="251659264" behindDoc="0" locked="0" layoutInCell="1" allowOverlap="1" wp14:anchorId="607E51FB" wp14:editId="691BEB5D">
                <wp:simplePos x="0" y="0"/>
                <wp:positionH relativeFrom="column">
                  <wp:posOffset>2083687</wp:posOffset>
                </wp:positionH>
                <wp:positionV relativeFrom="paragraph">
                  <wp:posOffset>5434642</wp:posOffset>
                </wp:positionV>
                <wp:extent cx="5753818" cy="785003"/>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818" cy="785003"/>
                        </a:xfrm>
                        <a:prstGeom prst="rect">
                          <a:avLst/>
                        </a:prstGeom>
                        <a:solidFill>
                          <a:srgbClr val="FFFFFF"/>
                        </a:solidFill>
                        <a:ln w="9525">
                          <a:solidFill>
                            <a:srgbClr val="000000"/>
                          </a:solidFill>
                          <a:miter lim="800000"/>
                          <a:headEnd/>
                          <a:tailEnd/>
                        </a:ln>
                      </wps:spPr>
                      <wps:txbx>
                        <w:txbxContent>
                          <w:p w:rsidR="00046411" w:rsidRPr="00BD7994" w:rsidRDefault="00046411" w:rsidP="00046411">
                            <w:pPr>
                              <w:pStyle w:val="NormalWeb"/>
                              <w:spacing w:before="0" w:beforeAutospacing="0" w:after="0" w:afterAutospacing="0"/>
                              <w:jc w:val="both"/>
                              <w:rPr>
                                <w:lang w:val="fr-BE"/>
                              </w:rPr>
                            </w:pPr>
                            <w:bookmarkStart w:id="0" w:name="_GoBack"/>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bookmarkEnd w:id="0"/>
                          <w:p w:rsidR="00046411" w:rsidRPr="00BD7994" w:rsidRDefault="00046411" w:rsidP="00046411">
                            <w:pPr>
                              <w:jc w:val="both"/>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4.05pt;margin-top:427.9pt;width:453.0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">
                <v:textbox>
                  <w:txbxContent>
                    <w:p w:rsidR="00046411" w:rsidRPr="00BD7994" w:rsidRDefault="00046411" w:rsidP="00046411">
                      <w:pPr>
                        <w:pStyle w:val="NormalWeb"/>
                        <w:spacing w:before="0" w:beforeAutospacing="0" w:after="0" w:afterAutospacing="0"/>
                        <w:jc w:val="both"/>
                        <w:rPr>
                          <w:lang w:val="fr-BE"/>
                        </w:rPr>
                      </w:pPr>
                      <w:bookmarkStart w:id="1" w:name="_GoBack"/>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bookmarkEnd w:id="1"/>
                    <w:p w:rsidR="00046411" w:rsidRPr="00BD7994" w:rsidRDefault="00046411" w:rsidP="00046411">
                      <w:pPr>
                        <w:jc w:val="both"/>
                        <w:rPr>
                          <w:lang w:val="fr-BE"/>
                        </w:rPr>
                      </w:pPr>
                    </w:p>
                  </w:txbxContent>
                </v:textbox>
              </v:shape>
            </w:pict>
          </mc:Fallback>
        </mc:AlternateContent>
      </w:r>
      <w:r w:rsidR="00C510A0">
        <w:rPr>
          <w:rFonts w:ascii="Verdana" w:hAnsi="Verdana" w:cstheme="minorHAnsi"/>
          <w:b/>
          <w:noProof/>
          <w:color w:val="003399"/>
          <w:kern w:val="12"/>
          <w:sz w:val="40"/>
          <w:szCs w:val="40"/>
          <w:lang w:val="en-GB" w:eastAsia="en-GB" w:bidi="ar-SA"/>
        </w:rPr>
        <w:drawing>
          <wp:inline distT="0" distB="0" distL="0" distR="0" wp14:anchorId="569B3781" wp14:editId="1BAD4401">
            <wp:extent cx="9871428" cy="698600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0769" cy="6992616"/>
                    </a:xfrm>
                    <a:prstGeom prst="rect">
                      <a:avLst/>
                    </a:prstGeom>
                    <a:noFill/>
                  </pic:spPr>
                </pic:pic>
              </a:graphicData>
            </a:graphic>
          </wp:inline>
        </w:drawing>
      </w:r>
    </w:p>
    <w:p w:rsidR="004B6531" w:rsidRDefault="004B6531" w:rsidP="000A1ECD">
      <w:pPr>
        <w:jc w:val="center"/>
        <w:rPr>
          <w:rFonts w:ascii="Verdana" w:hAnsi="Verdana" w:cstheme="minorHAnsi"/>
          <w:b/>
          <w:color w:val="003399"/>
          <w:kern w:val="12"/>
          <w:sz w:val="40"/>
          <w:szCs w:val="40"/>
        </w:rPr>
        <w:sectPr w:rsidR="004B6531" w:rsidSect="00046411">
          <w:footerReference w:type="default" r:id="rId10"/>
          <w:headerReference w:type="first" r:id="rId11"/>
          <w:pgSz w:w="15840" w:h="12240" w:orient="landscape"/>
          <w:pgMar w:top="993" w:right="105" w:bottom="1440" w:left="142"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Versions du document</w:t>
      </w:r>
    </w:p>
    <w:tbl>
      <w:tblPr>
        <w:tblStyle w:val="TableGrid"/>
        <w:tblW w:w="5000" w:type="pct"/>
        <w:tblLook w:val="04A0" w:firstRow="1" w:lastRow="0" w:firstColumn="1" w:lastColumn="0" w:noHBand="0" w:noVBand="1"/>
      </w:tblPr>
      <w:tblGrid>
        <w:gridCol w:w="6588"/>
        <w:gridCol w:w="6588"/>
      </w:tblGrid>
      <w:tr w:rsidR="004B6531" w:rsidRPr="00095F13" w:rsidTr="00AF11D0">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AF11D0">
            <w:pPr>
              <w:rPr>
                <w:rFonts w:cstheme="minorHAnsi"/>
                <w:sz w:val="20"/>
              </w:rPr>
            </w:pPr>
            <w:r>
              <w:rPr>
                <w:rFonts w:cstheme="minorHAnsi"/>
                <w:sz w:val="20"/>
              </w:rPr>
              <w:t>Version</w:t>
            </w:r>
          </w:p>
        </w:tc>
        <w:tc>
          <w:tcPr>
            <w:tcW w:w="2500" w:type="pct"/>
            <w:shd w:val="clear" w:color="auto" w:fill="44546A" w:themeFill="text2"/>
          </w:tcPr>
          <w:p w:rsidR="004B6531" w:rsidRPr="00095F13" w:rsidRDefault="004B6531" w:rsidP="00AF11D0">
            <w:pPr>
              <w:rPr>
                <w:rFonts w:cstheme="minorHAnsi"/>
                <w:sz w:val="20"/>
              </w:rPr>
            </w:pPr>
            <w:r>
              <w:rPr>
                <w:rFonts w:cstheme="minorHAnsi"/>
                <w:sz w:val="20"/>
              </w:rPr>
              <w:t>Date</w:t>
            </w:r>
          </w:p>
        </w:tc>
      </w:tr>
      <w:tr w:rsidR="004B6531" w:rsidRPr="00095F13" w:rsidTr="00AF11D0">
        <w:trPr>
          <w:trHeight w:val="265"/>
        </w:trPr>
        <w:tc>
          <w:tcPr>
            <w:tcW w:w="2500" w:type="pct"/>
          </w:tcPr>
          <w:p w:rsidR="004B6531" w:rsidRPr="00095F13" w:rsidRDefault="004B6531" w:rsidP="00AF11D0">
            <w:pPr>
              <w:rPr>
                <w:rFonts w:cstheme="minorHAnsi"/>
                <w:sz w:val="20"/>
              </w:rPr>
            </w:pPr>
            <w:r>
              <w:rPr>
                <w:rFonts w:cstheme="minorHAnsi"/>
                <w:sz w:val="20"/>
              </w:rPr>
              <w:t>V1</w:t>
            </w:r>
          </w:p>
        </w:tc>
        <w:tc>
          <w:tcPr>
            <w:tcW w:w="2500" w:type="pct"/>
          </w:tcPr>
          <w:p w:rsidR="004B6531" w:rsidRPr="00095F13" w:rsidRDefault="00661F47" w:rsidP="00AF11D0">
            <w:pPr>
              <w:rPr>
                <w:rFonts w:cstheme="minorHAnsi"/>
                <w:sz w:val="20"/>
              </w:rPr>
            </w:pPr>
            <w:r>
              <w:rPr>
                <w:rFonts w:cstheme="minorHAnsi"/>
                <w:sz w:val="20"/>
              </w:rPr>
              <w:t>3 novembre 2017</w:t>
            </w:r>
          </w:p>
        </w:tc>
      </w:tr>
      <w:tr w:rsidR="004B6531" w:rsidRPr="00095F13" w:rsidTr="00AF11D0">
        <w:trPr>
          <w:trHeight w:val="254"/>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r w:rsidR="004B6531" w:rsidRPr="00095F13" w:rsidTr="00AF11D0">
        <w:trPr>
          <w:trHeight w:val="254"/>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r w:rsidR="004B6531" w:rsidRPr="00095F13" w:rsidTr="00AF11D0">
        <w:trPr>
          <w:trHeight w:val="265"/>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r w:rsidR="004B6531" w:rsidRPr="00095F13" w:rsidTr="00AF11D0">
        <w:trPr>
          <w:trHeight w:val="254"/>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r w:rsidR="004B6531" w:rsidRPr="00095F13" w:rsidTr="00AF11D0">
        <w:trPr>
          <w:trHeight w:val="254"/>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r w:rsidR="004B6531" w:rsidRPr="00095F13" w:rsidTr="00AF11D0">
        <w:trPr>
          <w:trHeight w:val="265"/>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r w:rsidR="004B6531" w:rsidRPr="00095F13" w:rsidTr="00AF11D0">
        <w:trPr>
          <w:trHeight w:val="254"/>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r w:rsidR="004B6531" w:rsidRPr="00095F13" w:rsidTr="00AF11D0">
        <w:trPr>
          <w:trHeight w:val="265"/>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r w:rsidR="004B6531" w:rsidRPr="00095F13" w:rsidTr="00AF11D0">
        <w:trPr>
          <w:trHeight w:val="254"/>
        </w:trPr>
        <w:tc>
          <w:tcPr>
            <w:tcW w:w="2500" w:type="pct"/>
          </w:tcPr>
          <w:p w:rsidR="004B6531" w:rsidRPr="00095F13" w:rsidRDefault="004B6531" w:rsidP="00AF11D0">
            <w:pPr>
              <w:rPr>
                <w:rFonts w:cstheme="minorHAnsi"/>
                <w:sz w:val="20"/>
              </w:rPr>
            </w:pPr>
          </w:p>
        </w:tc>
        <w:tc>
          <w:tcPr>
            <w:tcW w:w="2500" w:type="pct"/>
          </w:tcPr>
          <w:p w:rsidR="004B6531" w:rsidRPr="00095F13" w:rsidRDefault="004B6531" w:rsidP="00AF11D0">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2"/>
          <w:pgSz w:w="15840" w:h="12240" w:orient="landscape"/>
          <w:pgMar w:top="1440" w:right="1440" w:bottom="1440" w:left="1440" w:header="720" w:footer="720" w:gutter="0"/>
          <w:cols w:space="720"/>
          <w:titlePg/>
          <w:docGrid w:linePitch="360"/>
        </w:sectPr>
      </w:pPr>
    </w:p>
    <w:bookmarkStart w:id="2" w:name="_Toc511313932" w:displacedByCustomXml="next"/>
    <w:sdt>
      <w:sdtPr>
        <w:rPr>
          <w:rFonts w:asciiTheme="minorHAnsi" w:eastAsiaTheme="minorHAnsi" w:hAnsiTheme="minorHAnsi" w:cstheme="minorBidi"/>
          <w:b w:val="0"/>
          <w:noProof/>
          <w:color w:val="auto"/>
          <w:sz w:val="22"/>
          <w:szCs w:val="22"/>
        </w:rPr>
        <w:id w:val="1811126915"/>
        <w:docPartObj>
          <w:docPartGallery w:val="Table of Contents"/>
          <w:docPartUnique/>
        </w:docPartObj>
      </w:sdtPr>
      <w:sdtEndPr>
        <w:rPr>
          <w:rFonts w:ascii="Verdana" w:hAnsi="Verdana"/>
          <w:sz w:val="32"/>
          <w:szCs w:val="32"/>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Contenu</w:t>
          </w:r>
          <w:bookmarkEnd w:id="2"/>
        </w:p>
        <w:p w:rsidR="00B22F0E" w:rsidRPr="00B76BA7" w:rsidRDefault="00B22F0E" w:rsidP="00B22F0E">
          <w:pPr>
            <w:rPr>
              <w:rFonts w:ascii="Verdana" w:hAnsi="Verdana"/>
              <w:sz w:val="32"/>
              <w:szCs w:val="32"/>
            </w:rPr>
          </w:pPr>
        </w:p>
        <w:p w:rsidR="00C510A0" w:rsidRDefault="00CF51E8" w:rsidP="00AD022A">
          <w:pPr>
            <w:pStyle w:val="TOC1"/>
            <w:rPr>
              <w:rFonts w:eastAsiaTheme="minorEastAsia"/>
              <w:lang w:val="en-GB" w:eastAsia="en-GB" w:bidi="ar-SA"/>
            </w:rPr>
          </w:pPr>
          <w:r>
            <w:rPr>
              <w:noProof w:val="0"/>
            </w:rPr>
            <w:fldChar w:fldCharType="begin"/>
          </w:r>
          <w:r>
            <w:instrText xml:space="preserve"> TOC \o "1-3" \h \z \u </w:instrText>
          </w:r>
          <w:r>
            <w:rPr>
              <w:noProof w:val="0"/>
            </w:rPr>
            <w:fldChar w:fldCharType="separate"/>
          </w:r>
          <w:hyperlink w:anchor="_Toc511313932" w:history="1">
            <w:r w:rsidR="00C510A0" w:rsidRPr="004D0ADC">
              <w:rPr>
                <w:rStyle w:val="Hyperlink"/>
                <w:rFonts w:cstheme="minorHAnsi"/>
                <w:kern w:val="12"/>
              </w:rPr>
              <w:t>Contenu</w:t>
            </w:r>
            <w:r w:rsidR="00C510A0">
              <w:rPr>
                <w:webHidden/>
              </w:rPr>
              <w:tab/>
            </w:r>
            <w:r w:rsidR="00C510A0">
              <w:rPr>
                <w:webHidden/>
              </w:rPr>
              <w:fldChar w:fldCharType="begin"/>
            </w:r>
            <w:r w:rsidR="00C510A0">
              <w:rPr>
                <w:webHidden/>
              </w:rPr>
              <w:instrText xml:space="preserve"> PAGEREF _Toc511313932 \h </w:instrText>
            </w:r>
            <w:r w:rsidR="00C510A0">
              <w:rPr>
                <w:webHidden/>
              </w:rPr>
            </w:r>
            <w:r w:rsidR="00C510A0">
              <w:rPr>
                <w:webHidden/>
              </w:rPr>
              <w:fldChar w:fldCharType="separate"/>
            </w:r>
            <w:r w:rsidR="00C510A0">
              <w:rPr>
                <w:webHidden/>
              </w:rPr>
              <w:t>3</w:t>
            </w:r>
            <w:r w:rsidR="00C510A0">
              <w:rPr>
                <w:webHidden/>
              </w:rPr>
              <w:fldChar w:fldCharType="end"/>
            </w:r>
          </w:hyperlink>
        </w:p>
        <w:p w:rsidR="00C510A0" w:rsidRDefault="00046411" w:rsidP="00AD022A">
          <w:pPr>
            <w:pStyle w:val="TOC1"/>
            <w:rPr>
              <w:rFonts w:eastAsiaTheme="minorEastAsia"/>
              <w:lang w:val="en-GB" w:eastAsia="en-GB" w:bidi="ar-SA"/>
            </w:rPr>
          </w:pPr>
          <w:hyperlink w:anchor="_Toc511313933" w:history="1">
            <w:r w:rsidR="00C510A0" w:rsidRPr="004D0ADC">
              <w:rPr>
                <w:rStyle w:val="Hyperlink"/>
              </w:rPr>
              <w:t>1.</w:t>
            </w:r>
            <w:r w:rsidR="00C510A0">
              <w:rPr>
                <w:rFonts w:eastAsiaTheme="minorEastAsia"/>
                <w:lang w:val="en-GB" w:eastAsia="en-GB" w:bidi="ar-SA"/>
              </w:rPr>
              <w:tab/>
            </w:r>
            <w:r w:rsidR="00C510A0" w:rsidRPr="004D0ADC">
              <w:rPr>
                <w:rStyle w:val="Hyperlink"/>
              </w:rPr>
              <w:t>Rôles</w:t>
            </w:r>
            <w:r w:rsidR="00C510A0">
              <w:rPr>
                <w:webHidden/>
              </w:rPr>
              <w:tab/>
            </w:r>
            <w:r w:rsidR="00C510A0">
              <w:rPr>
                <w:webHidden/>
              </w:rPr>
              <w:fldChar w:fldCharType="begin"/>
            </w:r>
            <w:r w:rsidR="00C510A0">
              <w:rPr>
                <w:webHidden/>
              </w:rPr>
              <w:instrText xml:space="preserve"> PAGEREF _Toc511313933 \h </w:instrText>
            </w:r>
            <w:r w:rsidR="00C510A0">
              <w:rPr>
                <w:webHidden/>
              </w:rPr>
            </w:r>
            <w:r w:rsidR="00C510A0">
              <w:rPr>
                <w:webHidden/>
              </w:rPr>
              <w:fldChar w:fldCharType="separate"/>
            </w:r>
            <w:r w:rsidR="00C510A0">
              <w:rPr>
                <w:webHidden/>
              </w:rPr>
              <w:t>4</w:t>
            </w:r>
            <w:r w:rsidR="00C510A0">
              <w:rPr>
                <w:webHidden/>
              </w:rPr>
              <w:fldChar w:fldCharType="end"/>
            </w:r>
          </w:hyperlink>
        </w:p>
        <w:p w:rsidR="00C510A0" w:rsidRPr="00AD022A" w:rsidRDefault="00046411" w:rsidP="00AD022A">
          <w:pPr>
            <w:pStyle w:val="TOC1"/>
            <w:rPr>
              <w:rFonts w:eastAsiaTheme="minorEastAsia"/>
              <w:lang w:val="en-GB" w:eastAsia="en-GB" w:bidi="ar-SA"/>
            </w:rPr>
          </w:pPr>
          <w:hyperlink w:anchor="_Toc511313934" w:history="1">
            <w:r w:rsidR="00C510A0" w:rsidRPr="00AD022A">
              <w:rPr>
                <w:rStyle w:val="Hyperlink"/>
              </w:rPr>
              <w:t>2.</w:t>
            </w:r>
            <w:r w:rsidR="00C510A0" w:rsidRPr="00AD022A">
              <w:rPr>
                <w:rFonts w:eastAsiaTheme="minorEastAsia"/>
                <w:lang w:val="en-GB" w:eastAsia="en-GB" w:bidi="ar-SA"/>
              </w:rPr>
              <w:tab/>
            </w:r>
            <w:r w:rsidR="00C510A0" w:rsidRPr="00AD022A">
              <w:rPr>
                <w:rStyle w:val="Hyperlink"/>
              </w:rPr>
              <w:t>Tâches et sous-tâches</w:t>
            </w:r>
            <w:r w:rsidR="00C510A0" w:rsidRPr="00AD022A">
              <w:rPr>
                <w:webHidden/>
              </w:rPr>
              <w:tab/>
            </w:r>
            <w:r w:rsidR="00C510A0" w:rsidRPr="00AD022A">
              <w:rPr>
                <w:webHidden/>
              </w:rPr>
              <w:fldChar w:fldCharType="begin"/>
            </w:r>
            <w:r w:rsidR="00C510A0" w:rsidRPr="00AD022A">
              <w:rPr>
                <w:webHidden/>
              </w:rPr>
              <w:instrText xml:space="preserve"> PAGEREF _Toc511313934 \h </w:instrText>
            </w:r>
            <w:r w:rsidR="00C510A0" w:rsidRPr="00AD022A">
              <w:rPr>
                <w:webHidden/>
              </w:rPr>
            </w:r>
            <w:r w:rsidR="00C510A0" w:rsidRPr="00AD022A">
              <w:rPr>
                <w:webHidden/>
              </w:rPr>
              <w:fldChar w:fldCharType="separate"/>
            </w:r>
            <w:r w:rsidR="00C510A0" w:rsidRPr="00AD022A">
              <w:rPr>
                <w:webHidden/>
              </w:rPr>
              <w:t>5</w:t>
            </w:r>
            <w:r w:rsidR="00C510A0" w:rsidRPr="00AD022A">
              <w:rPr>
                <w:webHidden/>
              </w:rPr>
              <w:fldChar w:fldCharType="end"/>
            </w:r>
          </w:hyperlink>
        </w:p>
        <w:p w:rsidR="00C510A0" w:rsidRDefault="00046411" w:rsidP="00AD022A">
          <w:pPr>
            <w:pStyle w:val="TOC1"/>
            <w:rPr>
              <w:rFonts w:eastAsiaTheme="minorEastAsia"/>
              <w:lang w:val="en-GB" w:eastAsia="en-GB" w:bidi="ar-SA"/>
            </w:rPr>
          </w:pPr>
          <w:hyperlink w:anchor="_Toc511313935" w:history="1">
            <w:r w:rsidR="00C510A0" w:rsidRPr="004D0ADC">
              <w:rPr>
                <w:rStyle w:val="Hyperlink"/>
              </w:rPr>
              <w:t>3. Échelle de maîtrise</w:t>
            </w:r>
            <w:r w:rsidR="00C510A0">
              <w:rPr>
                <w:webHidden/>
              </w:rPr>
              <w:tab/>
            </w:r>
            <w:r w:rsidR="00C510A0">
              <w:rPr>
                <w:webHidden/>
              </w:rPr>
              <w:fldChar w:fldCharType="begin"/>
            </w:r>
            <w:r w:rsidR="00C510A0">
              <w:rPr>
                <w:webHidden/>
              </w:rPr>
              <w:instrText xml:space="preserve"> PAGEREF _Toc511313935 \h </w:instrText>
            </w:r>
            <w:r w:rsidR="00C510A0">
              <w:rPr>
                <w:webHidden/>
              </w:rPr>
            </w:r>
            <w:r w:rsidR="00C510A0">
              <w:rPr>
                <w:webHidden/>
              </w:rPr>
              <w:fldChar w:fldCharType="separate"/>
            </w:r>
            <w:r w:rsidR="00C510A0">
              <w:rPr>
                <w:webHidden/>
              </w:rPr>
              <w:t>8</w:t>
            </w:r>
            <w:r w:rsidR="00C510A0">
              <w:rPr>
                <w:webHidden/>
              </w:rPr>
              <w:fldChar w:fldCharType="end"/>
            </w:r>
          </w:hyperlink>
        </w:p>
        <w:p w:rsidR="00C510A0" w:rsidRDefault="00046411" w:rsidP="00AD022A">
          <w:pPr>
            <w:pStyle w:val="TOC1"/>
            <w:rPr>
              <w:rFonts w:eastAsiaTheme="minorEastAsia"/>
              <w:lang w:val="en-GB" w:eastAsia="en-GB" w:bidi="ar-SA"/>
            </w:rPr>
          </w:pPr>
          <w:hyperlink w:anchor="_Toc511313936" w:history="1">
            <w:r w:rsidR="00C510A0" w:rsidRPr="004D0ADC">
              <w:rPr>
                <w:rStyle w:val="Hyperlink"/>
              </w:rPr>
              <w:t>4. Compétences opérationnelles</w:t>
            </w:r>
            <w:r w:rsidR="00C510A0">
              <w:rPr>
                <w:webHidden/>
              </w:rPr>
              <w:tab/>
            </w:r>
            <w:r w:rsidR="00C510A0">
              <w:rPr>
                <w:webHidden/>
              </w:rPr>
              <w:fldChar w:fldCharType="begin"/>
            </w:r>
            <w:r w:rsidR="00C510A0">
              <w:rPr>
                <w:webHidden/>
              </w:rPr>
              <w:instrText xml:space="preserve"> PAGEREF _Toc511313936 \h </w:instrText>
            </w:r>
            <w:r w:rsidR="00C510A0">
              <w:rPr>
                <w:webHidden/>
              </w:rPr>
            </w:r>
            <w:r w:rsidR="00C510A0">
              <w:rPr>
                <w:webHidden/>
              </w:rPr>
              <w:fldChar w:fldCharType="separate"/>
            </w:r>
            <w:r w:rsidR="00C510A0">
              <w:rPr>
                <w:webHidden/>
              </w:rPr>
              <w:t>10</w:t>
            </w:r>
            <w:r w:rsidR="00C510A0">
              <w:rPr>
                <w:webHidden/>
              </w:rPr>
              <w:fldChar w:fldCharType="end"/>
            </w:r>
          </w:hyperlink>
        </w:p>
        <w:p w:rsidR="00C510A0" w:rsidRDefault="00046411" w:rsidP="00AD022A">
          <w:pPr>
            <w:pStyle w:val="TOC1"/>
            <w:rPr>
              <w:rFonts w:eastAsiaTheme="minorEastAsia"/>
              <w:lang w:val="en-GB" w:eastAsia="en-GB" w:bidi="ar-SA"/>
            </w:rPr>
          </w:pPr>
          <w:hyperlink w:anchor="_Toc511313937" w:history="1">
            <w:r w:rsidR="00C510A0" w:rsidRPr="004D0ADC">
              <w:rPr>
                <w:rStyle w:val="Hyperlink"/>
              </w:rPr>
              <w:t>5.</w:t>
            </w:r>
            <w:r w:rsidR="00C510A0">
              <w:rPr>
                <w:rFonts w:eastAsiaTheme="minorEastAsia"/>
                <w:lang w:val="en-GB" w:eastAsia="en-GB" w:bidi="ar-SA"/>
              </w:rPr>
              <w:tab/>
            </w:r>
            <w:r w:rsidR="00C510A0" w:rsidRPr="004D0ADC">
              <w:rPr>
                <w:rStyle w:val="Hyperlink"/>
              </w:rPr>
              <w:t>Compétences de gestion</w:t>
            </w:r>
            <w:r w:rsidR="00C510A0">
              <w:rPr>
                <w:webHidden/>
              </w:rPr>
              <w:tab/>
            </w:r>
            <w:r w:rsidR="00C510A0">
              <w:rPr>
                <w:webHidden/>
              </w:rPr>
              <w:fldChar w:fldCharType="begin"/>
            </w:r>
            <w:r w:rsidR="00C510A0">
              <w:rPr>
                <w:webHidden/>
              </w:rPr>
              <w:instrText xml:space="preserve"> PAGEREF _Toc511313937 \h </w:instrText>
            </w:r>
            <w:r w:rsidR="00C510A0">
              <w:rPr>
                <w:webHidden/>
              </w:rPr>
            </w:r>
            <w:r w:rsidR="00C510A0">
              <w:rPr>
                <w:webHidden/>
              </w:rPr>
              <w:fldChar w:fldCharType="separate"/>
            </w:r>
            <w:r w:rsidR="00C510A0">
              <w:rPr>
                <w:webHidden/>
              </w:rPr>
              <w:t>13</w:t>
            </w:r>
            <w:r w:rsidR="00C510A0">
              <w:rPr>
                <w:webHidden/>
              </w:rPr>
              <w:fldChar w:fldCharType="end"/>
            </w:r>
          </w:hyperlink>
        </w:p>
        <w:p w:rsidR="00C510A0" w:rsidRDefault="00046411" w:rsidP="00AD022A">
          <w:pPr>
            <w:pStyle w:val="TOC1"/>
            <w:rPr>
              <w:rFonts w:eastAsiaTheme="minorEastAsia"/>
              <w:lang w:val="en-GB" w:eastAsia="en-GB" w:bidi="ar-SA"/>
            </w:rPr>
          </w:pPr>
          <w:hyperlink w:anchor="_Toc511313938" w:history="1">
            <w:r w:rsidR="00C510A0" w:rsidRPr="004D0ADC">
              <w:rPr>
                <w:rStyle w:val="Hyperlink"/>
              </w:rPr>
              <w:t>6.</w:t>
            </w:r>
            <w:r w:rsidR="00C510A0">
              <w:rPr>
                <w:rFonts w:eastAsiaTheme="minorEastAsia"/>
                <w:lang w:val="en-GB" w:eastAsia="en-GB" w:bidi="ar-SA"/>
              </w:rPr>
              <w:tab/>
            </w:r>
            <w:r w:rsidR="00C510A0" w:rsidRPr="004D0ADC">
              <w:rPr>
                <w:rStyle w:val="Hyperlink"/>
              </w:rPr>
              <w:t>Compétences professionnelles</w:t>
            </w:r>
            <w:r w:rsidR="00C510A0">
              <w:rPr>
                <w:webHidden/>
              </w:rPr>
              <w:tab/>
            </w:r>
            <w:r w:rsidR="00C510A0">
              <w:rPr>
                <w:webHidden/>
              </w:rPr>
              <w:fldChar w:fldCharType="begin"/>
            </w:r>
            <w:r w:rsidR="00C510A0">
              <w:rPr>
                <w:webHidden/>
              </w:rPr>
              <w:instrText xml:space="preserve"> PAGEREF _Toc511313938 \h </w:instrText>
            </w:r>
            <w:r w:rsidR="00C510A0">
              <w:rPr>
                <w:webHidden/>
              </w:rPr>
            </w:r>
            <w:r w:rsidR="00C510A0">
              <w:rPr>
                <w:webHidden/>
              </w:rPr>
              <w:fldChar w:fldCharType="separate"/>
            </w:r>
            <w:r w:rsidR="00C510A0">
              <w:rPr>
                <w:webHidden/>
              </w:rPr>
              <w:t>17</w:t>
            </w:r>
            <w:r w:rsidR="00C510A0">
              <w:rPr>
                <w:webHidden/>
              </w:rPr>
              <w:fldChar w:fldCharType="end"/>
            </w:r>
          </w:hyperlink>
        </w:p>
        <w:p w:rsidR="00B22F0E" w:rsidRPr="00B76BA7" w:rsidRDefault="00CF51E8" w:rsidP="00AD022A">
          <w:pPr>
            <w:pStyle w:val="TOC1"/>
            <w:rPr>
              <w:rFonts w:eastAsiaTheme="minorEastAsia"/>
            </w:rPr>
          </w:pPr>
          <w:r>
            <w:fldChar w:fldCharType="end"/>
          </w:r>
        </w:p>
      </w:sdtContent>
    </w:sdt>
    <w:p w:rsidR="00CF51E8" w:rsidRPr="003870A6" w:rsidRDefault="00CF51E8" w:rsidP="00385389">
      <w:pPr>
        <w:pStyle w:val="Heading1"/>
        <w:sectPr w:rsidR="00CF51E8" w:rsidRPr="003870A6" w:rsidSect="00CD1306">
          <w:headerReference w:type="default" r:id="rId13"/>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3" w:name="_Toc494968295"/>
      <w:bookmarkStart w:id="4" w:name="_Toc511313933"/>
      <w:r>
        <w:lastRenderedPageBreak/>
        <w:t>Rôles</w:t>
      </w:r>
      <w:bookmarkEnd w:id="3"/>
      <w:bookmarkEnd w:id="4"/>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6"/>
        <w:gridCol w:w="3850"/>
        <w:gridCol w:w="1469"/>
        <w:gridCol w:w="6694"/>
      </w:tblGrid>
      <w:tr w:rsidR="007A0134" w:rsidRPr="0062042A" w:rsidTr="00A97B35">
        <w:trPr>
          <w:trHeight w:val="467"/>
        </w:trPr>
        <w:tc>
          <w:tcPr>
            <w:tcW w:w="1972"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3028"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E44A39" w:rsidRPr="0062042A" w:rsidTr="00A97B35">
        <w:trPr>
          <w:trHeight w:val="440"/>
        </w:trPr>
        <w:tc>
          <w:tcPr>
            <w:tcW w:w="544" w:type="pct"/>
            <w:shd w:val="clear" w:color="auto" w:fill="F2F2F2" w:themeFill="background1" w:themeFillShade="F2"/>
            <w:vAlign w:val="center"/>
            <w:hideMark/>
          </w:tcPr>
          <w:p w:rsidR="00E44A39" w:rsidRPr="0062042A" w:rsidRDefault="00E44A39" w:rsidP="003928BC">
            <w:pPr>
              <w:spacing w:after="0"/>
              <w:rPr>
                <w:rFonts w:ascii="Verdana" w:hAnsi="Verdana" w:cstheme="minorHAnsi"/>
                <w:sz w:val="20"/>
                <w:szCs w:val="20"/>
              </w:rPr>
            </w:pPr>
            <w:r>
              <w:rPr>
                <w:rFonts w:ascii="Verdana" w:hAnsi="Verdana" w:cstheme="minorHAnsi"/>
                <w:sz w:val="20"/>
              </w:rPr>
              <w:t>Rôle</w:t>
            </w:r>
          </w:p>
        </w:tc>
        <w:tc>
          <w:tcPr>
            <w:tcW w:w="1428" w:type="pct"/>
            <w:shd w:val="clear" w:color="auto" w:fill="F2F2F2" w:themeFill="background1" w:themeFillShade="F2"/>
            <w:vAlign w:val="center"/>
          </w:tcPr>
          <w:p w:rsidR="00E44A39" w:rsidRPr="0062042A" w:rsidRDefault="00E44A39" w:rsidP="003928BC">
            <w:pPr>
              <w:spacing w:after="0"/>
              <w:rPr>
                <w:rFonts w:ascii="Verdana" w:hAnsi="Verdana" w:cstheme="minorHAnsi"/>
                <w:sz w:val="20"/>
                <w:szCs w:val="20"/>
              </w:rPr>
            </w:pPr>
            <w:r>
              <w:rPr>
                <w:rFonts w:ascii="Verdana" w:hAnsi="Verdana" w:cstheme="minorHAnsi"/>
                <w:sz w:val="20"/>
              </w:rPr>
              <w:t>Description</w:t>
            </w:r>
          </w:p>
        </w:tc>
        <w:tc>
          <w:tcPr>
            <w:tcW w:w="545" w:type="pct"/>
            <w:shd w:val="clear" w:color="auto" w:fill="F2F2F2" w:themeFill="background1" w:themeFillShade="F2"/>
            <w:vAlign w:val="center"/>
          </w:tcPr>
          <w:p w:rsidR="00E44A39" w:rsidRPr="0062042A" w:rsidRDefault="00E44A39" w:rsidP="00AF11D0">
            <w:pPr>
              <w:spacing w:after="0"/>
              <w:rPr>
                <w:rFonts w:ascii="Verdana" w:hAnsi="Verdana" w:cstheme="minorHAnsi"/>
                <w:sz w:val="20"/>
                <w:szCs w:val="20"/>
              </w:rPr>
            </w:pPr>
            <w:r>
              <w:rPr>
                <w:rFonts w:ascii="Verdana" w:hAnsi="Verdana" w:cstheme="minorHAnsi"/>
                <w:sz w:val="20"/>
              </w:rPr>
              <w:t>Rôle</w:t>
            </w:r>
          </w:p>
        </w:tc>
        <w:tc>
          <w:tcPr>
            <w:tcW w:w="2483" w:type="pct"/>
            <w:shd w:val="clear" w:color="auto" w:fill="F2F2F2" w:themeFill="background1" w:themeFillShade="F2"/>
            <w:vAlign w:val="center"/>
          </w:tcPr>
          <w:p w:rsidR="00E44A39" w:rsidRPr="0062042A" w:rsidRDefault="00E44A39" w:rsidP="00AF11D0">
            <w:pPr>
              <w:spacing w:after="0"/>
              <w:rPr>
                <w:rFonts w:ascii="Verdana" w:hAnsi="Verdana" w:cstheme="minorHAnsi"/>
                <w:sz w:val="20"/>
                <w:szCs w:val="20"/>
              </w:rPr>
            </w:pPr>
            <w:r>
              <w:rPr>
                <w:rFonts w:ascii="Verdana" w:hAnsi="Verdana" w:cstheme="minorHAnsi"/>
                <w:sz w:val="20"/>
              </w:rPr>
              <w:t>Description</w:t>
            </w:r>
          </w:p>
        </w:tc>
      </w:tr>
      <w:tr w:rsidR="00A97B35" w:rsidRPr="0062042A" w:rsidTr="00A97B35">
        <w:trPr>
          <w:trHeight w:val="1250"/>
        </w:trPr>
        <w:tc>
          <w:tcPr>
            <w:tcW w:w="544" w:type="pct"/>
            <w:shd w:val="clear" w:color="000000" w:fill="FFFFFF"/>
            <w:vAlign w:val="center"/>
          </w:tcPr>
          <w:p w:rsidR="00A97B35" w:rsidRPr="0062042A" w:rsidRDefault="00A97B35" w:rsidP="00AF11D0">
            <w:pPr>
              <w:spacing w:after="0"/>
              <w:rPr>
                <w:rFonts w:ascii="Verdana" w:hAnsi="Verdana" w:cs="Calibri"/>
                <w:sz w:val="20"/>
                <w:szCs w:val="20"/>
              </w:rPr>
            </w:pPr>
            <w:r w:rsidRPr="0062042A">
              <w:rPr>
                <w:rFonts w:ascii="Verdana" w:hAnsi="Verdana" w:cs="Calibri"/>
                <w:sz w:val="20"/>
                <w:szCs w:val="20"/>
              </w:rPr>
              <w:t>Decision-making level</w:t>
            </w:r>
          </w:p>
        </w:tc>
        <w:tc>
          <w:tcPr>
            <w:tcW w:w="142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This is the head of the organization or persons that act on relatively high strategic management levels</w:t>
            </w:r>
          </w:p>
        </w:tc>
        <w:tc>
          <w:tcPr>
            <w:tcW w:w="545" w:type="pct"/>
            <w:shd w:val="clear" w:color="000000" w:fill="FFFFFF"/>
            <w:vAlign w:val="center"/>
          </w:tcPr>
          <w:p w:rsidR="00A97B35" w:rsidRPr="0062042A" w:rsidRDefault="00A97B35" w:rsidP="00AF11D0">
            <w:pPr>
              <w:spacing w:after="0"/>
              <w:rPr>
                <w:rFonts w:ascii="Verdana" w:hAnsi="Verdana" w:cstheme="minorHAnsi"/>
                <w:sz w:val="20"/>
                <w:szCs w:val="20"/>
              </w:rPr>
            </w:pPr>
            <w:r>
              <w:rPr>
                <w:rFonts w:ascii="Verdana" w:hAnsi="Verdana" w:cstheme="minorHAnsi"/>
                <w:sz w:val="20"/>
              </w:rPr>
              <w:t>Niveau décisionnel</w:t>
            </w:r>
          </w:p>
        </w:tc>
        <w:tc>
          <w:tcPr>
            <w:tcW w:w="2483" w:type="pct"/>
            <w:shd w:val="clear" w:color="000000" w:fill="FFFFFF"/>
            <w:vAlign w:val="center"/>
          </w:tcPr>
          <w:p w:rsidR="00A97B35" w:rsidRPr="0062042A" w:rsidRDefault="00A97B35" w:rsidP="00AF11D0">
            <w:pPr>
              <w:spacing w:after="0"/>
              <w:rPr>
                <w:rFonts w:ascii="Verdana" w:hAnsi="Verdana" w:cstheme="minorHAnsi"/>
                <w:sz w:val="20"/>
                <w:szCs w:val="20"/>
              </w:rPr>
            </w:pPr>
            <w:r>
              <w:rPr>
                <w:rFonts w:ascii="Verdana" w:hAnsi="Verdana" w:cstheme="minorHAnsi"/>
                <w:sz w:val="20"/>
              </w:rPr>
              <w:t>Chef de l’organisation ou personnes agissant à des niveaux de gestion stratégique relativement élevés</w:t>
            </w:r>
          </w:p>
        </w:tc>
      </w:tr>
      <w:tr w:rsidR="00A97B35" w:rsidRPr="0062042A" w:rsidTr="00A97B35">
        <w:trPr>
          <w:trHeight w:val="1871"/>
        </w:trPr>
        <w:tc>
          <w:tcPr>
            <w:tcW w:w="544" w:type="pct"/>
            <w:shd w:val="clear" w:color="000000" w:fill="FFFFFF"/>
            <w:vAlign w:val="center"/>
          </w:tcPr>
          <w:p w:rsidR="00A97B35" w:rsidRPr="0062042A" w:rsidRDefault="00A97B35" w:rsidP="00AF11D0">
            <w:pPr>
              <w:spacing w:after="0"/>
              <w:rPr>
                <w:rFonts w:ascii="Verdana" w:hAnsi="Verdana" w:cs="Calibri"/>
                <w:sz w:val="20"/>
                <w:szCs w:val="20"/>
              </w:rPr>
            </w:pPr>
            <w:r w:rsidRPr="0062042A">
              <w:rPr>
                <w:rFonts w:ascii="Verdana" w:hAnsi="Verdana" w:cs="Calibri"/>
                <w:sz w:val="20"/>
                <w:szCs w:val="20"/>
              </w:rPr>
              <w:t>Supervisory level</w:t>
            </w:r>
          </w:p>
        </w:tc>
        <w:tc>
          <w:tcPr>
            <w:tcW w:w="142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This is the middle management level, responsible for a group of people and not directly involved in operational implementation of the programme, for instance heads of organizational units</w:t>
            </w:r>
          </w:p>
        </w:tc>
        <w:tc>
          <w:tcPr>
            <w:tcW w:w="545" w:type="pct"/>
            <w:shd w:val="clear" w:color="000000" w:fill="FFFFFF"/>
            <w:vAlign w:val="center"/>
          </w:tcPr>
          <w:p w:rsidR="00A97B35" w:rsidRPr="0062042A" w:rsidRDefault="00A97B35" w:rsidP="00AF11D0">
            <w:pPr>
              <w:spacing w:after="0"/>
              <w:rPr>
                <w:rFonts w:ascii="Verdana" w:hAnsi="Verdana" w:cstheme="minorHAnsi"/>
                <w:sz w:val="20"/>
                <w:szCs w:val="20"/>
              </w:rPr>
            </w:pPr>
            <w:r>
              <w:rPr>
                <w:rFonts w:ascii="Verdana" w:hAnsi="Verdana" w:cstheme="minorHAnsi"/>
                <w:sz w:val="20"/>
              </w:rPr>
              <w:t>Niveau de la supervision</w:t>
            </w:r>
          </w:p>
        </w:tc>
        <w:tc>
          <w:tcPr>
            <w:tcW w:w="2483" w:type="pct"/>
            <w:shd w:val="clear" w:color="000000" w:fill="FFFFFF"/>
            <w:vAlign w:val="center"/>
          </w:tcPr>
          <w:p w:rsidR="00A97B35" w:rsidRPr="0062042A" w:rsidRDefault="00A97B35" w:rsidP="00AF11D0">
            <w:pPr>
              <w:spacing w:after="0"/>
              <w:rPr>
                <w:rFonts w:ascii="Verdana" w:hAnsi="Verdana" w:cstheme="minorHAnsi"/>
                <w:sz w:val="20"/>
                <w:szCs w:val="20"/>
              </w:rPr>
            </w:pPr>
            <w:r>
              <w:rPr>
                <w:rFonts w:ascii="Verdana" w:hAnsi="Verdana" w:cstheme="minorHAnsi"/>
                <w:sz w:val="20"/>
              </w:rPr>
              <w:t>Il s’agit des employés du niveau d’encadrement intermédiaire, responsables d’un groupe de personnes et ne participant pas directement à la mise en œuvre opérationnelle du programme (par exemple les chefs d’unités organisationnelles)</w:t>
            </w:r>
          </w:p>
        </w:tc>
      </w:tr>
      <w:tr w:rsidR="00A97B35" w:rsidRPr="0062042A" w:rsidTr="00A97B35">
        <w:trPr>
          <w:trHeight w:val="1439"/>
        </w:trPr>
        <w:tc>
          <w:tcPr>
            <w:tcW w:w="544" w:type="pct"/>
            <w:shd w:val="clear" w:color="000000" w:fill="FFFFFF"/>
            <w:vAlign w:val="center"/>
          </w:tcPr>
          <w:p w:rsidR="00A97B35" w:rsidRPr="0062042A" w:rsidRDefault="00A97B35" w:rsidP="00AF11D0">
            <w:pPr>
              <w:spacing w:after="0"/>
              <w:rPr>
                <w:rFonts w:ascii="Verdana" w:hAnsi="Verdana" w:cs="Calibri"/>
                <w:sz w:val="20"/>
                <w:szCs w:val="20"/>
              </w:rPr>
            </w:pPr>
            <w:r w:rsidRPr="0062042A">
              <w:rPr>
                <w:rFonts w:ascii="Verdana" w:hAnsi="Verdana" w:cs="Calibri"/>
                <w:sz w:val="20"/>
                <w:szCs w:val="20"/>
              </w:rPr>
              <w:t>Operational level</w:t>
            </w:r>
          </w:p>
        </w:tc>
        <w:tc>
          <w:tcPr>
            <w:tcW w:w="142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These are the experts that are directly working on the different tasks and sub-tasks within the organization</w:t>
            </w:r>
          </w:p>
        </w:tc>
        <w:tc>
          <w:tcPr>
            <w:tcW w:w="545" w:type="pct"/>
            <w:shd w:val="clear" w:color="000000" w:fill="FFFFFF"/>
            <w:vAlign w:val="center"/>
          </w:tcPr>
          <w:p w:rsidR="00A97B35" w:rsidRPr="0062042A" w:rsidRDefault="00A97B35" w:rsidP="00AF11D0">
            <w:pPr>
              <w:spacing w:after="0"/>
              <w:rPr>
                <w:rFonts w:ascii="Verdana" w:hAnsi="Verdana" w:cstheme="minorHAnsi"/>
                <w:sz w:val="20"/>
                <w:szCs w:val="20"/>
              </w:rPr>
            </w:pPr>
            <w:r>
              <w:rPr>
                <w:rFonts w:ascii="Verdana" w:hAnsi="Verdana" w:cstheme="minorHAnsi"/>
                <w:sz w:val="20"/>
              </w:rPr>
              <w:t>Niveau opérationnel</w:t>
            </w:r>
          </w:p>
        </w:tc>
        <w:tc>
          <w:tcPr>
            <w:tcW w:w="2483" w:type="pct"/>
            <w:shd w:val="clear" w:color="000000" w:fill="FFFFFF"/>
            <w:vAlign w:val="center"/>
          </w:tcPr>
          <w:p w:rsidR="00A97B35" w:rsidRPr="0062042A" w:rsidRDefault="00A97B35" w:rsidP="00AF11D0">
            <w:pPr>
              <w:spacing w:after="0"/>
              <w:rPr>
                <w:rFonts w:ascii="Verdana" w:hAnsi="Verdana" w:cstheme="minorHAnsi"/>
                <w:sz w:val="20"/>
                <w:szCs w:val="20"/>
              </w:rPr>
            </w:pPr>
            <w:r>
              <w:rPr>
                <w:rFonts w:ascii="Verdana" w:hAnsi="Verdana" w:cstheme="minorHAnsi"/>
                <w:sz w:val="20"/>
              </w:rPr>
              <w:t>Ce sont les experts qui travaillent directement sur les différentes tâches et sous-tâches établies au sein de l’organisation.</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5" w:name="_Toc494968296"/>
      <w:bookmarkStart w:id="6" w:name="_Toc511313934"/>
      <w:r>
        <w:lastRenderedPageBreak/>
        <w:t>Tâches et sous-tâches</w:t>
      </w:r>
      <w:bookmarkEnd w:id="5"/>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Langue locale</w:t>
            </w:r>
          </w:p>
        </w:tc>
      </w:tr>
      <w:tr w:rsidR="00E44A39" w:rsidRPr="00095F13" w:rsidTr="00AF11D0">
        <w:trPr>
          <w:trHeight w:val="318"/>
          <w:tblHeader/>
        </w:trPr>
        <w:tc>
          <w:tcPr>
            <w:tcW w:w="1006" w:type="pct"/>
            <w:shd w:val="clear" w:color="auto" w:fill="F2F2F2" w:themeFill="background1" w:themeFillShade="F2"/>
          </w:tcPr>
          <w:p w:rsidR="00E44A39" w:rsidRPr="00095F13" w:rsidRDefault="00E44A39"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Tâche</w:t>
            </w:r>
          </w:p>
        </w:tc>
        <w:tc>
          <w:tcPr>
            <w:tcW w:w="1668" w:type="pct"/>
            <w:shd w:val="clear" w:color="auto" w:fill="F2F2F2" w:themeFill="background1" w:themeFillShade="F2"/>
            <w:vAlign w:val="center"/>
          </w:tcPr>
          <w:p w:rsidR="00E44A39" w:rsidRPr="00095F13" w:rsidRDefault="00E44A39"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Sous-tâche</w:t>
            </w:r>
          </w:p>
        </w:tc>
        <w:tc>
          <w:tcPr>
            <w:tcW w:w="1008" w:type="pct"/>
            <w:shd w:val="clear" w:color="auto" w:fill="F2F2F2" w:themeFill="background1" w:themeFillShade="F2"/>
          </w:tcPr>
          <w:p w:rsidR="00E44A39" w:rsidRPr="00095F13" w:rsidRDefault="00E44A39" w:rsidP="00AF11D0">
            <w:pPr>
              <w:spacing w:after="0" w:line="240" w:lineRule="auto"/>
              <w:jc w:val="center"/>
              <w:rPr>
                <w:rFonts w:ascii="Verdana" w:eastAsia="Times New Roman" w:hAnsi="Verdana" w:cstheme="minorHAnsi"/>
                <w:b/>
                <w:bCs/>
                <w:sz w:val="20"/>
                <w:szCs w:val="20"/>
              </w:rPr>
            </w:pPr>
            <w:r>
              <w:rPr>
                <w:rFonts w:ascii="Verdana" w:hAnsi="Verdana" w:cstheme="minorHAnsi"/>
                <w:b/>
                <w:sz w:val="20"/>
              </w:rPr>
              <w:t>Tâche</w:t>
            </w:r>
          </w:p>
        </w:tc>
        <w:tc>
          <w:tcPr>
            <w:tcW w:w="1318" w:type="pct"/>
            <w:shd w:val="clear" w:color="auto" w:fill="F2F2F2" w:themeFill="background1" w:themeFillShade="F2"/>
            <w:vAlign w:val="center"/>
          </w:tcPr>
          <w:p w:rsidR="00E44A39" w:rsidRPr="00095F13" w:rsidRDefault="00E44A39" w:rsidP="00AF11D0">
            <w:pPr>
              <w:spacing w:after="0" w:line="240" w:lineRule="auto"/>
              <w:jc w:val="center"/>
              <w:rPr>
                <w:rFonts w:ascii="Verdana" w:eastAsia="Times New Roman" w:hAnsi="Verdana" w:cstheme="minorHAnsi"/>
                <w:b/>
                <w:bCs/>
                <w:sz w:val="20"/>
                <w:szCs w:val="20"/>
              </w:rPr>
            </w:pPr>
            <w:r>
              <w:rPr>
                <w:rFonts w:ascii="Verdana" w:hAnsi="Verdana" w:cstheme="minorHAnsi"/>
                <w:b/>
                <w:sz w:val="20"/>
              </w:rPr>
              <w:t>Sous-tâche</w:t>
            </w:r>
          </w:p>
        </w:tc>
      </w:tr>
      <w:tr w:rsidR="00A97B35" w:rsidRPr="00095F13" w:rsidTr="00AF11D0">
        <w:trPr>
          <w:trHeight w:val="602"/>
        </w:trPr>
        <w:tc>
          <w:tcPr>
            <w:tcW w:w="1006" w:type="pct"/>
            <w:shd w:val="clear" w:color="000000" w:fill="FFFFFF"/>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1. Coordination and Partnership Agreement</w:t>
            </w:r>
          </w:p>
        </w:tc>
        <w:tc>
          <w:tcPr>
            <w:tcW w:w="1668"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1.1. Inter-institutional coordination and consultations</w:t>
            </w:r>
          </w:p>
        </w:tc>
        <w:tc>
          <w:tcPr>
            <w:tcW w:w="1008" w:type="pct"/>
            <w:shd w:val="clear" w:color="000000" w:fill="FFFFFF"/>
          </w:tcPr>
          <w:p w:rsidR="00A97B35" w:rsidRPr="00095F13" w:rsidRDefault="00A97B35" w:rsidP="00AF11D0">
            <w:pPr>
              <w:spacing w:after="0"/>
              <w:rPr>
                <w:rFonts w:ascii="Verdana" w:hAnsi="Verdana" w:cstheme="minorHAnsi"/>
                <w:sz w:val="20"/>
                <w:szCs w:val="20"/>
              </w:rPr>
            </w:pPr>
            <w:r>
              <w:rPr>
                <w:rFonts w:ascii="Verdana" w:hAnsi="Verdana" w:cstheme="minorHAnsi"/>
                <w:sz w:val="20"/>
              </w:rPr>
              <w:t>1. Coordination et accord de partenariat</w:t>
            </w: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1,1. Coordination interinstitutionnelle et consultations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1.2. Preparation of Partnership Agreement and coordination of Operational Programmes</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1.2. Préparation de l’accord de partenariat et coordination des programmes opérationnels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1.3. Communication and negotiation with the European Commission</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1.3. Communication et négociation avec la Commission européenne</w:t>
            </w:r>
          </w:p>
        </w:tc>
      </w:tr>
      <w:tr w:rsidR="00A97B35" w:rsidRPr="00095F13" w:rsidTr="00AF11D0">
        <w:trPr>
          <w:trHeight w:val="318"/>
        </w:trPr>
        <w:tc>
          <w:tcPr>
            <w:tcW w:w="1006" w:type="pct"/>
            <w:shd w:val="clear" w:color="000000" w:fill="FFFFFF"/>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2. System set-up, development of procedures and tools</w:t>
            </w: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2.1. Development of the description of management and control systems</w:t>
            </w:r>
          </w:p>
        </w:tc>
        <w:tc>
          <w:tcPr>
            <w:tcW w:w="1008" w:type="pct"/>
            <w:shd w:val="clear" w:color="000000" w:fill="FFFFFF"/>
          </w:tcPr>
          <w:p w:rsidR="00A97B35" w:rsidRPr="00095F13" w:rsidRDefault="00A97B35" w:rsidP="00AF11D0">
            <w:pPr>
              <w:spacing w:after="0"/>
              <w:rPr>
                <w:rFonts w:ascii="Verdana" w:hAnsi="Verdana" w:cstheme="minorHAnsi"/>
                <w:sz w:val="20"/>
                <w:szCs w:val="20"/>
              </w:rPr>
            </w:pPr>
            <w:r>
              <w:rPr>
                <w:rFonts w:ascii="Verdana" w:hAnsi="Verdana" w:cstheme="minorHAnsi"/>
                <w:sz w:val="20"/>
              </w:rPr>
              <w:t>2. Mise en place du système, élaboration de procédures et d’outils</w:t>
            </w: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2.1. Élaboration de la description des systèmes de gestion et de contrôle</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2.2. Preparation of the proposals concerning the designation of Authorities</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2.2. Préparation des propositions relatives à la désignation des autorités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2.3. Development of institutional and administrative capacity</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2.3. Développement des capacités institutionnelles et administratives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2.4. Development of common guidelines and procedures for Managing Authorities and Beneficiaries</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2.4. Élaboration de lignes directrices et procédures communes pour les autorités de gestion et les bénéficiaires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2.5. Development and maintenance of a common monitoring and information systems and other technical tools</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2.5. Élaboration et maintenance d’un système de suivi et d’information commun et d’autres outils techniques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2.6. Procurement of goods and services under Technical Assistance</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2.6. Achat de biens et de services dans le cadre de l’assistance technique</w:t>
            </w:r>
          </w:p>
        </w:tc>
      </w:tr>
      <w:tr w:rsidR="00A97B35" w:rsidRPr="00095F13" w:rsidTr="00AF11D0">
        <w:trPr>
          <w:trHeight w:val="318"/>
        </w:trPr>
        <w:tc>
          <w:tcPr>
            <w:tcW w:w="1006" w:type="pct"/>
            <w:shd w:val="clear" w:color="000000" w:fill="FFFFFF"/>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3. Monitoring and </w:t>
            </w:r>
            <w:r w:rsidRPr="00A97B35">
              <w:rPr>
                <w:rFonts w:ascii="Verdana" w:hAnsi="Verdana" w:cs="Calibri"/>
                <w:sz w:val="20"/>
                <w:szCs w:val="20"/>
                <w:lang w:val="en-US"/>
              </w:rPr>
              <w:lastRenderedPageBreak/>
              <w:t>evaluating the process and progress of implementation of the Partnership Agreement and Operational Programmes</w:t>
            </w: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lastRenderedPageBreak/>
              <w:t xml:space="preserve">3.1. Monitoring the Partnership </w:t>
            </w:r>
            <w:r w:rsidRPr="00A97B35">
              <w:rPr>
                <w:rFonts w:ascii="Verdana" w:hAnsi="Verdana" w:cs="Calibri"/>
                <w:sz w:val="20"/>
                <w:szCs w:val="20"/>
                <w:lang w:val="en-US"/>
              </w:rPr>
              <w:lastRenderedPageBreak/>
              <w:t>Agreement implementation through the Operational Programmes, identifying bottlenecks and corrective actions</w:t>
            </w:r>
          </w:p>
        </w:tc>
        <w:tc>
          <w:tcPr>
            <w:tcW w:w="1008" w:type="pct"/>
            <w:shd w:val="clear" w:color="000000" w:fill="FFFFFF"/>
          </w:tcPr>
          <w:p w:rsidR="00A97B35" w:rsidRPr="00095F13" w:rsidRDefault="00A97B35" w:rsidP="00AF11D0">
            <w:pPr>
              <w:spacing w:after="0"/>
              <w:rPr>
                <w:rFonts w:ascii="Verdana" w:hAnsi="Verdana" w:cstheme="minorHAnsi"/>
                <w:sz w:val="20"/>
                <w:szCs w:val="20"/>
              </w:rPr>
            </w:pPr>
            <w:r>
              <w:rPr>
                <w:rFonts w:ascii="Verdana" w:hAnsi="Verdana" w:cstheme="minorHAnsi"/>
                <w:sz w:val="20"/>
              </w:rPr>
              <w:lastRenderedPageBreak/>
              <w:t xml:space="preserve">3. Suivi et évaluation </w:t>
            </w:r>
            <w:r>
              <w:rPr>
                <w:rFonts w:ascii="Verdana" w:hAnsi="Verdana" w:cstheme="minorHAnsi"/>
                <w:sz w:val="20"/>
              </w:rPr>
              <w:lastRenderedPageBreak/>
              <w:t>du processus et de l’évolution de la mise en œuvre de l’accord de partenariat et des programmes opérationnels</w:t>
            </w: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lastRenderedPageBreak/>
              <w:t xml:space="preserve">3.1. Suivi de la mise en œuvre </w:t>
            </w:r>
            <w:r>
              <w:rPr>
                <w:rFonts w:ascii="Verdana" w:hAnsi="Verdana" w:cstheme="minorHAnsi"/>
                <w:sz w:val="20"/>
              </w:rPr>
              <w:lastRenderedPageBreak/>
              <w:t>de l’accord de partenariat par le biais des programmes opérationnels, en détectant les goulets d’étranglement et en définissant des mesures correctives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3.2. Management of the evaluation process of the Partnership Agreement and Operational Programmes</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3.2. Gestion du processus d’évaluation de l’accord de partenariat et des programmes opérationnels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3.3. Coordination of the information flow between the Commission, Managing Authorities and other authorities including reporting</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3.3. Coordination du flux d’informations entre la Commission, les autorités de gestion et les autres autorités, y compris l'élaboration de rapports</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3.4. Assessment ex ante conditionalities and implementation of the action plan</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3.4. Évaluation des conditions ex ante et mise en œuvre du plan d’action</w:t>
            </w:r>
          </w:p>
        </w:tc>
      </w:tr>
      <w:tr w:rsidR="00A97B35" w:rsidRPr="00095F13" w:rsidTr="00AF11D0">
        <w:trPr>
          <w:trHeight w:val="318"/>
        </w:trPr>
        <w:tc>
          <w:tcPr>
            <w:tcW w:w="1006" w:type="pct"/>
            <w:shd w:val="clear" w:color="000000" w:fill="FFFFFF"/>
          </w:tcPr>
          <w:p w:rsidR="00A97B35" w:rsidRPr="00095F13" w:rsidRDefault="00A97B35" w:rsidP="00AF11D0">
            <w:pPr>
              <w:spacing w:after="0"/>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3.5. Procurement of goods and services under Technical Assistance</w:t>
            </w:r>
          </w:p>
        </w:tc>
        <w:tc>
          <w:tcPr>
            <w:tcW w:w="1008" w:type="pct"/>
            <w:shd w:val="clear" w:color="000000" w:fill="FFFFFF"/>
          </w:tcPr>
          <w:p w:rsidR="00A97B35" w:rsidRPr="00A97B35" w:rsidRDefault="00A97B35" w:rsidP="00AF11D0">
            <w:pPr>
              <w:spacing w:after="0"/>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3.5. Achat de biens et de services dans le cadre de l’assistance technique</w:t>
            </w:r>
          </w:p>
        </w:tc>
      </w:tr>
      <w:tr w:rsidR="00A97B35" w:rsidRPr="00095F13" w:rsidTr="00AF11D0">
        <w:trPr>
          <w:trHeight w:val="318"/>
        </w:trPr>
        <w:tc>
          <w:tcPr>
            <w:tcW w:w="1006" w:type="pct"/>
            <w:shd w:val="clear" w:color="000000" w:fill="FFFFFF"/>
          </w:tcPr>
          <w:p w:rsidR="00A97B35" w:rsidRPr="00095F13" w:rsidRDefault="00A97B35" w:rsidP="00AF11D0">
            <w:pPr>
              <w:pStyle w:val="ListParagraph"/>
              <w:spacing w:after="0"/>
              <w:ind w:left="0"/>
              <w:rPr>
                <w:rFonts w:ascii="Verdana" w:hAnsi="Verdana" w:cs="Calibri"/>
                <w:sz w:val="20"/>
                <w:szCs w:val="20"/>
              </w:rPr>
            </w:pPr>
            <w:r w:rsidRPr="00095F13">
              <w:rPr>
                <w:rFonts w:ascii="Verdana" w:hAnsi="Verdana" w:cs="Calibri"/>
                <w:sz w:val="20"/>
                <w:szCs w:val="20"/>
              </w:rPr>
              <w:t>4. Communication</w:t>
            </w: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4.1. Preparation of the communication plan and its implementation for different stakeholders</w:t>
            </w:r>
          </w:p>
        </w:tc>
        <w:tc>
          <w:tcPr>
            <w:tcW w:w="1008" w:type="pct"/>
            <w:shd w:val="clear" w:color="000000" w:fill="FFFFFF"/>
          </w:tcPr>
          <w:p w:rsidR="00A97B35" w:rsidRPr="00095F13" w:rsidRDefault="00A97B35" w:rsidP="00AF11D0">
            <w:pPr>
              <w:pStyle w:val="ListParagraph"/>
              <w:spacing w:after="0"/>
              <w:ind w:left="0"/>
              <w:rPr>
                <w:rFonts w:ascii="Verdana" w:hAnsi="Verdana" w:cstheme="minorHAnsi"/>
                <w:sz w:val="20"/>
                <w:szCs w:val="20"/>
              </w:rPr>
            </w:pPr>
            <w:r>
              <w:rPr>
                <w:rFonts w:ascii="Verdana" w:hAnsi="Verdana" w:cstheme="minorHAnsi"/>
                <w:sz w:val="20"/>
              </w:rPr>
              <w:t>4. Communication</w:t>
            </w: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4.1. Préparation du plan de communication et mise en œuvre de celui-ci pour différentes parties prenantes</w:t>
            </w:r>
          </w:p>
        </w:tc>
      </w:tr>
      <w:tr w:rsidR="00A97B35" w:rsidRPr="00095F13" w:rsidTr="00AF11D0">
        <w:trPr>
          <w:trHeight w:val="318"/>
        </w:trPr>
        <w:tc>
          <w:tcPr>
            <w:tcW w:w="1006" w:type="pct"/>
            <w:shd w:val="clear" w:color="000000" w:fill="FFFFFF"/>
          </w:tcPr>
          <w:p w:rsidR="00A97B35" w:rsidRPr="00095F13" w:rsidRDefault="00A97B35" w:rsidP="00AF11D0">
            <w:pPr>
              <w:pStyle w:val="ListParagraph"/>
              <w:spacing w:after="0"/>
              <w:ind w:left="144"/>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4.2 Building networks with different media</w:t>
            </w:r>
          </w:p>
        </w:tc>
        <w:tc>
          <w:tcPr>
            <w:tcW w:w="1008" w:type="pct"/>
            <w:shd w:val="clear" w:color="000000" w:fill="FFFFFF"/>
          </w:tcPr>
          <w:p w:rsidR="00A97B35" w:rsidRPr="00A97B35" w:rsidRDefault="00A97B35" w:rsidP="00AF11D0">
            <w:pPr>
              <w:pStyle w:val="ListParagraph"/>
              <w:spacing w:after="0"/>
              <w:ind w:left="144"/>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4.2. Constitution de réseaux avec différents médias</w:t>
            </w:r>
          </w:p>
        </w:tc>
      </w:tr>
      <w:tr w:rsidR="00A97B35" w:rsidRPr="00095F13" w:rsidTr="00AF11D0">
        <w:trPr>
          <w:trHeight w:val="318"/>
        </w:trPr>
        <w:tc>
          <w:tcPr>
            <w:tcW w:w="1006" w:type="pct"/>
            <w:shd w:val="clear" w:color="000000" w:fill="FFFFFF"/>
          </w:tcPr>
          <w:p w:rsidR="00A97B35" w:rsidRPr="00095F13" w:rsidRDefault="00A97B35" w:rsidP="00AF11D0">
            <w:pPr>
              <w:pStyle w:val="ListParagraph"/>
              <w:spacing w:after="0"/>
              <w:ind w:left="144"/>
              <w:rPr>
                <w:rFonts w:ascii="Verdana" w:hAnsi="Verdana" w:cs="Calibr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4.3 Procurement of goods and services under Technical Assistance</w:t>
            </w:r>
          </w:p>
        </w:tc>
        <w:tc>
          <w:tcPr>
            <w:tcW w:w="1008" w:type="pct"/>
            <w:shd w:val="clear" w:color="000000" w:fill="FFFFFF"/>
          </w:tcPr>
          <w:p w:rsidR="00A97B35" w:rsidRPr="00A97B35" w:rsidRDefault="00A97B35" w:rsidP="00AF11D0">
            <w:pPr>
              <w:pStyle w:val="ListParagraph"/>
              <w:spacing w:after="0"/>
              <w:ind w:left="144"/>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4.3. Achat de biens et de services dans le cadre de l’assistance technique</w:t>
            </w:r>
          </w:p>
        </w:tc>
      </w:tr>
      <w:tr w:rsidR="00A97B35" w:rsidRPr="00095F13" w:rsidTr="00AF11D0">
        <w:trPr>
          <w:trHeight w:val="318"/>
        </w:trPr>
        <w:tc>
          <w:tcPr>
            <w:tcW w:w="1006" w:type="pct"/>
            <w:shd w:val="clear" w:color="000000" w:fill="FFFFFF"/>
          </w:tcPr>
          <w:p w:rsidR="00A97B35" w:rsidRPr="00095F13" w:rsidRDefault="00A97B35" w:rsidP="00AF11D0">
            <w:pPr>
              <w:pStyle w:val="ListParagraph"/>
              <w:spacing w:after="0"/>
              <w:ind w:left="0"/>
              <w:rPr>
                <w:rFonts w:ascii="Verdana" w:hAnsi="Verdana" w:cs="Calibri"/>
                <w:sz w:val="20"/>
                <w:szCs w:val="20"/>
              </w:rPr>
            </w:pPr>
            <w:r w:rsidRPr="00095F13">
              <w:rPr>
                <w:rFonts w:ascii="Verdana" w:hAnsi="Verdana" w:cs="Calibri"/>
                <w:sz w:val="20"/>
                <w:szCs w:val="20"/>
              </w:rPr>
              <w:t xml:space="preserve">5. Programming of </w:t>
            </w:r>
            <w:r w:rsidRPr="00095F13">
              <w:rPr>
                <w:rFonts w:ascii="Verdana" w:hAnsi="Verdana" w:cs="Calibri"/>
                <w:sz w:val="20"/>
                <w:szCs w:val="20"/>
              </w:rPr>
              <w:lastRenderedPageBreak/>
              <w:t>Operational Programmes</w:t>
            </w: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lastRenderedPageBreak/>
              <w:t xml:space="preserve">5.1 Inter-institutional coordination and </w:t>
            </w:r>
            <w:r w:rsidRPr="00A97B35">
              <w:rPr>
                <w:rFonts w:ascii="Verdana" w:hAnsi="Verdana" w:cs="Calibri"/>
                <w:sz w:val="20"/>
                <w:szCs w:val="20"/>
                <w:lang w:val="en-US"/>
              </w:rPr>
              <w:lastRenderedPageBreak/>
              <w:t>stakeholder involvement</w:t>
            </w:r>
          </w:p>
        </w:tc>
        <w:tc>
          <w:tcPr>
            <w:tcW w:w="1008" w:type="pct"/>
            <w:shd w:val="clear" w:color="000000" w:fill="FFFFFF"/>
          </w:tcPr>
          <w:p w:rsidR="00A97B35" w:rsidRPr="00095F13" w:rsidRDefault="00A97B35" w:rsidP="00AF11D0">
            <w:pPr>
              <w:pStyle w:val="ListParagraph"/>
              <w:spacing w:after="0"/>
              <w:ind w:left="0"/>
              <w:rPr>
                <w:rFonts w:ascii="Verdana" w:hAnsi="Verdana" w:cstheme="minorHAnsi"/>
                <w:sz w:val="20"/>
                <w:szCs w:val="20"/>
              </w:rPr>
            </w:pPr>
            <w:r>
              <w:rPr>
                <w:rFonts w:ascii="Verdana" w:hAnsi="Verdana" w:cstheme="minorHAnsi"/>
                <w:sz w:val="20"/>
              </w:rPr>
              <w:lastRenderedPageBreak/>
              <w:t xml:space="preserve">5. Programmation des </w:t>
            </w:r>
            <w:r>
              <w:rPr>
                <w:rFonts w:ascii="Verdana" w:hAnsi="Verdana" w:cstheme="minorHAnsi"/>
                <w:sz w:val="20"/>
              </w:rPr>
              <w:lastRenderedPageBreak/>
              <w:t>programmes opérationnels</w:t>
            </w: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lastRenderedPageBreak/>
              <w:t xml:space="preserve">5.1. Coordination </w:t>
            </w:r>
            <w:r>
              <w:rPr>
                <w:rFonts w:ascii="Verdana" w:hAnsi="Verdana" w:cstheme="minorHAnsi"/>
                <w:sz w:val="20"/>
              </w:rPr>
              <w:lastRenderedPageBreak/>
              <w:t>interinstitutionnelle et participation des parties prenantes</w:t>
            </w:r>
          </w:p>
        </w:tc>
      </w:tr>
      <w:tr w:rsidR="00A97B35" w:rsidRPr="00095F13" w:rsidTr="00AF11D0">
        <w:trPr>
          <w:trHeight w:val="318"/>
        </w:trPr>
        <w:tc>
          <w:tcPr>
            <w:tcW w:w="1006" w:type="pct"/>
            <w:shd w:val="clear" w:color="000000" w:fill="FFFFFF"/>
          </w:tcPr>
          <w:p w:rsidR="00A97B35" w:rsidRPr="00095F13" w:rsidRDefault="00A97B35"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5.2 Preparation of the Programme</w:t>
            </w:r>
          </w:p>
        </w:tc>
        <w:tc>
          <w:tcPr>
            <w:tcW w:w="1008" w:type="pct"/>
            <w:shd w:val="clear" w:color="000000" w:fill="FFFFFF"/>
          </w:tcPr>
          <w:p w:rsidR="00A97B35" w:rsidRPr="00095F13" w:rsidRDefault="00A97B35" w:rsidP="00AF11D0">
            <w:pPr>
              <w:pStyle w:val="ListParagraph"/>
              <w:spacing w:after="0"/>
              <w:ind w:left="144"/>
              <w:rPr>
                <w:rFonts w:ascii="Verdana" w:hAnsi="Verdana" w:cstheme="minorHAnsi"/>
                <w:sz w:val="20"/>
                <w:szCs w:val="20"/>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5.2. Préparation du programme</w:t>
            </w:r>
          </w:p>
        </w:tc>
      </w:tr>
      <w:tr w:rsidR="00A97B35" w:rsidRPr="00095F13" w:rsidTr="00AF11D0">
        <w:trPr>
          <w:trHeight w:val="318"/>
        </w:trPr>
        <w:tc>
          <w:tcPr>
            <w:tcW w:w="1006" w:type="pct"/>
            <w:shd w:val="clear" w:color="000000" w:fill="FFFFFF"/>
          </w:tcPr>
          <w:p w:rsidR="00A97B35" w:rsidRPr="00095F13" w:rsidRDefault="00A97B35"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5.3 Management of the evaluation process (ex-ante)</w:t>
            </w:r>
          </w:p>
        </w:tc>
        <w:tc>
          <w:tcPr>
            <w:tcW w:w="1008" w:type="pct"/>
            <w:shd w:val="clear" w:color="000000" w:fill="FFFFFF"/>
          </w:tcPr>
          <w:p w:rsidR="00A97B35" w:rsidRPr="00A97B35" w:rsidRDefault="00A97B35" w:rsidP="00AF11D0">
            <w:pPr>
              <w:pStyle w:val="ListParagraph"/>
              <w:spacing w:after="0"/>
              <w:ind w:left="144"/>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5.3. Gestion du processus d’évaluation (ex ante)</w:t>
            </w:r>
          </w:p>
        </w:tc>
      </w:tr>
      <w:tr w:rsidR="00A97B35" w:rsidRPr="00095F13" w:rsidTr="00AF11D0">
        <w:trPr>
          <w:trHeight w:val="318"/>
        </w:trPr>
        <w:tc>
          <w:tcPr>
            <w:tcW w:w="1006" w:type="pct"/>
            <w:shd w:val="clear" w:color="000000" w:fill="FFFFFF"/>
          </w:tcPr>
          <w:p w:rsidR="00A97B35" w:rsidRPr="00095F13" w:rsidRDefault="00A97B35"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5.4 Negotiation with the EC</w:t>
            </w:r>
          </w:p>
        </w:tc>
        <w:tc>
          <w:tcPr>
            <w:tcW w:w="1008" w:type="pct"/>
            <w:shd w:val="clear" w:color="000000" w:fill="FFFFFF"/>
          </w:tcPr>
          <w:p w:rsidR="00A97B35" w:rsidRPr="00095F13" w:rsidRDefault="00A97B35" w:rsidP="00AF11D0">
            <w:pPr>
              <w:pStyle w:val="ListParagraph"/>
              <w:spacing w:after="0"/>
              <w:ind w:left="144"/>
              <w:rPr>
                <w:rFonts w:ascii="Verdana" w:hAnsi="Verdana" w:cstheme="minorHAnsi"/>
                <w:sz w:val="20"/>
                <w:szCs w:val="20"/>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5.4. Négociation avec la CE</w:t>
            </w:r>
          </w:p>
        </w:tc>
      </w:tr>
      <w:tr w:rsidR="00A97B35" w:rsidRPr="00095F13" w:rsidTr="00AF11D0">
        <w:trPr>
          <w:trHeight w:val="318"/>
        </w:trPr>
        <w:tc>
          <w:tcPr>
            <w:tcW w:w="1006" w:type="pct"/>
            <w:shd w:val="clear" w:color="000000" w:fill="FFFFFF"/>
          </w:tcPr>
          <w:p w:rsidR="00A97B35" w:rsidRPr="00095F13" w:rsidRDefault="00A97B35"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5.5 Procurement of goods and services under Technical Assistance</w:t>
            </w:r>
          </w:p>
        </w:tc>
        <w:tc>
          <w:tcPr>
            <w:tcW w:w="1008" w:type="pct"/>
            <w:shd w:val="clear" w:color="000000" w:fill="FFFFFF"/>
          </w:tcPr>
          <w:p w:rsidR="00A97B35" w:rsidRPr="00A97B35" w:rsidRDefault="00A97B35" w:rsidP="00AF11D0">
            <w:pPr>
              <w:pStyle w:val="ListParagraph"/>
              <w:spacing w:after="0"/>
              <w:ind w:left="144"/>
              <w:rPr>
                <w:rFonts w:ascii="Verdana" w:hAnsi="Verdana" w:cstheme="minorHAnsi"/>
                <w:sz w:val="20"/>
                <w:szCs w:val="20"/>
                <w:lang w:val="en-US"/>
              </w:rPr>
            </w:pPr>
          </w:p>
        </w:tc>
        <w:tc>
          <w:tcPr>
            <w:tcW w:w="131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5.5. Achat de biens et de services dans le cadre de l’assistance technique</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C510A0" w:rsidP="00C510A0">
      <w:pPr>
        <w:pStyle w:val="Heading1"/>
        <w:numPr>
          <w:ilvl w:val="0"/>
          <w:numId w:val="0"/>
        </w:numPr>
        <w:ind w:left="72"/>
      </w:pPr>
      <w:bookmarkStart w:id="7" w:name="_Toc494968297"/>
      <w:bookmarkStart w:id="8" w:name="_Toc511313935"/>
      <w:r>
        <w:lastRenderedPageBreak/>
        <w:t xml:space="preserve">3. </w:t>
      </w:r>
      <w:r w:rsidR="00822B80">
        <w:t>Échelle de maîtrise</w:t>
      </w:r>
      <w:bookmarkEnd w:id="7"/>
      <w:bookmarkEnd w:id="8"/>
      <w:r w:rsidR="00822B80">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Anglais</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E44A39" w:rsidRPr="0062042A" w:rsidTr="006645FC">
        <w:trPr>
          <w:trHeight w:val="332"/>
          <w:tblHeader/>
        </w:trPr>
        <w:tc>
          <w:tcPr>
            <w:tcW w:w="658" w:type="pct"/>
            <w:shd w:val="clear" w:color="auto" w:fill="F2F2F2" w:themeFill="background1" w:themeFillShade="F2"/>
          </w:tcPr>
          <w:p w:rsidR="00E44A39" w:rsidRPr="0044373B" w:rsidRDefault="00E44A39" w:rsidP="00AD2B31">
            <w:pPr>
              <w:spacing w:after="0" w:line="240" w:lineRule="auto"/>
              <w:rPr>
                <w:rFonts w:ascii="Verdana" w:hAnsi="Verdana" w:cstheme="minorHAnsi"/>
                <w:sz w:val="20"/>
                <w:szCs w:val="20"/>
              </w:rPr>
            </w:pPr>
            <w:r>
              <w:rPr>
                <w:rFonts w:ascii="Verdana" w:hAnsi="Verdana" w:cstheme="minorHAnsi"/>
                <w:sz w:val="20"/>
              </w:rPr>
              <w:t xml:space="preserve">Échelle </w:t>
            </w:r>
          </w:p>
        </w:tc>
        <w:tc>
          <w:tcPr>
            <w:tcW w:w="1738" w:type="pct"/>
            <w:shd w:val="clear" w:color="auto" w:fill="F2F2F2" w:themeFill="background1" w:themeFillShade="F2"/>
          </w:tcPr>
          <w:p w:rsidR="00E44A39" w:rsidRPr="0062042A" w:rsidRDefault="00E44A39" w:rsidP="006645FC">
            <w:pPr>
              <w:spacing w:after="0" w:line="240" w:lineRule="auto"/>
              <w:rPr>
                <w:rFonts w:ascii="Verdana" w:hAnsi="Verdana" w:cstheme="minorHAnsi"/>
                <w:sz w:val="20"/>
                <w:szCs w:val="20"/>
              </w:rPr>
            </w:pPr>
            <w:r>
              <w:rPr>
                <w:rFonts w:ascii="Verdana" w:hAnsi="Verdana" w:cstheme="minorHAnsi"/>
                <w:sz w:val="20"/>
              </w:rPr>
              <w:t xml:space="preserve">Description </w:t>
            </w:r>
          </w:p>
        </w:tc>
        <w:tc>
          <w:tcPr>
            <w:tcW w:w="590" w:type="pct"/>
            <w:shd w:val="clear" w:color="auto" w:fill="F2F2F2" w:themeFill="background1" w:themeFillShade="F2"/>
          </w:tcPr>
          <w:p w:rsidR="00E44A39" w:rsidRPr="0044373B" w:rsidRDefault="00E44A39" w:rsidP="00AF11D0">
            <w:pPr>
              <w:spacing w:after="0" w:line="240" w:lineRule="auto"/>
              <w:rPr>
                <w:rFonts w:ascii="Verdana" w:hAnsi="Verdana" w:cstheme="minorHAnsi"/>
                <w:sz w:val="20"/>
                <w:szCs w:val="20"/>
              </w:rPr>
            </w:pPr>
            <w:r>
              <w:rPr>
                <w:rFonts w:ascii="Verdana" w:hAnsi="Verdana" w:cstheme="minorHAnsi"/>
                <w:sz w:val="20"/>
              </w:rPr>
              <w:t xml:space="preserve">Échelle </w:t>
            </w:r>
          </w:p>
        </w:tc>
        <w:tc>
          <w:tcPr>
            <w:tcW w:w="2014" w:type="pct"/>
            <w:shd w:val="clear" w:color="auto" w:fill="F2F2F2" w:themeFill="background1" w:themeFillShade="F2"/>
          </w:tcPr>
          <w:p w:rsidR="00E44A39" w:rsidRPr="0062042A" w:rsidRDefault="00E44A39" w:rsidP="00AF11D0">
            <w:pPr>
              <w:spacing w:after="0" w:line="240" w:lineRule="auto"/>
              <w:rPr>
                <w:rFonts w:ascii="Verdana" w:hAnsi="Verdana" w:cstheme="minorHAnsi"/>
                <w:sz w:val="20"/>
                <w:szCs w:val="20"/>
              </w:rPr>
            </w:pPr>
            <w:r>
              <w:rPr>
                <w:rFonts w:ascii="Verdana" w:hAnsi="Verdana" w:cstheme="minorHAnsi"/>
                <w:sz w:val="20"/>
              </w:rPr>
              <w:t xml:space="preserve">Description </w:t>
            </w:r>
          </w:p>
        </w:tc>
      </w:tr>
      <w:tr w:rsidR="00A97B35" w:rsidRPr="0062042A" w:rsidTr="00E44A39">
        <w:trPr>
          <w:trHeight w:val="566"/>
        </w:trPr>
        <w:tc>
          <w:tcPr>
            <w:tcW w:w="658" w:type="pct"/>
            <w:shd w:val="clear" w:color="000000" w:fill="FFFFFF"/>
          </w:tcPr>
          <w:p w:rsidR="00A97B35" w:rsidRPr="0062042A"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N.A. - Not Applicable</w:t>
            </w:r>
          </w:p>
        </w:tc>
        <w:tc>
          <w:tcPr>
            <w:tcW w:w="1738" w:type="pct"/>
            <w:shd w:val="clear" w:color="000000" w:fill="FFFFFF"/>
          </w:tcPr>
          <w:p w:rsidR="00A97B35" w:rsidRPr="00A97B35" w:rsidRDefault="00A97B35" w:rsidP="00AF11D0">
            <w:pPr>
              <w:spacing w:before="60" w:after="120" w:line="240" w:lineRule="auto"/>
              <w:rPr>
                <w:rFonts w:ascii="Verdana" w:hAnsi="Verdana" w:cs="Calibri"/>
                <w:sz w:val="20"/>
                <w:szCs w:val="20"/>
                <w:lang w:val="en-US"/>
              </w:rPr>
            </w:pPr>
            <w:r w:rsidRPr="00046411">
              <w:rPr>
                <w:rFonts w:ascii="Verdana" w:hAnsi="Verdana" w:cs="Calibri"/>
                <w:sz w:val="20"/>
                <w:szCs w:val="20"/>
                <w:lang w:val="en-GB"/>
              </w:rPr>
              <w:t xml:space="preserve">The competency is not applicable to </w:t>
            </w:r>
            <w:r w:rsidRPr="00A97B35">
              <w:rPr>
                <w:rFonts w:ascii="Verdana" w:hAnsi="Verdana" w:cs="Calibri"/>
                <w:sz w:val="20"/>
                <w:szCs w:val="20"/>
                <w:lang w:val="en-US"/>
              </w:rPr>
              <w:t xml:space="preserve">the job role. </w:t>
            </w:r>
          </w:p>
        </w:tc>
        <w:tc>
          <w:tcPr>
            <w:tcW w:w="590" w:type="pct"/>
            <w:shd w:val="clear" w:color="000000" w:fill="FFFFFF"/>
          </w:tcPr>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S.O. - Sans objet</w:t>
            </w:r>
          </w:p>
        </w:tc>
        <w:tc>
          <w:tcPr>
            <w:tcW w:w="2014" w:type="pct"/>
            <w:shd w:val="clear" w:color="000000" w:fill="FFFFFF"/>
          </w:tcPr>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 xml:space="preserve">La compétence ne s'applique pas au rôle professionnel. </w:t>
            </w:r>
          </w:p>
        </w:tc>
      </w:tr>
      <w:tr w:rsidR="00A97B35" w:rsidRPr="0062042A" w:rsidTr="006645FC">
        <w:trPr>
          <w:trHeight w:val="908"/>
        </w:trPr>
        <w:tc>
          <w:tcPr>
            <w:tcW w:w="658" w:type="pct"/>
            <w:shd w:val="clear" w:color="000000" w:fill="FFFFFF"/>
          </w:tcPr>
          <w:p w:rsidR="00A97B35"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 xml:space="preserve">Level 0 </w:t>
            </w:r>
            <w:r>
              <w:rPr>
                <w:rFonts w:ascii="Verdana" w:hAnsi="Verdana" w:cs="Calibri"/>
                <w:sz w:val="20"/>
                <w:szCs w:val="20"/>
              </w:rPr>
              <w:t>–</w:t>
            </w:r>
            <w:r w:rsidRPr="0044373B">
              <w:rPr>
                <w:rFonts w:ascii="Verdana" w:hAnsi="Verdana" w:cs="Calibri"/>
                <w:sz w:val="20"/>
                <w:szCs w:val="20"/>
              </w:rPr>
              <w:t xml:space="preserve"> </w:t>
            </w:r>
          </w:p>
          <w:p w:rsidR="00A97B35" w:rsidRPr="0062042A"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No knowledge</w:t>
            </w:r>
          </w:p>
        </w:tc>
        <w:tc>
          <w:tcPr>
            <w:tcW w:w="1738" w:type="pct"/>
            <w:shd w:val="clear" w:color="000000" w:fill="FFFFFF"/>
          </w:tcPr>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No knowledge of the competency or no ability to apply it in real situations.</w:t>
            </w:r>
          </w:p>
        </w:tc>
        <w:tc>
          <w:tcPr>
            <w:tcW w:w="590" w:type="pct"/>
            <w:shd w:val="clear" w:color="000000" w:fill="FFFFFF"/>
          </w:tcPr>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 xml:space="preserve">Niveau 0 - </w:t>
            </w:r>
          </w:p>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Aucune connaissance</w:t>
            </w:r>
          </w:p>
        </w:tc>
        <w:tc>
          <w:tcPr>
            <w:tcW w:w="2014" w:type="pct"/>
            <w:shd w:val="clear" w:color="000000" w:fill="FFFFFF"/>
          </w:tcPr>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Aucune connaissance de la compétence ou aucune aptitude à l’appliquer dans des situations concrètes.</w:t>
            </w:r>
          </w:p>
        </w:tc>
      </w:tr>
      <w:tr w:rsidR="00A97B35" w:rsidRPr="0062042A" w:rsidTr="006645FC">
        <w:trPr>
          <w:trHeight w:val="1421"/>
        </w:trPr>
        <w:tc>
          <w:tcPr>
            <w:tcW w:w="658" w:type="pct"/>
            <w:shd w:val="clear" w:color="000000" w:fill="FFFFFF"/>
          </w:tcPr>
          <w:p w:rsidR="00A97B35"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 xml:space="preserve">Level 1 </w:t>
            </w:r>
            <w:r>
              <w:rPr>
                <w:rFonts w:ascii="Verdana" w:hAnsi="Verdana" w:cs="Calibri"/>
                <w:sz w:val="20"/>
                <w:szCs w:val="20"/>
              </w:rPr>
              <w:t>–</w:t>
            </w:r>
            <w:r w:rsidRPr="0044373B">
              <w:rPr>
                <w:rFonts w:ascii="Verdana" w:hAnsi="Verdana" w:cs="Calibri"/>
                <w:sz w:val="20"/>
                <w:szCs w:val="20"/>
              </w:rPr>
              <w:t xml:space="preserve"> </w:t>
            </w:r>
          </w:p>
          <w:p w:rsidR="00A97B35" w:rsidRPr="0062042A"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Awareness</w:t>
            </w:r>
          </w:p>
        </w:tc>
        <w:tc>
          <w:tcPr>
            <w:tcW w:w="1738" w:type="pct"/>
            <w:shd w:val="clear" w:color="000000" w:fill="FFFFFF"/>
          </w:tcPr>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Basic knowledge of the competency (e.g. understands general concepts and processes, is familiar with related key terminology).</w:t>
            </w:r>
          </w:p>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Ability to demonstrate this competency after being given specific instructions and guidance.</w:t>
            </w:r>
          </w:p>
        </w:tc>
        <w:tc>
          <w:tcPr>
            <w:tcW w:w="590" w:type="pct"/>
            <w:shd w:val="clear" w:color="000000" w:fill="FFFFFF"/>
          </w:tcPr>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 xml:space="preserve">Niveau 1 - </w:t>
            </w:r>
          </w:p>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Sensibilisé</w:t>
            </w:r>
          </w:p>
        </w:tc>
        <w:tc>
          <w:tcPr>
            <w:tcW w:w="2014" w:type="pct"/>
            <w:shd w:val="clear" w:color="000000" w:fill="FFFFFF"/>
          </w:tcPr>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Connaissance élémentaire de la compétence (l’employé comprend par exemple les concepts et processus généraux et est familiarisé à la terminologie de base s’y rapportant).</w:t>
            </w:r>
          </w:p>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Aptitude à faire usage de cette compétence après avoir reçu des instructions et conseils spécifiques.</w:t>
            </w:r>
          </w:p>
        </w:tc>
      </w:tr>
      <w:tr w:rsidR="00A97B35" w:rsidRPr="0062042A" w:rsidTr="006645FC">
        <w:trPr>
          <w:trHeight w:val="1103"/>
        </w:trPr>
        <w:tc>
          <w:tcPr>
            <w:tcW w:w="658" w:type="pct"/>
            <w:shd w:val="clear" w:color="000000" w:fill="FFFFFF"/>
          </w:tcPr>
          <w:p w:rsidR="00A97B35"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 xml:space="preserve">Level 2 </w:t>
            </w:r>
            <w:r>
              <w:rPr>
                <w:rFonts w:ascii="Verdana" w:hAnsi="Verdana" w:cs="Calibri"/>
                <w:sz w:val="20"/>
                <w:szCs w:val="20"/>
              </w:rPr>
              <w:t>–</w:t>
            </w:r>
            <w:r w:rsidRPr="0044373B">
              <w:rPr>
                <w:rFonts w:ascii="Verdana" w:hAnsi="Verdana" w:cs="Calibri"/>
                <w:sz w:val="20"/>
                <w:szCs w:val="20"/>
              </w:rPr>
              <w:t xml:space="preserve"> </w:t>
            </w:r>
          </w:p>
          <w:p w:rsidR="00A97B35" w:rsidRPr="0044373B"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Trained</w:t>
            </w:r>
          </w:p>
        </w:tc>
        <w:tc>
          <w:tcPr>
            <w:tcW w:w="1738" w:type="pct"/>
            <w:shd w:val="clear" w:color="000000" w:fill="FFFFFF"/>
          </w:tcPr>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Good working knowledge of the competency. Ability to apply that knowledge in daily work.</w:t>
            </w:r>
          </w:p>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Ability to perform standard activities with regards to this competency in an independent manner</w:t>
            </w:r>
          </w:p>
        </w:tc>
        <w:tc>
          <w:tcPr>
            <w:tcW w:w="590" w:type="pct"/>
            <w:shd w:val="clear" w:color="000000" w:fill="FFFFFF"/>
          </w:tcPr>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 xml:space="preserve">Niveau 2 - </w:t>
            </w:r>
          </w:p>
          <w:p w:rsidR="00A97B35" w:rsidRPr="0044373B" w:rsidRDefault="00A97B35" w:rsidP="00AF11D0">
            <w:pPr>
              <w:spacing w:before="60" w:after="120" w:line="240" w:lineRule="auto"/>
              <w:rPr>
                <w:rFonts w:ascii="Verdana" w:hAnsi="Verdana" w:cstheme="minorHAnsi"/>
                <w:sz w:val="20"/>
                <w:szCs w:val="20"/>
              </w:rPr>
            </w:pPr>
            <w:r>
              <w:rPr>
                <w:rFonts w:ascii="Verdana" w:hAnsi="Verdana" w:cstheme="minorHAnsi"/>
                <w:sz w:val="20"/>
              </w:rPr>
              <w:t>Formé</w:t>
            </w:r>
          </w:p>
        </w:tc>
        <w:tc>
          <w:tcPr>
            <w:tcW w:w="2014" w:type="pct"/>
            <w:shd w:val="clear" w:color="000000" w:fill="FFFFFF"/>
          </w:tcPr>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Bonne connaissance opérationnelle de la compétence. Aptitude à appliquer cette connaissance dans les tâches quotidiennes.</w:t>
            </w:r>
          </w:p>
          <w:p w:rsidR="00A97B35" w:rsidRPr="0044373B" w:rsidRDefault="00A97B35" w:rsidP="00AF11D0">
            <w:pPr>
              <w:spacing w:before="60" w:after="120" w:line="240" w:lineRule="auto"/>
              <w:rPr>
                <w:rFonts w:ascii="Verdana" w:hAnsi="Verdana" w:cstheme="minorHAnsi"/>
                <w:sz w:val="20"/>
                <w:szCs w:val="20"/>
              </w:rPr>
            </w:pPr>
            <w:r>
              <w:rPr>
                <w:rFonts w:ascii="Verdana" w:hAnsi="Verdana" w:cstheme="minorHAnsi"/>
                <w:sz w:val="20"/>
              </w:rPr>
              <w:t>Aptitude à réaliser de manière indépendante des activités standards en rapport avec cette compétence.</w:t>
            </w:r>
          </w:p>
        </w:tc>
      </w:tr>
      <w:tr w:rsidR="00A97B35" w:rsidRPr="0062042A" w:rsidTr="00AF11D0">
        <w:trPr>
          <w:trHeight w:val="1103"/>
        </w:trPr>
        <w:tc>
          <w:tcPr>
            <w:tcW w:w="658" w:type="pct"/>
            <w:shd w:val="clear" w:color="000000" w:fill="FFFFFF"/>
            <w:vAlign w:val="center"/>
          </w:tcPr>
          <w:p w:rsidR="00A97B35"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 xml:space="preserve">Level 3 </w:t>
            </w:r>
            <w:r>
              <w:rPr>
                <w:rFonts w:ascii="Verdana" w:hAnsi="Verdana" w:cs="Calibri"/>
                <w:sz w:val="20"/>
                <w:szCs w:val="20"/>
              </w:rPr>
              <w:t>–</w:t>
            </w:r>
            <w:r w:rsidRPr="0044373B">
              <w:rPr>
                <w:rFonts w:ascii="Verdana" w:hAnsi="Verdana" w:cs="Calibri"/>
                <w:sz w:val="20"/>
                <w:szCs w:val="20"/>
              </w:rPr>
              <w:t xml:space="preserve"> </w:t>
            </w:r>
          </w:p>
          <w:p w:rsidR="00A97B35" w:rsidRPr="0044373B"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Intermediate</w:t>
            </w:r>
          </w:p>
        </w:tc>
        <w:tc>
          <w:tcPr>
            <w:tcW w:w="1738" w:type="pct"/>
            <w:shd w:val="clear" w:color="000000" w:fill="FFFFFF"/>
          </w:tcPr>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Broad and in-depth knowledge and skills with regards to the competency.</w:t>
            </w:r>
            <w:r w:rsidRPr="00A97B35">
              <w:rPr>
                <w:rFonts w:ascii="Verdana" w:hAnsi="Verdana" w:cs="Calibri"/>
                <w:sz w:val="20"/>
                <w:szCs w:val="20"/>
                <w:lang w:val="en-US"/>
              </w:rPr>
              <w:br/>
              <w:t>Ability to deal with a variety of exceptions and special cases related to the competency in an independent manner.</w:t>
            </w:r>
          </w:p>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Ability to effectively share knowledge and experience with more junior profiles.</w:t>
            </w:r>
            <w:r w:rsidRPr="00A97B35">
              <w:rPr>
                <w:rFonts w:ascii="Verdana" w:hAnsi="Verdana" w:cs="Calibri"/>
                <w:sz w:val="20"/>
                <w:szCs w:val="20"/>
                <w:lang w:val="en-US"/>
              </w:rPr>
              <w:br/>
              <w:t xml:space="preserve">Confidence in serving as an advisor and is sought out to provide insight in the </w:t>
            </w:r>
            <w:r w:rsidRPr="00A97B35">
              <w:rPr>
                <w:rFonts w:ascii="Verdana" w:hAnsi="Verdana" w:cs="Calibri"/>
                <w:sz w:val="20"/>
                <w:szCs w:val="20"/>
                <w:lang w:val="en-US"/>
              </w:rPr>
              <w:lastRenderedPageBreak/>
              <w:t>application of this competency.</w:t>
            </w:r>
          </w:p>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lastRenderedPageBreak/>
              <w:t xml:space="preserve">Niveau 3 - </w:t>
            </w:r>
          </w:p>
          <w:p w:rsidR="00A97B35" w:rsidRPr="0044373B" w:rsidRDefault="00A97B35" w:rsidP="00AF11D0">
            <w:pPr>
              <w:spacing w:before="60" w:after="120" w:line="240" w:lineRule="auto"/>
              <w:rPr>
                <w:rFonts w:ascii="Verdana" w:hAnsi="Verdana" w:cstheme="minorHAnsi"/>
                <w:sz w:val="20"/>
                <w:szCs w:val="20"/>
              </w:rPr>
            </w:pPr>
            <w:r>
              <w:rPr>
                <w:rFonts w:ascii="Verdana" w:hAnsi="Verdana" w:cstheme="minorHAnsi"/>
                <w:sz w:val="20"/>
              </w:rPr>
              <w:t>Intermédiaire</w:t>
            </w:r>
          </w:p>
        </w:tc>
        <w:tc>
          <w:tcPr>
            <w:tcW w:w="2014" w:type="pct"/>
            <w:shd w:val="clear" w:color="000000" w:fill="FFFFFF"/>
          </w:tcPr>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Connaissances et aptitudes vastes et approfondies en rapport avec la compétence.</w:t>
            </w:r>
            <w:r>
              <w:rPr>
                <w:rFonts w:ascii="Verdana" w:hAnsi="Verdana" w:cstheme="minorHAnsi"/>
                <w:sz w:val="20"/>
                <w:szCs w:val="20"/>
              </w:rPr>
              <w:br/>
            </w:r>
            <w:r>
              <w:rPr>
                <w:rFonts w:ascii="Verdana" w:hAnsi="Verdana" w:cstheme="minorHAnsi"/>
                <w:sz w:val="20"/>
              </w:rPr>
              <w:t>Aptitude à traiter de manière indépendante une variété d’exceptions et de cas particuliers en rapport avec la compétence.</w:t>
            </w:r>
          </w:p>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Aptitude à partager efficacement ses connaissances et expériences avec les employés moins expérimentés.</w:t>
            </w:r>
            <w:r>
              <w:rPr>
                <w:rFonts w:ascii="Verdana" w:hAnsi="Verdana" w:cstheme="minorHAnsi"/>
                <w:sz w:val="20"/>
                <w:szCs w:val="20"/>
              </w:rPr>
              <w:br/>
            </w:r>
            <w:r>
              <w:rPr>
                <w:rFonts w:ascii="Verdana" w:hAnsi="Verdana" w:cstheme="minorHAnsi"/>
                <w:sz w:val="20"/>
              </w:rPr>
              <w:t xml:space="preserve">L’employé possède la confiance nécessaire pour </w:t>
            </w:r>
            <w:r>
              <w:rPr>
                <w:rFonts w:ascii="Verdana" w:hAnsi="Verdana" w:cstheme="minorHAnsi"/>
                <w:sz w:val="20"/>
              </w:rPr>
              <w:lastRenderedPageBreak/>
              <w:t>agir en tant que conseiller et est sollicité pour donner son avis sur l’application de la compétence.</w:t>
            </w:r>
          </w:p>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L’employé est capable d’encadrer les autres dans l’application de cette compétence en traduisant en termes faciles à comprendre les nuances et les questions complexes en rapport avec cette compétence.</w:t>
            </w:r>
          </w:p>
        </w:tc>
      </w:tr>
      <w:tr w:rsidR="00A97B35" w:rsidRPr="0062042A" w:rsidTr="00AF11D0">
        <w:trPr>
          <w:trHeight w:val="1103"/>
        </w:trPr>
        <w:tc>
          <w:tcPr>
            <w:tcW w:w="658" w:type="pct"/>
            <w:shd w:val="clear" w:color="000000" w:fill="FFFFFF"/>
            <w:vAlign w:val="center"/>
          </w:tcPr>
          <w:p w:rsidR="00A97B35"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lastRenderedPageBreak/>
              <w:t xml:space="preserve">Level 4 </w:t>
            </w:r>
            <w:r>
              <w:rPr>
                <w:rFonts w:ascii="Verdana" w:hAnsi="Verdana" w:cs="Calibri"/>
                <w:sz w:val="20"/>
                <w:szCs w:val="20"/>
              </w:rPr>
              <w:t>–</w:t>
            </w:r>
            <w:r w:rsidRPr="0044373B">
              <w:rPr>
                <w:rFonts w:ascii="Verdana" w:hAnsi="Verdana" w:cs="Calibri"/>
                <w:sz w:val="20"/>
                <w:szCs w:val="20"/>
              </w:rPr>
              <w:t xml:space="preserve"> </w:t>
            </w:r>
          </w:p>
          <w:p w:rsidR="00A97B35" w:rsidRPr="0044373B" w:rsidRDefault="00A97B35" w:rsidP="00AF11D0">
            <w:pPr>
              <w:spacing w:before="60" w:after="120" w:line="240" w:lineRule="auto"/>
              <w:rPr>
                <w:rFonts w:ascii="Verdana" w:hAnsi="Verdana" w:cs="Calibri"/>
                <w:sz w:val="20"/>
                <w:szCs w:val="20"/>
              </w:rPr>
            </w:pPr>
            <w:r w:rsidRPr="0044373B">
              <w:rPr>
                <w:rFonts w:ascii="Verdana" w:hAnsi="Verdana" w:cs="Calibri"/>
                <w:sz w:val="20"/>
                <w:szCs w:val="20"/>
              </w:rPr>
              <w:t>Expert</w:t>
            </w:r>
          </w:p>
        </w:tc>
        <w:tc>
          <w:tcPr>
            <w:tcW w:w="1738" w:type="pct"/>
            <w:shd w:val="clear" w:color="000000" w:fill="FFFFFF"/>
          </w:tcPr>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Extensive expert knowledge and skills with regards to the competency.</w:t>
            </w:r>
          </w:p>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Ability to highlight the (dis)advantages of each of the processes related to the competency whilst linking them to the bigger picture.</w:t>
            </w:r>
          </w:p>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Ability to provide tailored advice and to support the advice with relevant and context specific arguments when responding to internal and external queries.</w:t>
            </w:r>
          </w:p>
          <w:p w:rsidR="00A97B35" w:rsidRPr="00A97B35" w:rsidRDefault="00A97B35" w:rsidP="00AF11D0">
            <w:pPr>
              <w:spacing w:before="60" w:after="120" w:line="240" w:lineRule="auto"/>
              <w:rPr>
                <w:rFonts w:ascii="Verdana" w:hAnsi="Verdana" w:cs="Calibri"/>
                <w:sz w:val="20"/>
                <w:szCs w:val="20"/>
                <w:lang w:val="en-US"/>
              </w:rPr>
            </w:pPr>
            <w:r w:rsidRPr="00A97B35">
              <w:rPr>
                <w:rFonts w:ascii="Verdana" w:hAnsi="Verdana" w:cs="Calibri"/>
                <w:sz w:val="20"/>
                <w:szCs w:val="20"/>
                <w:lang w:val="en-US"/>
              </w:rPr>
              <w:t>Viewed by others as a role model who is capable of leading or teaching others in the area of the competency.</w:t>
            </w:r>
          </w:p>
        </w:tc>
        <w:tc>
          <w:tcPr>
            <w:tcW w:w="590" w:type="pct"/>
            <w:shd w:val="clear" w:color="000000" w:fill="FFFFFF"/>
            <w:vAlign w:val="center"/>
          </w:tcPr>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 xml:space="preserve">Niveau 4 - </w:t>
            </w:r>
          </w:p>
          <w:p w:rsidR="00A97B35" w:rsidRPr="0044373B" w:rsidRDefault="00A97B35" w:rsidP="00AF11D0">
            <w:pPr>
              <w:spacing w:before="60" w:after="120" w:line="240" w:lineRule="auto"/>
              <w:rPr>
                <w:rFonts w:ascii="Verdana" w:hAnsi="Verdana" w:cstheme="minorHAnsi"/>
                <w:sz w:val="20"/>
                <w:szCs w:val="20"/>
              </w:rPr>
            </w:pPr>
            <w:r>
              <w:rPr>
                <w:rFonts w:ascii="Verdana" w:hAnsi="Verdana" w:cstheme="minorHAnsi"/>
                <w:sz w:val="20"/>
              </w:rPr>
              <w:t>Expert</w:t>
            </w:r>
          </w:p>
        </w:tc>
        <w:tc>
          <w:tcPr>
            <w:tcW w:w="2014" w:type="pct"/>
            <w:shd w:val="clear" w:color="000000" w:fill="FFFFFF"/>
          </w:tcPr>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Vastes connaissances et expertise en rapport avec la compétence.</w:t>
            </w:r>
          </w:p>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Capacité à distinguer les (dés</w:t>
            </w:r>
            <w:proofErr w:type="gramStart"/>
            <w:r>
              <w:rPr>
                <w:rFonts w:ascii="Verdana" w:hAnsi="Verdana" w:cstheme="minorHAnsi"/>
                <w:sz w:val="20"/>
              </w:rPr>
              <w:t>)avantages</w:t>
            </w:r>
            <w:proofErr w:type="gramEnd"/>
            <w:r>
              <w:rPr>
                <w:rFonts w:ascii="Verdana" w:hAnsi="Verdana" w:cstheme="minorHAnsi"/>
                <w:sz w:val="20"/>
              </w:rPr>
              <w:t xml:space="preserve"> de chacun des processus en rapport avec la compétence tout en les rattachant à la vision globale.</w:t>
            </w:r>
          </w:p>
          <w:p w:rsidR="00A97B35" w:rsidRDefault="00A97B35" w:rsidP="00AF11D0">
            <w:pPr>
              <w:spacing w:before="60" w:after="120" w:line="240" w:lineRule="auto"/>
              <w:rPr>
                <w:rFonts w:ascii="Verdana" w:hAnsi="Verdana" w:cstheme="minorHAnsi"/>
                <w:sz w:val="20"/>
                <w:szCs w:val="20"/>
              </w:rPr>
            </w:pPr>
            <w:r>
              <w:rPr>
                <w:rFonts w:ascii="Verdana" w:hAnsi="Verdana" w:cstheme="minorHAnsi"/>
                <w:sz w:val="20"/>
              </w:rPr>
              <w:t>Aptitude à fournir des conseils personnalisés et à accompagner ceux-ci d’arguments pertinents et propres au contexte en répondant aux demandes internes et externes.</w:t>
            </w:r>
          </w:p>
          <w:p w:rsidR="00A97B35" w:rsidRPr="0062042A" w:rsidRDefault="00A97B35" w:rsidP="00AF11D0">
            <w:pPr>
              <w:spacing w:before="60" w:after="120" w:line="240" w:lineRule="auto"/>
              <w:rPr>
                <w:rFonts w:ascii="Verdana" w:hAnsi="Verdana" w:cstheme="minorHAnsi"/>
                <w:sz w:val="20"/>
                <w:szCs w:val="20"/>
              </w:rPr>
            </w:pPr>
            <w:r>
              <w:rPr>
                <w:rFonts w:ascii="Verdana" w:hAnsi="Verdana" w:cstheme="minorHAnsi"/>
                <w:sz w:val="20"/>
              </w:rPr>
              <w:t>L’employé est considéré par les autres comme un modèle capable de les diriger ou de les former dans le domaine de la compétence.</w:t>
            </w:r>
          </w:p>
        </w:tc>
      </w:tr>
    </w:tbl>
    <w:p w:rsidR="0044373B" w:rsidRDefault="0044373B" w:rsidP="0044373B"/>
    <w:p w:rsidR="0044373B" w:rsidRDefault="0044373B" w:rsidP="0044373B"/>
    <w:p w:rsidR="006645FC" w:rsidRDefault="006645FC" w:rsidP="00385389">
      <w:pPr>
        <w:pStyle w:val="Heading1"/>
        <w:numPr>
          <w:ilvl w:val="0"/>
          <w:numId w:val="5"/>
        </w:numPr>
        <w:sectPr w:rsidR="006645FC" w:rsidSect="00CD1306">
          <w:pgSz w:w="15840" w:h="12240" w:orient="landscape"/>
          <w:pgMar w:top="1440" w:right="1440" w:bottom="1440" w:left="1440" w:header="720" w:footer="720" w:gutter="0"/>
          <w:cols w:space="720"/>
          <w:docGrid w:linePitch="360"/>
        </w:sectPr>
      </w:pPr>
    </w:p>
    <w:p w:rsidR="0057384D" w:rsidRPr="005957F4" w:rsidRDefault="00C510A0" w:rsidP="00C510A0">
      <w:pPr>
        <w:pStyle w:val="Heading1"/>
        <w:numPr>
          <w:ilvl w:val="0"/>
          <w:numId w:val="0"/>
        </w:numPr>
        <w:ind w:left="72"/>
      </w:pPr>
      <w:bookmarkStart w:id="9" w:name="_Toc494968298"/>
      <w:bookmarkStart w:id="10" w:name="_Toc511313936"/>
      <w:r>
        <w:lastRenderedPageBreak/>
        <w:t xml:space="preserve">4. </w:t>
      </w:r>
      <w:r w:rsidR="00CD1306">
        <w:t>Compétences opérationnelles</w:t>
      </w:r>
      <w:bookmarkEnd w:id="9"/>
      <w:bookmarkEnd w:id="10"/>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Anglais</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Langue locale</w:t>
            </w:r>
          </w:p>
        </w:tc>
      </w:tr>
      <w:tr w:rsidR="00E44A39" w:rsidRPr="00095F13" w:rsidTr="00AF11D0">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E44A39" w:rsidRPr="00095F13" w:rsidRDefault="00E44A39">
            <w:pPr>
              <w:rPr>
                <w:rFonts w:ascii="Verdana" w:hAnsi="Verdana"/>
                <w:b/>
                <w:sz w:val="20"/>
                <w:szCs w:val="20"/>
              </w:rPr>
            </w:pPr>
            <w:r>
              <w:rPr>
                <w:rFonts w:ascii="Verdana" w:hAnsi="Verdana"/>
                <w:b/>
                <w:sz w:val="20"/>
              </w:rPr>
              <w:t>Code</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44A39" w:rsidRPr="00095F13" w:rsidRDefault="00E44A39">
            <w:pPr>
              <w:rPr>
                <w:rFonts w:ascii="Verdana" w:hAnsi="Verdana"/>
                <w:b/>
                <w:sz w:val="20"/>
                <w:szCs w:val="20"/>
              </w:rPr>
            </w:pPr>
            <w:r>
              <w:rPr>
                <w:rFonts w:ascii="Verdana" w:hAnsi="Verdana"/>
                <w:b/>
                <w:sz w:val="20"/>
              </w:rPr>
              <w:t>Compétence</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44A39" w:rsidRPr="00095F13" w:rsidRDefault="00E44A39" w:rsidP="00AF11D0">
            <w:pPr>
              <w:rPr>
                <w:rFonts w:ascii="Verdana" w:hAnsi="Verdana"/>
                <w:b/>
                <w:sz w:val="20"/>
                <w:szCs w:val="20"/>
              </w:rPr>
            </w:pPr>
            <w:r>
              <w:rPr>
                <w:rFonts w:ascii="Verdana" w:hAnsi="Verdana"/>
                <w:b/>
                <w:sz w:val="20"/>
              </w:rPr>
              <w:t>Compétence</w:t>
            </w:r>
          </w:p>
        </w:tc>
      </w:tr>
      <w:tr w:rsidR="00A97B35" w:rsidRPr="00095F13" w:rsidTr="00AF11D0">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tcPr>
          <w:p w:rsidR="00A97B35" w:rsidRPr="00046411" w:rsidRDefault="00A97B35" w:rsidP="00AF11D0">
            <w:pPr>
              <w:rPr>
                <w:rFonts w:ascii="Verdana" w:hAnsi="Verdana"/>
                <w:sz w:val="20"/>
                <w:szCs w:val="20"/>
                <w:lang w:val="en-GB"/>
              </w:rPr>
            </w:pPr>
            <w:r w:rsidRPr="00046411">
              <w:rPr>
                <w:rFonts w:ascii="Verdana" w:hAnsi="Verdana"/>
                <w:sz w:val="20"/>
                <w:szCs w:val="20"/>
                <w:lang w:val="en-GB"/>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Dispositions générales des actes législatifs de l’UE/des États membres relatifs aux fonds ESI</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Documents stratégiques européens (p.ex. politiques thématiques pertinentes de l’UE, recommandations du Conseil)</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Connaissances thématiques pertinentes (législation thématique, coûts, normes applicables, tendances)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 xml:space="preserve">Eligibility of expenditure provisions </w:t>
            </w:r>
            <w:r w:rsidRPr="00A97B35">
              <w:rPr>
                <w:rFonts w:ascii="Verdana" w:hAnsi="Verdana"/>
                <w:color w:val="000000"/>
                <w:sz w:val="20"/>
                <w:szCs w:val="20"/>
                <w:lang w:val="en-US"/>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Dispositions des actes législatifs de l’UE/des États membres sur les Fonds ESI relatives à l’admissibilité des dépenses (règles, lignes directrices et méthodologies, y compris étendue du soutien)</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Gestion du processus d’évaluation du programme, de la priorité ou de la mesure</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Questions territoriales, telles que les ITI, le CLLD, le développement urbain durable, les stratégies macrorégionales et la planification de la coopération interrégionale</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Ex-ante conditionalities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Conditions ex ante (évaluation et suivi de la mise en œuvre des plans d’action visant au respect de ces conditions)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Analyse socio-économique</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Logique d’intervention</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CB.O.C10</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 xml:space="preserve">Coherence and complementarity with ESIF, </w:t>
            </w:r>
            <w:r w:rsidRPr="00A97B35">
              <w:rPr>
                <w:rFonts w:ascii="Verdana" w:hAnsi="Verdana"/>
                <w:sz w:val="20"/>
                <w:szCs w:val="20"/>
                <w:lang w:val="en-US"/>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lastRenderedPageBreak/>
              <w:t xml:space="preserve">Cohérence et complémentarité avec les politiques et </w:t>
            </w:r>
            <w:r>
              <w:rPr>
                <w:rFonts w:ascii="Verdana" w:hAnsi="Verdana"/>
                <w:sz w:val="20"/>
              </w:rPr>
              <w:lastRenderedPageBreak/>
              <w:t>instruments de l’UE et des États membres relatifs aux fonds ESI</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lastRenderedPageBreak/>
              <w:t>CB.O.C11</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Hiérarchisation et planification des dotations financières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Évaluation de l’additionnalité</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Mécanismes de conception et de mise en œuvre des instruments financiers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Règles en matière de passation de marchés publics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Horizontal issues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Questions horizontales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Gestion des programmes et gestion des cycles de projets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Gestion des risques de fraude et des irrégularités (y compris mesures de prévention, de détection et d’atténuation)</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State Aid</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Aides d’État</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Définition et révision de l’organisation administrative</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Évaluation de la performance du système des fonds ESI</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Développement et maintenance du système de suivi et d'information</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Évaluation de la charge administrative</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Documents stratégiques nationaux (p.ex. stratégies nationales de développement, politiques thématiques et sectorielles pertinentes)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lastRenderedPageBreak/>
              <w:t>CB.O.C24</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Indicateurs d’intrants, de réalisations et de résultats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CB.O.C25</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Évaluation des mécanismes de mise en œuvre</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Visibility rules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Règles de visibilité</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Recensement des différentes parties prenantes et de leurs besoins d’information</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Gestion des médias pertinents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Procédures administratives pour l’achat de biens et de services relevant de l’assistance technique</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Web communication</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Communication sur l’internet</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Coopération transfrontalière, transnationale et interrégionale et groupement européen de coopération territoriale</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Gestion de l’externalisation des activités d’AT</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Environnement économique et processus de réforme (semestre européen, programmes nationaux de réforme et recommandations par pays)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sidRPr="00095F13">
              <w:rPr>
                <w:rFonts w:ascii="Verdana" w:hAnsi="Verdana"/>
                <w:sz w:val="20"/>
                <w:szCs w:val="20"/>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Budgétisation et estimation des coûts</w:t>
            </w:r>
          </w:p>
        </w:tc>
      </w:tr>
      <w:tr w:rsidR="00A97B35" w:rsidRPr="00095F13" w:rsidTr="00AF11D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97B35" w:rsidRPr="00095F13" w:rsidRDefault="00A97B35">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tcPr>
          <w:p w:rsidR="00A97B35" w:rsidRPr="00A97B35" w:rsidRDefault="00A97B35" w:rsidP="00AF11D0">
            <w:pPr>
              <w:rPr>
                <w:rFonts w:ascii="Verdana" w:hAnsi="Verdana"/>
                <w:sz w:val="20"/>
                <w:szCs w:val="20"/>
                <w:lang w:val="en-US"/>
              </w:rPr>
            </w:pPr>
            <w:r w:rsidRPr="00A97B35">
              <w:rPr>
                <w:rFonts w:ascii="Verdana" w:hAnsi="Verdana"/>
                <w:sz w:val="20"/>
                <w:szCs w:val="20"/>
                <w:lang w:val="en-US"/>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A97B35" w:rsidRPr="00095F13" w:rsidRDefault="00A97B35" w:rsidP="00AF11D0">
            <w:pPr>
              <w:rPr>
                <w:rFonts w:ascii="Verdana" w:hAnsi="Verdana"/>
                <w:sz w:val="20"/>
                <w:szCs w:val="20"/>
              </w:rPr>
            </w:pPr>
            <w:r>
              <w:rPr>
                <w:rFonts w:ascii="Verdana" w:hAnsi="Verdana"/>
                <w:sz w:val="20"/>
              </w:rPr>
              <w:t>Normes, procédures et méthodologies en matière d’audit</w:t>
            </w:r>
          </w:p>
        </w:tc>
      </w:tr>
    </w:tbl>
    <w:p w:rsidR="001C491D" w:rsidRPr="003870A6" w:rsidRDefault="001C491D" w:rsidP="00385389">
      <w:pPr>
        <w:pStyle w:val="Heading1"/>
        <w:numPr>
          <w:ilvl w:val="0"/>
          <w:numId w:val="0"/>
        </w:numPr>
        <w:ind w:left="547"/>
      </w:pPr>
    </w:p>
    <w:p w:rsidR="00545520" w:rsidRDefault="00545520" w:rsidP="00385389">
      <w:pPr>
        <w:pStyle w:val="Heading1"/>
        <w:numPr>
          <w:ilvl w:val="0"/>
          <w:numId w:val="5"/>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1" w:name="_Toc494968299"/>
      <w:bookmarkStart w:id="12" w:name="_Toc511313937"/>
      <w:r>
        <w:lastRenderedPageBreak/>
        <w:t>Compétences de gestion</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Anglais</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Langue locale</w:t>
            </w:r>
          </w:p>
        </w:tc>
      </w:tr>
      <w:tr w:rsidR="00E44A39" w:rsidRPr="00095F13" w:rsidTr="00545520">
        <w:trPr>
          <w:trHeight w:val="255"/>
          <w:tblHeader/>
        </w:trPr>
        <w:tc>
          <w:tcPr>
            <w:tcW w:w="386" w:type="pct"/>
            <w:shd w:val="clear" w:color="auto" w:fill="EDEDED" w:themeFill="accent3" w:themeFillTint="33"/>
            <w:vAlign w:val="center"/>
          </w:tcPr>
          <w:p w:rsidR="00E44A39" w:rsidRPr="00095F13" w:rsidRDefault="00E44A39" w:rsidP="00AD2B31">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93" w:type="pct"/>
            <w:shd w:val="clear" w:color="auto" w:fill="EDEDED" w:themeFill="accent3" w:themeFillTint="33"/>
            <w:noWrap/>
            <w:vAlign w:val="center"/>
            <w:hideMark/>
          </w:tcPr>
          <w:p w:rsidR="00E44A39" w:rsidRPr="00095F13" w:rsidRDefault="00E44A39"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390" w:type="pct"/>
            <w:shd w:val="clear" w:color="auto" w:fill="EDEDED" w:themeFill="accent3" w:themeFillTint="33"/>
            <w:noWrap/>
            <w:vAlign w:val="center"/>
            <w:hideMark/>
          </w:tcPr>
          <w:p w:rsidR="00E44A39" w:rsidRPr="00095F13" w:rsidRDefault="00E44A39"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800" w:type="pct"/>
            <w:shd w:val="clear" w:color="auto" w:fill="EDEDED" w:themeFill="accent3" w:themeFillTint="33"/>
            <w:vAlign w:val="center"/>
          </w:tcPr>
          <w:p w:rsidR="00E44A39" w:rsidRPr="00095F13" w:rsidRDefault="00E44A39" w:rsidP="00AF11D0">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631" w:type="pct"/>
            <w:shd w:val="clear" w:color="auto" w:fill="EDEDED" w:themeFill="accent3" w:themeFillTint="33"/>
            <w:vAlign w:val="center"/>
          </w:tcPr>
          <w:p w:rsidR="00E44A39" w:rsidRPr="00095F13" w:rsidRDefault="00E44A39" w:rsidP="00AF11D0">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r>
      <w:tr w:rsidR="00A97B35" w:rsidRPr="00095F13" w:rsidTr="00A97B35">
        <w:trPr>
          <w:trHeight w:val="579"/>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Developing others and people management</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Développement des compétences d'autrui et gestion du personnel</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fournir en temps utile des orientations claires et spécifiques et des retours d’information, à aider les autres à recenser leurs besoins et possibilités de développement des compétences et de formation et à améliorer leurs connaissances, aptitudes et capacités nécessaires en vue d'exécuter les tâches attribuées ou de résoudre les problèmes, démontrer également une aptitude à gérer les activités professionnelles des employés ainsi que le développement de leurs compétences et leurs performances de manière à maximiser l’efficacité des ressources humaines.</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Decision making</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Prise de décisions</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mettre en œuvre des approches efficaces pour la formulation de conclusions ou l’élaboration de solutions et à adopter en temps opportun des mesures compatibles avec les données disponibles et les faits communiqués par différentes sources, les limites observées et les conséquences potentielles.</w:t>
            </w:r>
          </w:p>
        </w:tc>
      </w:tr>
      <w:tr w:rsidR="00A97B35" w:rsidRPr="00095F13" w:rsidTr="00A97B35">
        <w:trPr>
          <w:trHeight w:val="1020"/>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Delegation</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Demonstrating ability to allocate decision-making and/or task responsibility to others, to ensure clear communication about the </w:t>
            </w:r>
            <w:r w:rsidRPr="00A97B35">
              <w:rPr>
                <w:rFonts w:ascii="Verdana" w:hAnsi="Verdana" w:cs="Calibri"/>
                <w:sz w:val="20"/>
                <w:szCs w:val="20"/>
                <w:lang w:val="en-US"/>
              </w:rPr>
              <w:lastRenderedPageBreak/>
              <w:t>allocation and completion of responsibilities, and to provide appropriate support in a manner to maximise the organisational and individuals effectiveness.</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lastRenderedPageBreak/>
              <w:t>Délégation</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 xml:space="preserve">Démontrer une aptitude à assigner les responsabilités en matière de prise de décisions et/ou d’exécution de tâches à d’autres personnes, à assurer une </w:t>
            </w:r>
            <w:r>
              <w:rPr>
                <w:rFonts w:ascii="Verdana" w:hAnsi="Verdana" w:cstheme="minorHAnsi"/>
                <w:sz w:val="20"/>
              </w:rPr>
              <w:lastRenderedPageBreak/>
              <w:t>communication claire de l’attribution et de l’exécution des responsabilités et à fournir un soutien adéquat de manière à maximiser l’efficacité de l’organisation et des individus.</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Facilitation and communication</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Facilitation et communication</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susciter la participation et la créativité des autres, à utiliser les capacités du groupe pour mener celui-ci vers un consensus, à résoudre efficacement les problèmes et à accomplir les tâches et à atteindre les objectifs mutuels.</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Leadership</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bookmarkStart w:id="13" w:name="RANGE!B8"/>
            <w:r>
              <w:rPr>
                <w:rFonts w:ascii="Verdana" w:hAnsi="Verdana" w:cstheme="minorHAnsi"/>
                <w:sz w:val="20"/>
              </w:rPr>
              <w:t>Capacités d'encadrement</w:t>
            </w:r>
            <w:bookmarkEnd w:id="13"/>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stimuler et à inspirer les individus afin qu’ils œuvrent pour atteindre la vision définie pour l’avenir, à présenter clairement les buts et objectifs, à imprimer une orientation aux employés et à susciter chez eux un sentiment d’appartenance ainsi qu’à jouer un rôle de catalyseur pour l’action.</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Multi-level stakeholder management</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Gestion des parties prenantes à plusieurs niveaux</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 xml:space="preserve">Démontrer une aptitude à comprendre les buts et objectifs de différentes parties prenantes, à assurer une coopération efficace et à obtenir la participation des parties prenantes (notamment en adoptant une attitude ouverte et en encourageant les échanges de bonnes pratiques entre différents États membres).  </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Negotiating</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Demonstrating ability to effectively explore (facilitating </w:t>
            </w:r>
            <w:r w:rsidRPr="00A97B35">
              <w:rPr>
                <w:rFonts w:ascii="Verdana" w:hAnsi="Verdana" w:cs="Calibri"/>
                <w:sz w:val="20"/>
                <w:szCs w:val="20"/>
                <w:lang w:val="en-US"/>
              </w:rPr>
              <w:lastRenderedPageBreak/>
              <w:t>discussion, asking questions, responding to objections, etc.) alternatives and positions of others to reach outcomes that are accepted by all parties (a win-win solution).</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lastRenderedPageBreak/>
              <w:t>Négociation</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 xml:space="preserve">Démontrer une aptitude à étudier efficacement (en favorisant la </w:t>
            </w:r>
            <w:r>
              <w:rPr>
                <w:rFonts w:ascii="Verdana" w:hAnsi="Verdana" w:cstheme="minorHAnsi"/>
                <w:sz w:val="20"/>
              </w:rPr>
              <w:lastRenderedPageBreak/>
              <w:t>discussion, en posant des questions, en répondant aux objections, etc.) les différentes solutions et les points de vue des autres afin de parvenir à des résultats acceptés par toutes les parties (solutions gagnant-gagnant).</w:t>
            </w:r>
          </w:p>
        </w:tc>
      </w:tr>
      <w:tr w:rsidR="00A97B35" w:rsidRPr="00095F13" w:rsidTr="00A97B35">
        <w:trPr>
          <w:trHeight w:val="510"/>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Result orientation</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Orientation vers les résultats</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fixer des objectifs ambitieux, à maintenir un cap et à faire preuve de persévérance ainsi qu’à toujours atteindre les objectifs ou obtenir les résultats attendus même dans des circonstances défavorables.</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Strategic management</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Gestion stratégique</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prendre des décisions et à adopter des mesures entraînant l’élaboration et la mise en œuvre de stratégies conformes à l’orientation stratégique de l’organisation et à la réalisation des objectifs.</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Risk management</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Demonstrating ability to identify, analyse, assess and prioritize risks and to minimize, </w:t>
            </w:r>
            <w:proofErr w:type="gramStart"/>
            <w:r w:rsidRPr="00A97B35">
              <w:rPr>
                <w:rFonts w:ascii="Verdana" w:hAnsi="Verdana" w:cs="Calibri"/>
                <w:sz w:val="20"/>
                <w:szCs w:val="20"/>
                <w:lang w:val="en-US"/>
              </w:rPr>
              <w:t>monitor</w:t>
            </w:r>
            <w:proofErr w:type="gramEnd"/>
            <w:r w:rsidRPr="00A97B35">
              <w:rPr>
                <w:rFonts w:ascii="Verdana" w:hAnsi="Verdana" w:cs="Calibri"/>
                <w:sz w:val="20"/>
                <w:szCs w:val="20"/>
                <w:lang w:val="en-US"/>
              </w:rPr>
              <w:t>, and control the probability and/or impact of unfortunate events or to maximize the realization of opportunities.</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Gestion des risques</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détecter, analyser, évaluer et hiérarchiser les risques, à réduire, suivre et contrôler la probabilité de survenue d’événements fâcheux ou leur incidence ainsi qu'à maximiser les chances de concrétisation des opportunités.</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Planning of resources</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Demonstrating ability to manage organization's resources including but not limited to financial resources, inventory, human skills, production resources, information technology (IT) in an </w:t>
            </w:r>
            <w:r w:rsidRPr="00A97B35">
              <w:rPr>
                <w:rFonts w:ascii="Verdana" w:hAnsi="Verdana" w:cs="Calibri"/>
                <w:sz w:val="20"/>
                <w:szCs w:val="20"/>
                <w:lang w:val="en-US"/>
              </w:rPr>
              <w:lastRenderedPageBreak/>
              <w:t>efficient and effective way.</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lastRenderedPageBreak/>
              <w:t>Planification des ressources</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 xml:space="preserve">Démontrer une aptitude à gérer de manière efficace et efficiente les ressources de l’organisation, notamment, mais pas exclusivement, les ressources financières, les stocks, les compétences humaines, les </w:t>
            </w:r>
            <w:r>
              <w:rPr>
                <w:rFonts w:ascii="Verdana" w:hAnsi="Verdana" w:cstheme="minorHAnsi"/>
                <w:sz w:val="20"/>
              </w:rPr>
              <w:lastRenderedPageBreak/>
              <w:t>ressources de production et les technologies de l’information (TI).</w:t>
            </w:r>
          </w:p>
        </w:tc>
      </w:tr>
      <w:tr w:rsidR="00A97B35" w:rsidRPr="00095F13" w:rsidTr="00A97B35">
        <w:trPr>
          <w:trHeight w:val="765"/>
        </w:trPr>
        <w:tc>
          <w:tcPr>
            <w:tcW w:w="386" w:type="pct"/>
            <w:shd w:val="clear" w:color="000000" w:fill="FFFFFF"/>
            <w:vAlign w:val="center"/>
          </w:tcPr>
          <w:p w:rsidR="00A97B35" w:rsidRPr="00095F13" w:rsidRDefault="00A97B35"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HR Strategy development and implementation</w:t>
            </w:r>
          </w:p>
        </w:tc>
        <w:tc>
          <w:tcPr>
            <w:tcW w:w="1390"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Élaboration et mise en œuvre de la stratégie en matière de RH</w:t>
            </w:r>
          </w:p>
        </w:tc>
        <w:tc>
          <w:tcPr>
            <w:tcW w:w="163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prendre des décisions et à adopter des mesures entraînant l’élaboration et la mise en œuvre de stratégies de RH conformes à l’orientation stratégique de l’organisation et à la réalisation des objectifs.</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4" w:name="_Toc494968300"/>
      <w:bookmarkStart w:id="15" w:name="_Toc511313938"/>
      <w:r>
        <w:lastRenderedPageBreak/>
        <w:t>Compétences professionnelles</w:t>
      </w:r>
      <w:bookmarkEnd w:id="14"/>
      <w:bookmarkEnd w:id="1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Langue locale</w:t>
            </w:r>
          </w:p>
        </w:tc>
      </w:tr>
      <w:tr w:rsidR="00A97B35" w:rsidRPr="00095F13" w:rsidTr="00AF11D0">
        <w:trPr>
          <w:trHeight w:val="219"/>
          <w:tblHeader/>
        </w:trPr>
        <w:tc>
          <w:tcPr>
            <w:tcW w:w="453" w:type="pct"/>
            <w:shd w:val="clear" w:color="auto" w:fill="EDEDED" w:themeFill="accent3" w:themeFillTint="33"/>
            <w:vAlign w:val="center"/>
          </w:tcPr>
          <w:p w:rsidR="00A97B35" w:rsidRPr="00095F13" w:rsidRDefault="00A97B3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rsidR="00A97B35" w:rsidRPr="00095F13" w:rsidRDefault="00A97B3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252" w:type="pct"/>
            <w:shd w:val="clear" w:color="auto" w:fill="EDEDED" w:themeFill="accent3" w:themeFillTint="33"/>
            <w:noWrap/>
            <w:vAlign w:val="center"/>
            <w:hideMark/>
          </w:tcPr>
          <w:p w:rsidR="00A97B35" w:rsidRPr="00095F13" w:rsidRDefault="00A97B3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868" w:type="pct"/>
            <w:shd w:val="clear" w:color="auto" w:fill="EDEDED" w:themeFill="accent3" w:themeFillTint="33"/>
            <w:vAlign w:val="center"/>
          </w:tcPr>
          <w:p w:rsidR="00A97B35" w:rsidRPr="00095F13" w:rsidRDefault="00A97B35" w:rsidP="00AF11D0">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701" w:type="pct"/>
            <w:shd w:val="clear" w:color="auto" w:fill="EDEDED" w:themeFill="accent3" w:themeFillTint="33"/>
            <w:vAlign w:val="center"/>
          </w:tcPr>
          <w:p w:rsidR="00A97B35" w:rsidRPr="00095F13" w:rsidRDefault="00A97B35" w:rsidP="00AF11D0">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r>
      <w:tr w:rsidR="00A97B35" w:rsidRPr="00095F13" w:rsidTr="00545520">
        <w:trPr>
          <w:trHeight w:val="421"/>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Analytical skills</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Building a logical approach to address complex problems or opportunities by splitting them into constituent parts to identify underlying issues, determine cause and </w:t>
            </w:r>
            <w:proofErr w:type="gramStart"/>
            <w:r w:rsidRPr="00A97B35">
              <w:rPr>
                <w:rFonts w:ascii="Verdana" w:hAnsi="Verdana" w:cs="Calibri"/>
                <w:sz w:val="20"/>
                <w:szCs w:val="20"/>
                <w:lang w:val="en-US"/>
              </w:rPr>
              <w:t>effect</w:t>
            </w:r>
            <w:proofErr w:type="gramEnd"/>
            <w:r w:rsidRPr="00A97B35">
              <w:rPr>
                <w:rFonts w:ascii="Verdana" w:hAnsi="Verdana" w:cs="Calibri"/>
                <w:sz w:val="20"/>
                <w:szCs w:val="20"/>
                <w:lang w:val="en-US"/>
              </w:rPr>
              <w:t xml:space="preserve"> relationships and arrive at conclusions or decisions.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Compétences analytiques</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Construire une approche logique en vue d'examiner des problèmes ou des perspectives complexes en les subdivisant en plusieurs éléments afin de détecter les problèmes sous-jacents, de déterminer les liens de cause à effet et de formuler des conclusions ou des décisions.</w:t>
            </w:r>
          </w:p>
        </w:tc>
      </w:tr>
      <w:tr w:rsidR="00A97B35" w:rsidRPr="00095F13" w:rsidTr="00545520">
        <w:trPr>
          <w:trHeight w:val="65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Communicating in writing</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Communication écrite</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présenter des informations et des idées par écrit, de manière claire et convaincante, en sélectionnant des moyens adéquats de communication écrite et un style rédactionnel adapté afin d’atteindre le public ciblé, en utilisant une orthographe, une grammaire et une ponctuation correctes, ainsi que démontrer une aptitude à la communication multiculturelle.</w:t>
            </w:r>
          </w:p>
        </w:tc>
      </w:tr>
      <w:tr w:rsidR="00A97B35" w:rsidRPr="00095F13" w:rsidTr="00545520">
        <w:trPr>
          <w:trHeight w:val="878"/>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Communicating verbally</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Demonstrating ability to clearly express thoughts and ideas to individuals or groups using speech in a way that engages the </w:t>
            </w:r>
            <w:proofErr w:type="gramStart"/>
            <w:r w:rsidRPr="00A97B35">
              <w:rPr>
                <w:rFonts w:ascii="Verdana" w:hAnsi="Verdana" w:cs="Calibri"/>
                <w:sz w:val="20"/>
                <w:szCs w:val="20"/>
                <w:lang w:val="en-US"/>
              </w:rPr>
              <w:t>audience,</w:t>
            </w:r>
            <w:proofErr w:type="gramEnd"/>
            <w:r w:rsidRPr="00A97B35">
              <w:rPr>
                <w:rFonts w:ascii="Verdana" w:hAnsi="Verdana" w:cs="Calibri"/>
                <w:sz w:val="20"/>
                <w:szCs w:val="20"/>
                <w:lang w:val="en-US"/>
              </w:rPr>
              <w:t xml:space="preserve"> encourages two-way communication and helps them understand and retain the message, as well as demonstrating ability to </w:t>
            </w:r>
            <w:r w:rsidRPr="00A97B35">
              <w:rPr>
                <w:rFonts w:ascii="Verdana" w:hAnsi="Verdana" w:cs="Calibri"/>
                <w:sz w:val="20"/>
                <w:szCs w:val="20"/>
                <w:lang w:val="en-US"/>
              </w:rPr>
              <w:lastRenderedPageBreak/>
              <w:t>communicate across cultures.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lastRenderedPageBreak/>
              <w:t>Communication orale</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exprimer clairement ses pensées et ses idées à des individus ou à des groupes en utilisant le langage oral de manière à capter l’attention du public, à favoriser une communication bidirectionnelle et à l’aider à comprendre et à retenir le message, et démontrer une aptitude à la communication multiculturelle.</w:t>
            </w:r>
          </w:p>
        </w:tc>
      </w:tr>
      <w:tr w:rsidR="00A97B35" w:rsidRPr="00095F13" w:rsidTr="00545520">
        <w:trPr>
          <w:trHeight w:val="65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Conflict handling</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Gestion des conflits</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négocier efficacement avec les autres dans une situation conflictuelle, en acceptant les opinions différentes, en rassemblant les parties dans un dialogue ouvert et en utilisant des styles et des techniques interpersonnels appropriés pour trouver une solution favorable à toutes les parties prenantes, que ce soit dans des conflits entre deux personnes ou plus.</w:t>
            </w:r>
          </w:p>
        </w:tc>
      </w:tr>
      <w:tr w:rsidR="00A97B35" w:rsidRPr="00095F13" w:rsidTr="00545520">
        <w:trPr>
          <w:trHeight w:val="65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Flexibility and adaptability to change </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Flexibilité et capacité d’adaptation au changement </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 xml:space="preserve">Démontrer une aptitude à s’adapter et à maintenir son efficacité en cas de changement majeur des tâches, de l'environnement de travail, de la structure et de la culture de l’organisation, des processus, des exigences et d’autres aspects liés au travail. </w:t>
            </w:r>
          </w:p>
        </w:tc>
      </w:tr>
      <w:tr w:rsidR="00A97B35" w:rsidRPr="00095F13" w:rsidTr="00545520">
        <w:trPr>
          <w:trHeight w:val="65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Problem solving</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Résolution de problèmes</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détecter les problèmes en utilisant sa logique, son intuition et les informations disponibles, en procédant aux analyses et aux recherches appropriées et en faisant participer (au besoin) les autres afin de trouver des solutions ou de prendre des décisions.</w:t>
            </w:r>
          </w:p>
        </w:tc>
      </w:tr>
      <w:tr w:rsidR="00A97B35" w:rsidRPr="00095F13" w:rsidTr="00545520">
        <w:trPr>
          <w:trHeight w:val="65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Team work</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Travail d’équipe</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travailler en coopération et en collaboration avec d'autres collègues de différentes unités structurelles et de différents niveaux afin d’atteindre des objectifs collectifs.</w:t>
            </w:r>
          </w:p>
        </w:tc>
      </w:tr>
      <w:tr w:rsidR="00A97B35" w:rsidRPr="00095F13" w:rsidTr="00545520">
        <w:trPr>
          <w:trHeight w:val="43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Technological ability</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Aptitudes technologiques</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utiliser les logiciels pour ordinateur personnel, les systèmes d’information et les autres outils informatiques (comme les programmes Microsoft Office) requis pour atteindre les objectifs de travail fixés.</w:t>
            </w:r>
          </w:p>
        </w:tc>
      </w:tr>
      <w:tr w:rsidR="00A97B35" w:rsidRPr="00095F13" w:rsidTr="00545520">
        <w:trPr>
          <w:trHeight w:val="65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Usage of monitoring and information system</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use EU funds monitoring and information systems (both external and internal if available) in order to accomplish work goals.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Utilisation du système de suivi et d’information</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utiliser les systèmes de suivi et d’information relatifs aux fonds de l’UE (externes et internes, le cas échéant) afin d’atteindre les objectifs de travail fixés.</w:t>
            </w:r>
          </w:p>
        </w:tc>
      </w:tr>
      <w:tr w:rsidR="00A97B35" w:rsidRPr="00095F13" w:rsidTr="00545520">
        <w:trPr>
          <w:trHeight w:val="398"/>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Representation to the outside world</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act or speak for institution in an efficient way and appropriate manner.</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Représentation auprès du monde extérieur</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agir ou à prendre la parole pour l’institution de manière efficace et appropriée.</w:t>
            </w:r>
          </w:p>
        </w:tc>
      </w:tr>
      <w:tr w:rsidR="00A97B35" w:rsidRPr="00095F13" w:rsidTr="00545520">
        <w:trPr>
          <w:trHeight w:val="65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Relevant language skills</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Demonstrating ability to apply relevant foreign language skills in order to carry out the assigned functions and accomplish work goals.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Compétences linguistiques pertinentes</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Démontrer une aptitude à utiliser les compétences en langues étrangères adéquates pour exécuter les fonctions attribuées et atteindre les objectifs de travail fixés.</w:t>
            </w:r>
          </w:p>
        </w:tc>
      </w:tr>
      <w:tr w:rsidR="00A97B35" w:rsidRPr="00095F13" w:rsidTr="00545520">
        <w:trPr>
          <w:trHeight w:val="659"/>
        </w:trPr>
        <w:tc>
          <w:tcPr>
            <w:tcW w:w="453" w:type="pct"/>
            <w:shd w:val="clear" w:color="000000" w:fill="FFFFFF"/>
            <w:vAlign w:val="center"/>
          </w:tcPr>
          <w:p w:rsidR="00A97B35" w:rsidRPr="00095F13" w:rsidRDefault="00A97B35"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A97B35" w:rsidRPr="00095F13" w:rsidRDefault="00A97B35" w:rsidP="00AF11D0">
            <w:pPr>
              <w:spacing w:after="0"/>
              <w:rPr>
                <w:rFonts w:ascii="Verdana" w:hAnsi="Verdana" w:cs="Calibri"/>
                <w:sz w:val="20"/>
                <w:szCs w:val="20"/>
              </w:rPr>
            </w:pPr>
            <w:r w:rsidRPr="00095F13">
              <w:rPr>
                <w:rFonts w:ascii="Verdana" w:hAnsi="Verdana" w:cs="Calibri"/>
                <w:sz w:val="20"/>
                <w:szCs w:val="20"/>
              </w:rPr>
              <w:t>Intercultural skills</w:t>
            </w:r>
          </w:p>
        </w:tc>
        <w:tc>
          <w:tcPr>
            <w:tcW w:w="1252" w:type="pct"/>
            <w:shd w:val="clear" w:color="000000" w:fill="FFFFFF"/>
            <w:vAlign w:val="center"/>
          </w:tcPr>
          <w:p w:rsidR="00A97B35" w:rsidRPr="00A97B35" w:rsidRDefault="00A97B35" w:rsidP="00AF11D0">
            <w:pPr>
              <w:spacing w:after="0"/>
              <w:rPr>
                <w:rFonts w:ascii="Verdana" w:hAnsi="Verdana" w:cs="Calibri"/>
                <w:sz w:val="20"/>
                <w:szCs w:val="20"/>
                <w:lang w:val="en-US"/>
              </w:rPr>
            </w:pPr>
            <w:r w:rsidRPr="00A97B35">
              <w:rPr>
                <w:rFonts w:ascii="Verdana" w:hAnsi="Verdana" w:cs="Calibri"/>
                <w:sz w:val="20"/>
                <w:szCs w:val="20"/>
                <w:lang w:val="en-US"/>
              </w:rPr>
              <w:t xml:space="preserve">Demonstrating ability to work in multi-cultural environment, </w:t>
            </w:r>
            <w:r w:rsidRPr="00A97B35">
              <w:rPr>
                <w:rFonts w:ascii="Verdana" w:hAnsi="Verdana" w:cs="Calibri"/>
                <w:sz w:val="20"/>
                <w:szCs w:val="20"/>
                <w:lang w:val="en-US"/>
              </w:rPr>
              <w:lastRenderedPageBreak/>
              <w:t>efficiently dealing with stakeholders in EU institutions and other member states.</w:t>
            </w:r>
          </w:p>
        </w:tc>
        <w:tc>
          <w:tcPr>
            <w:tcW w:w="868"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lastRenderedPageBreak/>
              <w:t>Compétences interculturelles</w:t>
            </w:r>
          </w:p>
        </w:tc>
        <w:tc>
          <w:tcPr>
            <w:tcW w:w="1701" w:type="pct"/>
            <w:shd w:val="clear" w:color="000000" w:fill="FFFFFF"/>
            <w:vAlign w:val="center"/>
          </w:tcPr>
          <w:p w:rsidR="00A97B35" w:rsidRPr="00095F13" w:rsidRDefault="00A97B35" w:rsidP="00AF11D0">
            <w:pPr>
              <w:spacing w:after="0"/>
              <w:rPr>
                <w:rFonts w:ascii="Verdana" w:hAnsi="Verdana" w:cstheme="minorHAnsi"/>
                <w:sz w:val="20"/>
                <w:szCs w:val="20"/>
              </w:rPr>
            </w:pPr>
            <w:r>
              <w:rPr>
                <w:rFonts w:ascii="Verdana" w:hAnsi="Verdana" w:cstheme="minorHAnsi"/>
                <w:sz w:val="20"/>
              </w:rPr>
              <w:t xml:space="preserve">Démontrer une aptitude à travailler dans un environnement multiculturel, en </w:t>
            </w:r>
            <w:r>
              <w:rPr>
                <w:rFonts w:ascii="Verdana" w:hAnsi="Verdana" w:cstheme="minorHAnsi"/>
                <w:sz w:val="20"/>
              </w:rPr>
              <w:lastRenderedPageBreak/>
              <w:t>traitant efficacement avec les parties prenantes des institutions de l’UE et des autres États membres.</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D0" w:rsidRDefault="00AF11D0" w:rsidP="0008776A">
      <w:pPr>
        <w:spacing w:after="0" w:line="240" w:lineRule="auto"/>
      </w:pPr>
      <w:r>
        <w:separator/>
      </w:r>
    </w:p>
  </w:endnote>
  <w:endnote w:type="continuationSeparator" w:id="0">
    <w:p w:rsidR="00AF11D0" w:rsidRDefault="00AF11D0"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F11D0" w:rsidRPr="0008776A" w:rsidRDefault="00AF11D0"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046411">
          <w:rPr>
            <w:rFonts w:asciiTheme="minorHAnsi" w:hAnsiTheme="minorHAnsi" w:cstheme="minorHAnsi"/>
            <w:noProof/>
          </w:rPr>
          <w:t>1</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D0" w:rsidRDefault="00AF11D0" w:rsidP="0008776A">
      <w:pPr>
        <w:spacing w:after="0" w:line="240" w:lineRule="auto"/>
      </w:pPr>
      <w:r>
        <w:separator/>
      </w:r>
    </w:p>
  </w:footnote>
  <w:footnote w:type="continuationSeparator" w:id="0">
    <w:p w:rsidR="00AF11D0" w:rsidRDefault="00AF11D0"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D0" w:rsidRPr="00841032" w:rsidRDefault="00AF11D0"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Référentiel de compétences de l’UE - Glossaire des termes utilisés dans l’outil d’autoévaluation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D0" w:rsidRPr="00841032" w:rsidRDefault="00AF11D0"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Référentiel de compétences de l’UE - Glossaire des termes utilisés dans l’outil d’autoévaluation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D0" w:rsidRPr="00841032" w:rsidRDefault="00AF11D0"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Référentiel de compétences de l’UE - Glossaire des termes utilisés dans l’outil d’autoévaluation</w:t>
    </w:r>
  </w:p>
  <w:p w:rsidR="00AF11D0" w:rsidRPr="00841032" w:rsidRDefault="00AF11D0"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6411"/>
    <w:rsid w:val="00047CBE"/>
    <w:rsid w:val="0008776A"/>
    <w:rsid w:val="000950D5"/>
    <w:rsid w:val="00095F13"/>
    <w:rsid w:val="000A1ECD"/>
    <w:rsid w:val="000C44D2"/>
    <w:rsid w:val="000E47BD"/>
    <w:rsid w:val="00107E71"/>
    <w:rsid w:val="00123EE5"/>
    <w:rsid w:val="00130E81"/>
    <w:rsid w:val="001319E4"/>
    <w:rsid w:val="00153DD0"/>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0512"/>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A4DEE"/>
    <w:rsid w:val="004B0758"/>
    <w:rsid w:val="004B6531"/>
    <w:rsid w:val="004F71B4"/>
    <w:rsid w:val="00536145"/>
    <w:rsid w:val="00542FD2"/>
    <w:rsid w:val="00545520"/>
    <w:rsid w:val="00554E39"/>
    <w:rsid w:val="0057384D"/>
    <w:rsid w:val="00584C64"/>
    <w:rsid w:val="00594DDB"/>
    <w:rsid w:val="005957F4"/>
    <w:rsid w:val="005A43B4"/>
    <w:rsid w:val="005C3880"/>
    <w:rsid w:val="005D6AFD"/>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57D2E"/>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564CD"/>
    <w:rsid w:val="00A97B35"/>
    <w:rsid w:val="00AB64E3"/>
    <w:rsid w:val="00AC55BA"/>
    <w:rsid w:val="00AD022A"/>
    <w:rsid w:val="00AD2B31"/>
    <w:rsid w:val="00AD341D"/>
    <w:rsid w:val="00AF11D0"/>
    <w:rsid w:val="00B22F0E"/>
    <w:rsid w:val="00B579F3"/>
    <w:rsid w:val="00B76BA7"/>
    <w:rsid w:val="00B967FA"/>
    <w:rsid w:val="00C510A0"/>
    <w:rsid w:val="00C65FA8"/>
    <w:rsid w:val="00C971E1"/>
    <w:rsid w:val="00CC3497"/>
    <w:rsid w:val="00CD1306"/>
    <w:rsid w:val="00CE608F"/>
    <w:rsid w:val="00CF51E8"/>
    <w:rsid w:val="00CF661F"/>
    <w:rsid w:val="00CF6967"/>
    <w:rsid w:val="00D02119"/>
    <w:rsid w:val="00D27017"/>
    <w:rsid w:val="00D71900"/>
    <w:rsid w:val="00D92F59"/>
    <w:rsid w:val="00DE6C01"/>
    <w:rsid w:val="00E44A39"/>
    <w:rsid w:val="00E44B41"/>
    <w:rsid w:val="00E82D2D"/>
    <w:rsid w:val="00E87A35"/>
    <w:rsid w:val="00EB6450"/>
    <w:rsid w:val="00ED2862"/>
    <w:rsid w:val="00EE1F94"/>
    <w:rsid w:val="00F01A52"/>
    <w:rsid w:val="00F40B43"/>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AD022A"/>
    <w:pPr>
      <w:tabs>
        <w:tab w:val="left" w:pos="440"/>
        <w:tab w:val="right" w:leader="dot" w:pos="12950"/>
      </w:tabs>
      <w:spacing w:after="100"/>
    </w:pPr>
    <w:rPr>
      <w:rFonts w:ascii="Verdana" w:hAnsi="Verdana"/>
      <w:noProof/>
      <w:sz w:val="32"/>
      <w:szCs w:val="32"/>
    </w:r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04641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AD022A"/>
    <w:pPr>
      <w:tabs>
        <w:tab w:val="left" w:pos="440"/>
        <w:tab w:val="right" w:leader="dot" w:pos="12950"/>
      </w:tabs>
      <w:spacing w:after="100"/>
    </w:pPr>
    <w:rPr>
      <w:rFonts w:ascii="Verdana" w:hAnsi="Verdana"/>
      <w:noProof/>
      <w:sz w:val="32"/>
      <w:szCs w:val="32"/>
    </w:r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04641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8C22-7FC3-413E-9D8E-77042DB8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8</cp:revision>
  <cp:lastPrinted>2017-03-22T18:35:00Z</cp:lastPrinted>
  <dcterms:created xsi:type="dcterms:W3CDTF">2018-03-15T11:50:00Z</dcterms:created>
  <dcterms:modified xsi:type="dcterms:W3CDTF">2018-04-13T09:40:00Z</dcterms:modified>
</cp:coreProperties>
</file>