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BC781E"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noProof/>
          <w:lang w:val="en-GB" w:eastAsia="en-GB" w:bidi="ar-S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-439420</wp:posOffset>
            </wp:positionV>
            <wp:extent cx="10046335" cy="7300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46335" cy="7300595"/>
                    </a:xfrm>
                    <a:prstGeom prst="rect">
                      <a:avLst/>
                    </a:prstGeom>
                  </pic:spPr>
                </pic:pic>
              </a:graphicData>
            </a:graphic>
            <wp14:sizeRelH relativeFrom="margin">
              <wp14:pctWidth>0</wp14:pctWidth>
            </wp14:sizeRelH>
            <wp14:sizeRelV relativeFrom="margin">
              <wp14:pctHeight>0</wp14:pctHeight>
            </wp14:sizeRelV>
          </wp:anchor>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Versiunile documentului</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Versiunea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Data</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noiembrie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7160724"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noProof/>
        </w:rPr>
      </w:sdtEndPr>
      <w:sdtContent>
        <w:p w:rsidR="009A1178" w:rsidRPr="009A1178" w:rsidRDefault="009A1178" w:rsidP="009A1178">
          <w:pPr>
            <w:pStyle w:val="Heading1"/>
            <w:numPr>
              <w:ilvl w:val="0"/>
              <w:numId w:val="0"/>
            </w:numPr>
            <w:rPr>
              <w:rFonts w:eastAsiaTheme="minorHAnsi"/>
            </w:rPr>
          </w:pPr>
          <w:r>
            <w:t>Cuprins</w:t>
          </w:r>
          <w:bookmarkEnd w:id="0"/>
        </w:p>
        <w:p w:rsidR="00BC781E" w:rsidRPr="00BC781E" w:rsidRDefault="00CF51E8" w:rsidP="00BC781E">
          <w:pPr>
            <w:pStyle w:val="Heading1"/>
            <w:numPr>
              <w:ilvl w:val="0"/>
              <w:numId w:val="0"/>
            </w:numPr>
            <w:ind w:left="547" w:hanging="547"/>
            <w:rPr>
              <w:rFonts w:eastAsiaTheme="minorEastAsia"/>
              <w:noProof/>
              <w:lang w:val="en-GB" w:eastAsia="en-GB" w:bidi="ar-SA"/>
            </w:rPr>
          </w:pPr>
          <w:r w:rsidRPr="00BC781E">
            <w:fldChar w:fldCharType="begin"/>
          </w:r>
          <w:r w:rsidRPr="00BC781E">
            <w:instrText xml:space="preserve"> TOC \o "1-3" \h \z \u </w:instrText>
          </w:r>
          <w:r w:rsidRPr="00BC781E">
            <w:fldChar w:fldCharType="separate"/>
          </w:r>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25" w:history="1">
            <w:r w:rsidR="00BC781E" w:rsidRPr="00BC781E">
              <w:rPr>
                <w:rStyle w:val="Hyperlink"/>
                <w:rFonts w:ascii="Verdana" w:hAnsi="Verdana"/>
                <w:noProof/>
                <w:sz w:val="32"/>
                <w:szCs w:val="32"/>
              </w:rPr>
              <w:t>1.</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Funcții</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_Toc507160725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4</w:t>
            </w:r>
            <w:r w:rsidR="00BC781E" w:rsidRPr="00BC781E">
              <w:rPr>
                <w:rFonts w:ascii="Verdana" w:hAnsi="Verdana"/>
                <w:noProof/>
                <w:webHidden/>
                <w:sz w:val="32"/>
                <w:szCs w:val="32"/>
              </w:rPr>
              <w:fldChar w:fldCharType="end"/>
            </w:r>
          </w:hyperlink>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26" w:history="1">
            <w:r w:rsidR="00BC781E" w:rsidRPr="00BC781E">
              <w:rPr>
                <w:rStyle w:val="Hyperlink"/>
                <w:rFonts w:ascii="Verdana" w:hAnsi="Verdana"/>
                <w:noProof/>
                <w:sz w:val="32"/>
                <w:szCs w:val="32"/>
              </w:rPr>
              <w:t>2.</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Sarcini și sarcini subordonate</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_Toc507160726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5</w:t>
            </w:r>
            <w:r w:rsidR="00BC781E" w:rsidRPr="00BC781E">
              <w:rPr>
                <w:rFonts w:ascii="Verdana" w:hAnsi="Verdana"/>
                <w:noProof/>
                <w:webHidden/>
                <w:sz w:val="32"/>
                <w:szCs w:val="32"/>
              </w:rPr>
              <w:fldChar w:fldCharType="end"/>
            </w:r>
          </w:hyperlink>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27" w:history="1">
            <w:r w:rsidR="00BC781E" w:rsidRPr="00BC781E">
              <w:rPr>
                <w:rStyle w:val="Hyperlink"/>
                <w:rFonts w:ascii="Verdana" w:hAnsi="Verdana"/>
                <w:noProof/>
                <w:sz w:val="32"/>
                <w:szCs w:val="32"/>
              </w:rPr>
              <w:t>3.</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Scară de competențe</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_Toc507160727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7</w:t>
            </w:r>
            <w:r w:rsidR="00BC781E" w:rsidRPr="00BC781E">
              <w:rPr>
                <w:rFonts w:ascii="Verdana" w:hAnsi="Verdana"/>
                <w:noProof/>
                <w:webHidden/>
                <w:sz w:val="32"/>
                <w:szCs w:val="32"/>
              </w:rPr>
              <w:fldChar w:fldCharType="end"/>
            </w:r>
          </w:hyperlink>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28" w:history="1">
            <w:r w:rsidR="00BC781E" w:rsidRPr="00BC781E">
              <w:rPr>
                <w:rStyle w:val="Hyperlink"/>
                <w:rFonts w:ascii="Verdana" w:hAnsi="Verdana"/>
                <w:noProof/>
                <w:sz w:val="32"/>
                <w:szCs w:val="32"/>
              </w:rPr>
              <w:t>4.</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Competențe operaționale</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_Toc507160728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9</w:t>
            </w:r>
            <w:r w:rsidR="00BC781E" w:rsidRPr="00BC781E">
              <w:rPr>
                <w:rFonts w:ascii="Verdana" w:hAnsi="Verdana"/>
                <w:noProof/>
                <w:webHidden/>
                <w:sz w:val="32"/>
                <w:szCs w:val="32"/>
              </w:rPr>
              <w:fldChar w:fldCharType="end"/>
            </w:r>
          </w:hyperlink>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29" w:history="1">
            <w:r w:rsidR="00BC781E" w:rsidRPr="00BC781E">
              <w:rPr>
                <w:rStyle w:val="Hyperlink"/>
                <w:rFonts w:ascii="Verdana" w:hAnsi="Verdana"/>
                <w:noProof/>
                <w:sz w:val="32"/>
                <w:szCs w:val="32"/>
              </w:rPr>
              <w:t>5.</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Competențe de gestionare</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_Toc507160729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9</w:t>
            </w:r>
            <w:r w:rsidR="00BC781E" w:rsidRPr="00BC781E">
              <w:rPr>
                <w:rFonts w:ascii="Verdana" w:hAnsi="Verdana"/>
                <w:noProof/>
                <w:webHidden/>
                <w:sz w:val="32"/>
                <w:szCs w:val="32"/>
              </w:rPr>
              <w:fldChar w:fldCharType="end"/>
            </w:r>
          </w:hyperlink>
        </w:p>
        <w:p w:rsidR="00BC781E" w:rsidRPr="00BC781E" w:rsidRDefault="005D6B75">
          <w:pPr>
            <w:pStyle w:val="TOC1"/>
            <w:tabs>
              <w:tab w:val="left" w:pos="440"/>
              <w:tab w:val="right" w:leader="dot" w:pos="12950"/>
            </w:tabs>
            <w:rPr>
              <w:rFonts w:ascii="Verdana" w:eastAsiaTheme="minorEastAsia" w:hAnsi="Verdana"/>
              <w:noProof/>
              <w:sz w:val="32"/>
              <w:szCs w:val="32"/>
              <w:lang w:val="en-GB" w:eastAsia="en-GB" w:bidi="ar-SA"/>
            </w:rPr>
          </w:pPr>
          <w:hyperlink w:anchor="_Toc507160730" w:history="1">
            <w:r w:rsidR="00BC781E" w:rsidRPr="00BC781E">
              <w:rPr>
                <w:rStyle w:val="Hyperlink"/>
                <w:rFonts w:ascii="Verdana" w:hAnsi="Verdana"/>
                <w:noProof/>
                <w:sz w:val="32"/>
                <w:szCs w:val="32"/>
              </w:rPr>
              <w:t>6.</w:t>
            </w:r>
            <w:r w:rsidR="00BC781E" w:rsidRPr="00BC781E">
              <w:rPr>
                <w:rFonts w:ascii="Verdana" w:eastAsiaTheme="minorEastAsia" w:hAnsi="Verdana"/>
                <w:noProof/>
                <w:sz w:val="32"/>
                <w:szCs w:val="32"/>
                <w:lang w:val="en-GB" w:eastAsia="en-GB" w:bidi="ar-SA"/>
              </w:rPr>
              <w:tab/>
            </w:r>
            <w:r w:rsidR="00BC781E" w:rsidRPr="00BC781E">
              <w:rPr>
                <w:rStyle w:val="Hyperlink"/>
                <w:rFonts w:ascii="Verdana" w:hAnsi="Verdana"/>
                <w:noProof/>
                <w:sz w:val="32"/>
                <w:szCs w:val="32"/>
              </w:rPr>
              <w:t>Competențe profesionale</w:t>
            </w:r>
            <w:r w:rsidR="00BC781E" w:rsidRPr="00BC781E">
              <w:rPr>
                <w:rFonts w:ascii="Verdana" w:hAnsi="Verdana"/>
                <w:noProof/>
                <w:webHidden/>
                <w:sz w:val="32"/>
                <w:szCs w:val="32"/>
              </w:rPr>
              <w:tab/>
            </w:r>
            <w:r w:rsidR="00BC781E" w:rsidRPr="00BC781E">
              <w:rPr>
                <w:rFonts w:ascii="Verdana" w:hAnsi="Verdana"/>
                <w:noProof/>
                <w:webHidden/>
                <w:sz w:val="32"/>
                <w:szCs w:val="32"/>
              </w:rPr>
              <w:fldChar w:fldCharType="begin"/>
            </w:r>
            <w:r w:rsidR="00BC781E" w:rsidRPr="00BC781E">
              <w:rPr>
                <w:rFonts w:ascii="Verdana" w:hAnsi="Verdana"/>
                <w:noProof/>
                <w:webHidden/>
                <w:sz w:val="32"/>
                <w:szCs w:val="32"/>
              </w:rPr>
              <w:instrText xml:space="preserve"> PAGEREF _Toc507160730 \h </w:instrText>
            </w:r>
            <w:r w:rsidR="00BC781E" w:rsidRPr="00BC781E">
              <w:rPr>
                <w:rFonts w:ascii="Verdana" w:hAnsi="Verdana"/>
                <w:noProof/>
                <w:webHidden/>
                <w:sz w:val="32"/>
                <w:szCs w:val="32"/>
              </w:rPr>
            </w:r>
            <w:r w:rsidR="00BC781E" w:rsidRPr="00BC781E">
              <w:rPr>
                <w:rFonts w:ascii="Verdana" w:hAnsi="Verdana"/>
                <w:noProof/>
                <w:webHidden/>
                <w:sz w:val="32"/>
                <w:szCs w:val="32"/>
              </w:rPr>
              <w:fldChar w:fldCharType="separate"/>
            </w:r>
            <w:r w:rsidR="00BC781E" w:rsidRPr="00BC781E">
              <w:rPr>
                <w:rFonts w:ascii="Verdana" w:hAnsi="Verdana"/>
                <w:noProof/>
                <w:webHidden/>
                <w:sz w:val="32"/>
                <w:szCs w:val="32"/>
              </w:rPr>
              <w:t>14</w:t>
            </w:r>
            <w:r w:rsidR="00BC781E" w:rsidRPr="00BC781E">
              <w:rPr>
                <w:rFonts w:ascii="Verdana" w:hAnsi="Verdana"/>
                <w:noProof/>
                <w:webHidden/>
                <w:sz w:val="32"/>
                <w:szCs w:val="32"/>
              </w:rPr>
              <w:fldChar w:fldCharType="end"/>
            </w:r>
          </w:hyperlink>
        </w:p>
        <w:p w:rsidR="001B2DD4" w:rsidRPr="00164234" w:rsidRDefault="00CF51E8" w:rsidP="00BC781E">
          <w:pPr>
            <w:rPr>
              <w:rFonts w:eastAsiaTheme="minorEastAsia"/>
              <w:noProof/>
            </w:rPr>
          </w:pPr>
          <w:r w:rsidRPr="00BC781E">
            <w:rPr>
              <w:rFonts w:ascii="Verdana" w:hAnsi="Verdana"/>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1" w:name="_Toc494962303"/>
      <w:bookmarkStart w:id="2" w:name="_Toc507160725"/>
      <w:r>
        <w:lastRenderedPageBreak/>
        <w:t>Funcții</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811"/>
        <w:gridCol w:w="1590"/>
        <w:gridCol w:w="6667"/>
      </w:tblGrid>
      <w:tr w:rsidR="005D6B75" w:rsidRPr="001B2DD4" w:rsidTr="00164EE8">
        <w:trPr>
          <w:trHeight w:val="467"/>
        </w:trPr>
        <w:tc>
          <w:tcPr>
            <w:tcW w:w="1937" w:type="pct"/>
            <w:gridSpan w:val="2"/>
            <w:shd w:val="clear" w:color="auto" w:fill="1F4E79" w:themeFill="accent1" w:themeFillShade="80"/>
            <w:vAlign w:val="center"/>
          </w:tcPr>
          <w:p w:rsidR="005D6B75" w:rsidRPr="001B2DD4"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Engleză</w:t>
            </w:r>
          </w:p>
        </w:tc>
        <w:tc>
          <w:tcPr>
            <w:tcW w:w="3063" w:type="pct"/>
            <w:gridSpan w:val="2"/>
            <w:shd w:val="clear" w:color="auto" w:fill="1F4E79" w:themeFill="accent1" w:themeFillShade="80"/>
            <w:vAlign w:val="center"/>
          </w:tcPr>
          <w:p w:rsidR="005D6B75" w:rsidRPr="001B2DD4" w:rsidRDefault="005D6B75" w:rsidP="00164EE8">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Limba locală</w:t>
            </w:r>
          </w:p>
        </w:tc>
      </w:tr>
      <w:tr w:rsidR="005D6B75" w:rsidRPr="001B2DD4" w:rsidTr="00164EE8">
        <w:trPr>
          <w:trHeight w:val="440"/>
        </w:trPr>
        <w:tc>
          <w:tcPr>
            <w:tcW w:w="523" w:type="pct"/>
            <w:shd w:val="clear" w:color="auto" w:fill="F2F2F2" w:themeFill="background1" w:themeFillShade="F2"/>
            <w:vAlign w:val="center"/>
            <w:hideMark/>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Job Role</w:t>
            </w:r>
          </w:p>
        </w:tc>
        <w:tc>
          <w:tcPr>
            <w:tcW w:w="1413" w:type="pct"/>
            <w:shd w:val="clear" w:color="auto" w:fill="F2F2F2" w:themeFill="background1" w:themeFillShade="F2"/>
            <w:vAlign w:val="center"/>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Description</w:t>
            </w:r>
          </w:p>
        </w:tc>
        <w:tc>
          <w:tcPr>
            <w:tcW w:w="590" w:type="pct"/>
            <w:shd w:val="clear" w:color="auto" w:fill="F2F2F2" w:themeFill="background1" w:themeFillShade="F2"/>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Funcția</w:t>
            </w:r>
          </w:p>
        </w:tc>
        <w:tc>
          <w:tcPr>
            <w:tcW w:w="2473" w:type="pct"/>
            <w:shd w:val="clear" w:color="auto" w:fill="F2F2F2" w:themeFill="background1" w:themeFillShade="F2"/>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Descriere</w:t>
            </w:r>
          </w:p>
        </w:tc>
      </w:tr>
      <w:tr w:rsidR="005D6B75" w:rsidRPr="001B2DD4" w:rsidTr="00164EE8">
        <w:trPr>
          <w:trHeight w:val="1250"/>
        </w:trPr>
        <w:tc>
          <w:tcPr>
            <w:tcW w:w="523" w:type="pct"/>
            <w:shd w:val="clear" w:color="000000" w:fill="FFFFFF"/>
            <w:vAlign w:val="center"/>
            <w:hideMark/>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13" w:type="pct"/>
            <w:shd w:val="clear" w:color="000000" w:fill="FFFFFF"/>
            <w:vAlign w:val="center"/>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590"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Nivelul de luare a deciziilor</w:t>
            </w:r>
          </w:p>
        </w:tc>
        <w:tc>
          <w:tcPr>
            <w:tcW w:w="2473"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Include șeful organizați</w:t>
            </w:r>
            <w:bookmarkStart w:id="3" w:name="_GoBack"/>
            <w:bookmarkEnd w:id="3"/>
            <w:r>
              <w:rPr>
                <w:rFonts w:ascii="Verdana" w:hAnsi="Verdana" w:cstheme="minorHAnsi"/>
                <w:sz w:val="20"/>
              </w:rPr>
              <w:t>ei sau persoane care acționează la niveluri relativ înalte de gestionare strategică</w:t>
            </w:r>
          </w:p>
        </w:tc>
      </w:tr>
      <w:tr w:rsidR="005D6B75" w:rsidRPr="001B2DD4" w:rsidTr="00164EE8">
        <w:trPr>
          <w:trHeight w:val="1871"/>
        </w:trPr>
        <w:tc>
          <w:tcPr>
            <w:tcW w:w="523" w:type="pct"/>
            <w:shd w:val="clear" w:color="000000" w:fill="FFFFFF"/>
            <w:vAlign w:val="center"/>
            <w:hideMark/>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Supervisory level</w:t>
            </w:r>
          </w:p>
        </w:tc>
        <w:tc>
          <w:tcPr>
            <w:tcW w:w="1413" w:type="pct"/>
            <w:shd w:val="clear" w:color="000000" w:fill="FFFFFF"/>
            <w:vAlign w:val="center"/>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90"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Nivelul de supraveghere</w:t>
            </w:r>
          </w:p>
        </w:tc>
        <w:tc>
          <w:tcPr>
            <w:tcW w:w="2473"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Este un post de conducere de nivel mediu, responsabil pentru un grup de persoane, nefiind implicat în mod direct în implementarea operațională a programului, de exemplu, șefii unităților organizaționale</w:t>
            </w:r>
          </w:p>
        </w:tc>
      </w:tr>
      <w:tr w:rsidR="005D6B75" w:rsidRPr="001B2DD4" w:rsidTr="00164EE8">
        <w:trPr>
          <w:trHeight w:val="1439"/>
        </w:trPr>
        <w:tc>
          <w:tcPr>
            <w:tcW w:w="523" w:type="pct"/>
            <w:shd w:val="clear" w:color="000000" w:fill="FFFFFF"/>
            <w:vAlign w:val="center"/>
            <w:hideMark/>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Operational level</w:t>
            </w:r>
          </w:p>
        </w:tc>
        <w:tc>
          <w:tcPr>
            <w:tcW w:w="1413" w:type="pct"/>
            <w:shd w:val="clear" w:color="000000" w:fill="FFFFFF"/>
            <w:vAlign w:val="center"/>
          </w:tcPr>
          <w:p w:rsidR="005D6B75" w:rsidRPr="001B2DD4" w:rsidRDefault="005D6B75" w:rsidP="00164EE8">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590"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Nivelul operațional</w:t>
            </w:r>
          </w:p>
        </w:tc>
        <w:tc>
          <w:tcPr>
            <w:tcW w:w="2473" w:type="pct"/>
            <w:shd w:val="clear" w:color="000000" w:fill="FFFFFF"/>
            <w:vAlign w:val="center"/>
          </w:tcPr>
          <w:p w:rsidR="005D6B75" w:rsidRPr="001B2DD4" w:rsidRDefault="005D6B75" w:rsidP="00164EE8">
            <w:pPr>
              <w:spacing w:after="0"/>
              <w:rPr>
                <w:rFonts w:ascii="Verdana" w:hAnsi="Verdana" w:cstheme="minorHAnsi"/>
                <w:sz w:val="20"/>
                <w:szCs w:val="20"/>
              </w:rPr>
            </w:pPr>
            <w:r>
              <w:rPr>
                <w:rFonts w:ascii="Verdana" w:hAnsi="Verdana" w:cstheme="minorHAnsi"/>
                <w:sz w:val="20"/>
              </w:rPr>
              <w:t>Include experți care lucrează în mod direct pentru diferite sarcini și sarcini subordonate în cadrul organizației</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7160726"/>
      <w:r>
        <w:lastRenderedPageBreak/>
        <w:t>Sarcini și sarcini subordonate</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5D6B75" w:rsidRPr="0058429F" w:rsidTr="00164EE8">
        <w:trPr>
          <w:trHeight w:val="354"/>
          <w:tblHeader/>
        </w:trPr>
        <w:tc>
          <w:tcPr>
            <w:tcW w:w="2187" w:type="pct"/>
            <w:gridSpan w:val="2"/>
            <w:shd w:val="clear" w:color="auto" w:fill="44546A" w:themeFill="text2"/>
          </w:tcPr>
          <w:p w:rsidR="005D6B75" w:rsidRPr="0058429F"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Engleză</w:t>
            </w:r>
          </w:p>
        </w:tc>
        <w:tc>
          <w:tcPr>
            <w:tcW w:w="2813" w:type="pct"/>
            <w:gridSpan w:val="2"/>
            <w:shd w:val="clear" w:color="auto" w:fill="44546A" w:themeFill="text2"/>
            <w:vAlign w:val="center"/>
          </w:tcPr>
          <w:p w:rsidR="005D6B75" w:rsidRPr="0058429F"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r>
              <w:rPr>
                <w:rFonts w:ascii="Verdana" w:hAnsi="Verdana" w:cstheme="minorHAnsi"/>
                <w:b/>
                <w:color w:val="FFFFFF" w:themeColor="background1"/>
                <w:sz w:val="20"/>
              </w:rPr>
              <w:t>Limba locală</w:t>
            </w:r>
          </w:p>
        </w:tc>
      </w:tr>
      <w:tr w:rsidR="005D6B75" w:rsidRPr="0058429F" w:rsidTr="00164EE8">
        <w:trPr>
          <w:trHeight w:val="354"/>
          <w:tblHeader/>
        </w:trPr>
        <w:tc>
          <w:tcPr>
            <w:tcW w:w="971" w:type="pct"/>
            <w:shd w:val="clear" w:color="auto" w:fill="F2F2F2" w:themeFill="background1" w:themeFillShade="F2"/>
          </w:tcPr>
          <w:p w:rsidR="005D6B75" w:rsidRPr="0058429F" w:rsidRDefault="005D6B75" w:rsidP="00164EE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5D6B75" w:rsidRPr="0058429F" w:rsidRDefault="005D6B75" w:rsidP="00164EE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5D6B75" w:rsidRPr="0058429F" w:rsidRDefault="005D6B75" w:rsidP="00164EE8">
            <w:pPr>
              <w:spacing w:after="0" w:line="240" w:lineRule="auto"/>
              <w:jc w:val="center"/>
              <w:rPr>
                <w:rFonts w:ascii="Verdana" w:eastAsia="Times New Roman" w:hAnsi="Verdana" w:cstheme="minorHAnsi"/>
                <w:b/>
                <w:bCs/>
                <w:sz w:val="20"/>
                <w:szCs w:val="20"/>
              </w:rPr>
            </w:pPr>
            <w:r>
              <w:rPr>
                <w:rFonts w:ascii="Verdana" w:hAnsi="Verdana" w:cstheme="minorHAnsi"/>
                <w:b/>
                <w:sz w:val="20"/>
              </w:rPr>
              <w:t>Sarcină</w:t>
            </w:r>
          </w:p>
        </w:tc>
        <w:tc>
          <w:tcPr>
            <w:tcW w:w="1318" w:type="pct"/>
            <w:shd w:val="clear" w:color="auto" w:fill="F2F2F2" w:themeFill="background1" w:themeFillShade="F2"/>
            <w:vAlign w:val="center"/>
          </w:tcPr>
          <w:p w:rsidR="005D6B75" w:rsidRPr="0058429F" w:rsidRDefault="005D6B75" w:rsidP="00164EE8">
            <w:pPr>
              <w:spacing w:after="0" w:line="240" w:lineRule="auto"/>
              <w:jc w:val="center"/>
              <w:rPr>
                <w:rFonts w:ascii="Verdana" w:eastAsia="Times New Roman" w:hAnsi="Verdana" w:cstheme="minorHAnsi"/>
                <w:b/>
                <w:bCs/>
                <w:sz w:val="20"/>
                <w:szCs w:val="20"/>
              </w:rPr>
            </w:pPr>
            <w:r>
              <w:rPr>
                <w:rFonts w:ascii="Verdana" w:hAnsi="Verdana" w:cstheme="minorHAnsi"/>
                <w:b/>
                <w:sz w:val="20"/>
              </w:rPr>
              <w:t>Sarcină subordonată</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5D6B75" w:rsidRPr="004F27EE" w:rsidRDefault="005D6B75" w:rsidP="00164EE8">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r>
              <w:rPr>
                <w:rFonts w:ascii="Verdana" w:hAnsi="Verdana" w:cstheme="minorHAnsi"/>
                <w:sz w:val="20"/>
              </w:rPr>
              <w:t>1. Gestionarea plăților și a conturilor</w:t>
            </w:r>
          </w:p>
        </w:tc>
        <w:tc>
          <w:tcPr>
            <w:tcW w:w="1318" w:type="pct"/>
            <w:shd w:val="clear" w:color="000000" w:fill="FFFFFF"/>
          </w:tcPr>
          <w:p w:rsidR="005D6B75" w:rsidRPr="004F27EE" w:rsidRDefault="005D6B75" w:rsidP="00164EE8">
            <w:pPr>
              <w:rPr>
                <w:rFonts w:ascii="Verdana" w:hAnsi="Verdana" w:cstheme="minorHAnsi"/>
                <w:sz w:val="20"/>
                <w:szCs w:val="20"/>
              </w:rPr>
            </w:pPr>
            <w:r>
              <w:rPr>
                <w:rFonts w:ascii="Verdana" w:hAnsi="Verdana" w:cstheme="minorHAnsi"/>
                <w:sz w:val="20"/>
              </w:rPr>
              <w:t>1. Elaborarea și actualizarea procedurilor și instrumentelor</w:t>
            </w:r>
          </w:p>
        </w:tc>
      </w:tr>
      <w:tr w:rsidR="005D6B75" w:rsidRPr="00491A6E"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tcPr>
          <w:p w:rsidR="005D6B75" w:rsidRPr="004F27EE" w:rsidRDefault="005D6B75" w:rsidP="00164EE8">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tcPr>
          <w:p w:rsidR="005D6B75" w:rsidRPr="00491A6E" w:rsidRDefault="005D6B75" w:rsidP="00164EE8">
            <w:pPr>
              <w:rPr>
                <w:rFonts w:ascii="Verdana" w:hAnsi="Verdana" w:cstheme="minorHAnsi"/>
                <w:sz w:val="20"/>
                <w:szCs w:val="20"/>
                <w:lang w:val="it-IT"/>
              </w:rPr>
            </w:pPr>
            <w:r w:rsidRPr="00491A6E">
              <w:rPr>
                <w:rFonts w:ascii="Verdana" w:hAnsi="Verdana" w:cstheme="minorHAnsi"/>
                <w:sz w:val="20"/>
                <w:lang w:val="it-IT"/>
              </w:rPr>
              <w:t>2. Gestionarea conturilor (sume primite de la CE, valori recuperabile și retrase)</w:t>
            </w:r>
          </w:p>
        </w:tc>
      </w:tr>
      <w:tr w:rsidR="005D6B75" w:rsidRPr="0058429F" w:rsidTr="00164EE8">
        <w:trPr>
          <w:trHeight w:val="354"/>
        </w:trPr>
        <w:tc>
          <w:tcPr>
            <w:tcW w:w="971" w:type="pct"/>
            <w:shd w:val="clear" w:color="000000" w:fill="FFFFFF"/>
          </w:tcPr>
          <w:p w:rsidR="005D6B75" w:rsidRPr="00491A6E" w:rsidRDefault="005D6B75" w:rsidP="00164EE8">
            <w:pPr>
              <w:spacing w:after="0"/>
              <w:rPr>
                <w:rFonts w:ascii="Verdana" w:hAnsi="Verdana" w:cstheme="minorHAnsi"/>
                <w:sz w:val="20"/>
                <w:szCs w:val="20"/>
                <w:lang w:val="it-IT"/>
              </w:rPr>
            </w:pPr>
          </w:p>
        </w:tc>
        <w:tc>
          <w:tcPr>
            <w:tcW w:w="1216" w:type="pct"/>
            <w:shd w:val="clear" w:color="000000" w:fill="FFFFFF"/>
          </w:tcPr>
          <w:p w:rsidR="005D6B75" w:rsidRPr="004F27EE" w:rsidRDefault="005D6B75" w:rsidP="00164EE8">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tcPr>
          <w:p w:rsidR="005D6B75" w:rsidRPr="004F27EE" w:rsidRDefault="005D6B75" w:rsidP="00164EE8">
            <w:pPr>
              <w:rPr>
                <w:rFonts w:ascii="Verdana" w:hAnsi="Verdana" w:cstheme="minorHAnsi"/>
                <w:sz w:val="20"/>
                <w:szCs w:val="20"/>
              </w:rPr>
            </w:pPr>
            <w:r>
              <w:rPr>
                <w:rFonts w:ascii="Verdana" w:hAnsi="Verdana" w:cstheme="minorHAnsi"/>
                <w:sz w:val="20"/>
              </w:rPr>
              <w:t>3. Certificarea exhaustivității, exactității și veridicității conturilor și a eligibilității cheltuielilor</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tcPr>
          <w:p w:rsidR="005D6B75" w:rsidRPr="004F27EE" w:rsidRDefault="005D6B75" w:rsidP="00164EE8">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tcPr>
          <w:p w:rsidR="005D6B75" w:rsidRPr="004F27EE" w:rsidRDefault="005D6B75" w:rsidP="00164EE8">
            <w:pPr>
              <w:rPr>
                <w:rFonts w:ascii="Verdana" w:hAnsi="Verdana" w:cstheme="minorHAnsi"/>
                <w:sz w:val="20"/>
                <w:szCs w:val="20"/>
              </w:rPr>
            </w:pPr>
            <w:r>
              <w:rPr>
                <w:rFonts w:ascii="Verdana" w:hAnsi="Verdana" w:cstheme="minorHAnsi"/>
                <w:sz w:val="20"/>
              </w:rPr>
              <w:t>4. Elaborarea și înaintarea cererilor de plată către CE după primirea și luarea în considerare a informațiilor din cadrul verificărilor și auditurilor</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tcPr>
          <w:p w:rsidR="005D6B75" w:rsidRPr="004F27EE" w:rsidRDefault="005D6B75" w:rsidP="00164EE8">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tcPr>
          <w:p w:rsidR="005D6B75" w:rsidRPr="004F27EE" w:rsidRDefault="005D6B75" w:rsidP="00164EE8">
            <w:pPr>
              <w:rPr>
                <w:rFonts w:ascii="Verdana" w:hAnsi="Verdana" w:cstheme="minorHAnsi"/>
                <w:sz w:val="20"/>
                <w:szCs w:val="20"/>
              </w:rPr>
            </w:pPr>
            <w:r>
              <w:rPr>
                <w:rFonts w:ascii="Verdana" w:hAnsi="Verdana" w:cstheme="minorHAnsi"/>
                <w:sz w:val="20"/>
              </w:rPr>
              <w:t>5. Achiziții de bunuri și servicii în cadrul asistenței tehnice</w:t>
            </w:r>
          </w:p>
        </w:tc>
      </w:tr>
      <w:tr w:rsidR="005D6B75" w:rsidRPr="00491A6E"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5D6B75" w:rsidRPr="0058429F" w:rsidRDefault="005D6B75" w:rsidP="00164EE8">
            <w:pPr>
              <w:spacing w:after="0"/>
              <w:rPr>
                <w:rFonts w:ascii="Verdana" w:hAnsi="Verdana" w:cstheme="minorHAnsi"/>
                <w:sz w:val="20"/>
                <w:szCs w:val="20"/>
              </w:rPr>
            </w:pPr>
            <w:r>
              <w:rPr>
                <w:rFonts w:ascii="Verdana" w:hAnsi="Verdana" w:cstheme="minorHAnsi"/>
                <w:sz w:val="20"/>
              </w:rPr>
              <w:t>2. Supervizarea organismelor intermediare (OI)</w:t>
            </w:r>
          </w:p>
        </w:tc>
        <w:tc>
          <w:tcPr>
            <w:tcW w:w="1318"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2.1. Sprijinirea OI în instituirea sistemului de gestionare și control</w:t>
            </w:r>
          </w:p>
        </w:tc>
      </w:tr>
      <w:tr w:rsidR="005D6B75" w:rsidRPr="00491A6E" w:rsidTr="00164EE8">
        <w:trPr>
          <w:trHeight w:val="354"/>
        </w:trPr>
        <w:tc>
          <w:tcPr>
            <w:tcW w:w="971" w:type="pct"/>
            <w:shd w:val="clear" w:color="000000" w:fill="FFFFFF"/>
          </w:tcPr>
          <w:p w:rsidR="005D6B75" w:rsidRPr="00491A6E" w:rsidRDefault="005D6B75" w:rsidP="00164EE8">
            <w:pPr>
              <w:spacing w:after="0"/>
              <w:rPr>
                <w:rFonts w:ascii="Verdana" w:hAnsi="Verdana" w:cstheme="minorHAnsi"/>
                <w:sz w:val="20"/>
                <w:szCs w:val="20"/>
                <w:lang w:val="it-IT"/>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2.2. Sprijinirea OI în instituirea sistemului de gestionare și control</w:t>
            </w:r>
          </w:p>
        </w:tc>
      </w:tr>
      <w:tr w:rsidR="005D6B75" w:rsidRPr="0058429F" w:rsidTr="00164EE8">
        <w:trPr>
          <w:trHeight w:val="354"/>
        </w:trPr>
        <w:tc>
          <w:tcPr>
            <w:tcW w:w="971" w:type="pct"/>
            <w:shd w:val="clear" w:color="000000" w:fill="FFFFFF"/>
          </w:tcPr>
          <w:p w:rsidR="005D6B75" w:rsidRPr="00491A6E" w:rsidRDefault="005D6B75" w:rsidP="00164EE8">
            <w:pPr>
              <w:spacing w:after="0"/>
              <w:rPr>
                <w:rFonts w:ascii="Verdana" w:hAnsi="Verdana" w:cstheme="minorHAnsi"/>
                <w:sz w:val="20"/>
                <w:szCs w:val="20"/>
                <w:lang w:val="it-IT"/>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2.3. Planificarea auditurilor OI</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2.4. Auditarea sistemelor de gestionare și control ale OI</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2.5. Evaluarea periodică a rezultatelor raportate de către OI</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2.6. Revizuirea unui eșantion de operațiuni desfășurate sub responsabilitatea OI</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2.7. Elaborarea procedurilor și orientărilor</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2.8. Achiziții de bunuri și servicii în cadrul asistenței tehnice</w:t>
            </w:r>
          </w:p>
        </w:tc>
      </w:tr>
      <w:tr w:rsidR="005D6B75" w:rsidRPr="0058429F" w:rsidTr="00164EE8">
        <w:trPr>
          <w:trHeight w:val="354"/>
        </w:trPr>
        <w:tc>
          <w:tcPr>
            <w:tcW w:w="971" w:type="pct"/>
            <w:shd w:val="clear" w:color="000000" w:fill="FFFFFF"/>
          </w:tcPr>
          <w:p w:rsidR="005D6B75" w:rsidRPr="0058429F" w:rsidRDefault="005D6B75" w:rsidP="00164EE8">
            <w:pPr>
              <w:spacing w:after="0"/>
              <w:rPr>
                <w:rFonts w:ascii="Verdana" w:hAnsi="Verdana" w:cstheme="minorHAnsi"/>
                <w:sz w:val="20"/>
                <w:szCs w:val="20"/>
              </w:rPr>
            </w:pPr>
          </w:p>
        </w:tc>
        <w:tc>
          <w:tcPr>
            <w:tcW w:w="121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tcPr>
          <w:p w:rsidR="005D6B75" w:rsidRPr="0058429F" w:rsidRDefault="005D6B75" w:rsidP="00164EE8">
            <w:pPr>
              <w:spacing w:after="0"/>
              <w:rPr>
                <w:rFonts w:ascii="Verdana" w:hAnsi="Verdana" w:cstheme="minorHAnsi"/>
                <w:sz w:val="20"/>
                <w:szCs w:val="20"/>
              </w:rPr>
            </w:pPr>
          </w:p>
        </w:tc>
        <w:tc>
          <w:tcPr>
            <w:tcW w:w="1318"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2.9. Sprijin permanent acordat OI</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7160727"/>
      <w:r>
        <w:lastRenderedPageBreak/>
        <w:t>Scară de competențe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5D6B75" w:rsidRPr="001B2DD4" w:rsidTr="00164EE8">
        <w:trPr>
          <w:trHeight w:val="377"/>
          <w:tblHeader/>
        </w:trPr>
        <w:tc>
          <w:tcPr>
            <w:tcW w:w="2396" w:type="pct"/>
            <w:gridSpan w:val="2"/>
            <w:shd w:val="clear" w:color="auto" w:fill="44546A" w:themeFill="text2"/>
            <w:vAlign w:val="center"/>
          </w:tcPr>
          <w:p w:rsidR="005D6B75" w:rsidRPr="001B2DD4" w:rsidRDefault="005D6B75" w:rsidP="00164EE8">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Engleză</w:t>
            </w:r>
          </w:p>
        </w:tc>
        <w:tc>
          <w:tcPr>
            <w:tcW w:w="2604" w:type="pct"/>
            <w:gridSpan w:val="2"/>
            <w:shd w:val="clear" w:color="auto" w:fill="44546A" w:themeFill="text2"/>
            <w:vAlign w:val="center"/>
          </w:tcPr>
          <w:p w:rsidR="005D6B75" w:rsidRPr="001B2DD4" w:rsidRDefault="005D6B75" w:rsidP="00164EE8">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Limba locală</w:t>
            </w:r>
          </w:p>
        </w:tc>
      </w:tr>
      <w:tr w:rsidR="005D6B75" w:rsidRPr="001B2DD4" w:rsidTr="00164EE8">
        <w:trPr>
          <w:trHeight w:val="332"/>
          <w:tblHeader/>
        </w:trPr>
        <w:tc>
          <w:tcPr>
            <w:tcW w:w="658" w:type="pct"/>
            <w:shd w:val="clear" w:color="auto" w:fill="F2F2F2" w:themeFill="background1" w:themeFillShade="F2"/>
          </w:tcPr>
          <w:p w:rsidR="005D6B75" w:rsidRPr="001B2DD4" w:rsidRDefault="005D6B75" w:rsidP="00164EE8">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5D6B75" w:rsidRPr="001B2DD4" w:rsidRDefault="005D6B75" w:rsidP="00164EE8">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5D6B75" w:rsidRPr="001B2DD4" w:rsidRDefault="005D6B75" w:rsidP="00164EE8">
            <w:pPr>
              <w:spacing w:after="0" w:line="240" w:lineRule="auto"/>
              <w:rPr>
                <w:rFonts w:ascii="Verdana" w:hAnsi="Verdana" w:cstheme="minorHAnsi"/>
                <w:sz w:val="20"/>
                <w:szCs w:val="20"/>
              </w:rPr>
            </w:pPr>
            <w:r>
              <w:rPr>
                <w:rFonts w:ascii="Verdana" w:hAnsi="Verdana" w:cstheme="minorHAnsi"/>
                <w:sz w:val="20"/>
              </w:rPr>
              <w:t xml:space="preserve">Scara </w:t>
            </w:r>
          </w:p>
        </w:tc>
        <w:tc>
          <w:tcPr>
            <w:tcW w:w="2014" w:type="pct"/>
            <w:shd w:val="clear" w:color="auto" w:fill="F2F2F2" w:themeFill="background1" w:themeFillShade="F2"/>
          </w:tcPr>
          <w:p w:rsidR="005D6B75" w:rsidRPr="001B2DD4" w:rsidRDefault="005D6B75" w:rsidP="00164EE8">
            <w:pPr>
              <w:spacing w:after="0" w:line="240" w:lineRule="auto"/>
              <w:rPr>
                <w:rFonts w:ascii="Verdana" w:hAnsi="Verdana" w:cstheme="minorHAnsi"/>
                <w:sz w:val="20"/>
                <w:szCs w:val="20"/>
              </w:rPr>
            </w:pPr>
            <w:r>
              <w:rPr>
                <w:rFonts w:ascii="Verdana" w:hAnsi="Verdana" w:cstheme="minorHAnsi"/>
                <w:sz w:val="20"/>
              </w:rPr>
              <w:t xml:space="preserve">Descriere </w:t>
            </w:r>
          </w:p>
        </w:tc>
      </w:tr>
      <w:tr w:rsidR="005D6B75" w:rsidRPr="00491A6E" w:rsidTr="00164EE8">
        <w:trPr>
          <w:trHeight w:val="566"/>
        </w:trPr>
        <w:tc>
          <w:tcPr>
            <w:tcW w:w="65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hideMark/>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5D6B75" w:rsidRPr="00491A6E" w:rsidRDefault="005D6B75" w:rsidP="00164EE8">
            <w:pPr>
              <w:spacing w:before="60" w:after="120" w:line="240" w:lineRule="auto"/>
              <w:rPr>
                <w:rFonts w:ascii="Verdana" w:hAnsi="Verdana" w:cstheme="minorHAnsi"/>
                <w:sz w:val="20"/>
                <w:szCs w:val="20"/>
                <w:lang w:val="es-ES"/>
              </w:rPr>
            </w:pPr>
            <w:r w:rsidRPr="00491A6E">
              <w:rPr>
                <w:rFonts w:ascii="Verdana" w:hAnsi="Verdana" w:cstheme="minorHAnsi"/>
                <w:sz w:val="20"/>
                <w:lang w:val="es-ES"/>
              </w:rPr>
              <w:t>N.A. - nu este aplicabilă</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 xml:space="preserve">Competența nu este aplicabilă în cazul funcției. </w:t>
            </w:r>
          </w:p>
        </w:tc>
      </w:tr>
      <w:tr w:rsidR="005D6B75" w:rsidRPr="001B2DD4" w:rsidTr="00164EE8">
        <w:trPr>
          <w:trHeight w:val="908"/>
        </w:trPr>
        <w:tc>
          <w:tcPr>
            <w:tcW w:w="65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 xml:space="preserve">Nivelul 0 – </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Fără cunoștințe</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Nu există cunoștințe în domeniul de competență sau nu există capacitatea de a le aplica în situații reale.</w:t>
            </w:r>
          </w:p>
        </w:tc>
      </w:tr>
      <w:tr w:rsidR="005D6B75" w:rsidRPr="001B2DD4" w:rsidTr="00164EE8">
        <w:trPr>
          <w:trHeight w:val="1421"/>
        </w:trPr>
        <w:tc>
          <w:tcPr>
            <w:tcW w:w="65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Nivelul 1 - Cunoștințe de bază</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Cunoștințe de bază în domeniul de competență (de exemplu, înțelege conceptele și procesele generale, este familiarizat cu terminologia cheie aferentă).</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a demonstra această competență după ce a primit instrucțiuni și orientări specifice.</w:t>
            </w:r>
          </w:p>
        </w:tc>
      </w:tr>
      <w:tr w:rsidR="005D6B75" w:rsidRPr="001B2DD4" w:rsidTr="00164EE8">
        <w:trPr>
          <w:trHeight w:val="1103"/>
        </w:trPr>
        <w:tc>
          <w:tcPr>
            <w:tcW w:w="65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Nivelul 2 - Format</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Cunoștințe practice bune în domeniul de competență. Capacitatea de aplicare a cunoștințelor în activitatea zilnică.</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desfășurare a activităților standard cu privire la această competență în mod independent</w:t>
            </w:r>
          </w:p>
        </w:tc>
      </w:tr>
      <w:tr w:rsidR="005D6B75" w:rsidRPr="001B2DD4" w:rsidTr="00164EE8">
        <w:trPr>
          <w:trHeight w:val="1103"/>
        </w:trPr>
        <w:tc>
          <w:tcPr>
            <w:tcW w:w="658" w:type="pct"/>
            <w:shd w:val="clear" w:color="000000" w:fill="FFFFFF"/>
            <w:vAlign w:val="center"/>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w:t>
            </w:r>
            <w:r w:rsidRPr="001B2DD4">
              <w:rPr>
                <w:rFonts w:ascii="Verdana" w:hAnsi="Verdana" w:cstheme="minorHAnsi"/>
                <w:sz w:val="20"/>
                <w:szCs w:val="20"/>
              </w:rPr>
              <w:lastRenderedPageBreak/>
              <w:t>sought out to provide insight in the application of this competency.</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lastRenderedPageBreak/>
              <w:t>Nivelul 3 - Intermediar</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Cunoștințe și abilități extinse și aprofundate în domeniul de competență.</w:t>
            </w:r>
            <w:r>
              <w:rPr>
                <w:rFonts w:ascii="Verdana" w:hAnsi="Verdana" w:cstheme="minorHAnsi"/>
                <w:sz w:val="20"/>
                <w:szCs w:val="20"/>
              </w:rPr>
              <w:br/>
            </w:r>
            <w:r>
              <w:rPr>
                <w:rFonts w:ascii="Verdana" w:hAnsi="Verdana" w:cstheme="minorHAnsi"/>
                <w:sz w:val="20"/>
              </w:rPr>
              <w:t>Capacitatea de a aborda diferite excepții și cazuri speciale în domeniul de competență în mod independent.</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a partaja în mod efectiv cunoștințele și experiența cu funcții de nivel inferior.</w:t>
            </w:r>
            <w:r>
              <w:rPr>
                <w:rFonts w:ascii="Verdana" w:hAnsi="Verdana" w:cstheme="minorHAnsi"/>
                <w:sz w:val="20"/>
                <w:szCs w:val="20"/>
              </w:rPr>
              <w:br/>
            </w:r>
            <w:r>
              <w:rPr>
                <w:rFonts w:ascii="Verdana" w:hAnsi="Verdana" w:cstheme="minorHAnsi"/>
                <w:sz w:val="20"/>
              </w:rPr>
              <w:lastRenderedPageBreak/>
              <w:t>Îndeplinirea cu încredere a funcției de consultant și este solicitat pentru a oferi o mai bună înțelegere în aplicarea acestei competențe.</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a oferi formare celorlalți în ceea ce privește aplicarea acestei competențe prin prezentarea nuanțelor și aspectelor complexe ale acestei competențe în termeni ușor de înțeles.</w:t>
            </w:r>
          </w:p>
        </w:tc>
      </w:tr>
      <w:tr w:rsidR="005D6B75" w:rsidRPr="001B2DD4" w:rsidTr="00164EE8">
        <w:trPr>
          <w:trHeight w:val="1103"/>
        </w:trPr>
        <w:tc>
          <w:tcPr>
            <w:tcW w:w="658" w:type="pct"/>
            <w:shd w:val="clear" w:color="000000" w:fill="FFFFFF"/>
            <w:vAlign w:val="center"/>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5D6B75" w:rsidRPr="001B2DD4" w:rsidRDefault="005D6B75" w:rsidP="00164EE8">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Nivelul 4 - Expert</w:t>
            </w:r>
          </w:p>
        </w:tc>
        <w:tc>
          <w:tcPr>
            <w:tcW w:w="2014" w:type="pct"/>
            <w:shd w:val="clear" w:color="000000" w:fill="FFFFFF"/>
          </w:tcPr>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Cunoștințe și abilități extinse la nivel de expert în domeniul de competență.</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a sublinia (dez)avantajele fiecăruia dintre procesele aferente domeniului de competență, încadrându-le în același timp într-o imagine de ansamblu.</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Capacitatea de a furniza consultanță personalizată și de a o susține cu argumente relevante specifice contextului atunci când răspunde întrebărilor interne și externe.</w:t>
            </w:r>
          </w:p>
          <w:p w:rsidR="005D6B75" w:rsidRPr="001B2DD4" w:rsidRDefault="005D6B75" w:rsidP="00164EE8">
            <w:pPr>
              <w:spacing w:before="60" w:after="120" w:line="240" w:lineRule="auto"/>
              <w:rPr>
                <w:rFonts w:ascii="Verdana" w:hAnsi="Verdana" w:cstheme="minorHAnsi"/>
                <w:sz w:val="20"/>
                <w:szCs w:val="20"/>
              </w:rPr>
            </w:pPr>
            <w:r>
              <w:rPr>
                <w:rFonts w:ascii="Verdana" w:hAnsi="Verdana" w:cstheme="minorHAnsi"/>
                <w:sz w:val="20"/>
              </w:rPr>
              <w:t>Considerat de ceilalți drept model de urmat care îi poate conduce sau învăța pe ceilalți în domeniul respectiv de competență.</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7160728"/>
      <w:r>
        <w:lastRenderedPageBreak/>
        <w:t>Competențe operaționale</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5D6B75" w:rsidRPr="0058429F" w:rsidTr="00164EE8">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5D6B75" w:rsidRPr="0058429F" w:rsidRDefault="005D6B75" w:rsidP="00164EE8">
            <w:pPr>
              <w:spacing w:after="0" w:line="240" w:lineRule="auto"/>
              <w:jc w:val="center"/>
              <w:rPr>
                <w:rFonts w:ascii="Verdana" w:eastAsia="Times New Roman" w:hAnsi="Verdana" w:cs="Times New Roman"/>
                <w:b/>
                <w:bCs/>
                <w:color w:val="FFFFFF" w:themeColor="background1"/>
                <w:sz w:val="20"/>
                <w:szCs w:val="20"/>
                <w:lang w:val="en-US" w:bidi="he-IL"/>
              </w:rPr>
            </w:pPr>
            <w:bookmarkStart w:id="10" w:name="_Toc494962307"/>
            <w:bookmarkStart w:id="11" w:name="_Toc507160729"/>
            <w:r>
              <w:rPr>
                <w:rFonts w:ascii="Verdana" w:eastAsia="Times New Roman" w:hAnsi="Verdana" w:cs="Times New Roman"/>
                <w:b/>
                <w:bCs/>
                <w:color w:val="FFFFFF" w:themeColor="background1"/>
                <w:sz w:val="20"/>
                <w:szCs w:val="20"/>
                <w:lang w:val="en-US" w:bidi="he-IL"/>
              </w:rPr>
              <w:t>Engleză</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5D6B75" w:rsidRPr="0058429F" w:rsidRDefault="005D6B75" w:rsidP="00164EE8">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Limba locală</w:t>
            </w:r>
          </w:p>
        </w:tc>
      </w:tr>
      <w:tr w:rsidR="005D6B75" w:rsidRPr="0058429F" w:rsidTr="00164EE8">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D6B75" w:rsidRPr="0058429F" w:rsidRDefault="005D6B75" w:rsidP="00164EE8">
            <w:pPr>
              <w:spacing w:after="0"/>
              <w:rPr>
                <w:rFonts w:ascii="Verdana" w:hAnsi="Verdana"/>
                <w:sz w:val="20"/>
                <w:szCs w:val="20"/>
              </w:rPr>
            </w:pPr>
            <w:r>
              <w:rPr>
                <w:rFonts w:ascii="Verdana" w:eastAsia="Times New Roman" w:hAnsi="Verdana" w:cs="Times New Roman"/>
                <w:bCs/>
                <w:sz w:val="20"/>
                <w:szCs w:val="20"/>
                <w:lang w:val="en-US" w:bidi="he-IL"/>
              </w:rPr>
              <w:t>Cod</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D6B75" w:rsidRPr="0058429F" w:rsidRDefault="005D6B75" w:rsidP="00164EE8">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D6B75" w:rsidRPr="0058429F" w:rsidRDefault="005D6B75" w:rsidP="00164EE8">
            <w:pPr>
              <w:spacing w:after="0"/>
              <w:rPr>
                <w:rFonts w:ascii="Verdana" w:hAnsi="Verdana"/>
                <w:sz w:val="20"/>
                <w:szCs w:val="20"/>
              </w:rPr>
            </w:pPr>
            <w:r>
              <w:rPr>
                <w:rFonts w:ascii="Verdana" w:hAnsi="Verdana"/>
                <w:sz w:val="20"/>
              </w:rPr>
              <w:t>Descriere</w:t>
            </w:r>
          </w:p>
        </w:tc>
      </w:tr>
      <w:tr w:rsidR="005D6B75" w:rsidRPr="0058429F" w:rsidTr="00164EE8">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lang w:val="en-US"/>
              </w:rPr>
            </w:pPr>
            <w:r w:rsidRPr="0058429F">
              <w:rPr>
                <w:rFonts w:ascii="Verdana" w:hAnsi="Verdana"/>
                <w:sz w:val="20"/>
                <w:szCs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Standarde, proceduri și metodologii de audit</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Eligibilitatea cheltuielilor</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Gestionarea riscurilor de fraudă (inclusiv măsuri de prevenire, detectare și atenuare)</w:t>
            </w:r>
          </w:p>
        </w:tc>
      </w:tr>
      <w:tr w:rsidR="005D6B75" w:rsidRPr="00491A6E"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491A6E" w:rsidRDefault="005D6B75" w:rsidP="00164EE8">
            <w:pPr>
              <w:spacing w:after="0"/>
              <w:rPr>
                <w:rFonts w:ascii="Verdana" w:hAnsi="Verdana"/>
                <w:sz w:val="20"/>
                <w:szCs w:val="20"/>
                <w:lang w:val="it-IT"/>
              </w:rPr>
            </w:pPr>
            <w:r w:rsidRPr="00491A6E">
              <w:rPr>
                <w:rFonts w:ascii="Verdana" w:hAnsi="Verdana"/>
                <w:sz w:val="20"/>
                <w:lang w:val="it-IT"/>
              </w:rPr>
              <w:t>Opțiuni simplificate în materie de costuri</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Instrumente financiare relevante pentru funcție</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Aspecte orizontale</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Norme privind achizițiile publice</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Ajutoare de stat</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Standarde, proceduri și metodologii de audit</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Standarde de audit în domeniul IT</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Metode de eșantionare și extrapolare</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Deficit de finanțare și generarea de venituri</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Proceduri/legislație privind proiecte de anvergură</w:t>
            </w:r>
          </w:p>
        </w:tc>
      </w:tr>
      <w:tr w:rsidR="005D6B75" w:rsidRPr="0058429F" w:rsidTr="00164EE8">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Aspecte teritoriale, cum ar fi ITI, dezvoltare locală plasată sub responsabilitatea comunității, dezvoltare urbană durabilă, strategii macro/regionale și planificarea cooperării interregionale</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Proceduri administrative pentru achiziții de bunuri și servicii din asistență tehnică</w:t>
            </w:r>
          </w:p>
        </w:tc>
      </w:tr>
      <w:tr w:rsidR="005D6B75" w:rsidRPr="00491A6E"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491A6E" w:rsidRDefault="005D6B75" w:rsidP="00164EE8">
            <w:pPr>
              <w:spacing w:after="0"/>
              <w:rPr>
                <w:rFonts w:ascii="Verdana" w:hAnsi="Verdana"/>
                <w:sz w:val="20"/>
                <w:szCs w:val="20"/>
                <w:lang w:val="it-IT"/>
              </w:rPr>
            </w:pPr>
            <w:r w:rsidRPr="00491A6E">
              <w:rPr>
                <w:rFonts w:ascii="Verdana" w:hAnsi="Verdana"/>
                <w:sz w:val="20"/>
                <w:lang w:val="it-IT"/>
              </w:rPr>
              <w:t>Intrare, ieșire, indicatori de rezultat</w:t>
            </w:r>
          </w:p>
        </w:tc>
      </w:tr>
      <w:tr w:rsidR="005D6B75" w:rsidRPr="0058429F"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58429F" w:rsidRDefault="005D6B75" w:rsidP="00164EE8">
            <w:pPr>
              <w:spacing w:after="0"/>
              <w:rPr>
                <w:rFonts w:ascii="Verdana" w:hAnsi="Verdana"/>
                <w:sz w:val="20"/>
                <w:szCs w:val="20"/>
              </w:rPr>
            </w:pPr>
            <w:r>
              <w:rPr>
                <w:rFonts w:ascii="Verdana" w:hAnsi="Verdana"/>
                <w:sz w:val="20"/>
              </w:rPr>
              <w:t>Efect stimulativ</w:t>
            </w:r>
          </w:p>
        </w:tc>
      </w:tr>
      <w:tr w:rsidR="005D6B75" w:rsidRPr="00491A6E" w:rsidTr="00164EE8">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5D6B75" w:rsidRPr="0058429F" w:rsidRDefault="005D6B75" w:rsidP="00164EE8">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5D6B75" w:rsidRPr="00491A6E" w:rsidRDefault="005D6B75" w:rsidP="00164EE8">
            <w:pPr>
              <w:spacing w:after="0"/>
              <w:rPr>
                <w:rFonts w:ascii="Verdana" w:hAnsi="Verdana"/>
                <w:sz w:val="20"/>
                <w:szCs w:val="20"/>
                <w:lang w:val="it-IT"/>
              </w:rPr>
            </w:pPr>
            <w:r w:rsidRPr="00491A6E">
              <w:rPr>
                <w:rFonts w:ascii="Verdana" w:hAnsi="Verdana"/>
                <w:sz w:val="20"/>
                <w:lang w:val="it-IT"/>
              </w:rPr>
              <w:t>Gestionarea programelor și gestionarea etapelor proiectului</w:t>
            </w:r>
          </w:p>
        </w:tc>
      </w:tr>
    </w:tbl>
    <w:p w:rsidR="000E47BD" w:rsidRPr="001B2DD4" w:rsidRDefault="000E47BD" w:rsidP="009A1178">
      <w:pPr>
        <w:pStyle w:val="Heading1"/>
      </w:pPr>
      <w:r>
        <w:t>Competențe de gestionare</w:t>
      </w:r>
      <w:bookmarkEnd w:id="10"/>
      <w:bookmarkEnd w:id="11"/>
    </w:p>
    <w:p w:rsidR="000E47BD" w:rsidRPr="001B2DD4" w:rsidRDefault="000E47BD" w:rsidP="000E47BD">
      <w:pPr>
        <w:spacing w:after="0"/>
        <w:rPr>
          <w:rFonts w:ascii="Verdana" w:hAnsi="Verdana" w:cstheme="minorHAnsi"/>
          <w:sz w:val="18"/>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5D6B75" w:rsidRPr="0058429F" w:rsidTr="00164EE8">
        <w:trPr>
          <w:trHeight w:val="485"/>
          <w:tblHeader/>
        </w:trPr>
        <w:tc>
          <w:tcPr>
            <w:tcW w:w="386" w:type="pct"/>
            <w:shd w:val="clear" w:color="auto" w:fill="1F3864" w:themeFill="accent5" w:themeFillShade="80"/>
          </w:tcPr>
          <w:p w:rsidR="005D6B75" w:rsidRPr="0058429F" w:rsidRDefault="005D6B75" w:rsidP="00164EE8">
            <w:pPr>
              <w:spacing w:after="0" w:line="240" w:lineRule="auto"/>
              <w:rPr>
                <w:rFonts w:ascii="Verdana" w:eastAsia="Times New Roman" w:hAnsi="Verdana" w:cs="Times New Roman"/>
                <w:b/>
                <w:bCs/>
                <w:color w:val="FFFFFF" w:themeColor="background1"/>
                <w:sz w:val="20"/>
                <w:szCs w:val="20"/>
                <w:lang w:val="en-US" w:bidi="he-IL"/>
              </w:rPr>
            </w:pPr>
          </w:p>
        </w:tc>
        <w:tc>
          <w:tcPr>
            <w:tcW w:w="2218" w:type="pct"/>
            <w:gridSpan w:val="2"/>
            <w:shd w:val="clear" w:color="auto" w:fill="1F3864" w:themeFill="accent5" w:themeFillShade="80"/>
            <w:noWrap/>
            <w:vAlign w:val="center"/>
          </w:tcPr>
          <w:p w:rsidR="005D6B75" w:rsidRPr="0058429F" w:rsidRDefault="005D6B75" w:rsidP="00164EE8">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Engleză</w:t>
            </w:r>
          </w:p>
        </w:tc>
        <w:tc>
          <w:tcPr>
            <w:tcW w:w="2396" w:type="pct"/>
            <w:gridSpan w:val="2"/>
            <w:shd w:val="clear" w:color="auto" w:fill="1F3864" w:themeFill="accent5" w:themeFillShade="80"/>
            <w:vAlign w:val="center"/>
          </w:tcPr>
          <w:p w:rsidR="005D6B75" w:rsidRPr="0058429F" w:rsidRDefault="005D6B75" w:rsidP="00164EE8">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Limba locală</w:t>
            </w:r>
          </w:p>
        </w:tc>
      </w:tr>
      <w:tr w:rsidR="005D6B75" w:rsidRPr="0058429F" w:rsidTr="00164EE8">
        <w:trPr>
          <w:trHeight w:val="255"/>
          <w:tblHeader/>
        </w:trPr>
        <w:tc>
          <w:tcPr>
            <w:tcW w:w="386" w:type="pct"/>
            <w:shd w:val="clear" w:color="auto" w:fill="EDEDED" w:themeFill="accent3" w:themeFillTint="33"/>
          </w:tcPr>
          <w:p w:rsidR="005D6B75" w:rsidRPr="0058429F" w:rsidRDefault="005D6B75" w:rsidP="00164EE8">
            <w:pPr>
              <w:spacing w:after="0" w:line="240" w:lineRule="auto"/>
              <w:rPr>
                <w:rFonts w:ascii="Verdana" w:eastAsia="Times New Roman" w:hAnsi="Verdana" w:cstheme="minorHAnsi"/>
                <w:bCs/>
                <w:sz w:val="20"/>
                <w:szCs w:val="20"/>
                <w:lang w:val="en-US"/>
              </w:rPr>
            </w:pPr>
            <w:r>
              <w:rPr>
                <w:rFonts w:ascii="Verdana" w:eastAsia="Times New Roman" w:hAnsi="Verdana" w:cstheme="minorHAnsi"/>
                <w:bCs/>
                <w:sz w:val="20"/>
                <w:szCs w:val="20"/>
                <w:lang w:val="en-US"/>
              </w:rPr>
              <w:t>Cod</w:t>
            </w:r>
          </w:p>
        </w:tc>
        <w:tc>
          <w:tcPr>
            <w:tcW w:w="793" w:type="pct"/>
            <w:shd w:val="clear" w:color="auto" w:fill="EDEDED" w:themeFill="accent3" w:themeFillTint="33"/>
            <w:noWrap/>
            <w:vAlign w:val="center"/>
            <w:hideMark/>
          </w:tcPr>
          <w:p w:rsidR="005D6B75" w:rsidRPr="0058429F" w:rsidRDefault="005D6B75" w:rsidP="00164EE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5D6B75" w:rsidRPr="0058429F" w:rsidRDefault="005D6B75" w:rsidP="00164EE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5D6B75" w:rsidRPr="0058429F" w:rsidRDefault="005D6B75" w:rsidP="00164EE8">
            <w:pPr>
              <w:spacing w:after="0" w:line="240" w:lineRule="auto"/>
              <w:jc w:val="center"/>
              <w:rPr>
                <w:rFonts w:ascii="Verdana" w:eastAsia="Times New Roman" w:hAnsi="Verdana" w:cstheme="minorHAnsi"/>
                <w:bCs/>
                <w:sz w:val="20"/>
                <w:szCs w:val="20"/>
              </w:rPr>
            </w:pPr>
            <w:r>
              <w:rPr>
                <w:rFonts w:ascii="Verdana" w:hAnsi="Verdana" w:cstheme="minorHAnsi"/>
                <w:sz w:val="20"/>
              </w:rPr>
              <w:t>Competență</w:t>
            </w:r>
          </w:p>
        </w:tc>
        <w:tc>
          <w:tcPr>
            <w:tcW w:w="1597" w:type="pct"/>
            <w:shd w:val="clear" w:color="auto" w:fill="EDEDED" w:themeFill="accent3" w:themeFillTint="33"/>
            <w:vAlign w:val="center"/>
          </w:tcPr>
          <w:p w:rsidR="005D6B75" w:rsidRPr="0058429F" w:rsidRDefault="005D6B75" w:rsidP="00164EE8">
            <w:pPr>
              <w:spacing w:after="0" w:line="240" w:lineRule="auto"/>
              <w:jc w:val="center"/>
              <w:rPr>
                <w:rFonts w:ascii="Verdana" w:eastAsia="Times New Roman" w:hAnsi="Verdana" w:cstheme="minorHAnsi"/>
                <w:bCs/>
                <w:sz w:val="20"/>
                <w:szCs w:val="20"/>
              </w:rPr>
            </w:pPr>
            <w:r>
              <w:rPr>
                <w:rFonts w:ascii="Verdana" w:hAnsi="Verdana" w:cstheme="minorHAnsi"/>
                <w:sz w:val="20"/>
              </w:rPr>
              <w:t>Descriere</w:t>
            </w:r>
          </w:p>
        </w:tc>
      </w:tr>
      <w:tr w:rsidR="005D6B75" w:rsidRPr="00491A6E" w:rsidTr="00164EE8">
        <w:trPr>
          <w:trHeight w:val="579"/>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M.C1</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Dezvoltarea și gestionarea resurselor umane</w:t>
            </w:r>
          </w:p>
        </w:tc>
        <w:tc>
          <w:tcPr>
            <w:tcW w:w="1597"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Demonstrarea capacității de a furniza orientări oportune, clare și specifice, precum și feedback și sprijin acordate resurselor umane pentru identificarea necesităților și oportunităților de dezvoltare și formare, dezvoltarea cunoștințelor, capacităților și abilităților necesare în vederea realizării sarcinilor atribuite sau pentru soluționarea problemelor, precum și demonstrarea capacității de gestionare a activităților profesionale ale angajaților, a dezvoltării și performanței acestora astfel încât să optimizeze eficiența resurselor umane.</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M.C2</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Luarea deciziilor</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aplica abordări eficiente pentru a obține concluzii sau pentru a dezvolta soluții și de a întreprinde în timp util acțiuni în funcție de datele și faptele disponibile din diferite surse, în funcție de limitări și de consecințele posibile.</w:t>
            </w:r>
          </w:p>
        </w:tc>
      </w:tr>
      <w:tr w:rsidR="005D6B75" w:rsidRPr="0058429F" w:rsidTr="00164EE8">
        <w:trPr>
          <w:trHeight w:val="1020"/>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M.C3</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Delegare</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aloca altor persoane responsabilitatea de luare a deciziilor și/sau de stabilire a sarcinilor, de a asigura o comunicare clară privind alocarea și finalizarea responsabilităților și de a furniza sprijin adecvat în vederea optimizării eficienței la nivelul organizației și la nivel individual.</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M.C4</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Facilitare și comunicare</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încuraja angajamentul și creativitatea celorlalți, de a utiliza capacitățile grupului pentru a ajunge la un consens, de a soluționa problemele în mod eficace, de a realiza sarcini și de a atinge obiective comune.</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M.C5</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Comportamentul de lider</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insufla energie și de a inspira persoanele să depună toate eforturile în vederea realizării viziunii despre viitor, de a prezenta scopuri și obiective comune, de a crea un sens și de a acționa drept catalizator al acțiunilor.</w:t>
            </w:r>
          </w:p>
        </w:tc>
      </w:tr>
      <w:tr w:rsidR="005D6B75" w:rsidRPr="00491A6E"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M.C6</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Gestionarea părților interesate pe mai multe niveluri</w:t>
            </w:r>
          </w:p>
        </w:tc>
        <w:tc>
          <w:tcPr>
            <w:tcW w:w="1597"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 xml:space="preserve">Demonstrarea capacității de a înțelege scopurile și obiectivele diferitelor părți interesate, de a asigura cooperarea eficientă și angajamentul părților interesate (incluzând deschidere către și încurajarea schimbului de bune practici între diferite state membre).  </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M.C7</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Negociere</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explora efectiv (prin facilitarea discuțiilor, adresarea de întrebări, furnizarea de răspunsuri la obiecții etc.) alternativele și pozițiile celorlalți pentru a obține rezultate care să fie acceptate de toate părțile (soluție avantajoasă pentru toate părțile).</w:t>
            </w:r>
          </w:p>
        </w:tc>
      </w:tr>
      <w:tr w:rsidR="005D6B75" w:rsidRPr="0058429F" w:rsidTr="00164EE8">
        <w:trPr>
          <w:trHeight w:val="510"/>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M.C8</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Orientare către rezultate</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stabili obiective dificile, de a menține concentrarea și persistența și de a atinge constant obiectivele sau de a obține rezultatele necesare chiar și în caz de adversități.</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M.C9</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Gestionare strategică</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lua decizii și de a întreprinde acțiuni care conduc la elaborarea și implementarea unor strategii în conformitate cu direcția strategică a organizației, precum și la atingerea obiectivelor.</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M.C10</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Gestionarea riscurilor</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identifica, analiza, evalua și prioritiza riscurile și de a reduce la un nivel minim, monitoriza și controla probabilitatea și/sau impactul evenimentelor nefericite sau de a optimiza realizarea oportunităților.</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M.C11</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Planificarea resurselor</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gestiona resursele organizației, inclusiv, dar fără a se limita la, resursele financiare, inventarul, abilitățile resurselor umane, resursele de producție, tehnologia informației (TI) în mod eficient și eficace.</w:t>
            </w:r>
          </w:p>
        </w:tc>
      </w:tr>
      <w:tr w:rsidR="005D6B75" w:rsidRPr="0058429F" w:rsidTr="00164EE8">
        <w:trPr>
          <w:trHeight w:val="765"/>
        </w:trPr>
        <w:tc>
          <w:tcPr>
            <w:tcW w:w="38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M.C12</w:t>
            </w:r>
          </w:p>
        </w:tc>
        <w:tc>
          <w:tcPr>
            <w:tcW w:w="793"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hideMark/>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 xml:space="preserve">Demonstrating ability to make decisions and take actions that lead to development and implementation of HR strategies aligned with the strategic direction </w:t>
            </w:r>
            <w:r w:rsidRPr="0058429F">
              <w:rPr>
                <w:rFonts w:ascii="Verdana" w:hAnsi="Verdana" w:cstheme="minorHAnsi"/>
                <w:sz w:val="20"/>
                <w:szCs w:val="20"/>
              </w:rPr>
              <w:lastRenderedPageBreak/>
              <w:t>of the organisation and achievement of objectives.</w:t>
            </w:r>
          </w:p>
        </w:tc>
        <w:tc>
          <w:tcPr>
            <w:tcW w:w="79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lastRenderedPageBreak/>
              <w:t>Elaborarea și implementarea strategiei de resurse umane</w:t>
            </w:r>
          </w:p>
        </w:tc>
        <w:tc>
          <w:tcPr>
            <w:tcW w:w="1597"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 xml:space="preserve">Demonstrarea capacității de a lua decizii și de a întreprinde acțiuni care conduc la elaborarea și implementarea unor strategii de resurse umane în conformitate cu direcția strategică a </w:t>
            </w:r>
            <w:r>
              <w:rPr>
                <w:rFonts w:ascii="Verdana" w:hAnsi="Verdana" w:cstheme="minorHAnsi"/>
                <w:sz w:val="20"/>
              </w:rPr>
              <w:lastRenderedPageBreak/>
              <w:t>organizației și la atingerea obiectivelor.</w:t>
            </w:r>
          </w:p>
        </w:tc>
      </w:tr>
    </w:tbl>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7160730"/>
      <w:r>
        <w:lastRenderedPageBreak/>
        <w:t>Competențe profesionale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5D6B75" w:rsidRPr="0058429F" w:rsidTr="00164EE8">
        <w:trPr>
          <w:trHeight w:val="377"/>
          <w:tblHeader/>
        </w:trPr>
        <w:tc>
          <w:tcPr>
            <w:tcW w:w="453" w:type="pct"/>
            <w:shd w:val="clear" w:color="auto" w:fill="1F3864" w:themeFill="accent5" w:themeFillShade="80"/>
          </w:tcPr>
          <w:p w:rsidR="005D6B75" w:rsidRPr="0058429F"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p>
        </w:tc>
        <w:tc>
          <w:tcPr>
            <w:tcW w:w="2777" w:type="pct"/>
            <w:gridSpan w:val="2"/>
            <w:shd w:val="clear" w:color="auto" w:fill="1F3864" w:themeFill="accent5" w:themeFillShade="80"/>
            <w:noWrap/>
            <w:vAlign w:val="center"/>
          </w:tcPr>
          <w:p w:rsidR="005D6B75" w:rsidRPr="0058429F"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Engleză</w:t>
            </w:r>
          </w:p>
        </w:tc>
        <w:tc>
          <w:tcPr>
            <w:tcW w:w="1770" w:type="pct"/>
            <w:gridSpan w:val="2"/>
            <w:shd w:val="clear" w:color="auto" w:fill="1F3864" w:themeFill="accent5" w:themeFillShade="80"/>
            <w:vAlign w:val="center"/>
          </w:tcPr>
          <w:p w:rsidR="005D6B75" w:rsidRPr="0058429F" w:rsidRDefault="005D6B75" w:rsidP="00164EE8">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Limba locală</w:t>
            </w:r>
          </w:p>
        </w:tc>
      </w:tr>
      <w:tr w:rsidR="005D6B75" w:rsidRPr="0058429F" w:rsidTr="00164EE8">
        <w:trPr>
          <w:trHeight w:val="219"/>
          <w:tblHeader/>
        </w:trPr>
        <w:tc>
          <w:tcPr>
            <w:tcW w:w="453" w:type="pct"/>
            <w:shd w:val="clear" w:color="auto" w:fill="EDEDED" w:themeFill="accent3" w:themeFillTint="33"/>
            <w:vAlign w:val="center"/>
          </w:tcPr>
          <w:p w:rsidR="005D6B75" w:rsidRPr="0058429F" w:rsidRDefault="005D6B75" w:rsidP="00164EE8">
            <w:pPr>
              <w:spacing w:after="0" w:line="240" w:lineRule="auto"/>
              <w:jc w:val="center"/>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Cod</w:t>
            </w:r>
          </w:p>
        </w:tc>
        <w:tc>
          <w:tcPr>
            <w:tcW w:w="726" w:type="pct"/>
            <w:shd w:val="clear" w:color="auto" w:fill="EDEDED" w:themeFill="accent3" w:themeFillTint="33"/>
            <w:noWrap/>
            <w:vAlign w:val="center"/>
            <w:hideMark/>
          </w:tcPr>
          <w:p w:rsidR="005D6B75" w:rsidRPr="0058429F" w:rsidRDefault="005D6B75" w:rsidP="00164EE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5D6B75" w:rsidRPr="0058429F" w:rsidRDefault="005D6B75" w:rsidP="00164EE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5D6B75" w:rsidRPr="0058429F" w:rsidRDefault="005D6B75" w:rsidP="00164EE8">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Competență</w:t>
            </w:r>
          </w:p>
        </w:tc>
        <w:tc>
          <w:tcPr>
            <w:tcW w:w="1009" w:type="pct"/>
            <w:shd w:val="clear" w:color="auto" w:fill="EDEDED" w:themeFill="accent3" w:themeFillTint="33"/>
            <w:vAlign w:val="center"/>
          </w:tcPr>
          <w:p w:rsidR="005D6B75" w:rsidRPr="0058429F" w:rsidRDefault="005D6B75" w:rsidP="00164EE8">
            <w:pPr>
              <w:spacing w:after="0" w:line="240" w:lineRule="auto"/>
              <w:jc w:val="center"/>
              <w:rPr>
                <w:rFonts w:ascii="Verdana" w:eastAsia="Times New Roman" w:hAnsi="Verdana" w:cstheme="minorHAnsi"/>
                <w:b/>
                <w:bCs/>
                <w:sz w:val="20"/>
                <w:szCs w:val="20"/>
              </w:rPr>
            </w:pPr>
            <w:r>
              <w:rPr>
                <w:rFonts w:ascii="Verdana" w:hAnsi="Verdana" w:cstheme="minorHAnsi"/>
                <w:b/>
                <w:sz w:val="20"/>
              </w:rPr>
              <w:t>Descriere</w:t>
            </w:r>
          </w:p>
        </w:tc>
      </w:tr>
      <w:tr w:rsidR="005D6B75" w:rsidRPr="0058429F" w:rsidTr="00164EE8">
        <w:trPr>
          <w:trHeight w:val="421"/>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P.C1</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Analytical skills</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Capacități analitice</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Elaborarea unei abordări logice în vederea soluționării problemelor complexe sau pentru a profita de oportunități, împărțindu-le în părți componente pentru a identifica aspectele de bază, pentru a determina raporturile cauză-efect și pentru a ajunge la concluzii sau decizii.</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P.C2</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Comunicare scrisă</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 xml:space="preserve">Demonstrarea capacității de a prezenta în scris informații și idei, în mod clar și convingător, alegând mijloacele adecvate de comunicare scrisă și stilul de redactare pentru a se adresa publicului, în mod corect din punct de vedere ortografic, gramatical și al punctuației, precum și demonstrarea capacității de </w:t>
            </w:r>
            <w:r>
              <w:rPr>
                <w:rFonts w:ascii="Verdana" w:hAnsi="Verdana" w:cstheme="minorHAnsi"/>
                <w:sz w:val="20"/>
              </w:rPr>
              <w:lastRenderedPageBreak/>
              <w:t>comunicare în funcție de particularitățile culturale.</w:t>
            </w:r>
          </w:p>
        </w:tc>
      </w:tr>
      <w:tr w:rsidR="005D6B75" w:rsidRPr="0058429F" w:rsidTr="00164EE8">
        <w:trPr>
          <w:trHeight w:val="878"/>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P.C3</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Comunicare verbală</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exprima în mod clar concepte și idei adresate unor persoane sau unor grupuri utilizând discursul într-un mod care să angajeze publicul, să încurajeze comunicarea în ambele sensuri și să îi ajute să înțeleagă și să rețină mesajul, precum și demonstrarea capacității de comunicare în funcție de particularitățile culturale.</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P.C4</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Conflict handling</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Gestionarea conflictelor</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 xml:space="preserve">Demonstrarea capacității de a se aborda în mod eficace alte persoane în situații antagonice, recunoscând opiniile diferite, incluzându-le în discuții deschise și utilizând stiluri și tehnici interpresonale adecvate pentru a găsi o soluție avantajoasă pentru </w:t>
            </w:r>
            <w:r>
              <w:rPr>
                <w:rFonts w:ascii="Verdana" w:hAnsi="Verdana" w:cstheme="minorHAnsi"/>
                <w:sz w:val="20"/>
              </w:rPr>
              <w:lastRenderedPageBreak/>
              <w:t>toate părțile într-un conflict dintre două sau mai multe persoane.</w:t>
            </w:r>
          </w:p>
        </w:tc>
      </w:tr>
      <w:tr w:rsidR="005D6B75" w:rsidRPr="00491A6E"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P.C5</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Flexibilitate și adaptabilitate la schimbare </w:t>
            </w:r>
          </w:p>
        </w:tc>
        <w:tc>
          <w:tcPr>
            <w:tcW w:w="1009" w:type="pct"/>
            <w:shd w:val="clear" w:color="000000" w:fill="FFFFFF"/>
            <w:vAlign w:val="center"/>
          </w:tcPr>
          <w:p w:rsidR="005D6B75" w:rsidRPr="00491A6E" w:rsidRDefault="005D6B75" w:rsidP="00164EE8">
            <w:pPr>
              <w:spacing w:after="0"/>
              <w:rPr>
                <w:rFonts w:ascii="Verdana" w:hAnsi="Verdana" w:cstheme="minorHAnsi"/>
                <w:sz w:val="20"/>
                <w:szCs w:val="20"/>
                <w:lang w:val="it-IT"/>
              </w:rPr>
            </w:pPr>
            <w:r w:rsidRPr="00491A6E">
              <w:rPr>
                <w:rFonts w:ascii="Verdana" w:hAnsi="Verdana" w:cstheme="minorHAnsi"/>
                <w:sz w:val="20"/>
                <w:lang w:val="it-IT"/>
              </w:rPr>
              <w:t xml:space="preserve">Demonstrarea capacității de a se adapta și de a menține nivelul de eficacitate atunci când se confruntă cu schimbări majore ale sarcinilor de lucru, ale mediului de lucru, ale structurii și culturii organizaționale, ale proceselor, cerințelor și ale altor aspecte care au legătură cu activitatea. </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P.C6</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Problem solving</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Soluționarea problemelor</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identifica problemele utilizând logica, intuiția, datele, efectuând analize și căutări adecvate și implicând alte persoane (dacă este necesar) pentru a găsi soluții sau a lua decizii.</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P.C7</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Team work</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Lucrul în echipă</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 xml:space="preserve">Demonstrarea capacității de a coopera și colabora cu alți colegi din diferite unități și de </w:t>
            </w:r>
            <w:r>
              <w:rPr>
                <w:rFonts w:ascii="Verdana" w:hAnsi="Verdana" w:cstheme="minorHAnsi"/>
                <w:sz w:val="20"/>
              </w:rPr>
              <w:lastRenderedPageBreak/>
              <w:t>la diferite niveluri structurale în vederea realizării obiectivelor comune.</w:t>
            </w:r>
          </w:p>
        </w:tc>
      </w:tr>
      <w:tr w:rsidR="005D6B75" w:rsidRPr="0058429F" w:rsidTr="00164EE8">
        <w:trPr>
          <w:trHeight w:val="43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P.C8</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Technological ability</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Capacitatea tehnologică</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utiliza software, sisteme de informații și alte instrumente informatice adecvate (de exemplu, programele Microsoft Office) care sunt necesare în vederea atingerii obiectivelor activității.</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P.C9</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Utilizarea sistemului de monitorizare și de informații</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utilizare a sistemelor de monitorizare și de informații ale fondurilor UE (atât interne, cât și externe, dacă sunt disponibile) în vederea atingerii obiectivelor activității.</w:t>
            </w:r>
          </w:p>
        </w:tc>
      </w:tr>
      <w:tr w:rsidR="005D6B75" w:rsidRPr="0058429F" w:rsidTr="00164EE8">
        <w:trPr>
          <w:trHeight w:val="398"/>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P.C10</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Reprezentare externă</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acționa sau de a comunica în numele instituției în mod eficient și corespunzător.</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lastRenderedPageBreak/>
              <w:t>P.C11</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Competențe lingvistice relevante</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a aplica competențe relevante în materie de limbi străine pentru îndeplinirea funcțiilor atribuite și atingerea obiectivelor activității.</w:t>
            </w:r>
          </w:p>
        </w:tc>
      </w:tr>
      <w:tr w:rsidR="005D6B75" w:rsidRPr="0058429F" w:rsidTr="00164EE8">
        <w:trPr>
          <w:trHeight w:val="659"/>
        </w:trPr>
        <w:tc>
          <w:tcPr>
            <w:tcW w:w="453"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P.C12</w:t>
            </w:r>
          </w:p>
        </w:tc>
        <w:tc>
          <w:tcPr>
            <w:tcW w:w="726"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Intercultural skills</w:t>
            </w:r>
          </w:p>
        </w:tc>
        <w:tc>
          <w:tcPr>
            <w:tcW w:w="2051" w:type="pct"/>
            <w:shd w:val="clear" w:color="000000" w:fill="FFFFFF"/>
            <w:vAlign w:val="center"/>
          </w:tcPr>
          <w:p w:rsidR="005D6B75" w:rsidRPr="0058429F" w:rsidRDefault="005D6B75" w:rsidP="00164EE8">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Competențe interculturale</w:t>
            </w:r>
          </w:p>
        </w:tc>
        <w:tc>
          <w:tcPr>
            <w:tcW w:w="1009" w:type="pct"/>
            <w:shd w:val="clear" w:color="000000" w:fill="FFFFFF"/>
            <w:vAlign w:val="center"/>
          </w:tcPr>
          <w:p w:rsidR="005D6B75" w:rsidRPr="0058429F" w:rsidRDefault="005D6B75" w:rsidP="00164EE8">
            <w:pPr>
              <w:spacing w:after="0"/>
              <w:rPr>
                <w:rFonts w:ascii="Verdana" w:hAnsi="Verdana" w:cstheme="minorHAnsi"/>
                <w:sz w:val="20"/>
                <w:szCs w:val="20"/>
              </w:rPr>
            </w:pPr>
            <w:r>
              <w:rPr>
                <w:rFonts w:ascii="Verdana" w:hAnsi="Verdana" w:cstheme="minorHAnsi"/>
                <w:sz w:val="20"/>
              </w:rPr>
              <w:t>Demonstrarea capacității de lucru într-un mediu multicultural, dezvoltând în mod eficient relații cu părțile interesate din cadrul instituțiilor UE și din alte state membre.</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D6B75">
          <w:rPr>
            <w:rFonts w:asciiTheme="minorHAnsi" w:hAnsiTheme="minorHAnsi" w:cstheme="minorHAnsi"/>
            <w:noProof/>
          </w:rPr>
          <w:t>4</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Cadrul de competențe al UE – Glosar de termeni utilizați în instrumentul de autoevaluare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D6B75"/>
    <w:rsid w:val="005F5DB2"/>
    <w:rsid w:val="00614B9B"/>
    <w:rsid w:val="0062042A"/>
    <w:rsid w:val="006645FC"/>
    <w:rsid w:val="006744F9"/>
    <w:rsid w:val="006C2D1C"/>
    <w:rsid w:val="006E738D"/>
    <w:rsid w:val="00716D09"/>
    <w:rsid w:val="00727DC8"/>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BC781E"/>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ro-RO"/>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ro-RO"/>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ro-RO"/>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ro-RO"/>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BE6F-CE49-4989-B6A7-5D591BA7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3178</Words>
  <Characters>19450</Characters>
  <Application>Microsoft Office Word</Application>
  <DocSecurity>4</DocSecurity>
  <Lines>1296</Lines>
  <Paragraphs>471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ILIE Ioana Anamaria (DGT)</cp:lastModifiedBy>
  <cp:revision>2</cp:revision>
  <cp:lastPrinted>2017-03-22T18:35:00Z</cp:lastPrinted>
  <dcterms:created xsi:type="dcterms:W3CDTF">2018-03-09T17:04:00Z</dcterms:created>
  <dcterms:modified xsi:type="dcterms:W3CDTF">2018-03-09T17:04:00Z</dcterms:modified>
</cp:coreProperties>
</file>