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6E03BF"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noProof/>
          <w:lang w:val="en-GB" w:eastAsia="en-GB"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-942975</wp:posOffset>
            </wp:positionV>
            <wp:extent cx="10039350" cy="7800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39350" cy="7800975"/>
                    </a:xfrm>
                    <a:prstGeom prst="rect">
                      <a:avLst/>
                    </a:prstGeom>
                  </pic:spPr>
                </pic:pic>
              </a:graphicData>
            </a:graphic>
            <wp14:sizeRelH relativeFrom="page">
              <wp14:pctWidth>0</wp14:pctWidth>
            </wp14:sizeRelH>
            <wp14:sizeRelV relativeFrom="page">
              <wp14:pctHeight>0</wp14:pctHeight>
            </wp14:sizeRelV>
          </wp:anchor>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Dokumendi versioonid</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Versioon</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Kuupäev</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november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7503628"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Sisukord</w:t>
          </w:r>
          <w:bookmarkStart w:id="1" w:name="_GoBack"/>
          <w:bookmarkEnd w:id="0"/>
          <w:bookmarkEnd w:id="1"/>
        </w:p>
        <w:p w:rsidR="00164234" w:rsidRPr="00164234" w:rsidRDefault="00164234" w:rsidP="009A1178">
          <w:pPr>
            <w:pStyle w:val="Heading1"/>
            <w:numPr>
              <w:ilvl w:val="0"/>
              <w:numId w:val="0"/>
            </w:numPr>
          </w:pPr>
        </w:p>
        <w:p w:rsidR="00BF220A" w:rsidRPr="006C3361" w:rsidRDefault="00CF51E8">
          <w:pPr>
            <w:pStyle w:val="TOC1"/>
            <w:tabs>
              <w:tab w:val="right" w:leader="dot" w:pos="12950"/>
            </w:tabs>
            <w:rPr>
              <w:rFonts w:ascii="Verdana" w:eastAsiaTheme="minorEastAsia" w:hAnsi="Verdana"/>
              <w:noProof/>
              <w:sz w:val="32"/>
              <w:szCs w:val="32"/>
              <w:lang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29" w:history="1">
            <w:r w:rsidR="00BF220A" w:rsidRPr="006C3361">
              <w:rPr>
                <w:rStyle w:val="Hyperlink"/>
                <w:rFonts w:ascii="Verdana" w:hAnsi="Verdana"/>
                <w:noProof/>
                <w:sz w:val="32"/>
                <w:szCs w:val="32"/>
              </w:rPr>
              <w:t>1.</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Ametikohad</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_Toc507503629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4</w:t>
            </w:r>
            <w:r w:rsidR="00BF220A" w:rsidRPr="006C3361">
              <w:rPr>
                <w:rFonts w:ascii="Verdana" w:hAnsi="Verdana"/>
                <w:noProof/>
                <w:webHidden/>
                <w:sz w:val="32"/>
                <w:szCs w:val="32"/>
              </w:rPr>
              <w:fldChar w:fldCharType="end"/>
            </w:r>
          </w:hyperlink>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30" w:history="1">
            <w:r w:rsidR="00BF220A" w:rsidRPr="006C3361">
              <w:rPr>
                <w:rStyle w:val="Hyperlink"/>
                <w:rFonts w:ascii="Verdana" w:hAnsi="Verdana"/>
                <w:noProof/>
                <w:sz w:val="32"/>
                <w:szCs w:val="32"/>
              </w:rPr>
              <w:t>2.</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Ülesanded ja allülesanded</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_Toc507503630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5</w:t>
            </w:r>
            <w:r w:rsidR="00BF220A" w:rsidRPr="006C3361">
              <w:rPr>
                <w:rFonts w:ascii="Verdana" w:hAnsi="Verdana"/>
                <w:noProof/>
                <w:webHidden/>
                <w:sz w:val="32"/>
                <w:szCs w:val="32"/>
              </w:rPr>
              <w:fldChar w:fldCharType="end"/>
            </w:r>
          </w:hyperlink>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31" w:history="1">
            <w:r w:rsidR="00BF220A" w:rsidRPr="006C3361">
              <w:rPr>
                <w:rStyle w:val="Hyperlink"/>
                <w:rFonts w:ascii="Verdana" w:hAnsi="Verdana"/>
                <w:noProof/>
                <w:sz w:val="32"/>
                <w:szCs w:val="32"/>
              </w:rPr>
              <w:t>3.</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Oskuse skaala</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_Toc507503631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7</w:t>
            </w:r>
            <w:r w:rsidR="00BF220A" w:rsidRPr="006C3361">
              <w:rPr>
                <w:rFonts w:ascii="Verdana" w:hAnsi="Verdana"/>
                <w:noProof/>
                <w:webHidden/>
                <w:sz w:val="32"/>
                <w:szCs w:val="32"/>
              </w:rPr>
              <w:fldChar w:fldCharType="end"/>
            </w:r>
          </w:hyperlink>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32" w:history="1">
            <w:r w:rsidR="00BF220A" w:rsidRPr="006C3361">
              <w:rPr>
                <w:rStyle w:val="Hyperlink"/>
                <w:rFonts w:ascii="Verdana" w:hAnsi="Verdana"/>
                <w:noProof/>
                <w:sz w:val="32"/>
                <w:szCs w:val="32"/>
              </w:rPr>
              <w:t>4.</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Tegevuspädevused</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_Toc507503632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9</w:t>
            </w:r>
            <w:r w:rsidR="00BF220A" w:rsidRPr="006C3361">
              <w:rPr>
                <w:rFonts w:ascii="Verdana" w:hAnsi="Verdana"/>
                <w:noProof/>
                <w:webHidden/>
                <w:sz w:val="32"/>
                <w:szCs w:val="32"/>
              </w:rPr>
              <w:fldChar w:fldCharType="end"/>
            </w:r>
          </w:hyperlink>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33" w:history="1">
            <w:r w:rsidR="00BF220A" w:rsidRPr="006C3361">
              <w:rPr>
                <w:rStyle w:val="Hyperlink"/>
                <w:rFonts w:ascii="Verdana" w:hAnsi="Verdana"/>
                <w:noProof/>
                <w:sz w:val="32"/>
                <w:szCs w:val="32"/>
              </w:rPr>
              <w:t>5.</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Juhtimispädevused</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_Toc507503633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9</w:t>
            </w:r>
            <w:r w:rsidR="00BF220A" w:rsidRPr="006C3361">
              <w:rPr>
                <w:rFonts w:ascii="Verdana" w:hAnsi="Verdana"/>
                <w:noProof/>
                <w:webHidden/>
                <w:sz w:val="32"/>
                <w:szCs w:val="32"/>
              </w:rPr>
              <w:fldChar w:fldCharType="end"/>
            </w:r>
          </w:hyperlink>
        </w:p>
        <w:p w:rsidR="00BF220A" w:rsidRPr="006C3361" w:rsidRDefault="006C3361">
          <w:pPr>
            <w:pStyle w:val="TOC1"/>
            <w:tabs>
              <w:tab w:val="left" w:pos="440"/>
              <w:tab w:val="right" w:leader="dot" w:pos="12950"/>
            </w:tabs>
            <w:rPr>
              <w:rFonts w:ascii="Verdana" w:eastAsiaTheme="minorEastAsia" w:hAnsi="Verdana"/>
              <w:noProof/>
              <w:sz w:val="32"/>
              <w:szCs w:val="32"/>
              <w:lang w:bidi="ar-SA"/>
            </w:rPr>
          </w:pPr>
          <w:hyperlink w:anchor="_Toc507503634" w:history="1">
            <w:r w:rsidR="00BF220A" w:rsidRPr="006C3361">
              <w:rPr>
                <w:rStyle w:val="Hyperlink"/>
                <w:rFonts w:ascii="Verdana" w:hAnsi="Verdana"/>
                <w:noProof/>
                <w:sz w:val="32"/>
                <w:szCs w:val="32"/>
              </w:rPr>
              <w:t>6.</w:t>
            </w:r>
            <w:r w:rsidR="00BF220A" w:rsidRPr="006C3361">
              <w:rPr>
                <w:rFonts w:ascii="Verdana" w:eastAsiaTheme="minorEastAsia" w:hAnsi="Verdana"/>
                <w:noProof/>
                <w:sz w:val="32"/>
                <w:szCs w:val="32"/>
                <w:lang w:bidi="ar-SA"/>
              </w:rPr>
              <w:tab/>
            </w:r>
            <w:r w:rsidR="00BF220A" w:rsidRPr="006C3361">
              <w:rPr>
                <w:rStyle w:val="Hyperlink"/>
                <w:rFonts w:ascii="Verdana" w:hAnsi="Verdana"/>
                <w:noProof/>
                <w:sz w:val="32"/>
                <w:szCs w:val="32"/>
              </w:rPr>
              <w:t>Ametipädevused</w:t>
            </w:r>
            <w:r w:rsidR="00BF220A" w:rsidRPr="006C3361">
              <w:rPr>
                <w:rFonts w:ascii="Verdana" w:hAnsi="Verdana"/>
                <w:noProof/>
                <w:webHidden/>
                <w:sz w:val="32"/>
                <w:szCs w:val="32"/>
              </w:rPr>
              <w:tab/>
            </w:r>
            <w:r w:rsidR="00BF220A" w:rsidRPr="006C3361">
              <w:rPr>
                <w:rFonts w:ascii="Verdana" w:hAnsi="Verdana"/>
                <w:noProof/>
                <w:webHidden/>
                <w:sz w:val="32"/>
                <w:szCs w:val="32"/>
              </w:rPr>
              <w:fldChar w:fldCharType="begin"/>
            </w:r>
            <w:r w:rsidR="00BF220A" w:rsidRPr="006C3361">
              <w:rPr>
                <w:rFonts w:ascii="Verdana" w:hAnsi="Verdana"/>
                <w:noProof/>
                <w:webHidden/>
                <w:sz w:val="32"/>
                <w:szCs w:val="32"/>
              </w:rPr>
              <w:instrText xml:space="preserve"> PAGEREF _Toc507503634 \h </w:instrText>
            </w:r>
            <w:r w:rsidR="00BF220A" w:rsidRPr="006C3361">
              <w:rPr>
                <w:rFonts w:ascii="Verdana" w:hAnsi="Verdana"/>
                <w:noProof/>
                <w:webHidden/>
                <w:sz w:val="32"/>
                <w:szCs w:val="32"/>
              </w:rPr>
            </w:r>
            <w:r w:rsidR="00BF220A" w:rsidRPr="006C3361">
              <w:rPr>
                <w:rFonts w:ascii="Verdana" w:hAnsi="Verdana"/>
                <w:noProof/>
                <w:webHidden/>
                <w:sz w:val="32"/>
                <w:szCs w:val="32"/>
              </w:rPr>
              <w:fldChar w:fldCharType="separate"/>
            </w:r>
            <w:r w:rsidR="00BF220A" w:rsidRPr="006C3361">
              <w:rPr>
                <w:rFonts w:ascii="Verdana" w:hAnsi="Verdana"/>
                <w:noProof/>
                <w:webHidden/>
                <w:sz w:val="32"/>
                <w:szCs w:val="32"/>
              </w:rPr>
              <w:t>14</w:t>
            </w:r>
            <w:r w:rsidR="00BF220A" w:rsidRPr="006C3361">
              <w:rPr>
                <w:rFonts w:ascii="Verdana" w:hAnsi="Verdana"/>
                <w:noProof/>
                <w:webHidden/>
                <w:sz w:val="32"/>
                <w:szCs w:val="32"/>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7503629"/>
      <w:r>
        <w:lastRenderedPageBreak/>
        <w:t>Ametikohad</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605"/>
        <w:gridCol w:w="2011"/>
        <w:gridCol w:w="6452"/>
      </w:tblGrid>
      <w:tr w:rsidR="007A0134" w:rsidRPr="001B2DD4" w:rsidTr="00BF220A">
        <w:trPr>
          <w:trHeight w:val="467"/>
        </w:trPr>
        <w:tc>
          <w:tcPr>
            <w:tcW w:w="1832"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3168"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BF220A" w:rsidRPr="001B2DD4" w:rsidTr="00BF220A">
        <w:trPr>
          <w:trHeight w:val="440"/>
        </w:trPr>
        <w:tc>
          <w:tcPr>
            <w:tcW w:w="466" w:type="pct"/>
            <w:shd w:val="clear" w:color="auto" w:fill="F2F2F2" w:themeFill="background1" w:themeFillShade="F2"/>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Job Role</w:t>
            </w:r>
          </w:p>
        </w:tc>
        <w:tc>
          <w:tcPr>
            <w:tcW w:w="1366" w:type="pct"/>
            <w:shd w:val="clear" w:color="auto" w:fill="F2F2F2" w:themeFill="background1" w:themeFillShade="F2"/>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Description</w:t>
            </w:r>
          </w:p>
        </w:tc>
        <w:tc>
          <w:tcPr>
            <w:tcW w:w="746" w:type="pct"/>
            <w:shd w:val="clear" w:color="auto" w:fill="F2F2F2" w:themeFill="background1" w:themeFillShade="F2"/>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Ametikoht</w:t>
            </w:r>
          </w:p>
        </w:tc>
        <w:tc>
          <w:tcPr>
            <w:tcW w:w="2422" w:type="pct"/>
            <w:shd w:val="clear" w:color="auto" w:fill="F2F2F2" w:themeFill="background1" w:themeFillShade="F2"/>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Kirjeldus</w:t>
            </w:r>
          </w:p>
        </w:tc>
      </w:tr>
      <w:tr w:rsidR="00BF220A" w:rsidRPr="001B2DD4" w:rsidTr="00BF220A">
        <w:trPr>
          <w:trHeight w:val="1250"/>
        </w:trPr>
        <w:tc>
          <w:tcPr>
            <w:tcW w:w="4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Decision-making level</w:t>
            </w:r>
          </w:p>
        </w:tc>
        <w:tc>
          <w:tcPr>
            <w:tcW w:w="13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This is the head of the organization or persons that act on relatively high strategic management levels</w:t>
            </w:r>
          </w:p>
        </w:tc>
        <w:tc>
          <w:tcPr>
            <w:tcW w:w="746"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Otsustustasand</w:t>
            </w:r>
          </w:p>
        </w:tc>
        <w:tc>
          <w:tcPr>
            <w:tcW w:w="2422"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Organisatsiooni juht või suhteliselt kõrgetel strateegilistel juhtimistasanditel tegutsevad isikud</w:t>
            </w:r>
          </w:p>
        </w:tc>
      </w:tr>
      <w:tr w:rsidR="00BF220A" w:rsidRPr="001B2DD4" w:rsidTr="00BF220A">
        <w:trPr>
          <w:trHeight w:val="1871"/>
        </w:trPr>
        <w:tc>
          <w:tcPr>
            <w:tcW w:w="4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Supervisory level</w:t>
            </w:r>
          </w:p>
        </w:tc>
        <w:tc>
          <w:tcPr>
            <w:tcW w:w="13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46"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Järelevalvetasand</w:t>
            </w:r>
          </w:p>
        </w:tc>
        <w:tc>
          <w:tcPr>
            <w:tcW w:w="2422"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Keskastme juhtimistasand, kus vastutatakse töötajate rühma eest ega tegeleta otseselt programmi töösse rakendamisega, näiteks organisatsiooni üksuste juhid</w:t>
            </w:r>
          </w:p>
        </w:tc>
      </w:tr>
      <w:tr w:rsidR="00BF220A" w:rsidRPr="001B2DD4" w:rsidTr="00BF220A">
        <w:trPr>
          <w:trHeight w:val="1439"/>
        </w:trPr>
        <w:tc>
          <w:tcPr>
            <w:tcW w:w="4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Operational level</w:t>
            </w:r>
          </w:p>
        </w:tc>
        <w:tc>
          <w:tcPr>
            <w:tcW w:w="136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These are the experts that are directly working on the different tasks and sub-tasks within the organization</w:t>
            </w:r>
          </w:p>
        </w:tc>
        <w:tc>
          <w:tcPr>
            <w:tcW w:w="746"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Tegevustasand</w:t>
            </w:r>
          </w:p>
        </w:tc>
        <w:tc>
          <w:tcPr>
            <w:tcW w:w="2422" w:type="pct"/>
            <w:shd w:val="clear" w:color="000000" w:fill="FFFFFF"/>
            <w:vAlign w:val="center"/>
          </w:tcPr>
          <w:p w:rsidR="00BF220A" w:rsidRPr="001B2DD4" w:rsidRDefault="00BF220A" w:rsidP="00893337">
            <w:pPr>
              <w:spacing w:after="0"/>
              <w:rPr>
                <w:rFonts w:ascii="Verdana" w:hAnsi="Verdana" w:cstheme="minorHAnsi"/>
                <w:sz w:val="20"/>
                <w:szCs w:val="20"/>
              </w:rPr>
            </w:pPr>
            <w:r>
              <w:rPr>
                <w:rFonts w:ascii="Verdana" w:hAnsi="Verdana" w:cstheme="minorHAnsi"/>
                <w:sz w:val="20"/>
              </w:rPr>
              <w:t>Eksperdid, kes organisatsioonis otseselt eri ülesandeid või allülesandeid täidavad</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7503630"/>
      <w:r>
        <w:lastRenderedPageBreak/>
        <w:t>Ülesanded ja allülesanded</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6"/>
        <w:gridCol w:w="3114"/>
        <w:gridCol w:w="3848"/>
        <w:gridCol w:w="3382"/>
      </w:tblGrid>
      <w:tr w:rsidR="004635E5" w:rsidRPr="0058429F" w:rsidTr="00BF220A">
        <w:trPr>
          <w:trHeight w:val="354"/>
          <w:tblHeader/>
        </w:trPr>
        <w:tc>
          <w:tcPr>
            <w:tcW w:w="2253"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2747"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Eesti</w:t>
            </w:r>
          </w:p>
        </w:tc>
      </w:tr>
      <w:tr w:rsidR="00BF220A" w:rsidRPr="0058429F" w:rsidTr="00BF220A">
        <w:trPr>
          <w:trHeight w:val="354"/>
          <w:tblHeader/>
        </w:trPr>
        <w:tc>
          <w:tcPr>
            <w:tcW w:w="1070" w:type="pct"/>
            <w:shd w:val="clear" w:color="auto" w:fill="F2F2F2" w:themeFill="background1" w:themeFillShade="F2"/>
          </w:tcPr>
          <w:p w:rsidR="00BF220A" w:rsidRPr="0058429F" w:rsidRDefault="00BF220A" w:rsidP="00893337">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183" w:type="pct"/>
            <w:shd w:val="clear" w:color="auto" w:fill="F2F2F2" w:themeFill="background1" w:themeFillShade="F2"/>
            <w:vAlign w:val="center"/>
          </w:tcPr>
          <w:p w:rsidR="00BF220A" w:rsidRPr="0058429F" w:rsidRDefault="00BF220A" w:rsidP="00893337">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62" w:type="pct"/>
            <w:shd w:val="clear" w:color="auto" w:fill="F2F2F2" w:themeFill="background1" w:themeFillShade="F2"/>
          </w:tcPr>
          <w:p w:rsidR="00BF220A" w:rsidRPr="0058429F" w:rsidRDefault="00BF220A"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Ülesanne</w:t>
            </w:r>
          </w:p>
        </w:tc>
        <w:tc>
          <w:tcPr>
            <w:tcW w:w="1285" w:type="pct"/>
            <w:shd w:val="clear" w:color="auto" w:fill="F2F2F2" w:themeFill="background1" w:themeFillShade="F2"/>
            <w:vAlign w:val="center"/>
          </w:tcPr>
          <w:p w:rsidR="00BF220A" w:rsidRPr="0058429F" w:rsidRDefault="00BF220A"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Allülesanne</w:t>
            </w:r>
          </w:p>
        </w:tc>
      </w:tr>
      <w:tr w:rsidR="00BF220A" w:rsidRPr="0058429F" w:rsidTr="00BF220A">
        <w:trPr>
          <w:trHeight w:val="354"/>
        </w:trPr>
        <w:tc>
          <w:tcPr>
            <w:tcW w:w="1070" w:type="pct"/>
            <w:shd w:val="clear" w:color="000000" w:fill="FFFFFF"/>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1. Payments and accounts management</w:t>
            </w:r>
          </w:p>
        </w:tc>
        <w:tc>
          <w:tcPr>
            <w:tcW w:w="1183" w:type="pct"/>
            <w:shd w:val="clear" w:color="000000" w:fill="FFFFFF"/>
          </w:tcPr>
          <w:p w:rsidR="00BF220A" w:rsidRPr="00BF220A" w:rsidRDefault="00BF220A" w:rsidP="00893337">
            <w:pPr>
              <w:rPr>
                <w:rFonts w:ascii="Verdana" w:hAnsi="Verdana" w:cstheme="minorHAnsi"/>
                <w:sz w:val="20"/>
                <w:szCs w:val="20"/>
                <w:lang w:val="en-GB"/>
              </w:rPr>
            </w:pPr>
            <w:r w:rsidRPr="00BF220A">
              <w:rPr>
                <w:rFonts w:ascii="Verdana" w:hAnsi="Verdana" w:cstheme="minorHAnsi"/>
                <w:sz w:val="20"/>
                <w:szCs w:val="20"/>
                <w:lang w:val="en-GB"/>
              </w:rPr>
              <w:t>1. Developing and updating procedures and tools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r>
              <w:rPr>
                <w:rFonts w:ascii="Verdana" w:hAnsi="Verdana" w:cstheme="minorHAnsi"/>
                <w:sz w:val="20"/>
              </w:rPr>
              <w:t>1. Maksete ja raamatupidamisarvestuse haldamine</w:t>
            </w:r>
          </w:p>
        </w:tc>
        <w:tc>
          <w:tcPr>
            <w:tcW w:w="1285" w:type="pct"/>
            <w:shd w:val="clear" w:color="000000" w:fill="FFFFFF"/>
          </w:tcPr>
          <w:p w:rsidR="00BF220A" w:rsidRPr="004F27EE" w:rsidRDefault="00BF220A" w:rsidP="00893337">
            <w:pPr>
              <w:rPr>
                <w:rFonts w:ascii="Verdana" w:hAnsi="Verdana" w:cstheme="minorHAnsi"/>
                <w:sz w:val="20"/>
                <w:szCs w:val="20"/>
              </w:rPr>
            </w:pPr>
            <w:r>
              <w:rPr>
                <w:rFonts w:ascii="Verdana" w:hAnsi="Verdana" w:cstheme="minorHAnsi"/>
                <w:sz w:val="20"/>
              </w:rPr>
              <w:t>1. Menetluste ja vahendite väljatöötamine ja uuendamine</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tcPr>
          <w:p w:rsidR="00BF220A" w:rsidRPr="00BF220A" w:rsidRDefault="00BF220A" w:rsidP="00893337">
            <w:pPr>
              <w:rPr>
                <w:rFonts w:ascii="Verdana" w:hAnsi="Verdana" w:cstheme="minorHAnsi"/>
                <w:sz w:val="20"/>
                <w:szCs w:val="20"/>
                <w:lang w:val="en-GB"/>
              </w:rPr>
            </w:pPr>
            <w:r w:rsidRPr="00BF220A">
              <w:rPr>
                <w:rFonts w:ascii="Verdana" w:hAnsi="Verdana" w:cstheme="minorHAnsi"/>
                <w:sz w:val="20"/>
                <w:szCs w:val="20"/>
                <w:lang w:val="en-GB"/>
              </w:rPr>
              <w:t>2. Management of the accounts (amounts received from the EC, amounts recoverable and withdrawn)</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tcPr>
          <w:p w:rsidR="00BF220A" w:rsidRPr="004F27EE" w:rsidRDefault="00BF220A" w:rsidP="00893337">
            <w:pPr>
              <w:rPr>
                <w:rFonts w:ascii="Verdana" w:hAnsi="Verdana" w:cstheme="minorHAnsi"/>
                <w:sz w:val="20"/>
                <w:szCs w:val="20"/>
              </w:rPr>
            </w:pPr>
            <w:r>
              <w:rPr>
                <w:rFonts w:ascii="Verdana" w:hAnsi="Verdana" w:cstheme="minorHAnsi"/>
                <w:sz w:val="20"/>
              </w:rPr>
              <w:t>2. Raamatupidamisarvestuse haldamine (Euroopa Komisjonilt saadud summad, sissenõutavad ja tühistatud summad)</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rPr>
            </w:pPr>
          </w:p>
        </w:tc>
        <w:tc>
          <w:tcPr>
            <w:tcW w:w="1183" w:type="pct"/>
            <w:shd w:val="clear" w:color="000000" w:fill="FFFFFF"/>
          </w:tcPr>
          <w:p w:rsidR="00BF220A" w:rsidRPr="00BF220A" w:rsidRDefault="00BF220A" w:rsidP="00893337">
            <w:pPr>
              <w:rPr>
                <w:rFonts w:ascii="Verdana" w:hAnsi="Verdana" w:cstheme="minorHAnsi"/>
                <w:sz w:val="20"/>
                <w:szCs w:val="20"/>
                <w:lang w:val="en-GB"/>
              </w:rPr>
            </w:pPr>
            <w:r w:rsidRPr="00BF220A">
              <w:rPr>
                <w:rFonts w:ascii="Verdana" w:hAnsi="Verdana" w:cstheme="minorHAnsi"/>
                <w:sz w:val="20"/>
                <w:szCs w:val="20"/>
                <w:lang w:val="en-GB"/>
              </w:rPr>
              <w:t>3. Certification of completeness, accuracy, veracity of accounts and the eligibility of expenditure</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tcPr>
          <w:p w:rsidR="00BF220A" w:rsidRPr="004F27EE" w:rsidRDefault="00BF220A" w:rsidP="00893337">
            <w:pPr>
              <w:rPr>
                <w:rFonts w:ascii="Verdana" w:hAnsi="Verdana" w:cstheme="minorHAnsi"/>
                <w:sz w:val="20"/>
                <w:szCs w:val="20"/>
              </w:rPr>
            </w:pPr>
            <w:r>
              <w:rPr>
                <w:rFonts w:ascii="Verdana" w:hAnsi="Verdana" w:cstheme="minorHAnsi"/>
                <w:sz w:val="20"/>
              </w:rPr>
              <w:t>3. Raamatupidamisaruannete terviklikkuse, täpsuse ja õigsuse ning kulude rahastamiskõlblikkuse tõendamine</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rPr>
            </w:pPr>
          </w:p>
        </w:tc>
        <w:tc>
          <w:tcPr>
            <w:tcW w:w="1183" w:type="pct"/>
            <w:shd w:val="clear" w:color="000000" w:fill="FFFFFF"/>
          </w:tcPr>
          <w:p w:rsidR="00BF220A" w:rsidRPr="00BF220A" w:rsidRDefault="00BF220A" w:rsidP="00893337">
            <w:pPr>
              <w:rPr>
                <w:rFonts w:ascii="Verdana" w:hAnsi="Verdana" w:cstheme="minorHAnsi"/>
                <w:sz w:val="20"/>
                <w:szCs w:val="20"/>
                <w:lang w:val="en-GB"/>
              </w:rPr>
            </w:pPr>
            <w:r w:rsidRPr="00BF220A">
              <w:rPr>
                <w:rFonts w:ascii="Verdana" w:hAnsi="Verdana" w:cstheme="minorHAnsi"/>
                <w:sz w:val="20"/>
                <w:szCs w:val="20"/>
                <w:lang w:val="en-GB"/>
              </w:rPr>
              <w:t>4. Drawing up and submitting payment applications to the EC after receiving and taking into account information from verifications and audits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tcPr>
          <w:p w:rsidR="00BF220A" w:rsidRPr="004F27EE" w:rsidRDefault="00BF220A" w:rsidP="00893337">
            <w:pPr>
              <w:rPr>
                <w:rFonts w:ascii="Verdana" w:hAnsi="Verdana" w:cstheme="minorHAnsi"/>
                <w:sz w:val="20"/>
                <w:szCs w:val="20"/>
              </w:rPr>
            </w:pPr>
            <w:r>
              <w:rPr>
                <w:rFonts w:ascii="Verdana" w:hAnsi="Verdana" w:cstheme="minorHAnsi"/>
                <w:sz w:val="20"/>
              </w:rPr>
              <w:t>4. Maksetaotluste koostamine ja Euroopa Komisjonile esitamine pärast kontrollide ja auditite tulemusel saadud teabe kättesaamist ja arvessevõtmist</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tcPr>
          <w:p w:rsidR="00BF220A" w:rsidRPr="00BF220A" w:rsidRDefault="00BF220A" w:rsidP="00893337">
            <w:pPr>
              <w:rPr>
                <w:rFonts w:ascii="Verdana" w:hAnsi="Verdana" w:cstheme="minorHAnsi"/>
                <w:sz w:val="20"/>
                <w:szCs w:val="20"/>
                <w:lang w:val="en-GB"/>
              </w:rPr>
            </w:pPr>
            <w:r w:rsidRPr="00BF220A">
              <w:rPr>
                <w:rFonts w:ascii="Verdana" w:hAnsi="Verdana" w:cstheme="minorHAnsi"/>
                <w:sz w:val="20"/>
                <w:szCs w:val="20"/>
                <w:lang w:val="en-GB"/>
              </w:rPr>
              <w:t>5. Procurement of goods and services under Technical Assistance</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tcPr>
          <w:p w:rsidR="00BF220A" w:rsidRPr="004F27EE" w:rsidRDefault="00BF220A" w:rsidP="00893337">
            <w:pPr>
              <w:rPr>
                <w:rFonts w:ascii="Verdana" w:hAnsi="Verdana" w:cstheme="minorHAnsi"/>
                <w:sz w:val="20"/>
                <w:szCs w:val="20"/>
              </w:rPr>
            </w:pPr>
            <w:r>
              <w:rPr>
                <w:rFonts w:ascii="Verdana" w:hAnsi="Verdana" w:cstheme="minorHAnsi"/>
                <w:sz w:val="20"/>
              </w:rPr>
              <w:t>5. Kaupade ja teenuste hanked tehnilise abi eelarvest</w:t>
            </w:r>
          </w:p>
        </w:tc>
      </w:tr>
      <w:tr w:rsidR="00BF220A" w:rsidRPr="0058429F" w:rsidTr="00BF220A">
        <w:trPr>
          <w:trHeight w:val="354"/>
        </w:trPr>
        <w:tc>
          <w:tcPr>
            <w:tcW w:w="1070" w:type="pct"/>
            <w:shd w:val="clear" w:color="000000" w:fill="FFFFFF"/>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 Supervision of Intermediate Bodies (IBs)</w:t>
            </w: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2.1. Supporting IBs in setting-up the management and control system</w:t>
            </w:r>
          </w:p>
        </w:tc>
        <w:tc>
          <w:tcPr>
            <w:tcW w:w="1462" w:type="pct"/>
            <w:shd w:val="clear" w:color="000000" w:fill="FFFFFF"/>
          </w:tcPr>
          <w:p w:rsidR="00BF220A" w:rsidRPr="0058429F" w:rsidRDefault="00BF220A" w:rsidP="00893337">
            <w:pPr>
              <w:spacing w:after="0"/>
              <w:rPr>
                <w:rFonts w:ascii="Verdana" w:hAnsi="Verdana" w:cstheme="minorHAnsi"/>
                <w:sz w:val="20"/>
                <w:szCs w:val="20"/>
              </w:rPr>
            </w:pPr>
            <w:r>
              <w:rPr>
                <w:rFonts w:ascii="Verdana" w:hAnsi="Verdana" w:cstheme="minorHAnsi"/>
                <w:sz w:val="20"/>
              </w:rPr>
              <w:t>2. Järelevalve vahendusasutuste üle</w:t>
            </w: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2.1. Vahendusasutuste toetamine juhtimis- ja kontrollisüsteemide loomisel</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2.2. Supporting IBs in setting-up the management and control system</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2.2. Vahendusasutuste toetamine juhtimis- ja kontrollisüsteemide loomisel</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675ACF" w:rsidP="00893337">
            <w:pPr>
              <w:spacing w:after="0"/>
              <w:rPr>
                <w:rFonts w:ascii="Verdana" w:hAnsi="Verdana" w:cstheme="minorHAnsi"/>
                <w:sz w:val="20"/>
                <w:szCs w:val="20"/>
                <w:lang w:val="en-GB"/>
              </w:rPr>
            </w:pPr>
            <w:r>
              <w:rPr>
                <w:rFonts w:ascii="Verdana" w:hAnsi="Verdana" w:cstheme="minorHAnsi"/>
                <w:sz w:val="20"/>
                <w:szCs w:val="20"/>
                <w:lang w:val="en-GB"/>
              </w:rPr>
              <w:t>2.3. Planning of the audits</w:t>
            </w:r>
            <w:r w:rsidR="00BF220A" w:rsidRPr="00BF220A">
              <w:rPr>
                <w:rFonts w:ascii="Verdana" w:hAnsi="Verdana" w:cstheme="minorHAnsi"/>
                <w:sz w:val="20"/>
                <w:szCs w:val="20"/>
                <w:lang w:val="en-GB"/>
              </w:rPr>
              <w:t xml:space="preserve"> of IBs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2.3. Vahendusasutuste auditite kavandamine</w:t>
            </w:r>
          </w:p>
        </w:tc>
      </w:tr>
      <w:tr w:rsidR="00BF220A" w:rsidRPr="0058429F" w:rsidTr="00BF220A">
        <w:trPr>
          <w:trHeight w:val="354"/>
        </w:trPr>
        <w:tc>
          <w:tcPr>
            <w:tcW w:w="1070" w:type="pct"/>
            <w:shd w:val="clear" w:color="000000" w:fill="FFFFFF"/>
          </w:tcPr>
          <w:p w:rsidR="00BF220A" w:rsidRPr="00BF220A" w:rsidRDefault="00BF220A" w:rsidP="00893337">
            <w:pPr>
              <w:spacing w:after="0"/>
              <w:rPr>
                <w:rFonts w:ascii="Verdana" w:hAnsi="Verdana" w:cstheme="minorHAnsi"/>
                <w:sz w:val="20"/>
                <w:szCs w:val="20"/>
                <w:lang w:val="en-GB"/>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2.4. Audit of the management and control system of IBs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2.4. Vahendusasutuste juhtimis- ja kontrollsüsteemide auditeerimine</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2.5. Regular review of results reported by IBs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2.5. Vahendusasutuste esitatud tulemuste korrapärane läbivaatamine</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2.6. Review of a sample of operations carried out under the responsibility of the IBs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2.6. Vahendusasutuste vastutusel läbi viidud tegevusvalimi läbivaatamine</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2.7. Drafting of procedures and guidelines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2.7. Menetluste ja juhiste koostamine</w:t>
            </w:r>
          </w:p>
        </w:tc>
      </w:tr>
      <w:tr w:rsidR="00BF220A" w:rsidRPr="0058429F" w:rsidTr="00BF220A">
        <w:trPr>
          <w:trHeight w:val="354"/>
        </w:trPr>
        <w:tc>
          <w:tcPr>
            <w:tcW w:w="1070" w:type="pct"/>
            <w:shd w:val="clear" w:color="000000" w:fill="FFFFFF"/>
          </w:tcPr>
          <w:p w:rsidR="00BF220A" w:rsidRPr="00BF220A" w:rsidRDefault="00BF220A" w:rsidP="00893337">
            <w:pPr>
              <w:spacing w:after="0"/>
              <w:rPr>
                <w:rFonts w:ascii="Verdana" w:hAnsi="Verdana" w:cstheme="minorHAnsi"/>
                <w:sz w:val="20"/>
                <w:szCs w:val="20"/>
                <w:lang w:val="en-GB"/>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2.8. Procurement of goods and services under Technical Assistance</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2.8. Kaupade ja teenuste hanked tehnilise abi eelarvest</w:t>
            </w:r>
          </w:p>
        </w:tc>
      </w:tr>
      <w:tr w:rsidR="00BF220A" w:rsidRPr="0058429F" w:rsidTr="00BF220A">
        <w:trPr>
          <w:trHeight w:val="354"/>
        </w:trPr>
        <w:tc>
          <w:tcPr>
            <w:tcW w:w="1070" w:type="pct"/>
            <w:shd w:val="clear" w:color="000000" w:fill="FFFFFF"/>
          </w:tcPr>
          <w:p w:rsidR="00BF220A" w:rsidRPr="006E03BF" w:rsidRDefault="00BF220A" w:rsidP="00893337">
            <w:pPr>
              <w:spacing w:after="0"/>
              <w:rPr>
                <w:rFonts w:ascii="Verdana" w:hAnsi="Verdana" w:cstheme="minorHAnsi"/>
                <w:sz w:val="20"/>
                <w:szCs w:val="20"/>
                <w:lang w:val="fi-FI"/>
              </w:rPr>
            </w:pPr>
          </w:p>
        </w:tc>
        <w:tc>
          <w:tcPr>
            <w:tcW w:w="1183"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2.9 Ongoing support to IBs</w:t>
            </w:r>
          </w:p>
        </w:tc>
        <w:tc>
          <w:tcPr>
            <w:tcW w:w="1462" w:type="pct"/>
            <w:shd w:val="clear" w:color="000000" w:fill="FFFFFF"/>
          </w:tcPr>
          <w:p w:rsidR="00BF220A" w:rsidRPr="0058429F" w:rsidRDefault="00BF220A" w:rsidP="00893337">
            <w:pPr>
              <w:spacing w:after="0"/>
              <w:rPr>
                <w:rFonts w:ascii="Verdana" w:hAnsi="Verdana" w:cstheme="minorHAnsi"/>
                <w:sz w:val="20"/>
                <w:szCs w:val="20"/>
              </w:rPr>
            </w:pPr>
          </w:p>
        </w:tc>
        <w:tc>
          <w:tcPr>
            <w:tcW w:w="1285"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2.9. Vahendusasutuste kestev toetamine</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7503631"/>
      <w:r>
        <w:lastRenderedPageBreak/>
        <w:t>Oskuse skaala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Inglise</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BF220A" w:rsidRPr="001B2DD4" w:rsidTr="006645FC">
        <w:trPr>
          <w:trHeight w:val="332"/>
          <w:tblHeader/>
        </w:trPr>
        <w:tc>
          <w:tcPr>
            <w:tcW w:w="658" w:type="pct"/>
            <w:shd w:val="clear" w:color="auto" w:fill="F2F2F2" w:themeFill="background1" w:themeFillShade="F2"/>
          </w:tcPr>
          <w:p w:rsidR="00BF220A" w:rsidRPr="00BF220A" w:rsidRDefault="00BF220A" w:rsidP="00893337">
            <w:pPr>
              <w:spacing w:after="0" w:line="240" w:lineRule="auto"/>
              <w:rPr>
                <w:rFonts w:ascii="Verdana" w:hAnsi="Verdana" w:cstheme="minorHAnsi"/>
                <w:sz w:val="20"/>
                <w:szCs w:val="20"/>
                <w:lang w:val="en-GB"/>
              </w:rPr>
            </w:pPr>
            <w:r w:rsidRPr="00BF220A">
              <w:rPr>
                <w:rFonts w:ascii="Verdana" w:hAnsi="Verdana" w:cstheme="minorHAnsi"/>
                <w:sz w:val="20"/>
                <w:szCs w:val="20"/>
                <w:lang w:val="en-GB"/>
              </w:rPr>
              <w:t xml:space="preserve">Scale </w:t>
            </w:r>
          </w:p>
        </w:tc>
        <w:tc>
          <w:tcPr>
            <w:tcW w:w="1738" w:type="pct"/>
            <w:shd w:val="clear" w:color="auto" w:fill="F2F2F2" w:themeFill="background1" w:themeFillShade="F2"/>
          </w:tcPr>
          <w:p w:rsidR="00BF220A" w:rsidRPr="00BF220A" w:rsidRDefault="00BF220A" w:rsidP="00893337">
            <w:pPr>
              <w:spacing w:after="0" w:line="240" w:lineRule="auto"/>
              <w:rPr>
                <w:rFonts w:ascii="Verdana" w:hAnsi="Verdana" w:cstheme="minorHAnsi"/>
                <w:sz w:val="20"/>
                <w:szCs w:val="20"/>
                <w:lang w:val="en-GB"/>
              </w:rPr>
            </w:pPr>
            <w:r w:rsidRPr="00BF220A">
              <w:rPr>
                <w:rFonts w:ascii="Verdana" w:hAnsi="Verdana" w:cstheme="minorHAnsi"/>
                <w:sz w:val="20"/>
                <w:szCs w:val="20"/>
                <w:lang w:val="en-GB"/>
              </w:rPr>
              <w:t xml:space="preserve">Description </w:t>
            </w:r>
          </w:p>
        </w:tc>
        <w:tc>
          <w:tcPr>
            <w:tcW w:w="590" w:type="pct"/>
            <w:shd w:val="clear" w:color="auto" w:fill="F2F2F2" w:themeFill="background1" w:themeFillShade="F2"/>
          </w:tcPr>
          <w:p w:rsidR="00BF220A" w:rsidRPr="001B2DD4" w:rsidRDefault="00BF220A" w:rsidP="00893337">
            <w:pPr>
              <w:spacing w:after="0" w:line="240" w:lineRule="auto"/>
              <w:rPr>
                <w:rFonts w:ascii="Verdana" w:hAnsi="Verdana" w:cstheme="minorHAnsi"/>
                <w:sz w:val="20"/>
                <w:szCs w:val="20"/>
              </w:rPr>
            </w:pPr>
            <w:r>
              <w:rPr>
                <w:rFonts w:ascii="Verdana" w:hAnsi="Verdana" w:cstheme="minorHAnsi"/>
                <w:sz w:val="20"/>
              </w:rPr>
              <w:t xml:space="preserve">Skaala </w:t>
            </w:r>
          </w:p>
        </w:tc>
        <w:tc>
          <w:tcPr>
            <w:tcW w:w="2014" w:type="pct"/>
            <w:shd w:val="clear" w:color="auto" w:fill="F2F2F2" w:themeFill="background1" w:themeFillShade="F2"/>
          </w:tcPr>
          <w:p w:rsidR="00BF220A" w:rsidRPr="001B2DD4" w:rsidRDefault="00BF220A" w:rsidP="00893337">
            <w:pPr>
              <w:spacing w:after="0" w:line="240" w:lineRule="auto"/>
              <w:rPr>
                <w:rFonts w:ascii="Verdana" w:hAnsi="Verdana" w:cstheme="minorHAnsi"/>
                <w:sz w:val="20"/>
                <w:szCs w:val="20"/>
              </w:rPr>
            </w:pPr>
            <w:r>
              <w:rPr>
                <w:rFonts w:ascii="Verdana" w:hAnsi="Verdana" w:cstheme="minorHAnsi"/>
                <w:sz w:val="20"/>
              </w:rPr>
              <w:t xml:space="preserve">Kirjeldus </w:t>
            </w:r>
          </w:p>
        </w:tc>
      </w:tr>
      <w:tr w:rsidR="00BF220A" w:rsidRPr="001B2DD4" w:rsidTr="006645FC">
        <w:trPr>
          <w:trHeight w:val="566"/>
        </w:trPr>
        <w:tc>
          <w:tcPr>
            <w:tcW w:w="65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N.A. - Not Applicable</w:t>
            </w:r>
          </w:p>
        </w:tc>
        <w:tc>
          <w:tcPr>
            <w:tcW w:w="1738" w:type="pct"/>
            <w:shd w:val="clear" w:color="000000" w:fill="FFFFFF"/>
            <w:hideMark/>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 xml:space="preserve">The competency is not applicable to the job role. </w:t>
            </w:r>
          </w:p>
        </w:tc>
        <w:tc>
          <w:tcPr>
            <w:tcW w:w="590"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 – ei kohaldata</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 xml:space="preserve">Pädevust ei rakendata sellel ametikohal. </w:t>
            </w:r>
          </w:p>
        </w:tc>
      </w:tr>
      <w:tr w:rsidR="00BF220A" w:rsidRPr="001B2DD4" w:rsidTr="006645FC">
        <w:trPr>
          <w:trHeight w:val="908"/>
        </w:trPr>
        <w:tc>
          <w:tcPr>
            <w:tcW w:w="65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 xml:space="preserve">Level 0 – </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No knowledge</w:t>
            </w:r>
          </w:p>
        </w:tc>
        <w:tc>
          <w:tcPr>
            <w:tcW w:w="173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 xml:space="preserve">Tase 0 – </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teadmised puuduvad</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Teadmised sellest pädevusest puuduvad või ei oska neid tegelikus olukorras kasutada.</w:t>
            </w:r>
          </w:p>
        </w:tc>
      </w:tr>
      <w:tr w:rsidR="00BF220A" w:rsidRPr="001B2DD4" w:rsidTr="006645FC">
        <w:trPr>
          <w:trHeight w:val="1421"/>
        </w:trPr>
        <w:tc>
          <w:tcPr>
            <w:tcW w:w="65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Level 1 - Awareness</w:t>
            </w:r>
          </w:p>
        </w:tc>
        <w:tc>
          <w:tcPr>
            <w:tcW w:w="173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Basic knowledge of the competency (e.g. understands general concepts and processes, is familiar with related key terminology).</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Tase 1 – teadlik</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Algteadmised pädevusest (nt saab aru üldmõistetest ja protsessidest, tunneb nendega seotud põhiterminoloogiat).</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Suudab seda pädevust näidata, kui talle on antud konkreetsed juhendid ja juhised.</w:t>
            </w:r>
          </w:p>
        </w:tc>
      </w:tr>
      <w:tr w:rsidR="00BF220A" w:rsidRPr="001B2DD4" w:rsidTr="006645FC">
        <w:trPr>
          <w:trHeight w:val="1103"/>
        </w:trPr>
        <w:tc>
          <w:tcPr>
            <w:tcW w:w="65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Level 2 - Trained</w:t>
            </w:r>
          </w:p>
        </w:tc>
        <w:tc>
          <w:tcPr>
            <w:tcW w:w="173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Good working knowledge of the competency. Ability to apply that knowledge in daily work.</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Tase 2 – koolitatud</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Head tööalased teadmised pädevusest. Suudab neid teadmisi igapäevatöös rakendada.</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Suudab sõltumatult läbi viia pädevusega seotud tavapärast tegevust.</w:t>
            </w:r>
          </w:p>
        </w:tc>
      </w:tr>
      <w:tr w:rsidR="00BF220A" w:rsidRPr="001B2DD4" w:rsidTr="00695FDB">
        <w:trPr>
          <w:trHeight w:val="1103"/>
        </w:trPr>
        <w:tc>
          <w:tcPr>
            <w:tcW w:w="658" w:type="pct"/>
            <w:shd w:val="clear" w:color="000000" w:fill="FFFFFF"/>
            <w:vAlign w:val="center"/>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Level 3 - Intermediate</w:t>
            </w:r>
          </w:p>
        </w:tc>
        <w:tc>
          <w:tcPr>
            <w:tcW w:w="173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Broad and in-depth knowledge and skills with regards to the competency.</w:t>
            </w:r>
            <w:r w:rsidRPr="00BF220A">
              <w:rPr>
                <w:rFonts w:ascii="Verdana" w:hAnsi="Verdana" w:cstheme="minorHAnsi"/>
                <w:sz w:val="20"/>
                <w:szCs w:val="20"/>
                <w:lang w:val="en-GB"/>
              </w:rPr>
              <w:br/>
              <w:t>Ability to deal with a variety of exceptions and special cases related to the competency in an independent manner.</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Ability to effectively share knowledge and experience with more junior profiles.</w:t>
            </w:r>
            <w:r w:rsidRPr="00BF220A">
              <w:rPr>
                <w:rFonts w:ascii="Verdana" w:hAnsi="Verdana" w:cstheme="minorHAnsi"/>
                <w:sz w:val="20"/>
                <w:szCs w:val="20"/>
                <w:lang w:val="en-GB"/>
              </w:rPr>
              <w:br/>
              <w:t xml:space="preserve">Confidence in serving as an advisor and is sought out to provide insight in the </w:t>
            </w:r>
            <w:r w:rsidRPr="00BF220A">
              <w:rPr>
                <w:rFonts w:ascii="Verdana" w:hAnsi="Verdana" w:cstheme="minorHAnsi"/>
                <w:sz w:val="20"/>
                <w:szCs w:val="20"/>
                <w:lang w:val="en-GB"/>
              </w:rPr>
              <w:lastRenderedPageBreak/>
              <w:t>application of this competency.</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lastRenderedPageBreak/>
              <w:t>Tase 3 – keskmine</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Laialdased ja süvendatud teadmised ja oskused pädevuse alal.</w:t>
            </w:r>
            <w:r>
              <w:rPr>
                <w:rFonts w:ascii="Verdana" w:hAnsi="Verdana" w:cstheme="minorHAnsi"/>
                <w:sz w:val="20"/>
                <w:szCs w:val="20"/>
              </w:rPr>
              <w:br/>
            </w:r>
            <w:r>
              <w:rPr>
                <w:rFonts w:ascii="Verdana" w:hAnsi="Verdana" w:cstheme="minorHAnsi"/>
                <w:sz w:val="20"/>
              </w:rPr>
              <w:t>Suudab sõltumatult toime tulla mitmesuguste pädevusega seotud erandite ja erijuhtumitega.</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Suudab tõhusalt jagada teadmisi ja kogemusi vähem kogenud kolleegidega.</w:t>
            </w:r>
            <w:r>
              <w:rPr>
                <w:rFonts w:ascii="Verdana" w:hAnsi="Verdana" w:cstheme="minorHAnsi"/>
                <w:sz w:val="20"/>
                <w:szCs w:val="20"/>
              </w:rPr>
              <w:br/>
            </w:r>
            <w:r>
              <w:rPr>
                <w:rFonts w:ascii="Verdana" w:hAnsi="Verdana" w:cstheme="minorHAnsi"/>
                <w:sz w:val="20"/>
              </w:rPr>
              <w:t>On endas piisavalt kindel, et olla nõuandja – temalt küsitakse arvamust pädevuse rakendamisel.</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lastRenderedPageBreak/>
              <w:t>Suudab juhendada teisi selle pädevuse rakendamisel ja rääkida selle pädevusega seotud keerukatest nüanssidest ja küsimustest kergesti arusaadavalt.</w:t>
            </w:r>
          </w:p>
        </w:tc>
      </w:tr>
      <w:tr w:rsidR="00BF220A" w:rsidRPr="001B2DD4" w:rsidTr="00695FDB">
        <w:trPr>
          <w:trHeight w:val="1103"/>
        </w:trPr>
        <w:tc>
          <w:tcPr>
            <w:tcW w:w="658" w:type="pct"/>
            <w:shd w:val="clear" w:color="000000" w:fill="FFFFFF"/>
            <w:vAlign w:val="center"/>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lastRenderedPageBreak/>
              <w:t>Level 4 - Expert</w:t>
            </w:r>
          </w:p>
        </w:tc>
        <w:tc>
          <w:tcPr>
            <w:tcW w:w="1738" w:type="pct"/>
            <w:shd w:val="clear" w:color="000000" w:fill="FFFFFF"/>
          </w:tcPr>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Extensive expert knowledge and skills with regards to the competency.</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Ability to highlight the (dis)advantages of each of the processes related to the competency whilst linking them to the bigger picture.</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BF220A" w:rsidRPr="00BF220A" w:rsidRDefault="00BF220A" w:rsidP="00893337">
            <w:pPr>
              <w:spacing w:before="60" w:after="120" w:line="240" w:lineRule="auto"/>
              <w:rPr>
                <w:rFonts w:ascii="Verdana" w:hAnsi="Verdana" w:cstheme="minorHAnsi"/>
                <w:sz w:val="20"/>
                <w:szCs w:val="20"/>
                <w:lang w:val="en-GB"/>
              </w:rPr>
            </w:pPr>
            <w:r w:rsidRPr="00BF220A">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Tase 4 – ekspert</w:t>
            </w:r>
          </w:p>
        </w:tc>
        <w:tc>
          <w:tcPr>
            <w:tcW w:w="2014" w:type="pct"/>
            <w:shd w:val="clear" w:color="000000" w:fill="FFFFFF"/>
          </w:tcPr>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Ulatuslikud eksperditeadmised ja -oskused pädevuse alal.</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Suudab välja tuua kõikide pädevusega seotud protsesside eelised (puudused) ning siduda neid üldise taustaga.</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Suudab majasisestele ja -välistele päringutele vastates anda vajadustele kohandatud nõuandeid ning toetada viimaseid asjakohaste ja tausta arvestavate väidetega.</w:t>
            </w:r>
          </w:p>
          <w:p w:rsidR="00BF220A" w:rsidRPr="001B2DD4" w:rsidRDefault="00BF220A" w:rsidP="00893337">
            <w:pPr>
              <w:spacing w:before="60" w:after="120" w:line="240" w:lineRule="auto"/>
              <w:rPr>
                <w:rFonts w:ascii="Verdana" w:hAnsi="Verdana" w:cstheme="minorHAnsi"/>
                <w:sz w:val="20"/>
                <w:szCs w:val="20"/>
              </w:rPr>
            </w:pPr>
            <w:r>
              <w:rPr>
                <w:rFonts w:ascii="Verdana" w:hAnsi="Verdana" w:cstheme="minorHAnsi"/>
                <w:sz w:val="20"/>
              </w:rPr>
              <w:t>Kolleegid peavad teda eeskujuks, kes suudab teisi pädevuse valdkonnas juhtida või õpetada.</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7503632"/>
      <w:r>
        <w:lastRenderedPageBreak/>
        <w:t>Tegevuspädevused</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BF220A" w:rsidRPr="0058429F" w:rsidTr="00641ED7">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BF220A" w:rsidRPr="0058429F" w:rsidRDefault="00BF220A" w:rsidP="00BF220A">
            <w:pPr>
              <w:spacing w:after="0"/>
              <w:rPr>
                <w:rFonts w:ascii="Verdana" w:hAnsi="Verdana"/>
                <w:sz w:val="20"/>
                <w:szCs w:val="20"/>
              </w:rPr>
            </w:pPr>
            <w:r>
              <w:rPr>
                <w:rFonts w:ascii="Verdana" w:hAnsi="Verdana"/>
                <w:sz w:val="20"/>
              </w:rPr>
              <w:t>Kood</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F220A" w:rsidRPr="0058429F" w:rsidRDefault="00BF220A" w:rsidP="00BF220A">
            <w:pPr>
              <w:spacing w:after="0"/>
              <w:rPr>
                <w:rFonts w:ascii="Verdana" w:hAnsi="Verdana"/>
                <w:sz w:val="20"/>
                <w:szCs w:val="20"/>
              </w:rPr>
            </w:pPr>
            <w:r>
              <w:rPr>
                <w:rFonts w:ascii="Verdana" w:hAnsi="Verdana"/>
                <w:sz w:val="20"/>
              </w:rPr>
              <w:t>Kirjeldus</w:t>
            </w:r>
          </w:p>
        </w:tc>
      </w:tr>
      <w:tr w:rsidR="00BF220A" w:rsidRPr="0058429F" w:rsidTr="00641ED7">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Auditi standardid, menetlused ja metoodika</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Kulude rahastamiskõlblikkus</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Pettuseriski juhtimine (sh ennetus-, avastamis- ja leevendusmeetmed)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Lihtsustatud kuluvõimalused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Funktsiooni täitmiseks asjakohased finantsinstrumendid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Valdkonnaülesed küsimused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Riigihanke-eeskirjad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Riigiabi</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Auditi standardid, menetlused ja metoodika</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Infotehnoloogia auditi standardid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Valimi moodustamise ja ekstrapoleerimismeetodid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Rahastamispuudujääk ja tulu tekitamine</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Suurprojektidega seotud menetlused/õigusaktid</w:t>
            </w:r>
          </w:p>
        </w:tc>
      </w:tr>
      <w:tr w:rsidR="00BF220A" w:rsidRPr="0058429F" w:rsidTr="00641ED7">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Territoriaalsed küsimused, nagu integreeritud territoriaalsed investeeringud, kogukonna juhitud kohalik areng, kestlik linnaarendus, makrotasandi-/regionaalstrateegiad ja piirkondadevahelise koostöö planeerimine</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Haldusmenetlused kaupade ja teenuste hangeteks tehnilise abi eelarvest</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Sisendi-, väljundi-, tulemusnäitajad</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Ergutav mõju</w:t>
            </w:r>
          </w:p>
        </w:tc>
      </w:tr>
      <w:tr w:rsidR="00BF220A" w:rsidRPr="0058429F" w:rsidTr="00641ED7">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F220A" w:rsidRPr="0058429F" w:rsidRDefault="00BF220A" w:rsidP="00BF220A">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F220A" w:rsidRPr="00BF220A" w:rsidRDefault="00BF220A" w:rsidP="00BF220A">
            <w:pPr>
              <w:spacing w:after="0"/>
              <w:rPr>
                <w:rFonts w:ascii="Verdana" w:hAnsi="Verdana"/>
                <w:sz w:val="20"/>
                <w:szCs w:val="20"/>
                <w:lang w:val="en-GB"/>
              </w:rPr>
            </w:pPr>
            <w:r w:rsidRPr="00BF220A">
              <w:rPr>
                <w:rFonts w:ascii="Verdana" w:hAnsi="Verdana"/>
                <w:sz w:val="20"/>
                <w:szCs w:val="20"/>
                <w:lang w:val="en-GB"/>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BF220A" w:rsidRPr="0058429F" w:rsidRDefault="00BF220A" w:rsidP="00BF220A">
            <w:pPr>
              <w:spacing w:after="0"/>
              <w:rPr>
                <w:rFonts w:ascii="Verdana" w:hAnsi="Verdana"/>
                <w:sz w:val="20"/>
                <w:szCs w:val="20"/>
              </w:rPr>
            </w:pPr>
            <w:r>
              <w:rPr>
                <w:rFonts w:ascii="Verdana" w:hAnsi="Verdana"/>
                <w:sz w:val="20"/>
              </w:rPr>
              <w:t>Programmijuhtimine ja projektitsükli juhtimine</w:t>
            </w:r>
          </w:p>
        </w:tc>
      </w:tr>
    </w:tbl>
    <w:p w:rsidR="000E47BD" w:rsidRPr="001B2DD4" w:rsidRDefault="000E47BD" w:rsidP="009A1178">
      <w:pPr>
        <w:pStyle w:val="Heading1"/>
      </w:pPr>
      <w:bookmarkStart w:id="10" w:name="_Toc494962307"/>
      <w:bookmarkStart w:id="11" w:name="_Toc507503633"/>
      <w:r>
        <w:t>Juhtimispädevused</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BF220A" w:rsidRPr="0058429F" w:rsidTr="00667D84">
        <w:trPr>
          <w:trHeight w:val="255"/>
          <w:tblHeader/>
        </w:trPr>
        <w:tc>
          <w:tcPr>
            <w:tcW w:w="386" w:type="pct"/>
            <w:shd w:val="clear" w:color="auto" w:fill="EDEDED" w:themeFill="accent3" w:themeFillTint="33"/>
          </w:tcPr>
          <w:p w:rsidR="00BF220A" w:rsidRPr="0058429F" w:rsidRDefault="00BF220A" w:rsidP="00AD2B31">
            <w:pPr>
              <w:spacing w:after="0" w:line="240" w:lineRule="auto"/>
              <w:rPr>
                <w:rFonts w:ascii="Verdana" w:eastAsia="Times New Roman" w:hAnsi="Verdana" w:cstheme="minorHAnsi"/>
                <w:bCs/>
                <w:sz w:val="20"/>
                <w:szCs w:val="20"/>
              </w:rPr>
            </w:pPr>
            <w:r>
              <w:rPr>
                <w:rFonts w:ascii="Verdana" w:hAnsi="Verdana" w:cstheme="minorHAnsi"/>
                <w:sz w:val="20"/>
              </w:rPr>
              <w:t>Kood</w:t>
            </w:r>
          </w:p>
        </w:tc>
        <w:tc>
          <w:tcPr>
            <w:tcW w:w="793" w:type="pct"/>
            <w:shd w:val="clear" w:color="auto" w:fill="EDEDED" w:themeFill="accent3" w:themeFillTint="33"/>
            <w:noWrap/>
            <w:vAlign w:val="center"/>
            <w:hideMark/>
          </w:tcPr>
          <w:p w:rsidR="00BF220A" w:rsidRPr="00BF220A" w:rsidRDefault="00BF220A" w:rsidP="00893337">
            <w:pPr>
              <w:spacing w:after="0" w:line="240" w:lineRule="auto"/>
              <w:jc w:val="center"/>
              <w:rPr>
                <w:rFonts w:ascii="Verdana" w:eastAsia="Times New Roman" w:hAnsi="Verdana" w:cstheme="minorHAnsi"/>
                <w:bCs/>
                <w:sz w:val="20"/>
                <w:szCs w:val="20"/>
                <w:lang w:val="en-GB"/>
              </w:rPr>
            </w:pPr>
            <w:r w:rsidRPr="00BF220A">
              <w:rPr>
                <w:rFonts w:ascii="Verdana" w:eastAsia="Times New Roman" w:hAnsi="Verdana" w:cstheme="minorHAnsi"/>
                <w:bCs/>
                <w:sz w:val="20"/>
                <w:szCs w:val="20"/>
                <w:lang w:val="en-GB"/>
              </w:rPr>
              <w:t>Competency</w:t>
            </w:r>
          </w:p>
        </w:tc>
        <w:tc>
          <w:tcPr>
            <w:tcW w:w="1425" w:type="pct"/>
            <w:shd w:val="clear" w:color="auto" w:fill="EDEDED" w:themeFill="accent3" w:themeFillTint="33"/>
            <w:noWrap/>
            <w:vAlign w:val="center"/>
            <w:hideMark/>
          </w:tcPr>
          <w:p w:rsidR="00BF220A" w:rsidRPr="00BF220A" w:rsidRDefault="00BF220A" w:rsidP="00893337">
            <w:pPr>
              <w:spacing w:after="0" w:line="240" w:lineRule="auto"/>
              <w:jc w:val="center"/>
              <w:rPr>
                <w:rFonts w:ascii="Verdana" w:eastAsia="Times New Roman" w:hAnsi="Verdana" w:cstheme="minorHAnsi"/>
                <w:bCs/>
                <w:sz w:val="20"/>
                <w:szCs w:val="20"/>
                <w:lang w:val="en-GB"/>
              </w:rPr>
            </w:pPr>
            <w:r w:rsidRPr="00BF220A">
              <w:rPr>
                <w:rFonts w:ascii="Verdana" w:eastAsia="Times New Roman" w:hAnsi="Verdana" w:cstheme="minorHAnsi"/>
                <w:bCs/>
                <w:sz w:val="20"/>
                <w:szCs w:val="20"/>
                <w:lang w:val="en-GB"/>
              </w:rPr>
              <w:t>Description</w:t>
            </w:r>
          </w:p>
        </w:tc>
        <w:tc>
          <w:tcPr>
            <w:tcW w:w="799" w:type="pct"/>
            <w:shd w:val="clear" w:color="auto" w:fill="EDEDED" w:themeFill="accent3" w:themeFillTint="33"/>
            <w:vAlign w:val="center"/>
          </w:tcPr>
          <w:p w:rsidR="00BF220A" w:rsidRPr="0058429F" w:rsidRDefault="00BF220A" w:rsidP="00893337">
            <w:pPr>
              <w:spacing w:after="0" w:line="240" w:lineRule="auto"/>
              <w:jc w:val="center"/>
              <w:rPr>
                <w:rFonts w:ascii="Verdana" w:eastAsia="Times New Roman" w:hAnsi="Verdana" w:cstheme="minorHAnsi"/>
                <w:bCs/>
                <w:sz w:val="20"/>
                <w:szCs w:val="20"/>
              </w:rPr>
            </w:pPr>
            <w:r>
              <w:rPr>
                <w:rFonts w:ascii="Verdana" w:hAnsi="Verdana" w:cstheme="minorHAnsi"/>
                <w:sz w:val="20"/>
              </w:rPr>
              <w:t>Pädevus</w:t>
            </w:r>
          </w:p>
        </w:tc>
        <w:tc>
          <w:tcPr>
            <w:tcW w:w="1597" w:type="pct"/>
            <w:shd w:val="clear" w:color="auto" w:fill="EDEDED" w:themeFill="accent3" w:themeFillTint="33"/>
            <w:vAlign w:val="center"/>
          </w:tcPr>
          <w:p w:rsidR="00BF220A" w:rsidRPr="0058429F" w:rsidRDefault="00BF220A" w:rsidP="00893337">
            <w:pPr>
              <w:spacing w:after="0" w:line="240" w:lineRule="auto"/>
              <w:jc w:val="center"/>
              <w:rPr>
                <w:rFonts w:ascii="Verdana" w:eastAsia="Times New Roman" w:hAnsi="Verdana" w:cstheme="minorHAnsi"/>
                <w:bCs/>
                <w:sz w:val="20"/>
                <w:szCs w:val="20"/>
              </w:rPr>
            </w:pPr>
            <w:r>
              <w:rPr>
                <w:rFonts w:ascii="Verdana" w:hAnsi="Verdana" w:cstheme="minorHAnsi"/>
                <w:sz w:val="20"/>
              </w:rPr>
              <w:t>Kirjeldus</w:t>
            </w:r>
          </w:p>
        </w:tc>
      </w:tr>
      <w:tr w:rsidR="00BF220A" w:rsidRPr="0058429F" w:rsidTr="001C3AFA">
        <w:trPr>
          <w:trHeight w:val="579"/>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lastRenderedPageBreak/>
              <w:t>M.C1</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Developing others and people management</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Inimeste juhtimine ja arendamine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anda õigeaegseid, selgeid ja konkreetseid juhiseid ning tagasisidet, toetada teisi arendamis- ja koolitusvajaduste ning -võimaluste väljaselgitamisel, nende teadmiste, oskuste ja võimete arendamisel, mis on vajalikud neile määratud ülesannete täitmiseks või probleemide lahendamiseks, samuti suudab juhtida töötajate tööalast tegevust, arendamist ja tulemuslikkust nii, et töötajad toimivad kõige tõhusamal viisil.</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Decision making</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Otsuste tegemine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tõhusalt läheneda järelduste tegemisele või lahenduste väljatöötamisele ja võtab õigeaegselt meetmeid, mis arvestavad talle kättesaadavate eri allikatest saadud andmete ja faktidega, piirangutega ja võimalike tagajärgedega.</w:t>
            </w:r>
          </w:p>
        </w:tc>
      </w:tr>
      <w:tr w:rsidR="00BF220A" w:rsidRPr="0058429F" w:rsidTr="001C3AFA">
        <w:trPr>
          <w:trHeight w:val="1020"/>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Delegation</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Delegeerimine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anda teistele edasi õiguse otsustada ja/või ülesannete eest vastutada, tagada selge suhtlemise ülesande edasiandmise ja täitmise kohta ning anda asjakohast tuge nii, et organisatsiooni ja üksikisikute tulemuslikkus oleks kõige suurem.</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Facilitation and communication</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Lepitamine ja suhtlemine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teisi kaasa haarata ja neis loovust äratada, kasutada rühma võimeid rühmas üksmeele tekitamiseks, tulemuslikult probleeme lahendada, täita ülesandeid ja vastastikuseid eesmärke.</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bookmarkStart w:id="12" w:name="RANGE!B8"/>
            <w:r w:rsidRPr="00BF220A">
              <w:rPr>
                <w:rFonts w:ascii="Verdana" w:hAnsi="Verdana" w:cstheme="minorHAnsi"/>
                <w:sz w:val="20"/>
                <w:szCs w:val="20"/>
                <w:lang w:val="en-GB"/>
              </w:rPr>
              <w:t>Leadership</w:t>
            </w:r>
            <w:bookmarkEnd w:id="12"/>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Juhtimine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ergutada ja inspireerida töötajaid tulevikuvisioonide nimel pingutama, esitada selgeid sihte ja eesmärke, anda töötajatele arusaama, mis suunas liigutakse ja milleks, ning toimida tegutsemise katalüsaatorina.</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Multi-level stakeholder management</w:t>
            </w:r>
          </w:p>
        </w:tc>
        <w:tc>
          <w:tcPr>
            <w:tcW w:w="1425" w:type="pct"/>
            <w:shd w:val="clear" w:color="000000" w:fill="FFFFFF"/>
            <w:vAlign w:val="center"/>
            <w:hideMark/>
          </w:tcPr>
          <w:p w:rsidR="00BF220A" w:rsidRPr="00BF220A" w:rsidRDefault="00BF220A" w:rsidP="00675ACF">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between different Member States).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Mitmetasandiline sidusrühmade haldamine</w:t>
            </w:r>
          </w:p>
        </w:tc>
        <w:tc>
          <w:tcPr>
            <w:tcW w:w="1597" w:type="pct"/>
            <w:shd w:val="clear" w:color="000000" w:fill="FFFFFF"/>
            <w:vAlign w:val="center"/>
          </w:tcPr>
          <w:p w:rsidR="00BF220A" w:rsidRPr="0058429F" w:rsidRDefault="00BF220A" w:rsidP="00675ACF">
            <w:pPr>
              <w:spacing w:after="0"/>
              <w:rPr>
                <w:rFonts w:ascii="Verdana" w:hAnsi="Verdana" w:cstheme="minorHAnsi"/>
                <w:sz w:val="20"/>
                <w:szCs w:val="20"/>
              </w:rPr>
            </w:pPr>
            <w:r>
              <w:rPr>
                <w:rFonts w:ascii="Verdana" w:hAnsi="Verdana" w:cstheme="minorHAnsi"/>
                <w:sz w:val="20"/>
              </w:rPr>
              <w:t>Suudab mõista eri sidusrühmade sihte ja eesmärke, tagada tõhusa koostöö ja sidusrühmade kaasamise (sh avatud olek eri liikmesriikide heade tavade suhtes ja heade tavade vahetamise ergutamine).</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Negotiating</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Läbirääkimine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tulemuslikult uurida (hõlbustades arutlemist, küsides küsimusi, vastates vastuväidetele jne) alternatiive ja teiste seisukohti, et jõuda kõikidele osalistele vastuvõetavate tulemusteni (lahendus, millest võidavad kõik).</w:t>
            </w:r>
          </w:p>
        </w:tc>
      </w:tr>
      <w:tr w:rsidR="00BF220A" w:rsidRPr="0058429F" w:rsidTr="001C3AFA">
        <w:trPr>
          <w:trHeight w:val="510"/>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Result orientation</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Demonstrating ability to set challenging goals, maintain focus </w:t>
            </w:r>
            <w:r w:rsidRPr="00BF220A">
              <w:rPr>
                <w:rFonts w:ascii="Verdana" w:hAnsi="Verdana" w:cstheme="minorHAnsi"/>
                <w:sz w:val="20"/>
                <w:szCs w:val="20"/>
                <w:lang w:val="en-GB"/>
              </w:rPr>
              <w:lastRenderedPageBreak/>
              <w:t>and persistence and constantly achieve goals or deliver required results even in the case of adversity.</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lastRenderedPageBreak/>
              <w:t>Tulemustele orienteeritus</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 xml:space="preserve">Suudab seada edasiviivaid eesmärke, hoida keskendumist ja püsivust ning </w:t>
            </w:r>
            <w:r>
              <w:rPr>
                <w:rFonts w:ascii="Verdana" w:hAnsi="Verdana" w:cstheme="minorHAnsi"/>
                <w:sz w:val="20"/>
              </w:rPr>
              <w:lastRenderedPageBreak/>
              <w:t>pidevalt saavutada eesmärke või saada soovitud tulemusi isegi ebasoodsates oludes.</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Strategic management</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Strateegiline juhtimine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otsustada ja võtta meetmeid, mille tulemusel töötatakse välja strateegia, mis on kooskõlas organisatsiooni strateegiliste suundadega ja eesmärkide saavutamisega, ning rakendatakse seda strateegiat.</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Risk management</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Demonstrating ability to identify, analyse, assess and prioritize risks and to minimize, </w:t>
            </w:r>
            <w:proofErr w:type="gramStart"/>
            <w:r w:rsidRPr="00BF220A">
              <w:rPr>
                <w:rFonts w:ascii="Verdana" w:hAnsi="Verdana" w:cstheme="minorHAnsi"/>
                <w:sz w:val="20"/>
                <w:szCs w:val="20"/>
                <w:lang w:val="en-GB"/>
              </w:rPr>
              <w:t>monitor</w:t>
            </w:r>
            <w:proofErr w:type="gramEnd"/>
            <w:r w:rsidRPr="00BF220A">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Riskijuhtimine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riske kindlaks teha, analüüsida, hinnata ja tähtsuse järjekorda seada ning minimeerida, jälgida ja kontrollida ebasoodsate sündmuste tõenäosust ja/või mõju või maksimeerida võimaluste realiseerumist.</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Planning of resources</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Vahendite planeerimine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tõhusalt ja tulemuslikult juhtida organisatsiooni vahendeid, sh finantsvahendeid, vara, töötajate oskusi, tootmisvahendeid, infotehnoloogiat (IT) jm.</w:t>
            </w:r>
          </w:p>
        </w:tc>
      </w:tr>
      <w:tr w:rsidR="00BF220A" w:rsidRPr="0058429F" w:rsidTr="001C3AFA">
        <w:trPr>
          <w:trHeight w:val="765"/>
        </w:trPr>
        <w:tc>
          <w:tcPr>
            <w:tcW w:w="386" w:type="pct"/>
            <w:shd w:val="clear" w:color="000000" w:fill="FFFFFF"/>
            <w:vAlign w:val="center"/>
          </w:tcPr>
          <w:p w:rsidR="00BF220A" w:rsidRPr="0058429F" w:rsidRDefault="00BF220A"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HR Strategy development and implementation</w:t>
            </w:r>
          </w:p>
        </w:tc>
        <w:tc>
          <w:tcPr>
            <w:tcW w:w="1425" w:type="pct"/>
            <w:shd w:val="clear" w:color="000000" w:fill="FFFFFF"/>
            <w:vAlign w:val="center"/>
            <w:hideMark/>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Personalistrateegia väljatöötamine ja rakendamine</w:t>
            </w:r>
          </w:p>
        </w:tc>
        <w:tc>
          <w:tcPr>
            <w:tcW w:w="1597"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otsustada ja võtta meetmeid, mille tulemusel töötatakse välja personalistrateegia, mis on kooskõlas organisatsiooni strateegiliste suundadega ja eesmärkide saavutamisega, ning rakendatakse seda strateegiat.</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7503634"/>
      <w:r>
        <w:lastRenderedPageBreak/>
        <w:t>Ametipädevused</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BF220A">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1770"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Eesti</w:t>
            </w:r>
          </w:p>
        </w:tc>
      </w:tr>
      <w:tr w:rsidR="00BF220A" w:rsidRPr="0058429F" w:rsidTr="006D5C34">
        <w:trPr>
          <w:trHeight w:val="219"/>
          <w:tblHeader/>
        </w:trPr>
        <w:tc>
          <w:tcPr>
            <w:tcW w:w="453" w:type="pct"/>
            <w:shd w:val="clear" w:color="auto" w:fill="EDEDED" w:themeFill="accent3" w:themeFillTint="33"/>
            <w:vAlign w:val="center"/>
          </w:tcPr>
          <w:p w:rsidR="00BF220A" w:rsidRPr="0058429F" w:rsidRDefault="00BF220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Kood</w:t>
            </w:r>
          </w:p>
        </w:tc>
        <w:tc>
          <w:tcPr>
            <w:tcW w:w="726" w:type="pct"/>
            <w:shd w:val="clear" w:color="auto" w:fill="EDEDED" w:themeFill="accent3" w:themeFillTint="33"/>
            <w:noWrap/>
            <w:vAlign w:val="center"/>
            <w:hideMark/>
          </w:tcPr>
          <w:p w:rsidR="00BF220A" w:rsidRPr="00BF220A" w:rsidRDefault="00BF220A" w:rsidP="00893337">
            <w:pPr>
              <w:spacing w:after="0" w:line="240" w:lineRule="auto"/>
              <w:jc w:val="center"/>
              <w:rPr>
                <w:rFonts w:ascii="Verdana" w:eastAsia="Times New Roman" w:hAnsi="Verdana" w:cstheme="minorHAnsi"/>
                <w:b/>
                <w:bCs/>
                <w:sz w:val="20"/>
                <w:szCs w:val="20"/>
                <w:lang w:val="en-GB"/>
              </w:rPr>
            </w:pPr>
            <w:r w:rsidRPr="00BF220A">
              <w:rPr>
                <w:rFonts w:ascii="Verdana" w:eastAsia="Times New Roman" w:hAnsi="Verdana" w:cstheme="minorHAnsi"/>
                <w:b/>
                <w:bCs/>
                <w:sz w:val="20"/>
                <w:szCs w:val="20"/>
                <w:lang w:val="en-GB"/>
              </w:rPr>
              <w:t>Competency</w:t>
            </w:r>
          </w:p>
        </w:tc>
        <w:tc>
          <w:tcPr>
            <w:tcW w:w="2051" w:type="pct"/>
            <w:shd w:val="clear" w:color="auto" w:fill="EDEDED" w:themeFill="accent3" w:themeFillTint="33"/>
            <w:noWrap/>
            <w:vAlign w:val="center"/>
            <w:hideMark/>
          </w:tcPr>
          <w:p w:rsidR="00BF220A" w:rsidRPr="00BF220A" w:rsidRDefault="00BF220A" w:rsidP="00893337">
            <w:pPr>
              <w:spacing w:after="0" w:line="240" w:lineRule="auto"/>
              <w:jc w:val="center"/>
              <w:rPr>
                <w:rFonts w:ascii="Verdana" w:eastAsia="Times New Roman" w:hAnsi="Verdana" w:cstheme="minorHAnsi"/>
                <w:b/>
                <w:bCs/>
                <w:sz w:val="20"/>
                <w:szCs w:val="20"/>
                <w:lang w:val="en-GB"/>
              </w:rPr>
            </w:pPr>
            <w:r w:rsidRPr="00BF220A">
              <w:rPr>
                <w:rFonts w:ascii="Verdana" w:eastAsia="Times New Roman" w:hAnsi="Verdana" w:cstheme="minorHAnsi"/>
                <w:b/>
                <w:bCs/>
                <w:sz w:val="20"/>
                <w:szCs w:val="20"/>
                <w:lang w:val="en-GB"/>
              </w:rPr>
              <w:t>Description</w:t>
            </w:r>
          </w:p>
        </w:tc>
        <w:tc>
          <w:tcPr>
            <w:tcW w:w="761" w:type="pct"/>
            <w:shd w:val="clear" w:color="auto" w:fill="EDEDED" w:themeFill="accent3" w:themeFillTint="33"/>
            <w:vAlign w:val="center"/>
          </w:tcPr>
          <w:p w:rsidR="00BF220A" w:rsidRPr="0058429F" w:rsidRDefault="00BF220A"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009" w:type="pct"/>
            <w:shd w:val="clear" w:color="auto" w:fill="EDEDED" w:themeFill="accent3" w:themeFillTint="33"/>
            <w:vAlign w:val="center"/>
          </w:tcPr>
          <w:p w:rsidR="00BF220A" w:rsidRPr="0058429F" w:rsidRDefault="00BF220A"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BF220A" w:rsidRPr="0058429F" w:rsidTr="00390240">
        <w:trPr>
          <w:trHeight w:val="421"/>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Analytical skills</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BF220A">
              <w:rPr>
                <w:rFonts w:ascii="Verdana" w:hAnsi="Verdana" w:cstheme="minorHAnsi"/>
                <w:sz w:val="20"/>
                <w:szCs w:val="20"/>
                <w:lang w:val="en-GB"/>
              </w:rPr>
              <w:t>effect</w:t>
            </w:r>
            <w:proofErr w:type="gramEnd"/>
            <w:r w:rsidRPr="00BF220A">
              <w:rPr>
                <w:rFonts w:ascii="Verdana" w:hAnsi="Verdana" w:cstheme="minorHAnsi"/>
                <w:sz w:val="20"/>
                <w:szCs w:val="20"/>
                <w:lang w:val="en-GB"/>
              </w:rPr>
              <w:t xml:space="preserve"> relationships and arrive at conclusions or decisions.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Analüütilised oskused</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Läheneb loogiliselt keerulistele probleemidele või võimalustele, lahutades need koostisosadeks, et leida baasprobleemid, teha kindlaks põhjuse ja tagajärje suhted ning jõuda järelduste või otsusteni.</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Communicating in writing</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Kirjalik suhtlus</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esitada teavet ja ideid kirjalikult selgel ja veenval viisil, valib vastuvõtja jaoks asjakohase kirjaliku suhtluse vahendi ja kirjutamisstiili, kirjutab ilma õigekirja-, grammatika- ja kirjavahemärgivigadeta ning suudab suhelda kultuuridevaheliselt.</w:t>
            </w:r>
          </w:p>
        </w:tc>
      </w:tr>
      <w:tr w:rsidR="00BF220A" w:rsidRPr="0058429F" w:rsidTr="00390240">
        <w:trPr>
          <w:trHeight w:val="878"/>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Communicating verbally</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BF220A">
              <w:rPr>
                <w:rFonts w:ascii="Verdana" w:hAnsi="Verdana" w:cstheme="minorHAnsi"/>
                <w:sz w:val="20"/>
                <w:szCs w:val="20"/>
                <w:lang w:val="en-GB"/>
              </w:rPr>
              <w:t>audience,</w:t>
            </w:r>
            <w:proofErr w:type="gramEnd"/>
            <w:r w:rsidRPr="00BF220A">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Suuline suhtlus</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 xml:space="preserve">Suudab üksikisikutele või rühmadele selgelt väljendada mõtteid ja ideid, kõneleb kuulajaid kaasa haaravalt, kahepoolset suhtlust julgustades ja aidates neil sõnumit mõista ja </w:t>
            </w:r>
            <w:r>
              <w:rPr>
                <w:rFonts w:ascii="Verdana" w:hAnsi="Verdana" w:cstheme="minorHAnsi"/>
                <w:sz w:val="20"/>
              </w:rPr>
              <w:lastRenderedPageBreak/>
              <w:t>meelde jätta, samuti suudab suhelda kultuuridevaheliselt.</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Conflict handling</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Konfliktijuhtimine</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ebasõbralikus olukorras teistega tulemuslikult toime tulla, tunnustab erinevaid arvamusi ning toob neid avatud arutelusse ja kasutab asjakohaseid isikutevahelisi suhtlemisstiile ja tehnikaid, et leida kahe või enama inimese konfliktile lahendus, millest võidavad kõik.</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Flexibility and adaptability to change </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Paindlikkus ja muutustega kohanemine </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 xml:space="preserve">Suudab kohaneda ja säilitada tulemuslikkuse suurte muutuste korral seoses tööülesannetega, töökeskkonnaga, organisatsiooni struktuuri ja -kultuuriga, protsessidega, nõuetega ja muude tööalaste aspektidega. </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Problem solving</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 xml:space="preserve">Demonstrating ability to identify problems by using logic, intuition, data, conducting appropriate analyses, searches and involving others (if </w:t>
            </w:r>
            <w:r w:rsidRPr="00BF220A">
              <w:rPr>
                <w:rFonts w:ascii="Verdana" w:hAnsi="Verdana" w:cstheme="minorHAnsi"/>
                <w:sz w:val="20"/>
                <w:szCs w:val="20"/>
                <w:lang w:val="en-GB"/>
              </w:rPr>
              <w:lastRenderedPageBreak/>
              <w:t>needed) in order to arrive at solutions or decisions.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lastRenderedPageBreak/>
              <w:t>Probleemide lahendamine</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 xml:space="preserve">Suudab tuvastada probleeme loogikat, vaistu ja andmeid </w:t>
            </w:r>
            <w:r>
              <w:rPr>
                <w:rFonts w:ascii="Verdana" w:hAnsi="Verdana" w:cstheme="minorHAnsi"/>
                <w:sz w:val="20"/>
              </w:rPr>
              <w:lastRenderedPageBreak/>
              <w:t>kasutades, viib läbi asjakohaseid analüüse ja otsinguid ning kaasab (vajaduse korral) teisi, et leida lahendusi või teha otsuseid.</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Team work</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Meeskonnatöö</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töötada koostöövalmilt ja koostööaltilt koos teiste struktuuriüksuste ja struktuuritasandite töötajatega kollektiivsete eesmärkide täitmise nimel.</w:t>
            </w:r>
          </w:p>
        </w:tc>
      </w:tr>
      <w:tr w:rsidR="00BF220A" w:rsidRPr="0058429F" w:rsidTr="00390240">
        <w:trPr>
          <w:trHeight w:val="43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Technological ability</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Tehnoloogilised oskused</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kasutada asjakohast personaalarvuti tarkvara, infosüsteeme ja muid IT-vahendeid (nt Microsoft Office’i programmid), mis on tööalaste eesmärkide täitmiseks vajalikud.</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Usage of monitoring and information system</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Järelevalve- ja infosüsteemide kasutamine</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kasutada ELi vahendite järelevalve- ja infosüsteeme (nii väliseid kui ka siseseid, kui need on olemas) tööalaste eesmärkide täitmiseks.</w:t>
            </w:r>
          </w:p>
        </w:tc>
      </w:tr>
      <w:tr w:rsidR="00BF220A" w:rsidRPr="0058429F" w:rsidTr="00390240">
        <w:trPr>
          <w:trHeight w:val="398"/>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lastRenderedPageBreak/>
              <w:t>P.C10</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Representation to the outside world</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Esindamine välismaailmas</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institutsiooni nimel tõhusalt ja sobival viisil tegutseda või kõneleda.</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Relevant language skills</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Asjakohane keeleoskus</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rakendada asjakohast võõrkeeleoskust, et täita talle määratud funktsioone ja tööalaseid eesmärke.</w:t>
            </w:r>
          </w:p>
        </w:tc>
      </w:tr>
      <w:tr w:rsidR="00BF220A" w:rsidRPr="0058429F" w:rsidTr="00390240">
        <w:trPr>
          <w:trHeight w:val="659"/>
        </w:trPr>
        <w:tc>
          <w:tcPr>
            <w:tcW w:w="453" w:type="pct"/>
            <w:shd w:val="clear" w:color="000000" w:fill="FFFFFF"/>
            <w:vAlign w:val="center"/>
          </w:tcPr>
          <w:p w:rsidR="00BF220A" w:rsidRPr="0058429F" w:rsidRDefault="00BF220A"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Intercultural skills</w:t>
            </w:r>
          </w:p>
        </w:tc>
        <w:tc>
          <w:tcPr>
            <w:tcW w:w="2051" w:type="pct"/>
            <w:shd w:val="clear" w:color="000000" w:fill="FFFFFF"/>
            <w:vAlign w:val="center"/>
          </w:tcPr>
          <w:p w:rsidR="00BF220A" w:rsidRPr="00BF220A" w:rsidRDefault="00BF220A" w:rsidP="00893337">
            <w:pPr>
              <w:spacing w:after="0"/>
              <w:rPr>
                <w:rFonts w:ascii="Verdana" w:hAnsi="Verdana" w:cstheme="minorHAnsi"/>
                <w:sz w:val="20"/>
                <w:szCs w:val="20"/>
                <w:lang w:val="en-GB"/>
              </w:rPr>
            </w:pPr>
            <w:r w:rsidRPr="00BF220A">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Kultuuridevahelised oskused</w:t>
            </w:r>
          </w:p>
        </w:tc>
        <w:tc>
          <w:tcPr>
            <w:tcW w:w="1009" w:type="pct"/>
            <w:shd w:val="clear" w:color="000000" w:fill="FFFFFF"/>
            <w:vAlign w:val="center"/>
          </w:tcPr>
          <w:p w:rsidR="00BF220A" w:rsidRPr="0058429F" w:rsidRDefault="00BF220A" w:rsidP="00893337">
            <w:pPr>
              <w:spacing w:after="0"/>
              <w:rPr>
                <w:rFonts w:ascii="Verdana" w:hAnsi="Verdana" w:cstheme="minorHAnsi"/>
                <w:sz w:val="20"/>
                <w:szCs w:val="20"/>
              </w:rPr>
            </w:pPr>
            <w:r>
              <w:rPr>
                <w:rFonts w:ascii="Verdana" w:hAnsi="Verdana" w:cstheme="minorHAnsi"/>
                <w:sz w:val="20"/>
              </w:rPr>
              <w:t>Suudab töötada mitmekultuurilises keskkonnas ja tõhusalt suhelda ELi institutsioonide ja teiste liikmesriikide sidusrühmadega.</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B6" w:rsidRDefault="00124BB6" w:rsidP="0008776A">
      <w:pPr>
        <w:spacing w:after="0" w:line="240" w:lineRule="auto"/>
      </w:pPr>
      <w:r>
        <w:separator/>
      </w:r>
    </w:p>
  </w:endnote>
  <w:endnote w:type="continuationSeparator" w:id="0">
    <w:p w:rsidR="00124BB6" w:rsidRDefault="00124BB6"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C3361">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B6" w:rsidRDefault="00124BB6" w:rsidP="0008776A">
      <w:pPr>
        <w:spacing w:after="0" w:line="240" w:lineRule="auto"/>
      </w:pPr>
      <w:r>
        <w:separator/>
      </w:r>
    </w:p>
  </w:footnote>
  <w:footnote w:type="continuationSeparator" w:id="0">
    <w:p w:rsidR="00124BB6" w:rsidRDefault="00124BB6"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ELi pädevusraamistik – enesehindamisvahendis kasutatud terminite sõnastik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D172D"/>
    <w:rsid w:val="000E47BD"/>
    <w:rsid w:val="00123EE5"/>
    <w:rsid w:val="00124BB6"/>
    <w:rsid w:val="001319E4"/>
    <w:rsid w:val="00162980"/>
    <w:rsid w:val="00164234"/>
    <w:rsid w:val="001B2DD4"/>
    <w:rsid w:val="001B5122"/>
    <w:rsid w:val="001C3AFA"/>
    <w:rsid w:val="001C491D"/>
    <w:rsid w:val="001D4E04"/>
    <w:rsid w:val="001D7CC2"/>
    <w:rsid w:val="001F0D1D"/>
    <w:rsid w:val="00206F86"/>
    <w:rsid w:val="00215BD0"/>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75ACF"/>
    <w:rsid w:val="006C2D1C"/>
    <w:rsid w:val="006C3361"/>
    <w:rsid w:val="006E03BF"/>
    <w:rsid w:val="006E738D"/>
    <w:rsid w:val="00716D09"/>
    <w:rsid w:val="007320E2"/>
    <w:rsid w:val="00757D2E"/>
    <w:rsid w:val="007A0134"/>
    <w:rsid w:val="007B15E0"/>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BF220A"/>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BCA7-BF49-4949-AF99-75DC207B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2866</Words>
  <Characters>17544</Characters>
  <Application>Microsoft Office Word</Application>
  <DocSecurity>0</DocSecurity>
  <Lines>1169</Lines>
  <Paragraphs>425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NIKOLAJEVA Maarit (DGT)</cp:lastModifiedBy>
  <cp:revision>3</cp:revision>
  <cp:lastPrinted>2017-03-22T18:35:00Z</cp:lastPrinted>
  <dcterms:created xsi:type="dcterms:W3CDTF">2018-03-14T09:12:00Z</dcterms:created>
  <dcterms:modified xsi:type="dcterms:W3CDTF">2018-03-14T15:18:00Z</dcterms:modified>
</cp:coreProperties>
</file>