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664903EF" w:rsidR="00E02A0C" w:rsidRPr="000600DE" w:rsidRDefault="00194EB3" w:rsidP="000A1ECD">
      <w:pPr>
        <w:jc w:val="center"/>
        <w:rPr>
          <w:rFonts w:ascii="Verdana" w:hAnsi="Verdana" w:cstheme="minorHAnsi"/>
          <w:b/>
          <w:color w:val="003399"/>
          <w:kern w:val="12"/>
          <w:sz w:val="32"/>
          <w:szCs w:val="32"/>
          <w:lang w:val="en-GB"/>
        </w:rPr>
      </w:pPr>
      <w:r w:rsidRPr="00194EB3">
        <w:rPr>
          <w:noProof/>
          <w:lang w:val="en-GB" w:eastAsia="en-GB" w:bidi="ar-SA"/>
        </w:rPr>
        <mc:AlternateContent>
          <mc:Choice Requires="wps">
            <w:drawing>
              <wp:anchor distT="0" distB="0" distL="114300" distR="114300" simplePos="0" relativeHeight="251661312" behindDoc="0" locked="0" layoutInCell="1" allowOverlap="1" wp14:anchorId="696B4530" wp14:editId="3B809B6D">
                <wp:simplePos x="0" y="0"/>
                <wp:positionH relativeFrom="column">
                  <wp:posOffset>4585970</wp:posOffset>
                </wp:positionH>
                <wp:positionV relativeFrom="paragraph">
                  <wp:posOffset>6673850</wp:posOffset>
                </wp:positionV>
                <wp:extent cx="828675" cy="447675"/>
                <wp:effectExtent l="0" t="0" r="9525" b="9525"/>
                <wp:wrapNone/>
                <wp:docPr id="11" name="TextBox 10"/>
                <wp:cNvGraphicFramePr/>
                <a:graphic xmlns:a="http://schemas.openxmlformats.org/drawingml/2006/main">
                  <a:graphicData uri="http://schemas.microsoft.com/office/word/2010/wordprocessingShape">
                    <wps:wsp>
                      <wps:cNvSpPr txBox="1"/>
                      <wps:spPr>
                        <a:xfrm>
                          <a:off x="0" y="0"/>
                          <a:ext cx="828675" cy="447675"/>
                        </a:xfrm>
                        <a:prstGeom prst="rect">
                          <a:avLst/>
                        </a:prstGeom>
                        <a:solidFill>
                          <a:srgbClr val="6DAC59"/>
                        </a:solidFill>
                      </wps:spPr>
                      <wps:txbx>
                        <w:txbxContent>
                          <w:p w14:paraId="729EEDF0" w14:textId="77777777" w:rsidR="00194EB3" w:rsidRDefault="00194EB3" w:rsidP="00194EB3">
                            <w:pPr>
                              <w:pStyle w:val="NormalWeb"/>
                              <w:spacing w:before="0" w:beforeAutospacing="0" w:after="0" w:afterAutospacing="0"/>
                            </w:pPr>
                            <w:r>
                              <w:rPr>
                                <w:rFonts w:ascii="PF Square Sans Pro" w:hAnsi="PF Square Sans Pro" w:cstheme="minorBidi"/>
                                <w:i/>
                                <w:iCs/>
                                <w:color w:val="FFFFFF" w:themeColor="background1"/>
                                <w:kern w:val="24"/>
                                <w:sz w:val="17"/>
                                <w:szCs w:val="17"/>
                                <w:lang w:val="fr-FR"/>
                              </w:rPr>
                              <w:t>Politique régionale et urbaine</w:t>
                            </w:r>
                          </w:p>
                        </w:txbxContent>
                      </wps:txbx>
                      <wps:bodyPr wrap="square" lIns="43200" tIns="36000" rIns="3600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61.1pt;margin-top:525.5pt;width:65.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" fillcolor="#6dac59" stroked="f">
                <v:textbox inset="1.2mm,1mm,1mm">
                  <w:txbxContent>
                    <w:p w14:paraId="729EEDF0" w14:textId="77777777" w:rsidR="00194EB3" w:rsidRDefault="00194EB3" w:rsidP="00194EB3">
                      <w:pPr>
                        <w:pStyle w:val="NormalWeb"/>
                        <w:spacing w:before="0" w:beforeAutospacing="0" w:after="0" w:afterAutospacing="0"/>
                      </w:pPr>
                      <w:r>
                        <w:rPr>
                          <w:rFonts w:ascii="PF Square Sans Pro" w:hAnsi="PF Square Sans Pro" w:cstheme="minorBidi"/>
                          <w:i/>
                          <w:iCs/>
                          <w:color w:val="FFFFFF" w:themeColor="background1"/>
                          <w:kern w:val="24"/>
                          <w:sz w:val="17"/>
                          <w:szCs w:val="17"/>
                          <w:lang w:val="fr-FR"/>
                        </w:rPr>
                        <w:t>Politique régionale et urbaine</w:t>
                      </w:r>
                    </w:p>
                  </w:txbxContent>
                </v:textbox>
              </v:shape>
            </w:pict>
          </mc:Fallback>
        </mc:AlternateContent>
      </w:r>
      <w:r w:rsidRPr="00194EB3">
        <w:rPr>
          <w:noProof/>
          <w:lang w:val="en-GB" w:eastAsia="en-GB"/>
        </w:rPr>
        <mc:AlternateContent>
          <mc:Choice Requires="wps">
            <w:drawing>
              <wp:anchor distT="0" distB="0" distL="114300" distR="114300" simplePos="0" relativeHeight="251659264" behindDoc="0" locked="0" layoutInCell="1" allowOverlap="1" wp14:anchorId="6F97EEC9" wp14:editId="1A28C650">
                <wp:simplePos x="0" y="0"/>
                <wp:positionH relativeFrom="column">
                  <wp:posOffset>2167255</wp:posOffset>
                </wp:positionH>
                <wp:positionV relativeFrom="paragraph">
                  <wp:posOffset>5712460</wp:posOffset>
                </wp:positionV>
                <wp:extent cx="5457825" cy="771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71525"/>
                        </a:xfrm>
                        <a:prstGeom prst="rect">
                          <a:avLst/>
                        </a:prstGeom>
                        <a:solidFill>
                          <a:srgbClr val="FFFFFF"/>
                        </a:solidFill>
                        <a:ln w="9525">
                          <a:solidFill>
                            <a:srgbClr val="000000"/>
                          </a:solidFill>
                          <a:miter lim="800000"/>
                          <a:headEnd/>
                          <a:tailEnd/>
                        </a:ln>
                      </wps:spPr>
                      <wps:txbx>
                        <w:txbxContent>
                          <w:p w14:paraId="2620E5CE" w14:textId="6FD9CB61" w:rsidR="00194EB3" w:rsidRPr="00194EB3" w:rsidRDefault="00194EB3" w:rsidP="00194EB3">
                            <w:pPr>
                              <w:pStyle w:val="NormalWeb"/>
                              <w:spacing w:before="0" w:beforeAutospacing="0" w:after="0" w:afterAutospacing="0"/>
                              <w:jc w:val="center"/>
                              <w:rPr>
                                <w:lang w:val="fr-BE"/>
                              </w:rPr>
                            </w:pPr>
                            <w:r>
                              <w:rPr>
                                <w:rFonts w:ascii="Calibri" w:eastAsia="+mn-ea" w:hAnsi="Calibri" w:cs="+mn-cs"/>
                                <w:color w:val="286AA6"/>
                                <w:kern w:val="24"/>
                                <w:sz w:val="21"/>
                                <w:szCs w:val="21"/>
                                <w:lang w:val="fr-FR"/>
                              </w:rPr>
                              <w:t>Le référentiel de compétences de l’UE et l’outil d’autoévaluation sont des instruments qui ont été élaborés par la DG Politique régionale et urbaine pour aider les administrations responsables de la gestion et de la mise en œuvre du FEDER et du Fonds de cohésion à recenser les compétences qui doivent être renforcées et à agir en ce sens.</w:t>
                            </w:r>
                          </w:p>
                          <w:p w14:paraId="51C99539" w14:textId="39DD0A1D" w:rsidR="00194EB3" w:rsidRPr="00194EB3" w:rsidRDefault="00194EB3">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70.65pt;margin-top:449.8pt;width:429.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">
                <v:textbox>
                  <w:txbxContent>
                    <w:p w14:paraId="2620E5CE" w14:textId="6FD9CB61" w:rsidR="00194EB3" w:rsidRPr="00194EB3" w:rsidRDefault="00194EB3" w:rsidP="00194EB3">
                      <w:pPr>
                        <w:pStyle w:val="NormalWeb"/>
                        <w:spacing w:before="0" w:beforeAutospacing="0" w:after="0" w:afterAutospacing="0"/>
                        <w:jc w:val="center"/>
                        <w:rPr>
                          <w:lang w:val="fr-BE"/>
                        </w:rPr>
                      </w:pPr>
                      <w:r>
                        <w:rPr>
                          <w:rFonts w:ascii="Calibri" w:eastAsia="+mn-ea" w:hAnsi="Calibri" w:cs="+mn-cs"/>
                          <w:color w:val="286AA6"/>
                          <w:kern w:val="24"/>
                          <w:sz w:val="21"/>
                          <w:szCs w:val="21"/>
                          <w:lang w:val="fr-FR"/>
                        </w:rPr>
                        <w:t>Le référentiel de compétences de l’UE et l’outil d’autoévaluation sont des instruments qui ont été élaborés par la DG Politique régionale et urbaine pour aider les administrations responsables de la gestion et de la mise en œuvre du FEDER et du Fonds de cohésion à recenser les compétences qui doivent être renforcées et à agir en ce sens.</w:t>
                      </w:r>
                    </w:p>
                    <w:p w14:paraId="51C99539" w14:textId="39DD0A1D" w:rsidR="00194EB3" w:rsidRPr="00194EB3" w:rsidRDefault="00194EB3">
                      <w:pPr>
                        <w:rPr>
                          <w:lang w:val="fr-BE"/>
                        </w:rPr>
                      </w:pPr>
                    </w:p>
                  </w:txbxContent>
                </v:textbox>
              </v:shape>
            </w:pict>
          </mc:Fallback>
        </mc:AlternateContent>
      </w:r>
      <w:r w:rsidR="001A17E4">
        <w:rPr>
          <w:noProof/>
          <w:lang w:val="en-GB" w:eastAsia="en-GB" w:bidi="ar-SA"/>
        </w:rPr>
        <w:drawing>
          <wp:inline distT="0" distB="0" distL="0" distR="0" wp14:anchorId="420B3C8E" wp14:editId="2A508A6C">
            <wp:extent cx="9810750" cy="6943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5035" cy="6946096"/>
                    </a:xfrm>
                    <a:prstGeom prst="rect">
                      <a:avLst/>
                    </a:prstGeom>
                    <a:noFill/>
                  </pic:spPr>
                </pic:pic>
              </a:graphicData>
            </a:graphic>
          </wp:inline>
        </w:drawing>
      </w:r>
      <w:r w:rsidR="00E02A0C" w:rsidRPr="000600DE">
        <w:rPr>
          <w:lang w:val="en-GB"/>
        </w:rPr>
        <w:br w:type="page"/>
      </w:r>
    </w:p>
    <w:p w14:paraId="4C263440" w14:textId="77777777" w:rsidR="00E02A0C" w:rsidRPr="000600DE" w:rsidRDefault="00E02A0C" w:rsidP="000A1ECD">
      <w:pPr>
        <w:jc w:val="center"/>
        <w:rPr>
          <w:rFonts w:ascii="Verdana" w:hAnsi="Verdana" w:cstheme="minorHAnsi"/>
          <w:b/>
          <w:color w:val="003399"/>
          <w:kern w:val="12"/>
          <w:sz w:val="32"/>
          <w:szCs w:val="32"/>
          <w:lang w:val="en-GB"/>
        </w:rPr>
        <w:sectPr w:rsidR="00E02A0C" w:rsidRPr="000600DE" w:rsidSect="00194EB3">
          <w:headerReference w:type="default" r:id="rId10"/>
          <w:footerReference w:type="default" r:id="rId11"/>
          <w:footerReference w:type="first" r:id="rId12"/>
          <w:pgSz w:w="15840" w:h="12240" w:orient="landscape" w:code="1"/>
          <w:pgMar w:top="709" w:right="247" w:bottom="1440" w:left="142"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Versions du document</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Version</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Date</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3 novembre 2017</w:t>
            </w:r>
          </w:p>
        </w:tc>
        <w:bookmarkStart w:id="0" w:name="_GoBack"/>
        <w:bookmarkEnd w:id="0"/>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Contenu</w:t>
          </w:r>
        </w:p>
        <w:p w14:paraId="046794FE" w14:textId="72814788" w:rsidR="006630B8" w:rsidRPr="006630B8" w:rsidRDefault="009F3CA7" w:rsidP="009F3CA7">
          <w:pPr>
            <w:tabs>
              <w:tab w:val="left" w:pos="1557"/>
            </w:tabs>
            <w:rPr>
              <w:rFonts w:ascii="Verdana" w:hAnsi="Verdana"/>
              <w:b/>
              <w:color w:val="0070C0"/>
              <w:sz w:val="32"/>
              <w:szCs w:val="32"/>
            </w:rPr>
          </w:pPr>
          <w:r>
            <w:tab/>
          </w:r>
        </w:p>
        <w:p w14:paraId="16A75891" w14:textId="77777777" w:rsidR="00005AED" w:rsidRDefault="00CF51E8">
          <w:pPr>
            <w:pStyle w:val="TOC1"/>
            <w:tabs>
              <w:tab w:val="left" w:pos="440"/>
              <w:tab w:val="right" w:leader="dot" w:pos="12950"/>
            </w:tabs>
            <w:rPr>
              <w:rFonts w:eastAsiaTheme="minorEastAsia"/>
              <w:noProof/>
              <w:lang w:val="fr-BE" w:eastAsia="fr-BE"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805201" w:history="1">
            <w:r w:rsidR="00005AED" w:rsidRPr="005D582C">
              <w:rPr>
                <w:rStyle w:val="Hyperlink"/>
                <w:noProof/>
              </w:rPr>
              <w:t>1.</w:t>
            </w:r>
            <w:r w:rsidR="00005AED">
              <w:rPr>
                <w:rFonts w:eastAsiaTheme="minorEastAsia"/>
                <w:noProof/>
                <w:lang w:val="fr-BE" w:eastAsia="fr-BE" w:bidi="ar-SA"/>
              </w:rPr>
              <w:tab/>
            </w:r>
            <w:r w:rsidR="00005AED" w:rsidRPr="005D582C">
              <w:rPr>
                <w:rStyle w:val="Hyperlink"/>
                <w:noProof/>
              </w:rPr>
              <w:t>Rôles professionnels</w:t>
            </w:r>
            <w:r w:rsidR="00005AED">
              <w:rPr>
                <w:noProof/>
                <w:webHidden/>
              </w:rPr>
              <w:tab/>
            </w:r>
            <w:r w:rsidR="00005AED">
              <w:rPr>
                <w:noProof/>
                <w:webHidden/>
              </w:rPr>
              <w:fldChar w:fldCharType="begin"/>
            </w:r>
            <w:r w:rsidR="00005AED">
              <w:rPr>
                <w:noProof/>
                <w:webHidden/>
              </w:rPr>
              <w:instrText xml:space="preserve"> PAGEREF _Toc508805201 \h </w:instrText>
            </w:r>
            <w:r w:rsidR="00005AED">
              <w:rPr>
                <w:noProof/>
                <w:webHidden/>
              </w:rPr>
            </w:r>
            <w:r w:rsidR="00005AED">
              <w:rPr>
                <w:noProof/>
                <w:webHidden/>
              </w:rPr>
              <w:fldChar w:fldCharType="separate"/>
            </w:r>
            <w:r w:rsidR="00005AED">
              <w:rPr>
                <w:noProof/>
                <w:webHidden/>
              </w:rPr>
              <w:t>4</w:t>
            </w:r>
            <w:r w:rsidR="00005AED">
              <w:rPr>
                <w:noProof/>
                <w:webHidden/>
              </w:rPr>
              <w:fldChar w:fldCharType="end"/>
            </w:r>
          </w:hyperlink>
        </w:p>
        <w:p w14:paraId="2CFD8326" w14:textId="77777777" w:rsidR="00005AED" w:rsidRDefault="00194EB3">
          <w:pPr>
            <w:pStyle w:val="TOC1"/>
            <w:tabs>
              <w:tab w:val="left" w:pos="440"/>
              <w:tab w:val="right" w:leader="dot" w:pos="12950"/>
            </w:tabs>
            <w:rPr>
              <w:rFonts w:eastAsiaTheme="minorEastAsia"/>
              <w:noProof/>
              <w:lang w:val="fr-BE" w:eastAsia="fr-BE" w:bidi="ar-SA"/>
            </w:rPr>
          </w:pPr>
          <w:hyperlink w:anchor="_Toc508805202" w:history="1">
            <w:r w:rsidR="00005AED" w:rsidRPr="005D582C">
              <w:rPr>
                <w:rStyle w:val="Hyperlink"/>
                <w:noProof/>
              </w:rPr>
              <w:t>2.</w:t>
            </w:r>
            <w:r w:rsidR="00005AED">
              <w:rPr>
                <w:rFonts w:eastAsiaTheme="minorEastAsia"/>
                <w:noProof/>
                <w:lang w:val="fr-BE" w:eastAsia="fr-BE" w:bidi="ar-SA"/>
              </w:rPr>
              <w:tab/>
            </w:r>
            <w:r w:rsidR="00005AED" w:rsidRPr="005D582C">
              <w:rPr>
                <w:rStyle w:val="Hyperlink"/>
                <w:noProof/>
              </w:rPr>
              <w:t>Sous-tâches</w:t>
            </w:r>
            <w:r w:rsidR="00005AED">
              <w:rPr>
                <w:noProof/>
                <w:webHidden/>
              </w:rPr>
              <w:tab/>
            </w:r>
            <w:r w:rsidR="00005AED">
              <w:rPr>
                <w:noProof/>
                <w:webHidden/>
              </w:rPr>
              <w:fldChar w:fldCharType="begin"/>
            </w:r>
            <w:r w:rsidR="00005AED">
              <w:rPr>
                <w:noProof/>
                <w:webHidden/>
              </w:rPr>
              <w:instrText xml:space="preserve"> PAGEREF _Toc508805202 \h </w:instrText>
            </w:r>
            <w:r w:rsidR="00005AED">
              <w:rPr>
                <w:noProof/>
                <w:webHidden/>
              </w:rPr>
            </w:r>
            <w:r w:rsidR="00005AED">
              <w:rPr>
                <w:noProof/>
                <w:webHidden/>
              </w:rPr>
              <w:fldChar w:fldCharType="separate"/>
            </w:r>
            <w:r w:rsidR="00005AED">
              <w:rPr>
                <w:noProof/>
                <w:webHidden/>
              </w:rPr>
              <w:t>5</w:t>
            </w:r>
            <w:r w:rsidR="00005AED">
              <w:rPr>
                <w:noProof/>
                <w:webHidden/>
              </w:rPr>
              <w:fldChar w:fldCharType="end"/>
            </w:r>
          </w:hyperlink>
        </w:p>
        <w:p w14:paraId="149D25CB" w14:textId="77777777" w:rsidR="00005AED" w:rsidRDefault="00194EB3">
          <w:pPr>
            <w:pStyle w:val="TOC1"/>
            <w:tabs>
              <w:tab w:val="left" w:pos="440"/>
              <w:tab w:val="right" w:leader="dot" w:pos="12950"/>
            </w:tabs>
            <w:rPr>
              <w:rFonts w:eastAsiaTheme="minorEastAsia"/>
              <w:noProof/>
              <w:lang w:val="fr-BE" w:eastAsia="fr-BE" w:bidi="ar-SA"/>
            </w:rPr>
          </w:pPr>
          <w:hyperlink w:anchor="_Toc508805203" w:history="1">
            <w:r w:rsidR="00005AED" w:rsidRPr="005D582C">
              <w:rPr>
                <w:rStyle w:val="Hyperlink"/>
                <w:noProof/>
              </w:rPr>
              <w:t>3.</w:t>
            </w:r>
            <w:r w:rsidR="00005AED">
              <w:rPr>
                <w:rFonts w:eastAsiaTheme="minorEastAsia"/>
                <w:noProof/>
                <w:lang w:val="fr-BE" w:eastAsia="fr-BE" w:bidi="ar-SA"/>
              </w:rPr>
              <w:tab/>
            </w:r>
            <w:r w:rsidR="00005AED" w:rsidRPr="005D582C">
              <w:rPr>
                <w:rStyle w:val="Hyperlink"/>
                <w:noProof/>
              </w:rPr>
              <w:t>Échelle de maîtrise</w:t>
            </w:r>
            <w:r w:rsidR="00005AED">
              <w:rPr>
                <w:noProof/>
                <w:webHidden/>
              </w:rPr>
              <w:tab/>
            </w:r>
            <w:r w:rsidR="00005AED">
              <w:rPr>
                <w:noProof/>
                <w:webHidden/>
              </w:rPr>
              <w:fldChar w:fldCharType="begin"/>
            </w:r>
            <w:r w:rsidR="00005AED">
              <w:rPr>
                <w:noProof/>
                <w:webHidden/>
              </w:rPr>
              <w:instrText xml:space="preserve"> PAGEREF _Toc508805203 \h </w:instrText>
            </w:r>
            <w:r w:rsidR="00005AED">
              <w:rPr>
                <w:noProof/>
                <w:webHidden/>
              </w:rPr>
            </w:r>
            <w:r w:rsidR="00005AED">
              <w:rPr>
                <w:noProof/>
                <w:webHidden/>
              </w:rPr>
              <w:fldChar w:fldCharType="separate"/>
            </w:r>
            <w:r w:rsidR="00005AED">
              <w:rPr>
                <w:noProof/>
                <w:webHidden/>
              </w:rPr>
              <w:t>6</w:t>
            </w:r>
            <w:r w:rsidR="00005AED">
              <w:rPr>
                <w:noProof/>
                <w:webHidden/>
              </w:rPr>
              <w:fldChar w:fldCharType="end"/>
            </w:r>
          </w:hyperlink>
        </w:p>
        <w:p w14:paraId="6BBFA02E" w14:textId="77777777" w:rsidR="00005AED" w:rsidRDefault="00194EB3">
          <w:pPr>
            <w:pStyle w:val="TOC1"/>
            <w:tabs>
              <w:tab w:val="left" w:pos="440"/>
              <w:tab w:val="right" w:leader="dot" w:pos="12950"/>
            </w:tabs>
            <w:rPr>
              <w:rFonts w:eastAsiaTheme="minorEastAsia"/>
              <w:noProof/>
              <w:lang w:val="fr-BE" w:eastAsia="fr-BE" w:bidi="ar-SA"/>
            </w:rPr>
          </w:pPr>
          <w:hyperlink w:anchor="_Toc508805204" w:history="1">
            <w:r w:rsidR="00005AED" w:rsidRPr="005D582C">
              <w:rPr>
                <w:rStyle w:val="Hyperlink"/>
                <w:noProof/>
              </w:rPr>
              <w:t>4.</w:t>
            </w:r>
            <w:r w:rsidR="00005AED">
              <w:rPr>
                <w:rFonts w:eastAsiaTheme="minorEastAsia"/>
                <w:noProof/>
                <w:lang w:val="fr-BE" w:eastAsia="fr-BE" w:bidi="ar-SA"/>
              </w:rPr>
              <w:tab/>
            </w:r>
            <w:r w:rsidR="00005AED" w:rsidRPr="005D582C">
              <w:rPr>
                <w:rStyle w:val="Hyperlink"/>
                <w:noProof/>
              </w:rPr>
              <w:t>Compétences opérationnelles</w:t>
            </w:r>
            <w:r w:rsidR="00005AED">
              <w:rPr>
                <w:noProof/>
                <w:webHidden/>
              </w:rPr>
              <w:tab/>
            </w:r>
            <w:r w:rsidR="00005AED">
              <w:rPr>
                <w:noProof/>
                <w:webHidden/>
              </w:rPr>
              <w:fldChar w:fldCharType="begin"/>
            </w:r>
            <w:r w:rsidR="00005AED">
              <w:rPr>
                <w:noProof/>
                <w:webHidden/>
              </w:rPr>
              <w:instrText xml:space="preserve"> PAGEREF _Toc508805204 \h </w:instrText>
            </w:r>
            <w:r w:rsidR="00005AED">
              <w:rPr>
                <w:noProof/>
                <w:webHidden/>
              </w:rPr>
            </w:r>
            <w:r w:rsidR="00005AED">
              <w:rPr>
                <w:noProof/>
                <w:webHidden/>
              </w:rPr>
              <w:fldChar w:fldCharType="separate"/>
            </w:r>
            <w:r w:rsidR="00005AED">
              <w:rPr>
                <w:noProof/>
                <w:webHidden/>
              </w:rPr>
              <w:t>8</w:t>
            </w:r>
            <w:r w:rsidR="00005AED">
              <w:rPr>
                <w:noProof/>
                <w:webHidden/>
              </w:rPr>
              <w:fldChar w:fldCharType="end"/>
            </w:r>
          </w:hyperlink>
        </w:p>
        <w:p w14:paraId="3170F0D5" w14:textId="77777777" w:rsidR="00005AED" w:rsidRDefault="00194EB3">
          <w:pPr>
            <w:pStyle w:val="TOC1"/>
            <w:tabs>
              <w:tab w:val="left" w:pos="440"/>
              <w:tab w:val="right" w:leader="dot" w:pos="12950"/>
            </w:tabs>
            <w:rPr>
              <w:rFonts w:eastAsiaTheme="minorEastAsia"/>
              <w:noProof/>
              <w:lang w:val="fr-BE" w:eastAsia="fr-BE" w:bidi="ar-SA"/>
            </w:rPr>
          </w:pPr>
          <w:hyperlink w:anchor="_Toc508805205" w:history="1">
            <w:r w:rsidR="00005AED" w:rsidRPr="005D582C">
              <w:rPr>
                <w:rStyle w:val="Hyperlink"/>
                <w:noProof/>
              </w:rPr>
              <w:t>5.</w:t>
            </w:r>
            <w:r w:rsidR="00005AED">
              <w:rPr>
                <w:rFonts w:eastAsiaTheme="minorEastAsia"/>
                <w:noProof/>
                <w:lang w:val="fr-BE" w:eastAsia="fr-BE" w:bidi="ar-SA"/>
              </w:rPr>
              <w:tab/>
            </w:r>
            <w:r w:rsidR="00005AED" w:rsidRPr="005D582C">
              <w:rPr>
                <w:rStyle w:val="Hyperlink"/>
                <w:noProof/>
              </w:rPr>
              <w:t>Compétences de gestion</w:t>
            </w:r>
            <w:r w:rsidR="00005AED">
              <w:rPr>
                <w:noProof/>
                <w:webHidden/>
              </w:rPr>
              <w:tab/>
            </w:r>
            <w:r w:rsidR="00005AED">
              <w:rPr>
                <w:noProof/>
                <w:webHidden/>
              </w:rPr>
              <w:fldChar w:fldCharType="begin"/>
            </w:r>
            <w:r w:rsidR="00005AED">
              <w:rPr>
                <w:noProof/>
                <w:webHidden/>
              </w:rPr>
              <w:instrText xml:space="preserve"> PAGEREF _Toc508805205 \h </w:instrText>
            </w:r>
            <w:r w:rsidR="00005AED">
              <w:rPr>
                <w:noProof/>
                <w:webHidden/>
              </w:rPr>
            </w:r>
            <w:r w:rsidR="00005AED">
              <w:rPr>
                <w:noProof/>
                <w:webHidden/>
              </w:rPr>
              <w:fldChar w:fldCharType="separate"/>
            </w:r>
            <w:r w:rsidR="00005AED">
              <w:rPr>
                <w:noProof/>
                <w:webHidden/>
              </w:rPr>
              <w:t>9</w:t>
            </w:r>
            <w:r w:rsidR="00005AED">
              <w:rPr>
                <w:noProof/>
                <w:webHidden/>
              </w:rPr>
              <w:fldChar w:fldCharType="end"/>
            </w:r>
          </w:hyperlink>
        </w:p>
        <w:p w14:paraId="54D3F96A" w14:textId="77777777" w:rsidR="00005AED" w:rsidRDefault="00194EB3">
          <w:pPr>
            <w:pStyle w:val="TOC1"/>
            <w:tabs>
              <w:tab w:val="left" w:pos="440"/>
              <w:tab w:val="right" w:leader="dot" w:pos="12950"/>
            </w:tabs>
            <w:rPr>
              <w:rFonts w:eastAsiaTheme="minorEastAsia"/>
              <w:noProof/>
              <w:lang w:val="fr-BE" w:eastAsia="fr-BE" w:bidi="ar-SA"/>
            </w:rPr>
          </w:pPr>
          <w:hyperlink w:anchor="_Toc508805206" w:history="1">
            <w:r w:rsidR="00005AED" w:rsidRPr="005D582C">
              <w:rPr>
                <w:rStyle w:val="Hyperlink"/>
                <w:noProof/>
              </w:rPr>
              <w:t>6.</w:t>
            </w:r>
            <w:r w:rsidR="00005AED">
              <w:rPr>
                <w:rFonts w:eastAsiaTheme="minorEastAsia"/>
                <w:noProof/>
                <w:lang w:val="fr-BE" w:eastAsia="fr-BE" w:bidi="ar-SA"/>
              </w:rPr>
              <w:tab/>
            </w:r>
            <w:r w:rsidR="00005AED" w:rsidRPr="005D582C">
              <w:rPr>
                <w:rStyle w:val="Hyperlink"/>
                <w:noProof/>
              </w:rPr>
              <w:t>Compétences professionnelles</w:t>
            </w:r>
            <w:r w:rsidR="00005AED">
              <w:rPr>
                <w:noProof/>
                <w:webHidden/>
              </w:rPr>
              <w:tab/>
            </w:r>
            <w:r w:rsidR="00005AED">
              <w:rPr>
                <w:noProof/>
                <w:webHidden/>
              </w:rPr>
              <w:fldChar w:fldCharType="begin"/>
            </w:r>
            <w:r w:rsidR="00005AED">
              <w:rPr>
                <w:noProof/>
                <w:webHidden/>
              </w:rPr>
              <w:instrText xml:space="preserve"> PAGEREF _Toc508805206 \h </w:instrText>
            </w:r>
            <w:r w:rsidR="00005AED">
              <w:rPr>
                <w:noProof/>
                <w:webHidden/>
              </w:rPr>
            </w:r>
            <w:r w:rsidR="00005AED">
              <w:rPr>
                <w:noProof/>
                <w:webHidden/>
              </w:rPr>
              <w:fldChar w:fldCharType="separate"/>
            </w:r>
            <w:r w:rsidR="00005AED">
              <w:rPr>
                <w:noProof/>
                <w:webHidden/>
              </w:rPr>
              <w:t>13</w:t>
            </w:r>
            <w:r w:rsidR="00005AED">
              <w:rPr>
                <w:noProof/>
                <w:webHidden/>
              </w:rPr>
              <w:fldChar w:fldCharType="end"/>
            </w:r>
          </w:hyperlink>
        </w:p>
        <w:p w14:paraId="6633616F" w14:textId="77777777" w:rsidR="00D84CED" w:rsidRPr="006630B8"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1" w:name="_Toc494962277"/>
      <w:bookmarkStart w:id="2" w:name="_Toc508805201"/>
      <w:r>
        <w:lastRenderedPageBreak/>
        <w:t>Rôles professionnels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520DB2" w14:paraId="1DF8B735" w14:textId="77777777" w:rsidTr="007A0134">
        <w:trPr>
          <w:trHeight w:val="467"/>
        </w:trPr>
        <w:tc>
          <w:tcPr>
            <w:tcW w:w="1966"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3034"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F924DE" w:rsidRPr="00520DB2" w14:paraId="70439D3A" w14:textId="77777777" w:rsidTr="007A0134">
        <w:trPr>
          <w:trHeight w:val="440"/>
        </w:trPr>
        <w:tc>
          <w:tcPr>
            <w:tcW w:w="533" w:type="pct"/>
            <w:shd w:val="clear" w:color="auto" w:fill="F2F2F2" w:themeFill="background1" w:themeFillShade="F2"/>
            <w:vAlign w:val="center"/>
            <w:hideMark/>
          </w:tcPr>
          <w:p w14:paraId="69993741" w14:textId="3CF33341" w:rsidR="00F924DE" w:rsidRPr="00520DB2" w:rsidRDefault="00F924DE" w:rsidP="003928BC">
            <w:pPr>
              <w:spacing w:after="0"/>
              <w:rPr>
                <w:rFonts w:ascii="Verdana" w:hAnsi="Verdana" w:cstheme="minorHAnsi"/>
                <w:sz w:val="20"/>
                <w:szCs w:val="20"/>
              </w:rPr>
            </w:pPr>
            <w:r>
              <w:rPr>
                <w:rFonts w:ascii="Verdana" w:hAnsi="Verdana" w:cstheme="minorHAnsi"/>
                <w:sz w:val="20"/>
              </w:rPr>
              <w:t>Rôle</w:t>
            </w:r>
            <w:r>
              <w:t xml:space="preserve"> professionnel</w:t>
            </w:r>
          </w:p>
        </w:tc>
        <w:tc>
          <w:tcPr>
            <w:tcW w:w="1433" w:type="pct"/>
            <w:shd w:val="clear" w:color="auto" w:fill="F2F2F2" w:themeFill="background1" w:themeFillShade="F2"/>
            <w:vAlign w:val="center"/>
          </w:tcPr>
          <w:p w14:paraId="35E9B200" w14:textId="59021B3B" w:rsidR="00F924DE" w:rsidRPr="00520DB2" w:rsidRDefault="00F924DE" w:rsidP="003928BC">
            <w:pPr>
              <w:spacing w:after="0"/>
              <w:rPr>
                <w:rFonts w:ascii="Verdana" w:hAnsi="Verdana" w:cstheme="minorHAnsi"/>
                <w:sz w:val="20"/>
                <w:szCs w:val="20"/>
              </w:rPr>
            </w:pPr>
            <w:r>
              <w:rPr>
                <w:rFonts w:ascii="Verdana" w:hAnsi="Verdana" w:cstheme="minorHAnsi"/>
                <w:sz w:val="20"/>
              </w:rPr>
              <w:t>Description</w:t>
            </w:r>
          </w:p>
        </w:tc>
        <w:tc>
          <w:tcPr>
            <w:tcW w:w="546" w:type="pct"/>
            <w:shd w:val="clear" w:color="auto" w:fill="F2F2F2" w:themeFill="background1" w:themeFillShade="F2"/>
            <w:vAlign w:val="center"/>
          </w:tcPr>
          <w:p w14:paraId="615E675D" w14:textId="6B87929B" w:rsidR="00F924DE" w:rsidRPr="00520DB2" w:rsidRDefault="00F924DE"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Rôle</w:t>
            </w:r>
            <w:r>
              <w:t xml:space="preserve"> professionnel</w:t>
            </w:r>
          </w:p>
        </w:tc>
        <w:tc>
          <w:tcPr>
            <w:tcW w:w="2488" w:type="pct"/>
            <w:shd w:val="clear" w:color="auto" w:fill="F2F2F2" w:themeFill="background1" w:themeFillShade="F2"/>
            <w:vAlign w:val="center"/>
          </w:tcPr>
          <w:p w14:paraId="7DB051EB" w14:textId="517AC8A6" w:rsidR="00F924DE" w:rsidRPr="00520DB2" w:rsidRDefault="00F924DE"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Description</w:t>
            </w:r>
          </w:p>
        </w:tc>
      </w:tr>
      <w:tr w:rsidR="00AD60DD" w:rsidRPr="00520DB2" w14:paraId="68CF39B9" w14:textId="77777777" w:rsidTr="00331E13">
        <w:trPr>
          <w:trHeight w:val="1250"/>
        </w:trPr>
        <w:tc>
          <w:tcPr>
            <w:tcW w:w="533" w:type="pct"/>
            <w:shd w:val="clear" w:color="000000" w:fill="FFFFFF"/>
          </w:tcPr>
          <w:p w14:paraId="6CF3B9D2" w14:textId="08401E14" w:rsidR="00AD60DD" w:rsidRPr="00520DB2" w:rsidRDefault="00AD60DD" w:rsidP="003928BC">
            <w:pPr>
              <w:spacing w:after="0"/>
              <w:rPr>
                <w:rFonts w:ascii="Verdana" w:hAnsi="Verdana" w:cstheme="minorHAnsi"/>
                <w:sz w:val="20"/>
                <w:szCs w:val="20"/>
              </w:rPr>
            </w:pPr>
            <w:proofErr w:type="spellStart"/>
            <w:r w:rsidRPr="00632D0B">
              <w:t>Decision-making</w:t>
            </w:r>
            <w:proofErr w:type="spellEnd"/>
            <w:r w:rsidRPr="00632D0B">
              <w:t xml:space="preserve"> </w:t>
            </w:r>
            <w:proofErr w:type="spellStart"/>
            <w:r w:rsidRPr="00632D0B">
              <w:t>level</w:t>
            </w:r>
            <w:proofErr w:type="spellEnd"/>
          </w:p>
        </w:tc>
        <w:tc>
          <w:tcPr>
            <w:tcW w:w="1433" w:type="pct"/>
            <w:shd w:val="clear" w:color="000000" w:fill="FFFFFF"/>
          </w:tcPr>
          <w:p w14:paraId="5D2CA1F3" w14:textId="1ECEA9E7" w:rsidR="00AD60DD" w:rsidRPr="00AD60DD" w:rsidRDefault="00AD60DD" w:rsidP="003928BC">
            <w:pPr>
              <w:spacing w:after="0"/>
              <w:rPr>
                <w:rFonts w:ascii="Verdana" w:hAnsi="Verdana" w:cstheme="minorHAnsi"/>
                <w:sz w:val="20"/>
                <w:szCs w:val="20"/>
                <w:lang w:val="en-US"/>
              </w:rPr>
            </w:pPr>
            <w:r w:rsidRPr="00AD60DD">
              <w:rPr>
                <w:lang w:val="en-US"/>
              </w:rPr>
              <w:t>This is the head of the organization or persons that act on relatively high strategic management levels</w:t>
            </w:r>
          </w:p>
        </w:tc>
        <w:tc>
          <w:tcPr>
            <w:tcW w:w="546" w:type="pct"/>
            <w:shd w:val="clear" w:color="000000" w:fill="FFFFFF"/>
            <w:vAlign w:val="center"/>
          </w:tcPr>
          <w:p w14:paraId="144DE070" w14:textId="66A8C727" w:rsidR="00AD60DD" w:rsidRPr="00520DB2" w:rsidRDefault="00AD60D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Niveau décisionnel</w:t>
            </w:r>
          </w:p>
        </w:tc>
        <w:tc>
          <w:tcPr>
            <w:tcW w:w="2488" w:type="pct"/>
            <w:shd w:val="clear" w:color="000000" w:fill="FFFFFF"/>
            <w:vAlign w:val="center"/>
          </w:tcPr>
          <w:p w14:paraId="0AA7F784" w14:textId="73ED0B9D" w:rsidR="00AD60DD" w:rsidRPr="00520DB2" w:rsidRDefault="00AD60D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Chef de l’organisation ou personnes agissant à des niveaux de gestion stratégique relativement élevés</w:t>
            </w:r>
          </w:p>
        </w:tc>
      </w:tr>
      <w:tr w:rsidR="00AD60DD" w:rsidRPr="00520DB2" w14:paraId="5DC80A9D" w14:textId="77777777" w:rsidTr="00331E13">
        <w:trPr>
          <w:trHeight w:val="1871"/>
        </w:trPr>
        <w:tc>
          <w:tcPr>
            <w:tcW w:w="533" w:type="pct"/>
            <w:shd w:val="clear" w:color="000000" w:fill="FFFFFF"/>
          </w:tcPr>
          <w:p w14:paraId="70E665F1" w14:textId="7958C514" w:rsidR="00AD60DD" w:rsidRPr="00520DB2" w:rsidRDefault="00AD60DD" w:rsidP="003928BC">
            <w:pPr>
              <w:spacing w:after="0"/>
              <w:rPr>
                <w:rFonts w:ascii="Verdana" w:hAnsi="Verdana" w:cstheme="minorHAnsi"/>
                <w:sz w:val="20"/>
                <w:szCs w:val="20"/>
              </w:rPr>
            </w:pPr>
            <w:proofErr w:type="spellStart"/>
            <w:r w:rsidRPr="00632D0B">
              <w:t>Supervisory</w:t>
            </w:r>
            <w:proofErr w:type="spellEnd"/>
            <w:r w:rsidRPr="00632D0B">
              <w:t xml:space="preserve"> </w:t>
            </w:r>
            <w:proofErr w:type="spellStart"/>
            <w:r w:rsidRPr="00632D0B">
              <w:t>level</w:t>
            </w:r>
            <w:proofErr w:type="spellEnd"/>
          </w:p>
        </w:tc>
        <w:tc>
          <w:tcPr>
            <w:tcW w:w="1433" w:type="pct"/>
            <w:shd w:val="clear" w:color="000000" w:fill="FFFFFF"/>
          </w:tcPr>
          <w:p w14:paraId="51E1B26E" w14:textId="5D8D7904" w:rsidR="00AD60DD" w:rsidRPr="00AD60DD" w:rsidRDefault="00AD60DD" w:rsidP="00391F02">
            <w:pPr>
              <w:spacing w:after="0"/>
              <w:rPr>
                <w:rFonts w:ascii="Verdana" w:hAnsi="Verdana" w:cstheme="minorHAnsi"/>
                <w:sz w:val="20"/>
                <w:szCs w:val="20"/>
                <w:lang w:val="en-US"/>
              </w:rPr>
            </w:pPr>
            <w:r w:rsidRPr="00AD60DD">
              <w:rPr>
                <w:lang w:val="en-US"/>
              </w:rPr>
              <w:t xml:space="preserve">This is the middle management level, responsible for a group of people and not directly involved in operational implementation of the </w:t>
            </w:r>
            <w:proofErr w:type="spellStart"/>
            <w:r w:rsidRPr="00AD60DD">
              <w:rPr>
                <w:lang w:val="en-US"/>
              </w:rPr>
              <w:t>programme</w:t>
            </w:r>
            <w:proofErr w:type="spellEnd"/>
            <w:r w:rsidRPr="00AD60DD">
              <w:rPr>
                <w:lang w:val="en-US"/>
              </w:rPr>
              <w:t>, for instance heads of organizational units</w:t>
            </w:r>
          </w:p>
        </w:tc>
        <w:tc>
          <w:tcPr>
            <w:tcW w:w="546" w:type="pct"/>
            <w:shd w:val="clear" w:color="000000" w:fill="FFFFFF"/>
            <w:vAlign w:val="center"/>
          </w:tcPr>
          <w:p w14:paraId="5A8704BE" w14:textId="67E38E2E" w:rsidR="00AD60DD" w:rsidRPr="00520DB2" w:rsidRDefault="00AD60D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Niveau de la supervision</w:t>
            </w:r>
          </w:p>
        </w:tc>
        <w:tc>
          <w:tcPr>
            <w:tcW w:w="2488" w:type="pct"/>
            <w:shd w:val="clear" w:color="000000" w:fill="FFFFFF"/>
            <w:vAlign w:val="center"/>
          </w:tcPr>
          <w:p w14:paraId="08CDE49D" w14:textId="1FD25633" w:rsidR="00AD60DD" w:rsidRPr="00520DB2" w:rsidRDefault="00AD60D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Il s’agit des employés du niveau d’encadrement intermédiaire, responsables d’un groupe de personnes et ne participant pas directement à la mise en œuvre opérationnelle du programme (par exemple les chefs d’unités organisationnelles)</w:t>
            </w:r>
          </w:p>
        </w:tc>
      </w:tr>
      <w:tr w:rsidR="00AD60DD" w:rsidRPr="00520DB2" w14:paraId="057E0127" w14:textId="77777777" w:rsidTr="00331E13">
        <w:trPr>
          <w:trHeight w:val="1439"/>
        </w:trPr>
        <w:tc>
          <w:tcPr>
            <w:tcW w:w="533" w:type="pct"/>
            <w:shd w:val="clear" w:color="000000" w:fill="FFFFFF"/>
          </w:tcPr>
          <w:p w14:paraId="5E4C0FFC" w14:textId="176865BF" w:rsidR="00AD60DD" w:rsidRPr="00520DB2" w:rsidRDefault="00AD60DD" w:rsidP="003928BC">
            <w:pPr>
              <w:spacing w:after="0"/>
              <w:rPr>
                <w:rFonts w:ascii="Verdana" w:hAnsi="Verdana" w:cstheme="minorHAnsi"/>
                <w:sz w:val="20"/>
                <w:szCs w:val="20"/>
              </w:rPr>
            </w:pPr>
            <w:proofErr w:type="spellStart"/>
            <w:r w:rsidRPr="00632D0B">
              <w:t>Operational</w:t>
            </w:r>
            <w:proofErr w:type="spellEnd"/>
            <w:r w:rsidRPr="00632D0B">
              <w:t xml:space="preserve"> </w:t>
            </w:r>
            <w:proofErr w:type="spellStart"/>
            <w:r w:rsidRPr="00632D0B">
              <w:t>level</w:t>
            </w:r>
            <w:proofErr w:type="spellEnd"/>
          </w:p>
        </w:tc>
        <w:tc>
          <w:tcPr>
            <w:tcW w:w="1433" w:type="pct"/>
            <w:shd w:val="clear" w:color="000000" w:fill="FFFFFF"/>
          </w:tcPr>
          <w:p w14:paraId="270E266B" w14:textId="1B141B51" w:rsidR="00AD60DD" w:rsidRPr="00AD60DD" w:rsidRDefault="00AD60DD" w:rsidP="003928BC">
            <w:pPr>
              <w:spacing w:after="0"/>
              <w:rPr>
                <w:rFonts w:ascii="Verdana" w:hAnsi="Verdana" w:cstheme="minorHAnsi"/>
                <w:sz w:val="20"/>
                <w:szCs w:val="20"/>
                <w:lang w:val="en-US"/>
              </w:rPr>
            </w:pPr>
            <w:r w:rsidRPr="00AD60DD">
              <w:rPr>
                <w:lang w:val="en-US"/>
              </w:rPr>
              <w:t>These are the experts that are directly working on the different tasks and sub-tasks within the organization</w:t>
            </w:r>
          </w:p>
        </w:tc>
        <w:tc>
          <w:tcPr>
            <w:tcW w:w="546" w:type="pct"/>
            <w:shd w:val="clear" w:color="000000" w:fill="FFFFFF"/>
            <w:vAlign w:val="center"/>
          </w:tcPr>
          <w:p w14:paraId="64E4919D" w14:textId="6341B40C" w:rsidR="00AD60DD" w:rsidRPr="00520DB2" w:rsidRDefault="00AD60D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Niveau opérationnel</w:t>
            </w:r>
          </w:p>
        </w:tc>
        <w:tc>
          <w:tcPr>
            <w:tcW w:w="2488" w:type="pct"/>
            <w:shd w:val="clear" w:color="000000" w:fill="FFFFFF"/>
            <w:vAlign w:val="center"/>
          </w:tcPr>
          <w:p w14:paraId="2FB31D76" w14:textId="6AA5222C" w:rsidR="00AD60DD" w:rsidRPr="00520DB2" w:rsidRDefault="00AD60DD"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Ce sont les experts qui travaillent directement sur les différentes tâches et sous-tâches établies au sein de l’organisation</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3" w:name="_Toc494962278"/>
      <w:bookmarkStart w:id="4" w:name="_Toc508805202"/>
      <w:r>
        <w:lastRenderedPageBreak/>
        <w:t>Sous-tâches</w:t>
      </w:r>
      <w:bookmarkEnd w:id="3"/>
      <w:bookmarkEnd w:id="4"/>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Anglais</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Langue locale</w:t>
            </w:r>
          </w:p>
        </w:tc>
      </w:tr>
      <w:tr w:rsidR="00AD60DD" w:rsidRPr="00520DB2" w14:paraId="19F7ECFE" w14:textId="77777777" w:rsidTr="00640DC1">
        <w:trPr>
          <w:trHeight w:val="559"/>
        </w:trPr>
        <w:tc>
          <w:tcPr>
            <w:tcW w:w="2361" w:type="pct"/>
            <w:shd w:val="clear" w:color="000000" w:fill="FFFFFF"/>
            <w:vAlign w:val="center"/>
          </w:tcPr>
          <w:p w14:paraId="3FB6343F" w14:textId="5DAC76E2" w:rsidR="00AD60DD" w:rsidRPr="00520DB2" w:rsidRDefault="00AD60DD" w:rsidP="00391F02">
            <w:pPr>
              <w:pStyle w:val="ListParagraph"/>
              <w:numPr>
                <w:ilvl w:val="0"/>
                <w:numId w:val="3"/>
              </w:numPr>
              <w:spacing w:after="0"/>
              <w:rPr>
                <w:rFonts w:ascii="Verdana" w:hAnsi="Verdana" w:cstheme="minorHAnsi"/>
                <w:sz w:val="20"/>
                <w:szCs w:val="32"/>
              </w:rPr>
            </w:pPr>
            <w:r w:rsidRPr="00520DB2">
              <w:rPr>
                <w:rFonts w:ascii="Verdana" w:hAnsi="Verdana" w:cs="Calibri"/>
                <w:sz w:val="20"/>
                <w:szCs w:val="32"/>
              </w:rPr>
              <w:t xml:space="preserve">Audit </w:t>
            </w:r>
            <w:proofErr w:type="spellStart"/>
            <w:r w:rsidRPr="00520DB2">
              <w:rPr>
                <w:rFonts w:ascii="Verdana" w:hAnsi="Verdana" w:cs="Calibri"/>
                <w:sz w:val="20"/>
                <w:szCs w:val="32"/>
              </w:rPr>
              <w:t>strategy</w:t>
            </w:r>
            <w:proofErr w:type="spellEnd"/>
            <w:r w:rsidRPr="00520DB2">
              <w:rPr>
                <w:rFonts w:ascii="Verdana" w:hAnsi="Verdana" w:cs="Calibri"/>
                <w:sz w:val="20"/>
                <w:szCs w:val="32"/>
              </w:rPr>
              <w:t xml:space="preserve"> </w:t>
            </w:r>
            <w:proofErr w:type="spellStart"/>
            <w:r w:rsidRPr="00520DB2">
              <w:rPr>
                <w:rFonts w:ascii="Verdana" w:hAnsi="Verdana" w:cs="Calibri"/>
                <w:sz w:val="20"/>
                <w:szCs w:val="32"/>
              </w:rPr>
              <w:t>preparation</w:t>
            </w:r>
            <w:proofErr w:type="spellEnd"/>
          </w:p>
        </w:tc>
        <w:tc>
          <w:tcPr>
            <w:tcW w:w="2639" w:type="pct"/>
            <w:shd w:val="clear" w:color="000000" w:fill="FFFFFF"/>
            <w:vAlign w:val="center"/>
          </w:tcPr>
          <w:p w14:paraId="4BFF3DF0" w14:textId="452B6C31" w:rsidR="00AD60DD" w:rsidRPr="00520DB2" w:rsidRDefault="00AD60DD" w:rsidP="000E47BD">
            <w:pPr>
              <w:spacing w:after="0"/>
              <w:rPr>
                <w:rFonts w:ascii="Verdana" w:hAnsi="Verdana" w:cstheme="minorHAnsi"/>
                <w:sz w:val="20"/>
                <w:szCs w:val="32"/>
              </w:rPr>
            </w:pPr>
            <w:r>
              <w:rPr>
                <w:rFonts w:ascii="Verdana" w:hAnsi="Verdana" w:cstheme="minorHAnsi"/>
                <w:sz w:val="20"/>
              </w:rPr>
              <w:t>Préparation de la stratégie d’audit</w:t>
            </w:r>
          </w:p>
        </w:tc>
      </w:tr>
      <w:tr w:rsidR="00AD60DD" w:rsidRPr="00520DB2" w14:paraId="3D411275" w14:textId="77777777" w:rsidTr="00640DC1">
        <w:trPr>
          <w:trHeight w:val="559"/>
        </w:trPr>
        <w:tc>
          <w:tcPr>
            <w:tcW w:w="2361" w:type="pct"/>
            <w:shd w:val="clear" w:color="000000" w:fill="FFFFFF"/>
            <w:vAlign w:val="center"/>
          </w:tcPr>
          <w:p w14:paraId="574B86B7" w14:textId="3C59A0E1" w:rsidR="00AD60DD" w:rsidRPr="00520DB2" w:rsidRDefault="00AD60DD" w:rsidP="00391F02">
            <w:pPr>
              <w:pStyle w:val="ListParagraph"/>
              <w:numPr>
                <w:ilvl w:val="0"/>
                <w:numId w:val="3"/>
              </w:numPr>
              <w:spacing w:after="0"/>
              <w:rPr>
                <w:rFonts w:ascii="Verdana" w:hAnsi="Verdana" w:cstheme="minorHAnsi"/>
                <w:sz w:val="20"/>
                <w:szCs w:val="32"/>
              </w:rPr>
            </w:pPr>
            <w:proofErr w:type="spellStart"/>
            <w:r w:rsidRPr="00520DB2">
              <w:rPr>
                <w:rFonts w:ascii="Verdana" w:hAnsi="Verdana" w:cs="Calibri"/>
                <w:sz w:val="20"/>
                <w:szCs w:val="32"/>
              </w:rPr>
              <w:t>Risk</w:t>
            </w:r>
            <w:proofErr w:type="spellEnd"/>
            <w:r w:rsidRPr="00520DB2">
              <w:rPr>
                <w:rFonts w:ascii="Verdana" w:hAnsi="Verdana" w:cs="Calibri"/>
                <w:sz w:val="20"/>
                <w:szCs w:val="32"/>
              </w:rPr>
              <w:t xml:space="preserve"> </w:t>
            </w:r>
            <w:proofErr w:type="spellStart"/>
            <w:r w:rsidRPr="00520DB2">
              <w:rPr>
                <w:rFonts w:ascii="Verdana" w:hAnsi="Verdana" w:cs="Calibri"/>
                <w:sz w:val="20"/>
                <w:szCs w:val="32"/>
              </w:rPr>
              <w:t>Assessment</w:t>
            </w:r>
            <w:proofErr w:type="spellEnd"/>
          </w:p>
        </w:tc>
        <w:tc>
          <w:tcPr>
            <w:tcW w:w="2639" w:type="pct"/>
            <w:shd w:val="clear" w:color="000000" w:fill="FFFFFF"/>
            <w:vAlign w:val="center"/>
          </w:tcPr>
          <w:p w14:paraId="077C0E66" w14:textId="2DE2718A" w:rsidR="00AD60DD" w:rsidRPr="00520DB2" w:rsidRDefault="00AD60DD" w:rsidP="000E47BD">
            <w:pPr>
              <w:spacing w:after="0"/>
              <w:rPr>
                <w:rFonts w:ascii="Verdana" w:hAnsi="Verdana" w:cstheme="minorHAnsi"/>
                <w:sz w:val="20"/>
                <w:szCs w:val="32"/>
              </w:rPr>
            </w:pPr>
            <w:r>
              <w:t>Évaluation des risques</w:t>
            </w:r>
          </w:p>
        </w:tc>
      </w:tr>
      <w:tr w:rsidR="00AD60DD" w:rsidRPr="00520DB2" w14:paraId="01B8880F" w14:textId="77777777" w:rsidTr="00640DC1">
        <w:trPr>
          <w:trHeight w:val="559"/>
        </w:trPr>
        <w:tc>
          <w:tcPr>
            <w:tcW w:w="2361" w:type="pct"/>
            <w:shd w:val="clear" w:color="000000" w:fill="FFFFFF"/>
            <w:vAlign w:val="center"/>
          </w:tcPr>
          <w:p w14:paraId="046DDD36" w14:textId="557DBD57" w:rsidR="00AD60DD" w:rsidRPr="00520DB2" w:rsidRDefault="00AD60DD" w:rsidP="00391F02">
            <w:pPr>
              <w:pStyle w:val="ListParagraph"/>
              <w:numPr>
                <w:ilvl w:val="0"/>
                <w:numId w:val="3"/>
              </w:numPr>
              <w:spacing w:after="0"/>
              <w:rPr>
                <w:rFonts w:ascii="Verdana" w:hAnsi="Verdana" w:cstheme="minorHAnsi"/>
                <w:sz w:val="20"/>
                <w:szCs w:val="32"/>
              </w:rPr>
            </w:pPr>
            <w:r w:rsidRPr="00520DB2">
              <w:rPr>
                <w:rFonts w:ascii="Verdana" w:hAnsi="Verdana" w:cs="Calibri"/>
                <w:sz w:val="20"/>
                <w:szCs w:val="32"/>
              </w:rPr>
              <w:t>Planning of the Audit</w:t>
            </w:r>
          </w:p>
        </w:tc>
        <w:tc>
          <w:tcPr>
            <w:tcW w:w="2639" w:type="pct"/>
            <w:shd w:val="clear" w:color="000000" w:fill="FFFFFF"/>
            <w:vAlign w:val="center"/>
          </w:tcPr>
          <w:p w14:paraId="05CC17C5" w14:textId="632A7786" w:rsidR="00AD60DD" w:rsidRPr="00520DB2" w:rsidRDefault="00AD60DD" w:rsidP="00757D2E">
            <w:pPr>
              <w:spacing w:after="0"/>
              <w:rPr>
                <w:rFonts w:ascii="Verdana" w:hAnsi="Verdana" w:cstheme="minorHAnsi"/>
                <w:sz w:val="20"/>
                <w:szCs w:val="32"/>
              </w:rPr>
            </w:pPr>
            <w:r>
              <w:rPr>
                <w:rFonts w:ascii="Verdana" w:hAnsi="Verdana" w:cstheme="minorHAnsi"/>
                <w:sz w:val="20"/>
              </w:rPr>
              <w:t>Planification de l’audit</w:t>
            </w:r>
          </w:p>
        </w:tc>
      </w:tr>
      <w:tr w:rsidR="00AD60DD" w:rsidRPr="00520DB2" w14:paraId="0BCFAE61" w14:textId="77777777" w:rsidTr="00640DC1">
        <w:trPr>
          <w:trHeight w:val="559"/>
        </w:trPr>
        <w:tc>
          <w:tcPr>
            <w:tcW w:w="2361" w:type="pct"/>
            <w:shd w:val="clear" w:color="000000" w:fill="FFFFFF"/>
            <w:vAlign w:val="center"/>
          </w:tcPr>
          <w:p w14:paraId="1F48505D" w14:textId="53D59822" w:rsidR="00AD60DD" w:rsidRPr="00AD60DD" w:rsidRDefault="00AD60DD" w:rsidP="00391F02">
            <w:pPr>
              <w:pStyle w:val="ListParagraph"/>
              <w:numPr>
                <w:ilvl w:val="0"/>
                <w:numId w:val="3"/>
              </w:numPr>
              <w:spacing w:after="0"/>
              <w:rPr>
                <w:rFonts w:ascii="Verdana" w:hAnsi="Verdana" w:cstheme="minorHAnsi"/>
                <w:sz w:val="20"/>
                <w:szCs w:val="32"/>
                <w:lang w:val="en-US"/>
              </w:rPr>
            </w:pPr>
            <w:r w:rsidRPr="00AD60DD">
              <w:rPr>
                <w:rFonts w:ascii="Verdana" w:hAnsi="Verdana" w:cs="Calibri"/>
                <w:sz w:val="20"/>
                <w:szCs w:val="32"/>
                <w:lang w:val="en-US"/>
              </w:rPr>
              <w:t>Carrying out audits on systems</w:t>
            </w:r>
          </w:p>
        </w:tc>
        <w:tc>
          <w:tcPr>
            <w:tcW w:w="2639" w:type="pct"/>
            <w:shd w:val="clear" w:color="000000" w:fill="FFFFFF"/>
            <w:vAlign w:val="center"/>
          </w:tcPr>
          <w:p w14:paraId="343FBA02" w14:textId="6F3838F4" w:rsidR="00AD60DD" w:rsidRPr="00520DB2" w:rsidRDefault="00AD60DD" w:rsidP="00757D2E">
            <w:pPr>
              <w:spacing w:after="0"/>
              <w:rPr>
                <w:rFonts w:ascii="Verdana" w:hAnsi="Verdana" w:cstheme="minorHAnsi"/>
                <w:sz w:val="20"/>
                <w:szCs w:val="32"/>
              </w:rPr>
            </w:pPr>
            <w:r>
              <w:rPr>
                <w:rFonts w:ascii="Verdana" w:hAnsi="Verdana" w:cstheme="minorHAnsi"/>
                <w:sz w:val="20"/>
              </w:rPr>
              <w:t>Réalisation d’audits des systèmes</w:t>
            </w:r>
          </w:p>
        </w:tc>
      </w:tr>
      <w:tr w:rsidR="00AD60DD" w:rsidRPr="00520DB2" w14:paraId="046582DC" w14:textId="77777777" w:rsidTr="00640DC1">
        <w:trPr>
          <w:trHeight w:val="559"/>
        </w:trPr>
        <w:tc>
          <w:tcPr>
            <w:tcW w:w="2361" w:type="pct"/>
            <w:shd w:val="clear" w:color="000000" w:fill="FFFFFF"/>
            <w:vAlign w:val="center"/>
          </w:tcPr>
          <w:p w14:paraId="396175F0" w14:textId="443A2EE9" w:rsidR="00AD60DD" w:rsidRPr="00520DB2" w:rsidRDefault="00AD60DD" w:rsidP="00391F02">
            <w:pPr>
              <w:pStyle w:val="ListParagraph"/>
              <w:numPr>
                <w:ilvl w:val="0"/>
                <w:numId w:val="3"/>
              </w:numPr>
              <w:spacing w:after="0"/>
              <w:rPr>
                <w:rFonts w:ascii="Verdana" w:hAnsi="Verdana" w:cstheme="minorHAnsi"/>
                <w:sz w:val="20"/>
                <w:szCs w:val="32"/>
              </w:rPr>
            </w:pPr>
            <w:proofErr w:type="spellStart"/>
            <w:r w:rsidRPr="00520DB2">
              <w:rPr>
                <w:rFonts w:ascii="Verdana" w:hAnsi="Verdana" w:cs="Calibri"/>
                <w:sz w:val="20"/>
                <w:szCs w:val="32"/>
              </w:rPr>
              <w:t>Carrying</w:t>
            </w:r>
            <w:proofErr w:type="spellEnd"/>
            <w:r w:rsidRPr="00520DB2">
              <w:rPr>
                <w:rFonts w:ascii="Verdana" w:hAnsi="Verdana" w:cs="Calibri"/>
                <w:sz w:val="20"/>
                <w:szCs w:val="32"/>
              </w:rPr>
              <w:t xml:space="preserve"> out </w:t>
            </w:r>
            <w:proofErr w:type="spellStart"/>
            <w:r w:rsidRPr="00520DB2">
              <w:rPr>
                <w:rFonts w:ascii="Verdana" w:hAnsi="Verdana" w:cs="Calibri"/>
                <w:sz w:val="20"/>
                <w:szCs w:val="32"/>
              </w:rPr>
              <w:t>Accreditation</w:t>
            </w:r>
            <w:proofErr w:type="spellEnd"/>
            <w:r w:rsidRPr="00520DB2">
              <w:rPr>
                <w:rFonts w:ascii="Verdana" w:hAnsi="Verdana" w:cs="Calibri"/>
                <w:sz w:val="20"/>
                <w:szCs w:val="32"/>
              </w:rPr>
              <w:t xml:space="preserve"> audit</w:t>
            </w:r>
          </w:p>
        </w:tc>
        <w:tc>
          <w:tcPr>
            <w:tcW w:w="2639" w:type="pct"/>
            <w:shd w:val="clear" w:color="000000" w:fill="FFFFFF"/>
            <w:vAlign w:val="center"/>
          </w:tcPr>
          <w:p w14:paraId="6AF64297" w14:textId="5AEDCA59" w:rsidR="00AD60DD" w:rsidRPr="00520DB2" w:rsidRDefault="00AD60DD" w:rsidP="00757D2E">
            <w:pPr>
              <w:spacing w:after="0"/>
              <w:rPr>
                <w:rFonts w:ascii="Verdana" w:hAnsi="Verdana" w:cstheme="minorHAnsi"/>
                <w:sz w:val="20"/>
                <w:szCs w:val="32"/>
              </w:rPr>
            </w:pPr>
            <w:r>
              <w:rPr>
                <w:rFonts w:ascii="Verdana" w:hAnsi="Verdana" w:cstheme="minorHAnsi"/>
                <w:sz w:val="20"/>
              </w:rPr>
              <w:t>Réalisation d’un audit d’agrément</w:t>
            </w:r>
          </w:p>
        </w:tc>
      </w:tr>
      <w:tr w:rsidR="00AD60DD" w:rsidRPr="00520DB2" w14:paraId="2560C967" w14:textId="77777777" w:rsidTr="00640DC1">
        <w:trPr>
          <w:trHeight w:val="559"/>
        </w:trPr>
        <w:tc>
          <w:tcPr>
            <w:tcW w:w="2361" w:type="pct"/>
            <w:shd w:val="clear" w:color="000000" w:fill="FFFFFF"/>
            <w:vAlign w:val="center"/>
          </w:tcPr>
          <w:p w14:paraId="4559E9E5" w14:textId="07268354" w:rsidR="00AD60DD" w:rsidRPr="00AD60DD" w:rsidRDefault="00AD60DD" w:rsidP="00391F02">
            <w:pPr>
              <w:pStyle w:val="ListParagraph"/>
              <w:numPr>
                <w:ilvl w:val="0"/>
                <w:numId w:val="3"/>
              </w:numPr>
              <w:spacing w:after="0"/>
              <w:rPr>
                <w:rFonts w:ascii="Verdana" w:hAnsi="Verdana" w:cstheme="minorHAnsi"/>
                <w:sz w:val="20"/>
                <w:szCs w:val="32"/>
                <w:lang w:val="en-US"/>
              </w:rPr>
            </w:pPr>
            <w:r w:rsidRPr="00AD60DD">
              <w:rPr>
                <w:rFonts w:ascii="Verdana" w:hAnsi="Verdana" w:cs="Calibri"/>
                <w:sz w:val="20"/>
                <w:szCs w:val="32"/>
                <w:lang w:val="en-US"/>
              </w:rPr>
              <w:t>Selection of sample of operations</w:t>
            </w:r>
          </w:p>
        </w:tc>
        <w:tc>
          <w:tcPr>
            <w:tcW w:w="2639" w:type="pct"/>
            <w:shd w:val="clear" w:color="000000" w:fill="FFFFFF"/>
            <w:vAlign w:val="center"/>
          </w:tcPr>
          <w:p w14:paraId="256EC3F8" w14:textId="6F788CC6" w:rsidR="00AD60DD" w:rsidRPr="00520DB2" w:rsidRDefault="00AD60DD" w:rsidP="00757D2E">
            <w:pPr>
              <w:spacing w:after="0"/>
              <w:rPr>
                <w:rFonts w:ascii="Verdana" w:hAnsi="Verdana" w:cstheme="minorHAnsi"/>
                <w:sz w:val="20"/>
                <w:szCs w:val="32"/>
              </w:rPr>
            </w:pPr>
            <w:r>
              <w:rPr>
                <w:rFonts w:ascii="Verdana" w:hAnsi="Verdana" w:cstheme="minorHAnsi"/>
                <w:sz w:val="20"/>
              </w:rPr>
              <w:t>Sélection d’un échantillon d’opérations</w:t>
            </w:r>
          </w:p>
        </w:tc>
      </w:tr>
      <w:tr w:rsidR="00AD60DD" w:rsidRPr="00520DB2" w14:paraId="5F57EAD2" w14:textId="77777777" w:rsidTr="00640DC1">
        <w:trPr>
          <w:trHeight w:val="559"/>
        </w:trPr>
        <w:tc>
          <w:tcPr>
            <w:tcW w:w="2361" w:type="pct"/>
            <w:shd w:val="clear" w:color="000000" w:fill="FFFFFF"/>
            <w:vAlign w:val="center"/>
          </w:tcPr>
          <w:p w14:paraId="0D1B32C3" w14:textId="6B88E975" w:rsidR="00AD60DD" w:rsidRPr="00AD60DD" w:rsidRDefault="00AD60DD" w:rsidP="00391F02">
            <w:pPr>
              <w:pStyle w:val="ListParagraph"/>
              <w:numPr>
                <w:ilvl w:val="0"/>
                <w:numId w:val="3"/>
              </w:numPr>
              <w:spacing w:after="0"/>
              <w:rPr>
                <w:rFonts w:ascii="Verdana" w:hAnsi="Verdana" w:cstheme="minorHAnsi"/>
                <w:sz w:val="20"/>
                <w:szCs w:val="32"/>
                <w:lang w:val="en-US"/>
              </w:rPr>
            </w:pPr>
            <w:r w:rsidRPr="00AD60DD">
              <w:rPr>
                <w:rFonts w:ascii="Verdana" w:hAnsi="Verdana" w:cs="Calibri"/>
                <w:sz w:val="20"/>
                <w:szCs w:val="32"/>
                <w:lang w:val="en-US"/>
              </w:rPr>
              <w:t>Annual control reports and accreditation audit</w:t>
            </w:r>
          </w:p>
        </w:tc>
        <w:tc>
          <w:tcPr>
            <w:tcW w:w="2639" w:type="pct"/>
            <w:shd w:val="clear" w:color="000000" w:fill="FFFFFF"/>
            <w:vAlign w:val="center"/>
          </w:tcPr>
          <w:p w14:paraId="67771B1C" w14:textId="7EBD7CF7" w:rsidR="00AD60DD" w:rsidRPr="00520DB2" w:rsidRDefault="00AD60DD" w:rsidP="00757D2E">
            <w:pPr>
              <w:spacing w:after="0"/>
              <w:rPr>
                <w:rFonts w:ascii="Verdana" w:hAnsi="Verdana" w:cstheme="minorHAnsi"/>
                <w:sz w:val="20"/>
                <w:szCs w:val="32"/>
              </w:rPr>
            </w:pPr>
            <w:r>
              <w:rPr>
                <w:rFonts w:ascii="Verdana" w:hAnsi="Verdana" w:cstheme="minorHAnsi"/>
                <w:sz w:val="20"/>
              </w:rPr>
              <w:t>Rapports de contrôle annuels et audit d’agrément</w:t>
            </w:r>
          </w:p>
        </w:tc>
      </w:tr>
      <w:tr w:rsidR="00AD60DD" w:rsidRPr="00520DB2" w14:paraId="355DF572" w14:textId="77777777" w:rsidTr="00640DC1">
        <w:trPr>
          <w:trHeight w:val="559"/>
        </w:trPr>
        <w:tc>
          <w:tcPr>
            <w:tcW w:w="2361" w:type="pct"/>
            <w:shd w:val="clear" w:color="000000" w:fill="FFFFFF"/>
            <w:vAlign w:val="center"/>
          </w:tcPr>
          <w:p w14:paraId="4AD85879" w14:textId="7E711354" w:rsidR="00AD60DD" w:rsidRPr="00AD60DD" w:rsidRDefault="00AD60DD" w:rsidP="00391F02">
            <w:pPr>
              <w:pStyle w:val="ListParagraph"/>
              <w:numPr>
                <w:ilvl w:val="0"/>
                <w:numId w:val="3"/>
              </w:numPr>
              <w:spacing w:after="0"/>
              <w:rPr>
                <w:rFonts w:ascii="Verdana" w:hAnsi="Verdana" w:cstheme="minorHAnsi"/>
                <w:sz w:val="20"/>
                <w:szCs w:val="32"/>
                <w:lang w:val="en-US"/>
              </w:rPr>
            </w:pPr>
            <w:r w:rsidRPr="00AD60DD">
              <w:rPr>
                <w:rFonts w:ascii="Verdana" w:hAnsi="Verdana" w:cs="Calibri"/>
                <w:sz w:val="20"/>
                <w:szCs w:val="32"/>
                <w:lang w:val="en-US"/>
              </w:rPr>
              <w:t>Carrying out audits on operations</w:t>
            </w:r>
          </w:p>
        </w:tc>
        <w:tc>
          <w:tcPr>
            <w:tcW w:w="2639" w:type="pct"/>
            <w:shd w:val="clear" w:color="000000" w:fill="FFFFFF"/>
            <w:vAlign w:val="center"/>
          </w:tcPr>
          <w:p w14:paraId="68C70028" w14:textId="4670054B" w:rsidR="00AD60DD" w:rsidRPr="00520DB2" w:rsidRDefault="00AD60DD" w:rsidP="00757D2E">
            <w:pPr>
              <w:spacing w:after="0"/>
              <w:rPr>
                <w:rFonts w:ascii="Verdana" w:hAnsi="Verdana" w:cstheme="minorHAnsi"/>
                <w:sz w:val="20"/>
                <w:szCs w:val="32"/>
              </w:rPr>
            </w:pPr>
            <w:r>
              <w:rPr>
                <w:rFonts w:ascii="Verdana" w:hAnsi="Verdana" w:cstheme="minorHAnsi"/>
                <w:sz w:val="20"/>
              </w:rPr>
              <w:t>Réalisation d’audits des opérations</w:t>
            </w:r>
          </w:p>
        </w:tc>
      </w:tr>
      <w:tr w:rsidR="00AD60DD" w:rsidRPr="00520DB2" w14:paraId="7C033C33" w14:textId="77777777" w:rsidTr="00640DC1">
        <w:trPr>
          <w:trHeight w:val="559"/>
        </w:trPr>
        <w:tc>
          <w:tcPr>
            <w:tcW w:w="2361" w:type="pct"/>
            <w:shd w:val="clear" w:color="000000" w:fill="FFFFFF"/>
            <w:vAlign w:val="center"/>
          </w:tcPr>
          <w:p w14:paraId="709DD401" w14:textId="52FF7806" w:rsidR="00AD60DD" w:rsidRPr="00AD60DD" w:rsidRDefault="00AD60DD" w:rsidP="00391F02">
            <w:pPr>
              <w:pStyle w:val="ListParagraph"/>
              <w:numPr>
                <w:ilvl w:val="0"/>
                <w:numId w:val="3"/>
              </w:numPr>
              <w:spacing w:after="0"/>
              <w:rPr>
                <w:rFonts w:ascii="Verdana" w:hAnsi="Verdana" w:cstheme="minorHAnsi"/>
                <w:sz w:val="20"/>
                <w:szCs w:val="32"/>
                <w:lang w:val="en-US"/>
              </w:rPr>
            </w:pPr>
            <w:r w:rsidRPr="00AD60DD">
              <w:rPr>
                <w:rFonts w:ascii="Verdana" w:hAnsi="Verdana" w:cs="Calibri"/>
                <w:sz w:val="20"/>
                <w:szCs w:val="32"/>
                <w:lang w:val="en-US"/>
              </w:rPr>
              <w:t>Carrying out audits of the accounts certified by CA</w:t>
            </w:r>
          </w:p>
        </w:tc>
        <w:tc>
          <w:tcPr>
            <w:tcW w:w="2639" w:type="pct"/>
            <w:shd w:val="clear" w:color="000000" w:fill="FFFFFF"/>
            <w:vAlign w:val="center"/>
          </w:tcPr>
          <w:p w14:paraId="71DB100A" w14:textId="5287E7EF" w:rsidR="00AD60DD" w:rsidRPr="00520DB2" w:rsidRDefault="00AD60DD" w:rsidP="00757D2E">
            <w:pPr>
              <w:spacing w:after="0"/>
              <w:rPr>
                <w:rFonts w:ascii="Verdana" w:hAnsi="Verdana" w:cstheme="minorHAnsi"/>
                <w:sz w:val="20"/>
                <w:szCs w:val="32"/>
              </w:rPr>
            </w:pPr>
            <w:r>
              <w:rPr>
                <w:rFonts w:ascii="Verdana" w:hAnsi="Verdana" w:cstheme="minorHAnsi"/>
                <w:sz w:val="20"/>
              </w:rPr>
              <w:t>Réalisation d’audits des comptes certifiés par l’AC</w:t>
            </w:r>
          </w:p>
        </w:tc>
      </w:tr>
      <w:tr w:rsidR="00AD60DD" w:rsidRPr="00520DB2" w14:paraId="3C2E2F6B" w14:textId="77777777" w:rsidTr="00391F02">
        <w:trPr>
          <w:trHeight w:val="782"/>
        </w:trPr>
        <w:tc>
          <w:tcPr>
            <w:tcW w:w="2361" w:type="pct"/>
            <w:shd w:val="clear" w:color="000000" w:fill="FFFFFF"/>
            <w:vAlign w:val="center"/>
          </w:tcPr>
          <w:p w14:paraId="23297860" w14:textId="2DAC576C" w:rsidR="00AD60DD" w:rsidRPr="00AD60DD" w:rsidRDefault="00AD60DD" w:rsidP="00391F02">
            <w:pPr>
              <w:pStyle w:val="ListParagraph"/>
              <w:numPr>
                <w:ilvl w:val="0"/>
                <w:numId w:val="3"/>
              </w:numPr>
              <w:spacing w:after="0"/>
              <w:rPr>
                <w:rFonts w:ascii="Verdana" w:hAnsi="Verdana" w:cstheme="minorHAnsi"/>
                <w:sz w:val="20"/>
                <w:szCs w:val="32"/>
                <w:lang w:val="en-US"/>
              </w:rPr>
            </w:pPr>
            <w:r w:rsidRPr="00AD60DD">
              <w:rPr>
                <w:rFonts w:ascii="Verdana" w:hAnsi="Verdana" w:cs="Calibri"/>
                <w:sz w:val="20"/>
                <w:szCs w:val="32"/>
                <w:lang w:val="en-US"/>
              </w:rPr>
              <w:t>Procurement of goods and services under Technical Assistance</w:t>
            </w:r>
          </w:p>
        </w:tc>
        <w:tc>
          <w:tcPr>
            <w:tcW w:w="2639" w:type="pct"/>
            <w:shd w:val="clear" w:color="000000" w:fill="FFFFFF"/>
            <w:vAlign w:val="center"/>
          </w:tcPr>
          <w:p w14:paraId="08FBBA7E" w14:textId="42D9A5EC" w:rsidR="00AD60DD" w:rsidRPr="00520DB2" w:rsidRDefault="00AD60DD" w:rsidP="00757D2E">
            <w:pPr>
              <w:spacing w:after="0"/>
              <w:rPr>
                <w:rFonts w:ascii="Verdana" w:hAnsi="Verdana" w:cstheme="minorHAnsi"/>
                <w:sz w:val="20"/>
                <w:szCs w:val="32"/>
              </w:rPr>
            </w:pPr>
            <w:r>
              <w:rPr>
                <w:rFonts w:ascii="Verdana" w:hAnsi="Verdana" w:cstheme="minorHAnsi"/>
                <w:sz w:val="20"/>
              </w:rPr>
              <w:t>Achat de biens et de services dans le cadre de l’assistance technique</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5" w:name="_Toc494962279"/>
      <w:bookmarkStart w:id="6" w:name="_Toc508805203"/>
      <w:r>
        <w:lastRenderedPageBreak/>
        <w:t>Échelle de maîtrise</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Anglais</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F924DE" w:rsidRPr="00520DB2" w14:paraId="1175FF0F" w14:textId="77777777" w:rsidTr="006645FC">
        <w:trPr>
          <w:trHeight w:val="332"/>
          <w:tblHeader/>
        </w:trPr>
        <w:tc>
          <w:tcPr>
            <w:tcW w:w="658" w:type="pct"/>
            <w:shd w:val="clear" w:color="auto" w:fill="F2F2F2" w:themeFill="background1" w:themeFillShade="F2"/>
          </w:tcPr>
          <w:p w14:paraId="5D82C646" w14:textId="5BF17D3F" w:rsidR="00F924DE" w:rsidRPr="00520DB2" w:rsidRDefault="00F924DE" w:rsidP="00AD2B31">
            <w:pPr>
              <w:spacing w:after="0" w:line="240" w:lineRule="auto"/>
              <w:rPr>
                <w:rFonts w:ascii="Verdana" w:hAnsi="Verdana" w:cstheme="minorHAnsi"/>
                <w:sz w:val="20"/>
                <w:szCs w:val="20"/>
              </w:rPr>
            </w:pPr>
            <w:r>
              <w:rPr>
                <w:rFonts w:ascii="Verdana" w:hAnsi="Verdana" w:cstheme="minorHAnsi"/>
                <w:sz w:val="20"/>
              </w:rPr>
              <w:t xml:space="preserve">Échelle </w:t>
            </w:r>
          </w:p>
        </w:tc>
        <w:tc>
          <w:tcPr>
            <w:tcW w:w="1738" w:type="pct"/>
            <w:shd w:val="clear" w:color="auto" w:fill="F2F2F2" w:themeFill="background1" w:themeFillShade="F2"/>
          </w:tcPr>
          <w:p w14:paraId="7CFD4BA2" w14:textId="5A5EB107" w:rsidR="00F924DE" w:rsidRPr="00520DB2" w:rsidRDefault="00F924DE" w:rsidP="006645FC">
            <w:pPr>
              <w:spacing w:after="0" w:line="240" w:lineRule="auto"/>
              <w:rPr>
                <w:rFonts w:ascii="Verdana" w:hAnsi="Verdana" w:cstheme="minorHAnsi"/>
                <w:sz w:val="20"/>
                <w:szCs w:val="20"/>
              </w:rPr>
            </w:pPr>
            <w:r>
              <w:rPr>
                <w:rFonts w:ascii="Verdana" w:hAnsi="Verdana" w:cstheme="minorHAnsi"/>
                <w:sz w:val="20"/>
              </w:rPr>
              <w:t xml:space="preserve">Description </w:t>
            </w:r>
          </w:p>
        </w:tc>
        <w:tc>
          <w:tcPr>
            <w:tcW w:w="590" w:type="pct"/>
            <w:shd w:val="clear" w:color="auto" w:fill="F2F2F2" w:themeFill="background1" w:themeFillShade="F2"/>
          </w:tcPr>
          <w:p w14:paraId="1C4B8EC0" w14:textId="51ECA729" w:rsidR="00F924DE" w:rsidRPr="00520DB2" w:rsidRDefault="00F924DE" w:rsidP="00AD2B31">
            <w:pPr>
              <w:spacing w:after="0" w:line="240" w:lineRule="auto"/>
              <w:rPr>
                <w:rFonts w:ascii="Verdana" w:hAnsi="Verdana" w:cstheme="minorHAnsi"/>
                <w:sz w:val="20"/>
                <w:szCs w:val="20"/>
              </w:rPr>
            </w:pPr>
            <w:r>
              <w:rPr>
                <w:rFonts w:ascii="Verdana" w:hAnsi="Verdana" w:cstheme="minorHAnsi"/>
                <w:sz w:val="20"/>
              </w:rPr>
              <w:t xml:space="preserve">Échelle </w:t>
            </w:r>
          </w:p>
        </w:tc>
        <w:tc>
          <w:tcPr>
            <w:tcW w:w="2014" w:type="pct"/>
            <w:shd w:val="clear" w:color="auto" w:fill="F2F2F2" w:themeFill="background1" w:themeFillShade="F2"/>
          </w:tcPr>
          <w:p w14:paraId="19B009D5" w14:textId="7ED5B0EC" w:rsidR="00F924DE" w:rsidRPr="00520DB2" w:rsidRDefault="00F924DE" w:rsidP="00AD2B31">
            <w:pPr>
              <w:spacing w:after="0" w:line="240" w:lineRule="auto"/>
              <w:rPr>
                <w:rFonts w:ascii="Verdana" w:hAnsi="Verdana" w:cstheme="minorHAnsi"/>
                <w:sz w:val="20"/>
                <w:szCs w:val="20"/>
              </w:rPr>
            </w:pPr>
            <w:r>
              <w:rPr>
                <w:rFonts w:ascii="Verdana" w:hAnsi="Verdana" w:cstheme="minorHAnsi"/>
                <w:sz w:val="20"/>
              </w:rPr>
              <w:t xml:space="preserve">Description </w:t>
            </w:r>
          </w:p>
        </w:tc>
      </w:tr>
      <w:tr w:rsidR="00AD60DD" w:rsidRPr="00520DB2" w14:paraId="3DAF99CA" w14:textId="77777777" w:rsidTr="00D2155C">
        <w:trPr>
          <w:trHeight w:val="566"/>
        </w:trPr>
        <w:tc>
          <w:tcPr>
            <w:tcW w:w="658" w:type="pct"/>
            <w:shd w:val="clear" w:color="000000" w:fill="FFFFFF"/>
          </w:tcPr>
          <w:p w14:paraId="76C68B48" w14:textId="2F608A09" w:rsidR="00AD60DD" w:rsidRPr="00520DB2" w:rsidRDefault="00AD60DD" w:rsidP="0044373B">
            <w:pPr>
              <w:spacing w:before="60" w:after="120" w:line="240" w:lineRule="auto"/>
              <w:rPr>
                <w:rFonts w:ascii="Verdana" w:hAnsi="Verdana" w:cstheme="minorHAnsi"/>
                <w:sz w:val="20"/>
                <w:szCs w:val="20"/>
              </w:rPr>
            </w:pPr>
            <w:r w:rsidRPr="00520DB2">
              <w:rPr>
                <w:rFonts w:ascii="Verdana" w:hAnsi="Verdana" w:cs="Calibri"/>
                <w:sz w:val="20"/>
                <w:szCs w:val="20"/>
              </w:rPr>
              <w:t>N.A. - Not Applicable</w:t>
            </w:r>
          </w:p>
        </w:tc>
        <w:tc>
          <w:tcPr>
            <w:tcW w:w="1738" w:type="pct"/>
            <w:shd w:val="clear" w:color="000000" w:fill="FFFFFF"/>
          </w:tcPr>
          <w:p w14:paraId="39DA4922" w14:textId="259C4B98" w:rsidR="00AD60DD" w:rsidRPr="00AD60DD" w:rsidRDefault="00AD60DD" w:rsidP="0044373B">
            <w:pPr>
              <w:spacing w:before="60" w:after="120" w:line="240" w:lineRule="auto"/>
              <w:rPr>
                <w:rFonts w:ascii="Verdana" w:hAnsi="Verdana" w:cstheme="minorHAnsi"/>
                <w:sz w:val="20"/>
                <w:szCs w:val="20"/>
                <w:lang w:val="en-US"/>
              </w:rPr>
            </w:pPr>
            <w:r w:rsidRPr="00AD60DD">
              <w:rPr>
                <w:rFonts w:ascii="Verdana" w:hAnsi="Verdana" w:cs="Calibri"/>
                <w:sz w:val="20"/>
                <w:szCs w:val="20"/>
                <w:lang w:val="en-US"/>
              </w:rPr>
              <w:t xml:space="preserve">The competency is not applicable to the job role. </w:t>
            </w:r>
          </w:p>
        </w:tc>
        <w:tc>
          <w:tcPr>
            <w:tcW w:w="590" w:type="pct"/>
            <w:shd w:val="clear" w:color="000000" w:fill="FFFFFF"/>
          </w:tcPr>
          <w:p w14:paraId="0634807C" w14:textId="33B62181"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S.O. - Sans objet</w:t>
            </w:r>
          </w:p>
        </w:tc>
        <w:tc>
          <w:tcPr>
            <w:tcW w:w="2014" w:type="pct"/>
            <w:shd w:val="clear" w:color="000000" w:fill="FFFFFF"/>
          </w:tcPr>
          <w:p w14:paraId="2731D470" w14:textId="6D302076"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 xml:space="preserve">La compétence </w:t>
            </w:r>
            <w:r>
              <w:t xml:space="preserve">ne s'applique pas au rôle professionnel. </w:t>
            </w:r>
          </w:p>
        </w:tc>
      </w:tr>
      <w:tr w:rsidR="00AD60DD" w:rsidRPr="00520DB2" w14:paraId="45A3612C" w14:textId="77777777" w:rsidTr="006645FC">
        <w:trPr>
          <w:trHeight w:val="908"/>
        </w:trPr>
        <w:tc>
          <w:tcPr>
            <w:tcW w:w="658" w:type="pct"/>
            <w:shd w:val="clear" w:color="000000" w:fill="FFFFFF"/>
          </w:tcPr>
          <w:p w14:paraId="780CD544" w14:textId="77777777" w:rsidR="00AD60DD" w:rsidRPr="00520DB2" w:rsidRDefault="00AD60DD" w:rsidP="000B6224">
            <w:pPr>
              <w:spacing w:before="60" w:after="120" w:line="240" w:lineRule="auto"/>
              <w:rPr>
                <w:rFonts w:ascii="Verdana" w:hAnsi="Verdana" w:cs="Calibri"/>
                <w:sz w:val="20"/>
                <w:szCs w:val="20"/>
              </w:rPr>
            </w:pPr>
            <w:proofErr w:type="spellStart"/>
            <w:r w:rsidRPr="00520DB2">
              <w:rPr>
                <w:rFonts w:ascii="Verdana" w:hAnsi="Verdana" w:cs="Calibri"/>
                <w:sz w:val="20"/>
                <w:szCs w:val="20"/>
              </w:rPr>
              <w:t>Level</w:t>
            </w:r>
            <w:proofErr w:type="spellEnd"/>
            <w:r w:rsidRPr="00520DB2">
              <w:rPr>
                <w:rFonts w:ascii="Verdana" w:hAnsi="Verdana" w:cs="Calibri"/>
                <w:sz w:val="20"/>
                <w:szCs w:val="20"/>
              </w:rPr>
              <w:t xml:space="preserve"> 0 – </w:t>
            </w:r>
          </w:p>
          <w:p w14:paraId="19A6A676" w14:textId="1F5E83BF" w:rsidR="00AD60DD" w:rsidRPr="00520DB2" w:rsidRDefault="00AD60DD" w:rsidP="0044373B">
            <w:pPr>
              <w:spacing w:before="60" w:after="120" w:line="240" w:lineRule="auto"/>
              <w:rPr>
                <w:rFonts w:ascii="Verdana" w:hAnsi="Verdana" w:cstheme="minorHAnsi"/>
                <w:sz w:val="20"/>
                <w:szCs w:val="20"/>
              </w:rPr>
            </w:pPr>
            <w:r w:rsidRPr="00520DB2">
              <w:rPr>
                <w:rFonts w:ascii="Verdana" w:hAnsi="Verdana" w:cs="Calibri"/>
                <w:sz w:val="20"/>
                <w:szCs w:val="20"/>
              </w:rPr>
              <w:t xml:space="preserve">No </w:t>
            </w:r>
            <w:proofErr w:type="spellStart"/>
            <w:r w:rsidRPr="00520DB2">
              <w:rPr>
                <w:rFonts w:ascii="Verdana" w:hAnsi="Verdana" w:cs="Calibri"/>
                <w:sz w:val="20"/>
                <w:szCs w:val="20"/>
              </w:rPr>
              <w:t>knowledge</w:t>
            </w:r>
            <w:proofErr w:type="spellEnd"/>
          </w:p>
        </w:tc>
        <w:tc>
          <w:tcPr>
            <w:tcW w:w="1738" w:type="pct"/>
            <w:shd w:val="clear" w:color="000000" w:fill="FFFFFF"/>
          </w:tcPr>
          <w:p w14:paraId="294CB1C5" w14:textId="07F0FB66" w:rsidR="00AD60DD" w:rsidRPr="00AD60DD" w:rsidRDefault="00AD60DD" w:rsidP="0044373B">
            <w:pPr>
              <w:spacing w:before="60" w:after="120" w:line="240" w:lineRule="auto"/>
              <w:rPr>
                <w:rFonts w:ascii="Verdana" w:hAnsi="Verdana" w:cstheme="minorHAnsi"/>
                <w:sz w:val="20"/>
                <w:szCs w:val="20"/>
                <w:lang w:val="en-US"/>
              </w:rPr>
            </w:pPr>
            <w:r w:rsidRPr="00AD60DD">
              <w:rPr>
                <w:rFonts w:ascii="Verdana" w:hAnsi="Verdana" w:cs="Calibri"/>
                <w:sz w:val="20"/>
                <w:szCs w:val="20"/>
                <w:lang w:val="en-US"/>
              </w:rPr>
              <w:t>No knowledge of the competency or no ability to apply it in real situations.</w:t>
            </w:r>
          </w:p>
        </w:tc>
        <w:tc>
          <w:tcPr>
            <w:tcW w:w="590" w:type="pct"/>
            <w:shd w:val="clear" w:color="000000" w:fill="FFFFFF"/>
          </w:tcPr>
          <w:p w14:paraId="6A5A3D76"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 xml:space="preserve">Niveau 0 - </w:t>
            </w:r>
          </w:p>
          <w:p w14:paraId="7E4C8F2E" w14:textId="22F4B59B"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Aucune connaissance</w:t>
            </w:r>
          </w:p>
        </w:tc>
        <w:tc>
          <w:tcPr>
            <w:tcW w:w="2014" w:type="pct"/>
            <w:shd w:val="clear" w:color="000000" w:fill="FFFFFF"/>
          </w:tcPr>
          <w:p w14:paraId="5A1DD5E4" w14:textId="20E7B7B4"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Aucune connaissance de la compétence ou aucune aptitude à l’appliquer dans des situations concrètes.</w:t>
            </w:r>
          </w:p>
        </w:tc>
      </w:tr>
      <w:tr w:rsidR="00AD60DD" w:rsidRPr="00520DB2" w14:paraId="785CDCAD" w14:textId="77777777" w:rsidTr="006645FC">
        <w:trPr>
          <w:trHeight w:val="1421"/>
        </w:trPr>
        <w:tc>
          <w:tcPr>
            <w:tcW w:w="658" w:type="pct"/>
            <w:shd w:val="clear" w:color="000000" w:fill="FFFFFF"/>
          </w:tcPr>
          <w:p w14:paraId="42E936B2" w14:textId="77777777" w:rsidR="00AD60DD" w:rsidRPr="00520DB2" w:rsidRDefault="00AD60DD" w:rsidP="000B6224">
            <w:pPr>
              <w:spacing w:before="60" w:after="120" w:line="240" w:lineRule="auto"/>
              <w:rPr>
                <w:rFonts w:ascii="Verdana" w:hAnsi="Verdana" w:cs="Calibri"/>
                <w:sz w:val="20"/>
                <w:szCs w:val="20"/>
              </w:rPr>
            </w:pPr>
            <w:proofErr w:type="spellStart"/>
            <w:r w:rsidRPr="00520DB2">
              <w:rPr>
                <w:rFonts w:ascii="Verdana" w:hAnsi="Verdana" w:cs="Calibri"/>
                <w:sz w:val="20"/>
                <w:szCs w:val="20"/>
              </w:rPr>
              <w:t>Level</w:t>
            </w:r>
            <w:proofErr w:type="spellEnd"/>
            <w:r w:rsidRPr="00520DB2">
              <w:rPr>
                <w:rFonts w:ascii="Verdana" w:hAnsi="Verdana" w:cs="Calibri"/>
                <w:sz w:val="20"/>
                <w:szCs w:val="20"/>
              </w:rPr>
              <w:t xml:space="preserve"> 1 –</w:t>
            </w:r>
          </w:p>
          <w:p w14:paraId="27D3AA8E" w14:textId="07E41ED0" w:rsidR="00AD60DD" w:rsidRPr="00520DB2" w:rsidRDefault="00AD60DD" w:rsidP="0044373B">
            <w:pPr>
              <w:spacing w:before="60" w:after="120" w:line="240" w:lineRule="auto"/>
              <w:rPr>
                <w:rFonts w:ascii="Verdana" w:hAnsi="Verdana" w:cstheme="minorHAnsi"/>
                <w:sz w:val="20"/>
                <w:szCs w:val="20"/>
              </w:rPr>
            </w:pPr>
            <w:proofErr w:type="spellStart"/>
            <w:r w:rsidRPr="00520DB2">
              <w:rPr>
                <w:rFonts w:ascii="Verdana" w:hAnsi="Verdana" w:cs="Calibri"/>
                <w:sz w:val="20"/>
                <w:szCs w:val="20"/>
              </w:rPr>
              <w:t>Awareness</w:t>
            </w:r>
            <w:proofErr w:type="spellEnd"/>
          </w:p>
        </w:tc>
        <w:tc>
          <w:tcPr>
            <w:tcW w:w="1738" w:type="pct"/>
            <w:shd w:val="clear" w:color="000000" w:fill="FFFFFF"/>
          </w:tcPr>
          <w:p w14:paraId="557EC45D" w14:textId="77777777" w:rsidR="00AD60DD" w:rsidRPr="00AD60DD" w:rsidRDefault="00AD60DD" w:rsidP="000B6224">
            <w:pPr>
              <w:spacing w:before="60" w:after="120" w:line="240" w:lineRule="auto"/>
              <w:rPr>
                <w:rFonts w:ascii="Verdana" w:hAnsi="Verdana" w:cs="Calibri"/>
                <w:sz w:val="20"/>
                <w:szCs w:val="20"/>
                <w:lang w:val="en-US"/>
              </w:rPr>
            </w:pPr>
            <w:r w:rsidRPr="00AD60DD">
              <w:rPr>
                <w:rFonts w:ascii="Verdana" w:hAnsi="Verdana" w:cs="Calibri"/>
                <w:sz w:val="20"/>
                <w:szCs w:val="20"/>
                <w:lang w:val="en-US"/>
              </w:rPr>
              <w:t>Basic knowledge of the competency (e.g. understands general concepts and processes, is familiar with related key terminology).</w:t>
            </w:r>
          </w:p>
          <w:p w14:paraId="63DA03C6" w14:textId="7B400377" w:rsidR="00AD60DD" w:rsidRPr="00AD60DD" w:rsidRDefault="00AD60DD" w:rsidP="0044373B">
            <w:pPr>
              <w:spacing w:before="60" w:after="120" w:line="240" w:lineRule="auto"/>
              <w:rPr>
                <w:rFonts w:ascii="Verdana" w:hAnsi="Verdana" w:cstheme="minorHAnsi"/>
                <w:sz w:val="20"/>
                <w:szCs w:val="20"/>
                <w:lang w:val="en-US"/>
              </w:rPr>
            </w:pPr>
            <w:r w:rsidRPr="00AD60DD">
              <w:rPr>
                <w:rFonts w:ascii="Verdana" w:hAnsi="Verdana" w:cs="Calibri"/>
                <w:sz w:val="20"/>
                <w:szCs w:val="20"/>
                <w:lang w:val="en-US"/>
              </w:rPr>
              <w:t>Ability to demonstrate this competency after being given specific instructions and guidance.</w:t>
            </w:r>
          </w:p>
        </w:tc>
        <w:tc>
          <w:tcPr>
            <w:tcW w:w="590" w:type="pct"/>
            <w:shd w:val="clear" w:color="000000" w:fill="FFFFFF"/>
          </w:tcPr>
          <w:p w14:paraId="747F374C"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Niveau 1 -</w:t>
            </w:r>
          </w:p>
          <w:p w14:paraId="3DCFA22A" w14:textId="4F7966AE" w:rsidR="00AD60DD" w:rsidRPr="00520DB2" w:rsidRDefault="00AD60DD" w:rsidP="0044373B">
            <w:pPr>
              <w:spacing w:before="60" w:after="120" w:line="240" w:lineRule="auto"/>
              <w:rPr>
                <w:rFonts w:ascii="Verdana" w:hAnsi="Verdana" w:cstheme="minorHAnsi"/>
                <w:sz w:val="20"/>
                <w:szCs w:val="20"/>
              </w:rPr>
            </w:pPr>
            <w:r>
              <w:t>Sensibilisé</w:t>
            </w:r>
          </w:p>
        </w:tc>
        <w:tc>
          <w:tcPr>
            <w:tcW w:w="2014" w:type="pct"/>
            <w:shd w:val="clear" w:color="000000" w:fill="FFFFFF"/>
          </w:tcPr>
          <w:p w14:paraId="7F64F5A7"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Connaissance élémentaire de la compétence (l’employé comprend par exemple les concepts et processus généraux et est familiarisé à la terminologie de base s’y rapportant).</w:t>
            </w:r>
          </w:p>
          <w:p w14:paraId="618CF9ED" w14:textId="5F30FCB4"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Aptitude à faire usage de cette compétence après avoir reçu des instructions et conseils spécifiques.</w:t>
            </w:r>
          </w:p>
        </w:tc>
      </w:tr>
      <w:tr w:rsidR="00AD60DD" w:rsidRPr="00520DB2" w14:paraId="0C0FE97E" w14:textId="77777777" w:rsidTr="006645FC">
        <w:trPr>
          <w:trHeight w:val="1103"/>
        </w:trPr>
        <w:tc>
          <w:tcPr>
            <w:tcW w:w="658" w:type="pct"/>
            <w:shd w:val="clear" w:color="000000" w:fill="FFFFFF"/>
          </w:tcPr>
          <w:p w14:paraId="61D1EAB5" w14:textId="77777777" w:rsidR="00AD60DD" w:rsidRPr="00520DB2" w:rsidRDefault="00AD60DD" w:rsidP="000B6224">
            <w:pPr>
              <w:spacing w:before="60" w:after="120" w:line="240" w:lineRule="auto"/>
              <w:rPr>
                <w:rFonts w:ascii="Verdana" w:hAnsi="Verdana" w:cs="Calibri"/>
                <w:sz w:val="20"/>
                <w:szCs w:val="20"/>
              </w:rPr>
            </w:pPr>
            <w:proofErr w:type="spellStart"/>
            <w:r w:rsidRPr="00520DB2">
              <w:rPr>
                <w:rFonts w:ascii="Verdana" w:hAnsi="Verdana" w:cs="Calibri"/>
                <w:sz w:val="20"/>
                <w:szCs w:val="20"/>
              </w:rPr>
              <w:t>Level</w:t>
            </w:r>
            <w:proofErr w:type="spellEnd"/>
            <w:r w:rsidRPr="00520DB2">
              <w:rPr>
                <w:rFonts w:ascii="Verdana" w:hAnsi="Verdana" w:cs="Calibri"/>
                <w:sz w:val="20"/>
                <w:szCs w:val="20"/>
              </w:rPr>
              <w:t xml:space="preserve"> 2 – </w:t>
            </w:r>
          </w:p>
          <w:p w14:paraId="1D8AC20D" w14:textId="4D2612F8" w:rsidR="00AD60DD" w:rsidRPr="00520DB2" w:rsidRDefault="00AD60DD" w:rsidP="0044373B">
            <w:pPr>
              <w:spacing w:before="60" w:after="120" w:line="240" w:lineRule="auto"/>
              <w:rPr>
                <w:rFonts w:ascii="Verdana" w:hAnsi="Verdana" w:cstheme="minorHAnsi"/>
                <w:sz w:val="20"/>
                <w:szCs w:val="20"/>
              </w:rPr>
            </w:pPr>
            <w:proofErr w:type="spellStart"/>
            <w:r w:rsidRPr="00520DB2">
              <w:rPr>
                <w:rFonts w:ascii="Verdana" w:hAnsi="Verdana" w:cs="Calibri"/>
                <w:sz w:val="20"/>
                <w:szCs w:val="20"/>
              </w:rPr>
              <w:t>Trained</w:t>
            </w:r>
            <w:proofErr w:type="spellEnd"/>
          </w:p>
        </w:tc>
        <w:tc>
          <w:tcPr>
            <w:tcW w:w="1738" w:type="pct"/>
            <w:shd w:val="clear" w:color="000000" w:fill="FFFFFF"/>
          </w:tcPr>
          <w:p w14:paraId="48B29F8A" w14:textId="77777777" w:rsidR="00AD60DD" w:rsidRPr="00AD60DD" w:rsidRDefault="00AD60DD" w:rsidP="000B6224">
            <w:pPr>
              <w:spacing w:before="60" w:after="120" w:line="240" w:lineRule="auto"/>
              <w:rPr>
                <w:rFonts w:ascii="Verdana" w:hAnsi="Verdana" w:cs="Calibri"/>
                <w:sz w:val="20"/>
                <w:szCs w:val="20"/>
                <w:lang w:val="en-US"/>
              </w:rPr>
            </w:pPr>
            <w:r w:rsidRPr="00AD60DD">
              <w:rPr>
                <w:rFonts w:ascii="Verdana" w:hAnsi="Verdana" w:cs="Calibri"/>
                <w:sz w:val="20"/>
                <w:szCs w:val="20"/>
                <w:lang w:val="en-US"/>
              </w:rPr>
              <w:t>Good working knowledge of the competency. Ability to apply that knowledge in daily work.</w:t>
            </w:r>
          </w:p>
          <w:p w14:paraId="7D5994A5" w14:textId="079F5D1C" w:rsidR="00AD60DD" w:rsidRPr="00AD60DD" w:rsidRDefault="00AD60DD" w:rsidP="0044373B">
            <w:pPr>
              <w:spacing w:before="60" w:after="120" w:line="240" w:lineRule="auto"/>
              <w:rPr>
                <w:rFonts w:ascii="Verdana" w:hAnsi="Verdana" w:cstheme="minorHAnsi"/>
                <w:sz w:val="20"/>
                <w:szCs w:val="20"/>
                <w:lang w:val="en-US"/>
              </w:rPr>
            </w:pPr>
            <w:r w:rsidRPr="00AD60DD">
              <w:rPr>
                <w:rFonts w:ascii="Verdana" w:hAnsi="Verdana" w:cs="Calibri"/>
                <w:sz w:val="20"/>
                <w:szCs w:val="20"/>
                <w:lang w:val="en-US"/>
              </w:rPr>
              <w:t>Ability to perform standard activities with regards to this competency in an independent manner</w:t>
            </w:r>
          </w:p>
        </w:tc>
        <w:tc>
          <w:tcPr>
            <w:tcW w:w="590" w:type="pct"/>
            <w:shd w:val="clear" w:color="000000" w:fill="FFFFFF"/>
          </w:tcPr>
          <w:p w14:paraId="755B7AF3"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 xml:space="preserve">Niveau 2 - </w:t>
            </w:r>
          </w:p>
          <w:p w14:paraId="70A872C1" w14:textId="5188BC41"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Formé</w:t>
            </w:r>
          </w:p>
        </w:tc>
        <w:tc>
          <w:tcPr>
            <w:tcW w:w="2014" w:type="pct"/>
            <w:shd w:val="clear" w:color="000000" w:fill="FFFFFF"/>
          </w:tcPr>
          <w:p w14:paraId="05AAECBF"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Bonne connaissance opérationnelle de la compétence. Aptitude à appliquer cette connaissance dans les tâches quotidiennes.</w:t>
            </w:r>
          </w:p>
          <w:p w14:paraId="094736D9" w14:textId="09491AC8"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Aptitude à réaliser de manière indépendante des activités standards en rapport avec cette compétence.</w:t>
            </w:r>
          </w:p>
        </w:tc>
      </w:tr>
      <w:tr w:rsidR="00AD60DD" w:rsidRPr="00520DB2" w14:paraId="188C0F34" w14:textId="77777777" w:rsidTr="00EF3591">
        <w:trPr>
          <w:trHeight w:val="1103"/>
        </w:trPr>
        <w:tc>
          <w:tcPr>
            <w:tcW w:w="658" w:type="pct"/>
            <w:shd w:val="clear" w:color="000000" w:fill="FFFFFF"/>
            <w:vAlign w:val="center"/>
          </w:tcPr>
          <w:p w14:paraId="07C3A4D6" w14:textId="77777777" w:rsidR="00AD60DD" w:rsidRPr="00520DB2" w:rsidRDefault="00AD60DD" w:rsidP="000B6224">
            <w:pPr>
              <w:spacing w:before="60" w:after="120" w:line="240" w:lineRule="auto"/>
              <w:rPr>
                <w:rFonts w:ascii="Verdana" w:hAnsi="Verdana" w:cs="Calibri"/>
                <w:sz w:val="20"/>
                <w:szCs w:val="20"/>
              </w:rPr>
            </w:pPr>
            <w:proofErr w:type="spellStart"/>
            <w:r w:rsidRPr="00520DB2">
              <w:rPr>
                <w:rFonts w:ascii="Verdana" w:hAnsi="Verdana" w:cs="Calibri"/>
                <w:sz w:val="20"/>
                <w:szCs w:val="20"/>
              </w:rPr>
              <w:t>Level</w:t>
            </w:r>
            <w:proofErr w:type="spellEnd"/>
            <w:r w:rsidRPr="00520DB2">
              <w:rPr>
                <w:rFonts w:ascii="Verdana" w:hAnsi="Verdana" w:cs="Calibri"/>
                <w:sz w:val="20"/>
                <w:szCs w:val="20"/>
              </w:rPr>
              <w:t xml:space="preserve"> 3 – </w:t>
            </w:r>
          </w:p>
          <w:p w14:paraId="597D4543" w14:textId="779758EA" w:rsidR="00AD60DD" w:rsidRPr="00520DB2" w:rsidRDefault="00AD60DD" w:rsidP="0044373B">
            <w:pPr>
              <w:spacing w:before="60" w:after="120" w:line="240" w:lineRule="auto"/>
              <w:rPr>
                <w:rFonts w:ascii="Verdana" w:hAnsi="Verdana" w:cstheme="minorHAnsi"/>
                <w:sz w:val="20"/>
                <w:szCs w:val="20"/>
              </w:rPr>
            </w:pPr>
            <w:proofErr w:type="spellStart"/>
            <w:r w:rsidRPr="00520DB2">
              <w:rPr>
                <w:rFonts w:ascii="Verdana" w:hAnsi="Verdana" w:cs="Calibri"/>
                <w:sz w:val="20"/>
                <w:szCs w:val="20"/>
              </w:rPr>
              <w:t>Intermediate</w:t>
            </w:r>
            <w:proofErr w:type="spellEnd"/>
          </w:p>
        </w:tc>
        <w:tc>
          <w:tcPr>
            <w:tcW w:w="1738" w:type="pct"/>
            <w:shd w:val="clear" w:color="000000" w:fill="FFFFFF"/>
          </w:tcPr>
          <w:p w14:paraId="043B0B89" w14:textId="77777777" w:rsidR="00AD60DD" w:rsidRPr="00AD60DD" w:rsidRDefault="00AD60DD" w:rsidP="000B6224">
            <w:pPr>
              <w:spacing w:before="60" w:after="120" w:line="240" w:lineRule="auto"/>
              <w:rPr>
                <w:rFonts w:ascii="Verdana" w:hAnsi="Verdana" w:cs="Calibri"/>
                <w:sz w:val="20"/>
                <w:szCs w:val="20"/>
                <w:lang w:val="en-US"/>
              </w:rPr>
            </w:pPr>
            <w:r w:rsidRPr="00AD60DD">
              <w:rPr>
                <w:rFonts w:ascii="Verdana" w:hAnsi="Verdana" w:cs="Calibri"/>
                <w:sz w:val="20"/>
                <w:szCs w:val="20"/>
                <w:lang w:val="en-US"/>
              </w:rPr>
              <w:t>Broad and in-depth knowledge and skills with regards to the competency.</w:t>
            </w:r>
          </w:p>
          <w:p w14:paraId="68364A47" w14:textId="77777777" w:rsidR="00AD60DD" w:rsidRPr="00AD60DD" w:rsidRDefault="00AD60DD" w:rsidP="000B6224">
            <w:pPr>
              <w:spacing w:before="60" w:after="120" w:line="240" w:lineRule="auto"/>
              <w:rPr>
                <w:rFonts w:ascii="Verdana" w:hAnsi="Verdana" w:cs="Calibri"/>
                <w:sz w:val="20"/>
                <w:szCs w:val="20"/>
                <w:lang w:val="en-US"/>
              </w:rPr>
            </w:pPr>
            <w:r w:rsidRPr="00AD60DD">
              <w:rPr>
                <w:rFonts w:ascii="Verdana" w:hAnsi="Verdana" w:cs="Calibri"/>
                <w:sz w:val="20"/>
                <w:szCs w:val="20"/>
                <w:lang w:val="en-US"/>
              </w:rPr>
              <w:t>Ability to deal with a variety of exceptions and special cases related to the competency in an independent manner.</w:t>
            </w:r>
          </w:p>
          <w:p w14:paraId="05CC78E3" w14:textId="77777777" w:rsidR="00AD60DD" w:rsidRPr="00AD60DD" w:rsidRDefault="00AD60DD" w:rsidP="000B6224">
            <w:pPr>
              <w:spacing w:before="60" w:after="120" w:line="240" w:lineRule="auto"/>
              <w:rPr>
                <w:rFonts w:ascii="Verdana" w:hAnsi="Verdana" w:cs="Calibri"/>
                <w:sz w:val="20"/>
                <w:szCs w:val="20"/>
                <w:lang w:val="en-US"/>
              </w:rPr>
            </w:pPr>
            <w:r w:rsidRPr="00AD60DD">
              <w:rPr>
                <w:rFonts w:ascii="Verdana" w:hAnsi="Verdana" w:cs="Calibri"/>
                <w:sz w:val="20"/>
                <w:szCs w:val="20"/>
                <w:lang w:val="en-US"/>
              </w:rPr>
              <w:t>Ability to effectively share knowledge and experience with more junior profiles.</w:t>
            </w:r>
            <w:r w:rsidRPr="00AD60DD">
              <w:rPr>
                <w:rFonts w:ascii="Verdana" w:hAnsi="Verdana" w:cs="Calibri"/>
                <w:sz w:val="20"/>
                <w:szCs w:val="20"/>
                <w:lang w:val="en-US"/>
              </w:rPr>
              <w:br/>
              <w:t xml:space="preserve">Confidence in serving as an advisor and is sought out to provide insight in the </w:t>
            </w:r>
            <w:r w:rsidRPr="00AD60DD">
              <w:rPr>
                <w:rFonts w:ascii="Verdana" w:hAnsi="Verdana" w:cs="Calibri"/>
                <w:sz w:val="20"/>
                <w:szCs w:val="20"/>
                <w:lang w:val="en-US"/>
              </w:rPr>
              <w:lastRenderedPageBreak/>
              <w:t>application of this competency.</w:t>
            </w:r>
          </w:p>
          <w:p w14:paraId="52B36CA8" w14:textId="10464FF2" w:rsidR="00AD60DD" w:rsidRPr="00AD60DD" w:rsidRDefault="00AD60DD" w:rsidP="0044373B">
            <w:pPr>
              <w:spacing w:before="60" w:after="120" w:line="240" w:lineRule="auto"/>
              <w:rPr>
                <w:rFonts w:ascii="Verdana" w:hAnsi="Verdana" w:cstheme="minorHAnsi"/>
                <w:sz w:val="20"/>
                <w:szCs w:val="20"/>
                <w:lang w:val="en-US"/>
              </w:rPr>
            </w:pPr>
            <w:r w:rsidRPr="00AD60DD">
              <w:rPr>
                <w:rFonts w:ascii="Verdana" w:hAnsi="Verdana" w:cs="Calibri"/>
                <w:sz w:val="20"/>
                <w:szCs w:val="20"/>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54951165"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lastRenderedPageBreak/>
              <w:t xml:space="preserve">Niveau 3 - </w:t>
            </w:r>
          </w:p>
          <w:p w14:paraId="485C4831" w14:textId="75C92601"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Intermédiaire</w:t>
            </w:r>
          </w:p>
        </w:tc>
        <w:tc>
          <w:tcPr>
            <w:tcW w:w="2014" w:type="pct"/>
            <w:shd w:val="clear" w:color="000000" w:fill="FFFFFF"/>
          </w:tcPr>
          <w:p w14:paraId="40C3FE28"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Connaissances et aptitudes vastes et approfondies en rapport avec la compétence.</w:t>
            </w:r>
          </w:p>
          <w:p w14:paraId="39FA1FDF"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Aptitude à traiter de manière indépendante une variété d’exceptions et de cas particuliers en rapport avec la compétence.</w:t>
            </w:r>
          </w:p>
          <w:p w14:paraId="4BA57199"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Aptitude à partager efficacement ses connaissances et expériences avec les employés moins expérimentés.</w:t>
            </w:r>
            <w:r>
              <w:rPr>
                <w:rFonts w:ascii="Verdana" w:hAnsi="Verdana" w:cstheme="minorHAnsi"/>
                <w:sz w:val="20"/>
                <w:szCs w:val="20"/>
              </w:rPr>
              <w:br/>
            </w:r>
            <w:r>
              <w:rPr>
                <w:rFonts w:ascii="Verdana" w:hAnsi="Verdana" w:cstheme="minorHAnsi"/>
                <w:sz w:val="20"/>
              </w:rPr>
              <w:t xml:space="preserve">L’employé possède la confiance nécessaire pour </w:t>
            </w:r>
            <w:r>
              <w:rPr>
                <w:rFonts w:ascii="Verdana" w:hAnsi="Verdana" w:cstheme="minorHAnsi"/>
                <w:sz w:val="20"/>
              </w:rPr>
              <w:lastRenderedPageBreak/>
              <w:t>agir en tant que conseiller et est sollicité pour donner son avis sur l’application de la compétence.</w:t>
            </w:r>
          </w:p>
          <w:p w14:paraId="174A4D81" w14:textId="2503CE47"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L’employé est capable d’encadrer les autres dans l’application de cette compétence en traduisant en termes faciles à comprendre les nuances et les questions complexes en rapport avec cette compétence.</w:t>
            </w:r>
          </w:p>
        </w:tc>
      </w:tr>
      <w:tr w:rsidR="00AD60DD" w:rsidRPr="00520DB2" w14:paraId="1A9A14BD" w14:textId="77777777" w:rsidTr="00EF3591">
        <w:trPr>
          <w:trHeight w:val="1103"/>
        </w:trPr>
        <w:tc>
          <w:tcPr>
            <w:tcW w:w="658" w:type="pct"/>
            <w:shd w:val="clear" w:color="000000" w:fill="FFFFFF"/>
            <w:vAlign w:val="center"/>
          </w:tcPr>
          <w:p w14:paraId="50781A0B" w14:textId="77777777" w:rsidR="00AD60DD" w:rsidRPr="00520DB2" w:rsidRDefault="00AD60DD" w:rsidP="000B6224">
            <w:pPr>
              <w:spacing w:before="60" w:after="120" w:line="240" w:lineRule="auto"/>
              <w:rPr>
                <w:rFonts w:ascii="Verdana" w:hAnsi="Verdana" w:cs="Calibri"/>
                <w:sz w:val="20"/>
                <w:szCs w:val="20"/>
              </w:rPr>
            </w:pPr>
            <w:proofErr w:type="spellStart"/>
            <w:r w:rsidRPr="00520DB2">
              <w:rPr>
                <w:rFonts w:ascii="Verdana" w:hAnsi="Verdana" w:cs="Calibri"/>
                <w:sz w:val="20"/>
                <w:szCs w:val="20"/>
              </w:rPr>
              <w:lastRenderedPageBreak/>
              <w:t>Level</w:t>
            </w:r>
            <w:proofErr w:type="spellEnd"/>
            <w:r w:rsidRPr="00520DB2">
              <w:rPr>
                <w:rFonts w:ascii="Verdana" w:hAnsi="Verdana" w:cs="Calibri"/>
                <w:sz w:val="20"/>
                <w:szCs w:val="20"/>
              </w:rPr>
              <w:t xml:space="preserve"> 4 – </w:t>
            </w:r>
          </w:p>
          <w:p w14:paraId="5030005A" w14:textId="2A8C0073" w:rsidR="00AD60DD" w:rsidRPr="00520DB2" w:rsidRDefault="00AD60DD" w:rsidP="0044373B">
            <w:pPr>
              <w:spacing w:before="60" w:after="120" w:line="240" w:lineRule="auto"/>
              <w:rPr>
                <w:rFonts w:ascii="Verdana" w:hAnsi="Verdana" w:cstheme="minorHAnsi"/>
                <w:sz w:val="20"/>
                <w:szCs w:val="20"/>
              </w:rPr>
            </w:pPr>
            <w:r w:rsidRPr="00520DB2">
              <w:rPr>
                <w:rFonts w:ascii="Verdana" w:hAnsi="Verdana" w:cs="Calibri"/>
                <w:sz w:val="20"/>
                <w:szCs w:val="20"/>
              </w:rPr>
              <w:t>Expert</w:t>
            </w:r>
          </w:p>
        </w:tc>
        <w:tc>
          <w:tcPr>
            <w:tcW w:w="1738" w:type="pct"/>
            <w:shd w:val="clear" w:color="000000" w:fill="FFFFFF"/>
          </w:tcPr>
          <w:p w14:paraId="57F9F732" w14:textId="77777777" w:rsidR="00AD60DD" w:rsidRPr="00AD60DD" w:rsidRDefault="00AD60DD" w:rsidP="000B6224">
            <w:pPr>
              <w:spacing w:before="60" w:after="120" w:line="240" w:lineRule="auto"/>
              <w:rPr>
                <w:rFonts w:ascii="Verdana" w:hAnsi="Verdana" w:cs="Calibri"/>
                <w:sz w:val="20"/>
                <w:szCs w:val="20"/>
                <w:lang w:val="en-US"/>
              </w:rPr>
            </w:pPr>
            <w:r w:rsidRPr="00AD60DD">
              <w:rPr>
                <w:rFonts w:ascii="Verdana" w:hAnsi="Verdana" w:cs="Calibri"/>
                <w:sz w:val="20"/>
                <w:szCs w:val="20"/>
                <w:lang w:val="en-US"/>
              </w:rPr>
              <w:t>Extensive expert knowledge and skills with regards to the competency.</w:t>
            </w:r>
          </w:p>
          <w:p w14:paraId="2B8D1494" w14:textId="77777777" w:rsidR="00AD60DD" w:rsidRPr="00AD60DD" w:rsidRDefault="00AD60DD" w:rsidP="000B6224">
            <w:pPr>
              <w:spacing w:before="60" w:after="120" w:line="240" w:lineRule="auto"/>
              <w:rPr>
                <w:rFonts w:ascii="Verdana" w:hAnsi="Verdana" w:cs="Calibri"/>
                <w:sz w:val="20"/>
                <w:szCs w:val="20"/>
                <w:lang w:val="en-US"/>
              </w:rPr>
            </w:pPr>
            <w:r w:rsidRPr="00AD60DD">
              <w:rPr>
                <w:rFonts w:ascii="Verdana" w:hAnsi="Verdana" w:cs="Calibri"/>
                <w:sz w:val="20"/>
                <w:szCs w:val="20"/>
                <w:lang w:val="en-US"/>
              </w:rPr>
              <w:t>Ability to highlight the (dis)advantages of each of the processes related to the competency whilst linking them to the bigger picture.</w:t>
            </w:r>
          </w:p>
          <w:p w14:paraId="5E5B3C51" w14:textId="77777777" w:rsidR="00AD60DD" w:rsidRPr="00AD60DD" w:rsidRDefault="00AD60DD" w:rsidP="000B6224">
            <w:pPr>
              <w:spacing w:before="60" w:after="120" w:line="240" w:lineRule="auto"/>
              <w:rPr>
                <w:rFonts w:ascii="Verdana" w:hAnsi="Verdana" w:cs="Calibri"/>
                <w:sz w:val="20"/>
                <w:szCs w:val="20"/>
                <w:lang w:val="en-US"/>
              </w:rPr>
            </w:pPr>
            <w:r w:rsidRPr="00AD60DD">
              <w:rPr>
                <w:rFonts w:ascii="Verdana" w:hAnsi="Verdana" w:cs="Calibri"/>
                <w:sz w:val="20"/>
                <w:szCs w:val="20"/>
                <w:lang w:val="en-US"/>
              </w:rPr>
              <w:t>Ability to provide tailored advice and to support the advice with relevant and context specific arguments when responding to internal and external queries.</w:t>
            </w:r>
          </w:p>
          <w:p w14:paraId="39FD703D" w14:textId="6D25E55C" w:rsidR="00AD60DD" w:rsidRPr="00AD60DD" w:rsidRDefault="00AD60DD" w:rsidP="0044373B">
            <w:pPr>
              <w:spacing w:before="60" w:after="120" w:line="240" w:lineRule="auto"/>
              <w:rPr>
                <w:rFonts w:ascii="Verdana" w:hAnsi="Verdana" w:cstheme="minorHAnsi"/>
                <w:sz w:val="20"/>
                <w:szCs w:val="20"/>
                <w:lang w:val="en-US"/>
              </w:rPr>
            </w:pPr>
            <w:r w:rsidRPr="00AD60DD">
              <w:rPr>
                <w:rFonts w:ascii="Verdana" w:hAnsi="Verdana" w:cs="Calibri"/>
                <w:sz w:val="20"/>
                <w:szCs w:val="20"/>
                <w:lang w:val="en-US"/>
              </w:rPr>
              <w:t>Viewed by others as a role model who is capable of leading or teaching others in the area of the competency.</w:t>
            </w:r>
          </w:p>
        </w:tc>
        <w:tc>
          <w:tcPr>
            <w:tcW w:w="590" w:type="pct"/>
            <w:shd w:val="clear" w:color="000000" w:fill="FFFFFF"/>
            <w:vAlign w:val="center"/>
          </w:tcPr>
          <w:p w14:paraId="1E0D4F83"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 xml:space="preserve">Niveau 4 - </w:t>
            </w:r>
          </w:p>
          <w:p w14:paraId="4AC7B651" w14:textId="7FB026A2"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Expert</w:t>
            </w:r>
          </w:p>
        </w:tc>
        <w:tc>
          <w:tcPr>
            <w:tcW w:w="2014" w:type="pct"/>
            <w:shd w:val="clear" w:color="000000" w:fill="FFFFFF"/>
          </w:tcPr>
          <w:p w14:paraId="23C71116"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Vastes connaissances et expertise en rapport avec la compétence.</w:t>
            </w:r>
          </w:p>
          <w:p w14:paraId="26E7329D"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Capacité à distinguer les (dés</w:t>
            </w:r>
            <w:proofErr w:type="gramStart"/>
            <w:r>
              <w:rPr>
                <w:rFonts w:ascii="Verdana" w:hAnsi="Verdana" w:cstheme="minorHAnsi"/>
                <w:sz w:val="20"/>
              </w:rPr>
              <w:t>)avantages</w:t>
            </w:r>
            <w:proofErr w:type="gramEnd"/>
            <w:r>
              <w:rPr>
                <w:rFonts w:ascii="Verdana" w:hAnsi="Verdana" w:cstheme="minorHAnsi"/>
                <w:sz w:val="20"/>
              </w:rPr>
              <w:t xml:space="preserve"> de chacun des processus en rapport avec la compétence tout en les rattachant à la vision globale.</w:t>
            </w:r>
          </w:p>
          <w:p w14:paraId="0E8D7EAA" w14:textId="77777777" w:rsidR="00AD60DD" w:rsidRPr="00520DB2" w:rsidRDefault="00AD60DD" w:rsidP="00B11166">
            <w:pPr>
              <w:spacing w:before="60" w:after="120" w:line="240" w:lineRule="auto"/>
              <w:rPr>
                <w:rFonts w:ascii="Verdana" w:hAnsi="Verdana" w:cstheme="minorHAnsi"/>
                <w:sz w:val="20"/>
                <w:szCs w:val="20"/>
              </w:rPr>
            </w:pPr>
            <w:r>
              <w:rPr>
                <w:rFonts w:ascii="Verdana" w:hAnsi="Verdana" w:cstheme="minorHAnsi"/>
                <w:sz w:val="20"/>
              </w:rPr>
              <w:t>Aptitude à fournir des conseils personnalisés et à accompagner ceux-ci d’arguments pertinents et propres au contexte en répondant aux demandes internes et externes.</w:t>
            </w:r>
          </w:p>
          <w:p w14:paraId="6AAA1950" w14:textId="6540FA20" w:rsidR="00AD60DD" w:rsidRPr="00520DB2" w:rsidRDefault="00AD60DD" w:rsidP="0044373B">
            <w:pPr>
              <w:spacing w:before="60" w:after="120" w:line="240" w:lineRule="auto"/>
              <w:rPr>
                <w:rFonts w:ascii="Verdana" w:hAnsi="Verdana" w:cstheme="minorHAnsi"/>
                <w:sz w:val="20"/>
                <w:szCs w:val="20"/>
              </w:rPr>
            </w:pPr>
            <w:r>
              <w:rPr>
                <w:rFonts w:ascii="Verdana" w:hAnsi="Verdana" w:cstheme="minorHAnsi"/>
                <w:sz w:val="20"/>
              </w:rPr>
              <w:t>L’employé est considéré par les autres comme un modèle capable de les diriger ou de les former dans le domaine de la compétence.</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7" w:name="_Toc494962280"/>
      <w:bookmarkStart w:id="8" w:name="_Toc508805204"/>
      <w:r>
        <w:lastRenderedPageBreak/>
        <w:t>Compétences opérationnelles</w:t>
      </w:r>
      <w:bookmarkEnd w:id="7"/>
      <w:bookmarkEnd w:id="8"/>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Anglais</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Langue locale</w:t>
            </w:r>
          </w:p>
        </w:tc>
      </w:tr>
      <w:tr w:rsidR="007A0134"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7A0134" w:rsidRPr="00520DB2" w:rsidRDefault="007A0134" w:rsidP="000A62E1">
            <w:pPr>
              <w:spacing w:after="0" w:line="240" w:lineRule="auto"/>
              <w:rPr>
                <w:rFonts w:ascii="Verdana" w:eastAsia="Times New Roman" w:hAnsi="Verdana" w:cs="Times New Roman"/>
                <w:b/>
                <w:bCs/>
                <w:sz w:val="20"/>
                <w:szCs w:val="20"/>
              </w:rPr>
            </w:pPr>
            <w:r>
              <w:rPr>
                <w:rFonts w:ascii="Verdana" w:hAnsi="Verdana"/>
                <w:b/>
                <w:sz w:val="20"/>
              </w:rPr>
              <w:t>Code</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791E8008" w:rsidR="007A0134" w:rsidRPr="00520DB2" w:rsidRDefault="000A62E1" w:rsidP="000A62E1">
            <w:pPr>
              <w:spacing w:after="0" w:line="240" w:lineRule="auto"/>
              <w:rPr>
                <w:rFonts w:ascii="Verdana" w:eastAsia="Times New Roman" w:hAnsi="Verdana" w:cs="Times New Roman"/>
                <w:b/>
                <w:bCs/>
                <w:sz w:val="20"/>
                <w:szCs w:val="20"/>
              </w:rPr>
            </w:pPr>
            <w:r>
              <w:rPr>
                <w:rFonts w:ascii="Verdana" w:hAnsi="Verdana"/>
                <w:b/>
                <w:sz w:val="20"/>
              </w:rPr>
              <w:t xml:space="preserve">Compétence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66A77EE9" w:rsidR="007A0134" w:rsidRPr="00520DB2" w:rsidRDefault="00F924DE" w:rsidP="00391F02">
            <w:pPr>
              <w:spacing w:after="0" w:line="240" w:lineRule="auto"/>
              <w:jc w:val="center"/>
              <w:rPr>
                <w:rFonts w:ascii="Verdana" w:eastAsia="Times New Roman" w:hAnsi="Verdana" w:cs="Times New Roman"/>
                <w:b/>
                <w:bCs/>
                <w:sz w:val="20"/>
                <w:szCs w:val="20"/>
              </w:rPr>
            </w:pPr>
            <w:r>
              <w:rPr>
                <w:rFonts w:ascii="Verdana" w:hAnsi="Verdana"/>
                <w:b/>
                <w:sz w:val="20"/>
              </w:rPr>
              <w:t xml:space="preserve">Compétence </w:t>
            </w:r>
          </w:p>
        </w:tc>
      </w:tr>
      <w:tr w:rsidR="00AD60DD" w:rsidRPr="00520DB2" w14:paraId="27057136" w14:textId="77777777" w:rsidTr="001A1002">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AD60DD" w:rsidRPr="00520DB2" w:rsidRDefault="00AD60DD" w:rsidP="00AD60DD">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tcPr>
          <w:p w14:paraId="6A577914" w14:textId="1B76BA44" w:rsidR="00AD60DD" w:rsidRPr="00AD60DD" w:rsidRDefault="00AD60DD" w:rsidP="00AD60DD">
            <w:pPr>
              <w:spacing w:after="0"/>
              <w:rPr>
                <w:rFonts w:ascii="Verdana" w:hAnsi="Verdana"/>
                <w:sz w:val="20"/>
                <w:szCs w:val="20"/>
                <w:lang w:val="en-US"/>
              </w:rPr>
            </w:pPr>
            <w:r w:rsidRPr="00AD60DD">
              <w:rPr>
                <w:rFonts w:ascii="Verdana" w:hAnsi="Verdana"/>
                <w:sz w:val="20"/>
                <w:szCs w:val="20"/>
                <w:lang w:val="en-US"/>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548930D9" w:rsidR="00AD60DD" w:rsidRPr="00520DB2" w:rsidRDefault="00AD60DD" w:rsidP="00AD60DD">
            <w:pPr>
              <w:spacing w:after="0"/>
              <w:rPr>
                <w:rFonts w:ascii="Verdana" w:hAnsi="Verdana"/>
                <w:sz w:val="20"/>
                <w:szCs w:val="20"/>
              </w:rPr>
            </w:pPr>
            <w:r>
              <w:rPr>
                <w:rFonts w:ascii="Verdana" w:hAnsi="Verdana"/>
                <w:sz w:val="20"/>
              </w:rPr>
              <w:t>Normes, procédures et méthodologies en matière d’audit</w:t>
            </w:r>
          </w:p>
        </w:tc>
      </w:tr>
      <w:tr w:rsidR="00AD60DD" w:rsidRPr="00520DB2" w14:paraId="3D87DA36"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AD60DD" w:rsidRPr="00520DB2" w:rsidRDefault="00AD60DD" w:rsidP="00AD60DD">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01725FDD" w14:textId="34D480AB" w:rsidR="00AD60DD" w:rsidRPr="00520DB2" w:rsidRDefault="00AD60DD" w:rsidP="00AD60DD">
            <w:pPr>
              <w:spacing w:after="0"/>
              <w:rPr>
                <w:rFonts w:ascii="Verdana" w:hAnsi="Verdana"/>
                <w:sz w:val="20"/>
                <w:szCs w:val="20"/>
              </w:rPr>
            </w:pPr>
            <w:proofErr w:type="spellStart"/>
            <w:r w:rsidRPr="00520DB2">
              <w:rPr>
                <w:rFonts w:ascii="Verdana" w:hAnsi="Verdana"/>
                <w:sz w:val="20"/>
                <w:szCs w:val="20"/>
              </w:rPr>
              <w:t>Eligibility</w:t>
            </w:r>
            <w:proofErr w:type="spellEnd"/>
            <w:r w:rsidRPr="00520DB2">
              <w:rPr>
                <w:rFonts w:ascii="Verdana" w:hAnsi="Verdana"/>
                <w:sz w:val="20"/>
                <w:szCs w:val="20"/>
              </w:rPr>
              <w:t xml:space="preserve"> of </w:t>
            </w:r>
            <w:proofErr w:type="spellStart"/>
            <w:r w:rsidRPr="00520DB2">
              <w:rPr>
                <w:rFonts w:ascii="Verdana" w:hAnsi="Verdana"/>
                <w:sz w:val="20"/>
                <w:szCs w:val="20"/>
              </w:rPr>
              <w:t>expenditure</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2E23E18E" w:rsidR="00AD60DD" w:rsidRPr="00520DB2" w:rsidRDefault="00AD60DD" w:rsidP="00AD60DD">
            <w:pPr>
              <w:spacing w:after="0"/>
              <w:rPr>
                <w:rFonts w:ascii="Verdana" w:hAnsi="Verdana"/>
                <w:sz w:val="20"/>
                <w:szCs w:val="20"/>
              </w:rPr>
            </w:pPr>
            <w:r>
              <w:rPr>
                <w:rFonts w:ascii="Verdana" w:hAnsi="Verdana"/>
                <w:sz w:val="20"/>
              </w:rPr>
              <w:t>Éligibilité des dépenses</w:t>
            </w:r>
          </w:p>
        </w:tc>
      </w:tr>
      <w:tr w:rsidR="00AD60DD" w:rsidRPr="00520DB2" w14:paraId="188D8C06"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AD60DD" w:rsidRPr="00520DB2" w:rsidRDefault="00AD60DD" w:rsidP="00AD60DD">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CAA75B" w14:textId="57590247" w:rsidR="00AD60DD" w:rsidRPr="00AD60DD" w:rsidRDefault="00AD60DD" w:rsidP="00AD60DD">
            <w:pPr>
              <w:spacing w:after="0"/>
              <w:rPr>
                <w:rFonts w:ascii="Verdana" w:hAnsi="Verdana"/>
                <w:sz w:val="20"/>
                <w:szCs w:val="20"/>
                <w:lang w:val="en-US"/>
              </w:rPr>
            </w:pPr>
            <w:r w:rsidRPr="00AD60DD">
              <w:rPr>
                <w:rFonts w:ascii="Verdana" w:hAnsi="Verdana"/>
                <w:sz w:val="20"/>
                <w:szCs w:val="20"/>
                <w:lang w:val="en-US"/>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3190CD91" w:rsidR="00AD60DD" w:rsidRPr="00520DB2" w:rsidRDefault="00AD60DD" w:rsidP="00AD60DD">
            <w:pPr>
              <w:spacing w:after="0"/>
              <w:rPr>
                <w:rFonts w:ascii="Verdana" w:hAnsi="Verdana"/>
                <w:sz w:val="20"/>
                <w:szCs w:val="20"/>
              </w:rPr>
            </w:pPr>
            <w:r>
              <w:rPr>
                <w:rFonts w:ascii="Verdana" w:hAnsi="Verdana"/>
                <w:sz w:val="20"/>
              </w:rPr>
              <w:t>Gestion des risques de fraude (y compris mesures de prévention, de détection et d’atténuation)</w:t>
            </w:r>
          </w:p>
        </w:tc>
      </w:tr>
      <w:tr w:rsidR="00AD60DD" w:rsidRPr="00520DB2" w14:paraId="7AE8B625"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AD60DD" w:rsidRPr="00520DB2" w:rsidRDefault="00AD60DD" w:rsidP="00AD60DD">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3A10DC9" w14:textId="0CB935B0" w:rsidR="00AD60DD" w:rsidRPr="00520DB2" w:rsidRDefault="00AD60DD" w:rsidP="00AD60DD">
            <w:pPr>
              <w:spacing w:after="0"/>
              <w:rPr>
                <w:rFonts w:ascii="Verdana" w:hAnsi="Verdana"/>
                <w:sz w:val="20"/>
                <w:szCs w:val="20"/>
              </w:rPr>
            </w:pPr>
            <w:proofErr w:type="spellStart"/>
            <w:r w:rsidRPr="00520DB2">
              <w:rPr>
                <w:rFonts w:ascii="Verdana" w:hAnsi="Verdana"/>
                <w:sz w:val="20"/>
                <w:szCs w:val="20"/>
              </w:rPr>
              <w:t>Simplified</w:t>
            </w:r>
            <w:proofErr w:type="spellEnd"/>
            <w:r w:rsidRPr="00520DB2">
              <w:rPr>
                <w:rFonts w:ascii="Verdana" w:hAnsi="Verdana"/>
                <w:sz w:val="20"/>
                <w:szCs w:val="20"/>
              </w:rPr>
              <w:t xml:space="preserve"> </w:t>
            </w:r>
            <w:proofErr w:type="spellStart"/>
            <w:r w:rsidRPr="00520DB2">
              <w:rPr>
                <w:rFonts w:ascii="Verdana" w:hAnsi="Verdana"/>
                <w:sz w:val="20"/>
                <w:szCs w:val="20"/>
              </w:rPr>
              <w:t>Cost</w:t>
            </w:r>
            <w:proofErr w:type="spellEnd"/>
            <w:r w:rsidRPr="00520DB2">
              <w:rPr>
                <w:rFonts w:ascii="Verdana" w:hAnsi="Verdana"/>
                <w:sz w:val="20"/>
                <w:szCs w:val="20"/>
              </w:rPr>
              <w:t xml:space="preserve">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1B2B0A5F" w:rsidR="00AD60DD" w:rsidRPr="00520DB2" w:rsidRDefault="00AD60DD" w:rsidP="00AD60DD">
            <w:pPr>
              <w:spacing w:after="0"/>
              <w:rPr>
                <w:rFonts w:ascii="Verdana" w:hAnsi="Verdana"/>
                <w:sz w:val="20"/>
                <w:szCs w:val="20"/>
              </w:rPr>
            </w:pPr>
            <w:r>
              <w:rPr>
                <w:rFonts w:ascii="Verdana" w:hAnsi="Verdana"/>
                <w:sz w:val="20"/>
              </w:rPr>
              <w:t>Options simplifiées en matière de coûts</w:t>
            </w:r>
          </w:p>
        </w:tc>
      </w:tr>
      <w:tr w:rsidR="00AD60DD" w:rsidRPr="00520DB2" w14:paraId="2786D266"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AD60DD" w:rsidRPr="00520DB2" w:rsidRDefault="00AD60DD" w:rsidP="00AD60DD">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BE237F" w14:textId="384D56E3" w:rsidR="00AD60DD" w:rsidRPr="00AD60DD" w:rsidRDefault="00AD60DD" w:rsidP="00AD60DD">
            <w:pPr>
              <w:spacing w:after="0"/>
              <w:rPr>
                <w:rFonts w:ascii="Verdana" w:hAnsi="Verdana"/>
                <w:sz w:val="20"/>
                <w:szCs w:val="20"/>
                <w:lang w:val="en-US"/>
              </w:rPr>
            </w:pPr>
            <w:r w:rsidRPr="00AD60DD">
              <w:rPr>
                <w:rFonts w:ascii="Verdana" w:hAnsi="Verdana"/>
                <w:sz w:val="20"/>
                <w:szCs w:val="20"/>
                <w:lang w:val="en-US"/>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5D39980E" w:rsidR="00AD60DD" w:rsidRPr="00520DB2" w:rsidRDefault="00AD60DD" w:rsidP="00AD60DD">
            <w:pPr>
              <w:spacing w:after="0"/>
              <w:rPr>
                <w:rFonts w:ascii="Verdana" w:hAnsi="Verdana"/>
                <w:sz w:val="20"/>
                <w:szCs w:val="20"/>
              </w:rPr>
            </w:pPr>
            <w:r>
              <w:rPr>
                <w:rFonts w:ascii="Verdana" w:hAnsi="Verdana"/>
                <w:sz w:val="20"/>
              </w:rPr>
              <w:t>Instruments financiers pertinents pour la fonction</w:t>
            </w:r>
          </w:p>
        </w:tc>
      </w:tr>
      <w:tr w:rsidR="00AD60DD" w:rsidRPr="00520DB2" w14:paraId="5A4E891F"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AD60DD" w:rsidRPr="00520DB2" w:rsidRDefault="00AD60DD" w:rsidP="00AD60DD">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D33AE95" w14:textId="0A0B13EA" w:rsidR="00AD60DD" w:rsidRPr="00520DB2" w:rsidRDefault="00AD60DD" w:rsidP="00AD60DD">
            <w:pPr>
              <w:spacing w:after="0"/>
              <w:rPr>
                <w:rFonts w:ascii="Verdana" w:hAnsi="Verdana"/>
                <w:sz w:val="20"/>
                <w:szCs w:val="20"/>
              </w:rPr>
            </w:pPr>
            <w:r w:rsidRPr="00520DB2">
              <w:rPr>
                <w:rFonts w:ascii="Verdana" w:hAnsi="Verdana"/>
                <w:sz w:val="20"/>
                <w:szCs w:val="20"/>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058B3E1C" w:rsidR="00AD60DD" w:rsidRPr="00520DB2" w:rsidRDefault="00AD60DD" w:rsidP="00AD60DD">
            <w:pPr>
              <w:spacing w:after="0"/>
              <w:rPr>
                <w:rFonts w:ascii="Verdana" w:hAnsi="Verdana"/>
                <w:sz w:val="20"/>
                <w:szCs w:val="20"/>
              </w:rPr>
            </w:pPr>
            <w:r>
              <w:rPr>
                <w:rFonts w:ascii="Verdana" w:hAnsi="Verdana"/>
                <w:sz w:val="20"/>
              </w:rPr>
              <w:t>Questions horizontales</w:t>
            </w:r>
          </w:p>
        </w:tc>
      </w:tr>
      <w:tr w:rsidR="00AD60DD" w:rsidRPr="00520DB2" w14:paraId="174BC97A"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AD60DD" w:rsidRPr="00520DB2" w:rsidRDefault="00AD60DD" w:rsidP="00AD60DD">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55ED0BD" w14:textId="6607BC7E" w:rsidR="00AD60DD" w:rsidRPr="00520DB2" w:rsidRDefault="00AD60DD" w:rsidP="00AD60DD">
            <w:pPr>
              <w:spacing w:after="0"/>
              <w:rPr>
                <w:rFonts w:ascii="Verdana" w:hAnsi="Verdana"/>
                <w:sz w:val="20"/>
                <w:szCs w:val="20"/>
              </w:rPr>
            </w:pPr>
            <w:r w:rsidRPr="00520DB2">
              <w:rPr>
                <w:rFonts w:ascii="Verdana" w:hAnsi="Verdana"/>
                <w:sz w:val="20"/>
                <w:szCs w:val="20"/>
              </w:rPr>
              <w:t xml:space="preserve">Public </w:t>
            </w:r>
            <w:proofErr w:type="spellStart"/>
            <w:r w:rsidRPr="00520DB2">
              <w:rPr>
                <w:rFonts w:ascii="Verdana" w:hAnsi="Verdana"/>
                <w:sz w:val="20"/>
                <w:szCs w:val="20"/>
              </w:rPr>
              <w:t>procurement</w:t>
            </w:r>
            <w:proofErr w:type="spellEnd"/>
            <w:r w:rsidRPr="00520DB2">
              <w:rPr>
                <w:rFonts w:ascii="Verdana" w:hAnsi="Verdana"/>
                <w:sz w:val="20"/>
                <w:szCs w:val="20"/>
              </w:rPr>
              <w:t xml:space="preserve"> </w:t>
            </w:r>
            <w:proofErr w:type="spellStart"/>
            <w:r w:rsidRPr="00520DB2">
              <w:rPr>
                <w:rFonts w:ascii="Verdana" w:hAnsi="Verdana"/>
                <w:sz w:val="20"/>
                <w:szCs w:val="20"/>
              </w:rPr>
              <w:t>rules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49DA76A9" w:rsidR="00AD60DD" w:rsidRPr="00520DB2" w:rsidRDefault="00AD60DD" w:rsidP="00AD60DD">
            <w:pPr>
              <w:spacing w:after="0"/>
              <w:rPr>
                <w:rFonts w:ascii="Verdana" w:hAnsi="Verdana"/>
                <w:sz w:val="20"/>
                <w:szCs w:val="20"/>
              </w:rPr>
            </w:pPr>
            <w:r>
              <w:rPr>
                <w:rFonts w:ascii="Verdana" w:hAnsi="Verdana"/>
                <w:sz w:val="20"/>
              </w:rPr>
              <w:t>Règles en matière de passation de marchés publics</w:t>
            </w:r>
          </w:p>
        </w:tc>
      </w:tr>
      <w:tr w:rsidR="00AD60DD" w:rsidRPr="00520DB2" w14:paraId="301295DA"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AD60DD" w:rsidRPr="00520DB2" w:rsidRDefault="00AD60DD" w:rsidP="00AD60DD">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30A69FD" w14:textId="51D7085C" w:rsidR="00AD60DD" w:rsidRPr="00520DB2" w:rsidRDefault="00AD60DD" w:rsidP="00AD60DD">
            <w:pPr>
              <w:spacing w:after="0"/>
              <w:rPr>
                <w:rFonts w:ascii="Verdana" w:hAnsi="Verdana"/>
                <w:sz w:val="20"/>
                <w:szCs w:val="20"/>
              </w:rPr>
            </w:pPr>
            <w:r w:rsidRPr="00520DB2">
              <w:rPr>
                <w:rFonts w:ascii="Verdana" w:hAnsi="Verdana"/>
                <w:sz w:val="20"/>
                <w:szCs w:val="20"/>
              </w:rPr>
              <w:t xml:space="preserve">State </w:t>
            </w:r>
            <w:proofErr w:type="spellStart"/>
            <w:r w:rsidRPr="00520DB2">
              <w:rPr>
                <w:rFonts w:ascii="Verdana" w:hAnsi="Verdana"/>
                <w:sz w:val="20"/>
                <w:szCs w:val="20"/>
              </w:rPr>
              <w:t>Aid</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5D071DF7" w:rsidR="00AD60DD" w:rsidRPr="00520DB2" w:rsidRDefault="00AD60DD" w:rsidP="00AD60DD">
            <w:pPr>
              <w:spacing w:after="0"/>
              <w:rPr>
                <w:rFonts w:ascii="Verdana" w:hAnsi="Verdana"/>
                <w:sz w:val="20"/>
                <w:szCs w:val="20"/>
              </w:rPr>
            </w:pPr>
            <w:r>
              <w:rPr>
                <w:rFonts w:ascii="Verdana" w:hAnsi="Verdana"/>
                <w:sz w:val="20"/>
              </w:rPr>
              <w:t>Aides d’État</w:t>
            </w:r>
          </w:p>
        </w:tc>
      </w:tr>
      <w:tr w:rsidR="00AD60DD" w:rsidRPr="00520DB2" w14:paraId="3AB6D41D"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AD60DD" w:rsidRPr="00520DB2" w:rsidRDefault="00AD60DD" w:rsidP="00AD60DD">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E2701DB" w14:textId="4168A26A" w:rsidR="00AD60DD" w:rsidRPr="00AD60DD" w:rsidRDefault="00AD60DD" w:rsidP="00AD60DD">
            <w:pPr>
              <w:spacing w:after="0"/>
              <w:rPr>
                <w:rFonts w:ascii="Verdana" w:hAnsi="Verdana"/>
                <w:sz w:val="20"/>
                <w:szCs w:val="20"/>
                <w:lang w:val="en-US"/>
              </w:rPr>
            </w:pPr>
            <w:r w:rsidRPr="00AD60DD">
              <w:rPr>
                <w:rFonts w:ascii="Verdana" w:hAnsi="Verdana"/>
                <w:sz w:val="20"/>
                <w:szCs w:val="20"/>
                <w:lang w:val="en-US"/>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75156E22" w:rsidR="00AD60DD" w:rsidRPr="00520DB2" w:rsidRDefault="00AD60DD" w:rsidP="00AD60DD">
            <w:pPr>
              <w:spacing w:after="0"/>
              <w:rPr>
                <w:rFonts w:ascii="Verdana" w:hAnsi="Verdana"/>
                <w:sz w:val="20"/>
                <w:szCs w:val="20"/>
              </w:rPr>
            </w:pPr>
            <w:r>
              <w:rPr>
                <w:rFonts w:ascii="Verdana" w:hAnsi="Verdana"/>
                <w:sz w:val="20"/>
              </w:rPr>
              <w:t>Normes, procédures et méthodologies en matière d’audit</w:t>
            </w:r>
          </w:p>
        </w:tc>
      </w:tr>
      <w:tr w:rsidR="00AD60DD" w:rsidRPr="00520DB2" w14:paraId="52992BDC"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AD60DD" w:rsidRPr="00520DB2" w:rsidRDefault="00AD60DD" w:rsidP="00AD60DD">
            <w:pPr>
              <w:spacing w:after="0"/>
              <w:rPr>
                <w:rFonts w:ascii="Verdana" w:hAnsi="Verdana"/>
                <w:sz w:val="20"/>
                <w:szCs w:val="20"/>
              </w:rPr>
            </w:pPr>
            <w:r>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CF97C81" w14:textId="662B930C" w:rsidR="00AD60DD" w:rsidRPr="00520DB2" w:rsidRDefault="00AD60DD" w:rsidP="00AD60DD">
            <w:pPr>
              <w:spacing w:after="0"/>
              <w:rPr>
                <w:rFonts w:ascii="Verdana" w:hAnsi="Verdana"/>
                <w:sz w:val="20"/>
                <w:szCs w:val="20"/>
              </w:rPr>
            </w:pPr>
            <w:r w:rsidRPr="00520DB2">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522F13A6" w:rsidR="00AD60DD" w:rsidRPr="00520DB2" w:rsidRDefault="00AD60DD" w:rsidP="00AD60DD">
            <w:pPr>
              <w:spacing w:after="0"/>
              <w:rPr>
                <w:rFonts w:ascii="Verdana" w:hAnsi="Verdana"/>
                <w:sz w:val="20"/>
                <w:szCs w:val="20"/>
              </w:rPr>
            </w:pPr>
            <w:r>
              <w:rPr>
                <w:rFonts w:ascii="Verdana" w:hAnsi="Verdana"/>
                <w:sz w:val="20"/>
              </w:rPr>
              <w:t>Normes d’audit informatiques</w:t>
            </w:r>
          </w:p>
        </w:tc>
      </w:tr>
      <w:tr w:rsidR="00AD60DD" w:rsidRPr="00520DB2" w14:paraId="41094034"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AD60DD" w:rsidRPr="00520DB2" w:rsidRDefault="00AD60DD" w:rsidP="00AD60DD">
            <w:pPr>
              <w:spacing w:after="0"/>
              <w:rPr>
                <w:rFonts w:ascii="Verdana" w:hAnsi="Verdana"/>
                <w:sz w:val="20"/>
                <w:szCs w:val="20"/>
              </w:rPr>
            </w:pPr>
            <w:r>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FDEAC15" w14:textId="30B52BB2" w:rsidR="00AD60DD" w:rsidRPr="00520DB2" w:rsidRDefault="00AD60DD" w:rsidP="00AD60DD">
            <w:pPr>
              <w:spacing w:after="0"/>
              <w:rPr>
                <w:rFonts w:ascii="Verdana" w:hAnsi="Verdana"/>
                <w:sz w:val="20"/>
                <w:szCs w:val="20"/>
              </w:rPr>
            </w:pPr>
            <w:proofErr w:type="spellStart"/>
            <w:r w:rsidRPr="00520DB2">
              <w:rPr>
                <w:rFonts w:ascii="Verdana" w:hAnsi="Verdana"/>
                <w:sz w:val="20"/>
                <w:szCs w:val="20"/>
              </w:rPr>
              <w:t>Sampling</w:t>
            </w:r>
            <w:proofErr w:type="spellEnd"/>
            <w:r w:rsidRPr="00520DB2">
              <w:rPr>
                <w:rFonts w:ascii="Verdana" w:hAnsi="Verdana"/>
                <w:sz w:val="20"/>
                <w:szCs w:val="20"/>
              </w:rPr>
              <w:t xml:space="preserve"> and extrapolation </w:t>
            </w:r>
            <w:proofErr w:type="spellStart"/>
            <w:r w:rsidRPr="00520DB2">
              <w:rPr>
                <w:rFonts w:ascii="Verdana" w:hAnsi="Verdana"/>
                <w:sz w:val="20"/>
                <w:szCs w:val="20"/>
              </w:rPr>
              <w:t>methods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7311A689" w:rsidR="00AD60DD" w:rsidRPr="00520DB2" w:rsidRDefault="00AD60DD" w:rsidP="00AD60DD">
            <w:pPr>
              <w:spacing w:after="0"/>
              <w:rPr>
                <w:rFonts w:ascii="Verdana" w:hAnsi="Verdana"/>
                <w:sz w:val="20"/>
                <w:szCs w:val="20"/>
              </w:rPr>
            </w:pPr>
            <w:r>
              <w:rPr>
                <w:rFonts w:ascii="Verdana" w:hAnsi="Verdana"/>
                <w:sz w:val="20"/>
              </w:rPr>
              <w:t>Méthodes d’échantillonnage et d’extrapolation</w:t>
            </w:r>
          </w:p>
        </w:tc>
      </w:tr>
      <w:tr w:rsidR="00AD60DD" w:rsidRPr="00520DB2" w14:paraId="398519CC"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AD60DD" w:rsidRPr="00520DB2" w:rsidRDefault="00AD60DD" w:rsidP="00AD60DD">
            <w:pPr>
              <w:spacing w:after="0"/>
              <w:rPr>
                <w:rFonts w:ascii="Verdana" w:hAnsi="Verdana"/>
                <w:sz w:val="20"/>
                <w:szCs w:val="20"/>
              </w:rPr>
            </w:pPr>
            <w:r>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A960F2" w14:textId="315A1A91" w:rsidR="00AD60DD" w:rsidRPr="00AD60DD" w:rsidRDefault="00AD60DD" w:rsidP="00AD60DD">
            <w:pPr>
              <w:spacing w:after="0"/>
              <w:rPr>
                <w:rFonts w:ascii="Verdana" w:hAnsi="Verdana"/>
                <w:sz w:val="20"/>
                <w:szCs w:val="20"/>
                <w:lang w:val="en-US"/>
              </w:rPr>
            </w:pPr>
            <w:r w:rsidRPr="00AD60DD">
              <w:rPr>
                <w:rFonts w:ascii="Verdana" w:hAnsi="Verdana"/>
                <w:sz w:val="20"/>
                <w:szCs w:val="20"/>
                <w:lang w:val="en-US"/>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072ED0CE" w:rsidR="00AD60DD" w:rsidRPr="00520DB2" w:rsidRDefault="00AD60DD" w:rsidP="00AD60DD">
            <w:pPr>
              <w:spacing w:after="0"/>
              <w:rPr>
                <w:rFonts w:ascii="Verdana" w:hAnsi="Verdana"/>
                <w:sz w:val="20"/>
                <w:szCs w:val="20"/>
              </w:rPr>
            </w:pPr>
            <w:r>
              <w:rPr>
                <w:rFonts w:ascii="Verdana" w:hAnsi="Verdana"/>
                <w:sz w:val="20"/>
              </w:rPr>
              <w:t>Écarts de financement et génération de recettes</w:t>
            </w:r>
          </w:p>
        </w:tc>
      </w:tr>
      <w:tr w:rsidR="00AD60DD" w:rsidRPr="00520DB2" w14:paraId="55AE316F"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AD60DD" w:rsidRPr="00520DB2" w:rsidRDefault="00AD60DD" w:rsidP="00AD60DD">
            <w:pPr>
              <w:spacing w:after="0"/>
              <w:rPr>
                <w:rFonts w:ascii="Verdana" w:hAnsi="Verdana"/>
                <w:sz w:val="20"/>
                <w:szCs w:val="20"/>
              </w:rPr>
            </w:pPr>
            <w:r>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7E89EA8F" w14:textId="68B9EA6A" w:rsidR="00AD60DD" w:rsidRPr="00520DB2" w:rsidRDefault="00AD60DD" w:rsidP="00AD60DD">
            <w:pPr>
              <w:spacing w:after="0"/>
              <w:rPr>
                <w:rFonts w:ascii="Verdana" w:hAnsi="Verdana"/>
                <w:sz w:val="20"/>
                <w:szCs w:val="20"/>
              </w:rPr>
            </w:pPr>
            <w:r w:rsidRPr="00520DB2">
              <w:rPr>
                <w:rFonts w:ascii="Verdana" w:hAnsi="Verdana"/>
                <w:sz w:val="20"/>
                <w:szCs w:val="20"/>
              </w:rPr>
              <w:t xml:space="preserve">Major </w:t>
            </w:r>
            <w:proofErr w:type="spellStart"/>
            <w:r w:rsidRPr="00520DB2">
              <w:rPr>
                <w:rFonts w:ascii="Verdana" w:hAnsi="Verdana"/>
                <w:sz w:val="20"/>
                <w:szCs w:val="20"/>
              </w:rPr>
              <w:t>projects</w:t>
            </w:r>
            <w:proofErr w:type="spellEnd"/>
            <w:r w:rsidRPr="00520DB2">
              <w:rPr>
                <w:rFonts w:ascii="Verdana" w:hAnsi="Verdana"/>
                <w:sz w:val="20"/>
                <w:szCs w:val="20"/>
              </w:rPr>
              <w:t xml:space="preserve"> </w:t>
            </w:r>
            <w:proofErr w:type="spellStart"/>
            <w:r w:rsidRPr="00520DB2">
              <w:rPr>
                <w:rFonts w:ascii="Verdana" w:hAnsi="Verdana"/>
                <w:sz w:val="20"/>
                <w:szCs w:val="20"/>
              </w:rPr>
              <w:t>procedures</w:t>
            </w:r>
            <w:proofErr w:type="spellEnd"/>
            <w:r w:rsidRPr="00520DB2">
              <w:rPr>
                <w:rFonts w:ascii="Verdana" w:hAnsi="Verdana"/>
                <w:sz w:val="20"/>
                <w:szCs w:val="20"/>
              </w:rPr>
              <w:t xml:space="preserve"> / </w:t>
            </w:r>
            <w:proofErr w:type="spellStart"/>
            <w:r w:rsidRPr="00520DB2">
              <w:rPr>
                <w:rFonts w:ascii="Verdana" w:hAnsi="Verdana"/>
                <w:sz w:val="20"/>
                <w:szCs w:val="20"/>
              </w:rPr>
              <w:t>legislation</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2A0D2C0E" w:rsidR="00AD60DD" w:rsidRPr="00520DB2" w:rsidRDefault="00AD60DD" w:rsidP="00AD60DD">
            <w:pPr>
              <w:spacing w:after="0"/>
              <w:rPr>
                <w:rFonts w:ascii="Verdana" w:hAnsi="Verdana"/>
                <w:sz w:val="20"/>
                <w:szCs w:val="20"/>
              </w:rPr>
            </w:pPr>
            <w:r>
              <w:rPr>
                <w:rFonts w:ascii="Verdana" w:hAnsi="Verdana"/>
                <w:sz w:val="20"/>
              </w:rPr>
              <w:t>Procédures/législation relatives aux grands projets</w:t>
            </w:r>
          </w:p>
        </w:tc>
      </w:tr>
      <w:tr w:rsidR="00AD60DD" w:rsidRPr="00520DB2" w14:paraId="68316A07"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AD60DD" w:rsidRPr="00520DB2" w:rsidRDefault="00AD60DD" w:rsidP="00AD60DD">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42B418B" w14:textId="3F62D81F" w:rsidR="00AD60DD" w:rsidRPr="00AD60DD" w:rsidRDefault="00AD60DD" w:rsidP="00AD60DD">
            <w:pPr>
              <w:spacing w:after="0"/>
              <w:rPr>
                <w:rFonts w:ascii="Verdana" w:hAnsi="Verdana"/>
                <w:sz w:val="20"/>
                <w:szCs w:val="20"/>
                <w:lang w:val="en-US"/>
              </w:rPr>
            </w:pPr>
            <w:r w:rsidRPr="00AD60DD">
              <w:rPr>
                <w:rFonts w:ascii="Verdana" w:hAnsi="Verdana"/>
                <w:sz w:val="20"/>
                <w:szCs w:val="20"/>
                <w:lang w:val="en-US"/>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565FD7EC" w:rsidR="00AD60DD" w:rsidRPr="00520DB2" w:rsidRDefault="00AD60DD" w:rsidP="00AD60DD">
            <w:pPr>
              <w:spacing w:after="0"/>
              <w:rPr>
                <w:rFonts w:ascii="Verdana" w:hAnsi="Verdana"/>
                <w:sz w:val="20"/>
                <w:szCs w:val="20"/>
              </w:rPr>
            </w:pPr>
            <w:r>
              <w:rPr>
                <w:rFonts w:ascii="Verdana" w:hAnsi="Verdana"/>
                <w:sz w:val="20"/>
              </w:rPr>
              <w:t xml:space="preserve">Questions territoriales, telles que les ITI, le CLLD, le développement urbain durable, les stratégies </w:t>
            </w:r>
            <w:proofErr w:type="spellStart"/>
            <w:r>
              <w:rPr>
                <w:rFonts w:ascii="Verdana" w:hAnsi="Verdana"/>
                <w:sz w:val="20"/>
              </w:rPr>
              <w:t>macrorégionales</w:t>
            </w:r>
            <w:proofErr w:type="spellEnd"/>
            <w:r>
              <w:rPr>
                <w:rFonts w:ascii="Verdana" w:hAnsi="Verdana"/>
                <w:sz w:val="20"/>
              </w:rPr>
              <w:t xml:space="preserve"> et la planification de la coopération interrégionale</w:t>
            </w:r>
          </w:p>
        </w:tc>
      </w:tr>
      <w:tr w:rsidR="00AD60DD" w:rsidRPr="00520DB2" w14:paraId="41C02A9F"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AD60DD" w:rsidRPr="00520DB2" w:rsidRDefault="00AD60DD" w:rsidP="00AD60DD">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6168519B" w14:textId="4E0A0184" w:rsidR="00AD60DD" w:rsidRPr="00AD60DD" w:rsidRDefault="00AD60DD" w:rsidP="00AD60DD">
            <w:pPr>
              <w:spacing w:after="0"/>
              <w:rPr>
                <w:rFonts w:ascii="Verdana" w:hAnsi="Verdana"/>
                <w:sz w:val="20"/>
                <w:szCs w:val="20"/>
                <w:lang w:val="en-US"/>
              </w:rPr>
            </w:pPr>
            <w:r w:rsidRPr="00AD60DD">
              <w:rPr>
                <w:rFonts w:ascii="Verdana" w:hAnsi="Verdana"/>
                <w:sz w:val="20"/>
                <w:szCs w:val="20"/>
                <w:lang w:val="en-US"/>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35EB5379" w:rsidR="00AD60DD" w:rsidRPr="00520DB2" w:rsidRDefault="00AD60DD" w:rsidP="00AD60DD">
            <w:pPr>
              <w:spacing w:after="0"/>
              <w:rPr>
                <w:rFonts w:ascii="Verdana" w:hAnsi="Verdana"/>
                <w:sz w:val="20"/>
                <w:szCs w:val="20"/>
              </w:rPr>
            </w:pPr>
            <w:r>
              <w:rPr>
                <w:rFonts w:ascii="Verdana" w:hAnsi="Verdana"/>
                <w:sz w:val="20"/>
              </w:rPr>
              <w:t xml:space="preserve">Procédures administratives pour l’achat de biens et de services </w:t>
            </w:r>
            <w:r>
              <w:t>relevant de l’assistance technique</w:t>
            </w:r>
          </w:p>
        </w:tc>
      </w:tr>
      <w:tr w:rsidR="00AD60DD" w:rsidRPr="00520DB2" w14:paraId="7D30E892"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AD60DD" w:rsidRPr="00520DB2" w:rsidRDefault="00AD60DD" w:rsidP="00AD60DD">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D16437B" w14:textId="70E90023" w:rsidR="00AD60DD" w:rsidRPr="00520DB2" w:rsidRDefault="00AD60DD" w:rsidP="00AD60DD">
            <w:pPr>
              <w:spacing w:after="0"/>
              <w:rPr>
                <w:rFonts w:ascii="Verdana" w:hAnsi="Verdana"/>
                <w:sz w:val="20"/>
                <w:szCs w:val="20"/>
              </w:rPr>
            </w:pPr>
            <w:r w:rsidRPr="00520DB2">
              <w:rPr>
                <w:rFonts w:ascii="Verdana" w:hAnsi="Verdana"/>
                <w:sz w:val="20"/>
                <w:szCs w:val="20"/>
              </w:rPr>
              <w:t xml:space="preserve">Input, output, </w:t>
            </w:r>
            <w:proofErr w:type="spellStart"/>
            <w:r w:rsidRPr="00520DB2">
              <w:rPr>
                <w:rFonts w:ascii="Verdana" w:hAnsi="Verdana"/>
                <w:sz w:val="20"/>
                <w:szCs w:val="20"/>
              </w:rPr>
              <w:t>results</w:t>
            </w:r>
            <w:proofErr w:type="spellEnd"/>
            <w:r w:rsidRPr="00520DB2">
              <w:rPr>
                <w:rFonts w:ascii="Verdana" w:hAnsi="Verdana"/>
                <w:sz w:val="20"/>
                <w:szCs w:val="20"/>
              </w:rPr>
              <w:t xml:space="preserve"> </w:t>
            </w:r>
            <w:proofErr w:type="spellStart"/>
            <w:r w:rsidRPr="00520DB2">
              <w:rPr>
                <w:rFonts w:ascii="Verdana" w:hAnsi="Verdana"/>
                <w:sz w:val="20"/>
                <w:szCs w:val="20"/>
              </w:rPr>
              <w:t>indicators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1FEE2186" w:rsidR="00AD60DD" w:rsidRPr="00520DB2" w:rsidRDefault="00AD60DD" w:rsidP="00AD60DD">
            <w:pPr>
              <w:spacing w:after="0"/>
              <w:rPr>
                <w:rFonts w:ascii="Verdana" w:hAnsi="Verdana"/>
                <w:sz w:val="20"/>
                <w:szCs w:val="20"/>
              </w:rPr>
            </w:pPr>
            <w:r>
              <w:rPr>
                <w:rFonts w:ascii="Verdana" w:hAnsi="Verdana"/>
                <w:sz w:val="20"/>
              </w:rPr>
              <w:t>Indicateurs d’intrants, de réalisations et de résultats</w:t>
            </w:r>
          </w:p>
        </w:tc>
      </w:tr>
      <w:tr w:rsidR="00AD60DD" w:rsidRPr="00520DB2" w14:paraId="40F10764"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AD60DD" w:rsidRPr="00520DB2" w:rsidRDefault="00AD60DD" w:rsidP="00AD60DD">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CFEA83" w14:textId="35B74117" w:rsidR="00AD60DD" w:rsidRPr="00520DB2" w:rsidRDefault="00AD60DD" w:rsidP="00AD60DD">
            <w:pPr>
              <w:spacing w:after="0"/>
              <w:rPr>
                <w:rFonts w:ascii="Verdana" w:hAnsi="Verdana"/>
                <w:sz w:val="20"/>
                <w:szCs w:val="20"/>
              </w:rPr>
            </w:pPr>
            <w:proofErr w:type="spellStart"/>
            <w:r w:rsidRPr="00520DB2">
              <w:rPr>
                <w:rFonts w:ascii="Verdana" w:hAnsi="Verdana"/>
                <w:sz w:val="20"/>
                <w:szCs w:val="20"/>
              </w:rPr>
              <w:t>Incentive</w:t>
            </w:r>
            <w:proofErr w:type="spellEnd"/>
            <w:r w:rsidRPr="00520DB2">
              <w:rPr>
                <w:rFonts w:ascii="Verdana" w:hAnsi="Verdana"/>
                <w:sz w:val="20"/>
                <w:szCs w:val="20"/>
              </w:rPr>
              <w:t xml:space="preserve"> </w:t>
            </w:r>
            <w:proofErr w:type="spellStart"/>
            <w:r w:rsidRPr="00520DB2">
              <w:rPr>
                <w:rFonts w:ascii="Verdana" w:hAnsi="Verdana"/>
                <w:sz w:val="20"/>
                <w:szCs w:val="20"/>
              </w:rPr>
              <w:t>effect</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0D88DFFC" w:rsidR="00AD60DD" w:rsidRPr="00520DB2" w:rsidRDefault="00AD60DD" w:rsidP="00AD60DD">
            <w:pPr>
              <w:spacing w:after="0"/>
              <w:rPr>
                <w:rFonts w:ascii="Verdana" w:hAnsi="Verdana"/>
                <w:sz w:val="20"/>
                <w:szCs w:val="20"/>
              </w:rPr>
            </w:pPr>
            <w:r>
              <w:rPr>
                <w:rFonts w:ascii="Verdana" w:hAnsi="Verdana"/>
                <w:sz w:val="20"/>
              </w:rPr>
              <w:t>Effet incitatif</w:t>
            </w:r>
          </w:p>
        </w:tc>
      </w:tr>
      <w:tr w:rsidR="00AD60DD" w:rsidRPr="00520DB2" w14:paraId="21AF33FC" w14:textId="77777777" w:rsidTr="001A100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AD60DD" w:rsidRPr="00520DB2" w:rsidRDefault="00AD60DD" w:rsidP="00AD60DD">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B69824E" w14:textId="5248EB4B" w:rsidR="00AD60DD" w:rsidRPr="00520DB2" w:rsidRDefault="00AD60DD" w:rsidP="00AD60DD">
            <w:pPr>
              <w:rPr>
                <w:rFonts w:ascii="Verdana" w:hAnsi="Verdana"/>
                <w:sz w:val="20"/>
                <w:szCs w:val="20"/>
              </w:rPr>
            </w:pPr>
            <w:r w:rsidRPr="00520DB2">
              <w:rPr>
                <w:rFonts w:ascii="Verdana" w:hAnsi="Verdana"/>
                <w:sz w:val="20"/>
                <w:szCs w:val="20"/>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570572E7" w:rsidR="00AD60DD" w:rsidRPr="00520DB2" w:rsidRDefault="00AD60DD" w:rsidP="00AD60DD">
            <w:pPr>
              <w:rPr>
                <w:rFonts w:ascii="Verdana" w:hAnsi="Verdana"/>
                <w:sz w:val="20"/>
                <w:szCs w:val="20"/>
              </w:rPr>
            </w:pPr>
            <w:r>
              <w:rPr>
                <w:rFonts w:ascii="Verdana" w:hAnsi="Verdana"/>
                <w:sz w:val="20"/>
              </w:rPr>
              <w:t>Gestion des programmes et gestion des cycles de projets</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9" w:name="_Toc494962281"/>
      <w:bookmarkStart w:id="10" w:name="_Toc508805205"/>
      <w:r>
        <w:lastRenderedPageBreak/>
        <w:t>Compétences de gestion</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Anglais</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Langue locale</w:t>
            </w:r>
          </w:p>
        </w:tc>
      </w:tr>
      <w:tr w:rsidR="00F924DE" w:rsidRPr="00520DB2" w14:paraId="016DC1DD" w14:textId="77777777" w:rsidTr="007400CA">
        <w:trPr>
          <w:trHeight w:val="255"/>
          <w:tblHeader/>
        </w:trPr>
        <w:tc>
          <w:tcPr>
            <w:tcW w:w="386" w:type="pct"/>
            <w:shd w:val="clear" w:color="auto" w:fill="EDEDED" w:themeFill="accent3" w:themeFillTint="33"/>
          </w:tcPr>
          <w:p w14:paraId="346B4B9A" w14:textId="77777777" w:rsidR="00F924DE" w:rsidRPr="00520DB2" w:rsidRDefault="00F924DE" w:rsidP="00AD2B31">
            <w:pPr>
              <w:spacing w:after="0" w:line="240" w:lineRule="auto"/>
              <w:rPr>
                <w:rFonts w:ascii="Verdana" w:eastAsia="Times New Roman" w:hAnsi="Verdana" w:cstheme="minorHAnsi"/>
                <w:b/>
                <w:bCs/>
                <w:sz w:val="20"/>
                <w:szCs w:val="20"/>
              </w:rPr>
            </w:pPr>
            <w:r>
              <w:rPr>
                <w:rFonts w:ascii="Verdana" w:hAnsi="Verdana" w:cstheme="minorHAnsi"/>
                <w:b/>
                <w:sz w:val="20"/>
              </w:rPr>
              <w:t>Code</w:t>
            </w:r>
          </w:p>
        </w:tc>
        <w:tc>
          <w:tcPr>
            <w:tcW w:w="724" w:type="pct"/>
            <w:shd w:val="clear" w:color="auto" w:fill="EDEDED" w:themeFill="accent3" w:themeFillTint="33"/>
            <w:noWrap/>
            <w:vAlign w:val="center"/>
            <w:hideMark/>
          </w:tcPr>
          <w:p w14:paraId="13402B5D" w14:textId="5B67AF6F" w:rsidR="00F924DE" w:rsidRPr="00520DB2" w:rsidRDefault="00F924D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459" w:type="pct"/>
            <w:shd w:val="clear" w:color="auto" w:fill="EDEDED" w:themeFill="accent3" w:themeFillTint="33"/>
            <w:noWrap/>
            <w:vAlign w:val="center"/>
            <w:hideMark/>
          </w:tcPr>
          <w:p w14:paraId="1FCC4F27" w14:textId="77777777" w:rsidR="00F924DE" w:rsidRPr="00520DB2" w:rsidRDefault="00F924D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c>
          <w:tcPr>
            <w:tcW w:w="661" w:type="pct"/>
            <w:shd w:val="clear" w:color="auto" w:fill="EDEDED" w:themeFill="accent3" w:themeFillTint="33"/>
            <w:vAlign w:val="center"/>
          </w:tcPr>
          <w:p w14:paraId="7C053FC4" w14:textId="05520E23" w:rsidR="00F924DE" w:rsidRPr="00520DB2" w:rsidRDefault="00F924DE"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Compétence</w:t>
            </w:r>
          </w:p>
        </w:tc>
        <w:tc>
          <w:tcPr>
            <w:tcW w:w="1770" w:type="pct"/>
            <w:shd w:val="clear" w:color="auto" w:fill="EDEDED" w:themeFill="accent3" w:themeFillTint="33"/>
            <w:vAlign w:val="center"/>
          </w:tcPr>
          <w:p w14:paraId="706C2FAC" w14:textId="37F511A2" w:rsidR="00F924DE" w:rsidRPr="00520DB2" w:rsidRDefault="00F924DE"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Description</w:t>
            </w:r>
          </w:p>
        </w:tc>
      </w:tr>
      <w:tr w:rsidR="00AD60DD" w:rsidRPr="00520DB2" w14:paraId="4617CB3F" w14:textId="77777777" w:rsidTr="00F924DE">
        <w:trPr>
          <w:trHeight w:val="579"/>
        </w:trPr>
        <w:tc>
          <w:tcPr>
            <w:tcW w:w="386" w:type="pct"/>
            <w:shd w:val="clear" w:color="000000" w:fill="FFFFFF"/>
            <w:vAlign w:val="center"/>
          </w:tcPr>
          <w:p w14:paraId="6AB2EFCF"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t>M.C1</w:t>
            </w:r>
          </w:p>
        </w:tc>
        <w:tc>
          <w:tcPr>
            <w:tcW w:w="724" w:type="pct"/>
            <w:shd w:val="clear" w:color="000000" w:fill="FFFFFF"/>
            <w:vAlign w:val="center"/>
          </w:tcPr>
          <w:p w14:paraId="6DA6BEB3" w14:textId="7036EA66"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Developing others and people management</w:t>
            </w:r>
          </w:p>
        </w:tc>
        <w:tc>
          <w:tcPr>
            <w:tcW w:w="1459" w:type="pct"/>
            <w:shd w:val="clear" w:color="000000" w:fill="FFFFFF"/>
            <w:vAlign w:val="center"/>
          </w:tcPr>
          <w:p w14:paraId="30EED0EA" w14:textId="05CB4FE8"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 xml:space="preserve">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w:t>
            </w:r>
            <w:proofErr w:type="spellStart"/>
            <w:r w:rsidRPr="00AD60DD">
              <w:rPr>
                <w:rFonts w:ascii="Verdana" w:hAnsi="Verdana" w:cs="Calibri"/>
                <w:sz w:val="20"/>
                <w:szCs w:val="20"/>
                <w:lang w:val="en-US"/>
              </w:rPr>
              <w:t>maximise</w:t>
            </w:r>
            <w:proofErr w:type="spellEnd"/>
            <w:r w:rsidRPr="00AD60DD">
              <w:rPr>
                <w:rFonts w:ascii="Verdana" w:hAnsi="Verdana" w:cs="Calibri"/>
                <w:sz w:val="20"/>
                <w:szCs w:val="20"/>
                <w:lang w:val="en-US"/>
              </w:rPr>
              <w:t xml:space="preserve"> the efficiency of human resources.</w:t>
            </w:r>
          </w:p>
        </w:tc>
        <w:tc>
          <w:tcPr>
            <w:tcW w:w="661" w:type="pct"/>
            <w:shd w:val="clear" w:color="000000" w:fill="FFFFFF"/>
            <w:vAlign w:val="center"/>
          </w:tcPr>
          <w:p w14:paraId="54D16C76" w14:textId="6E972281" w:rsidR="00AD60DD" w:rsidRPr="00520DB2" w:rsidRDefault="00AD60DD" w:rsidP="00B579F3">
            <w:pPr>
              <w:spacing w:after="0" w:line="240" w:lineRule="auto"/>
              <w:jc w:val="center"/>
              <w:rPr>
                <w:rFonts w:ascii="Verdana" w:eastAsia="Times New Roman" w:hAnsi="Verdana" w:cstheme="minorHAnsi"/>
                <w:b/>
                <w:bCs/>
                <w:color w:val="FFFFFF" w:themeColor="background1"/>
                <w:sz w:val="20"/>
                <w:szCs w:val="20"/>
              </w:rPr>
            </w:pPr>
            <w:r>
              <w:t>Développement des compétences d'autrui et gestion du personnel</w:t>
            </w:r>
          </w:p>
        </w:tc>
        <w:tc>
          <w:tcPr>
            <w:tcW w:w="1770" w:type="pct"/>
            <w:shd w:val="clear" w:color="000000" w:fill="FFFFFF"/>
            <w:vAlign w:val="center"/>
          </w:tcPr>
          <w:p w14:paraId="013AC157" w14:textId="3713A04E" w:rsidR="00AD60DD" w:rsidRPr="00520DB2" w:rsidRDefault="00AD60DD"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Démontrer une aptitude à fournir en temps utile des orientations claires et spécifiques et des retours d’information, à aider les autres à recenser le</w:t>
            </w:r>
            <w:r>
              <w:t>urs besoins et possibilités de développement des compétences et de formation et à améliorer leurs connaissances, aptitudes et capacités nécessaires en vue d'exécuter les tâches attribuées ou de résoudre les problèmes, démontrer également une aptitude à gérer les activités professionnelles des employés ainsi que le développement de leurs compétences et leurs performances de manière à maximiser l’efficacité des ressources humaines.</w:t>
            </w:r>
          </w:p>
        </w:tc>
      </w:tr>
      <w:tr w:rsidR="00AD60DD" w:rsidRPr="00520DB2" w14:paraId="32557D3F" w14:textId="77777777" w:rsidTr="00F924DE">
        <w:trPr>
          <w:trHeight w:val="765"/>
        </w:trPr>
        <w:tc>
          <w:tcPr>
            <w:tcW w:w="386" w:type="pct"/>
            <w:shd w:val="clear" w:color="000000" w:fill="FFFFFF"/>
            <w:vAlign w:val="center"/>
          </w:tcPr>
          <w:p w14:paraId="19DD02E9"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t>M.C2</w:t>
            </w:r>
          </w:p>
        </w:tc>
        <w:tc>
          <w:tcPr>
            <w:tcW w:w="724" w:type="pct"/>
            <w:shd w:val="clear" w:color="000000" w:fill="FFFFFF"/>
            <w:vAlign w:val="center"/>
          </w:tcPr>
          <w:p w14:paraId="4EC56D79" w14:textId="63C52CB4" w:rsidR="00AD60DD" w:rsidRPr="00520DB2" w:rsidRDefault="00AD60DD" w:rsidP="00B579F3">
            <w:pPr>
              <w:spacing w:after="0"/>
              <w:rPr>
                <w:rFonts w:ascii="Verdana" w:hAnsi="Verdana" w:cstheme="minorHAnsi"/>
                <w:sz w:val="20"/>
                <w:szCs w:val="20"/>
              </w:rPr>
            </w:pPr>
            <w:proofErr w:type="spellStart"/>
            <w:r w:rsidRPr="00520DB2">
              <w:rPr>
                <w:rFonts w:ascii="Verdana" w:hAnsi="Verdana" w:cs="Calibri"/>
                <w:sz w:val="20"/>
                <w:szCs w:val="20"/>
              </w:rPr>
              <w:t>Decision</w:t>
            </w:r>
            <w:proofErr w:type="spellEnd"/>
            <w:r w:rsidRPr="00520DB2">
              <w:rPr>
                <w:rFonts w:ascii="Verdana" w:hAnsi="Verdana" w:cs="Calibri"/>
                <w:sz w:val="20"/>
                <w:szCs w:val="20"/>
              </w:rPr>
              <w:t xml:space="preserve"> </w:t>
            </w:r>
            <w:proofErr w:type="spellStart"/>
            <w:r w:rsidRPr="00520DB2">
              <w:rPr>
                <w:rFonts w:ascii="Verdana" w:hAnsi="Verdana" w:cs="Calibri"/>
                <w:sz w:val="20"/>
                <w:szCs w:val="20"/>
              </w:rPr>
              <w:t>making</w:t>
            </w:r>
            <w:proofErr w:type="spellEnd"/>
          </w:p>
        </w:tc>
        <w:tc>
          <w:tcPr>
            <w:tcW w:w="1459" w:type="pct"/>
            <w:shd w:val="clear" w:color="000000" w:fill="FFFFFF"/>
            <w:vAlign w:val="center"/>
          </w:tcPr>
          <w:p w14:paraId="0705AA14" w14:textId="1E50E2CA"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06F9AA54" w:rsidR="00AD60DD" w:rsidRPr="00520DB2" w:rsidRDefault="00AD60DD" w:rsidP="00B579F3">
            <w:pPr>
              <w:spacing w:after="0"/>
              <w:rPr>
                <w:rFonts w:ascii="Verdana" w:hAnsi="Verdana" w:cstheme="minorHAnsi"/>
                <w:sz w:val="20"/>
                <w:szCs w:val="20"/>
              </w:rPr>
            </w:pPr>
            <w:r>
              <w:rPr>
                <w:rFonts w:ascii="Verdana" w:hAnsi="Verdana" w:cstheme="minorHAnsi"/>
                <w:sz w:val="20"/>
              </w:rPr>
              <w:t>Prise de décisions</w:t>
            </w:r>
          </w:p>
        </w:tc>
        <w:tc>
          <w:tcPr>
            <w:tcW w:w="1770" w:type="pct"/>
            <w:shd w:val="clear" w:color="000000" w:fill="FFFFFF"/>
            <w:vAlign w:val="center"/>
          </w:tcPr>
          <w:p w14:paraId="4E6275FE" w14:textId="330811C3" w:rsidR="00AD60DD" w:rsidRPr="00520DB2" w:rsidRDefault="00AD60DD" w:rsidP="00B579F3">
            <w:pPr>
              <w:spacing w:after="0"/>
              <w:rPr>
                <w:rFonts w:ascii="Verdana" w:hAnsi="Verdana" w:cstheme="minorHAnsi"/>
                <w:sz w:val="20"/>
                <w:szCs w:val="20"/>
              </w:rPr>
            </w:pPr>
            <w:r>
              <w:rPr>
                <w:rFonts w:ascii="Verdana" w:hAnsi="Verdana" w:cstheme="minorHAnsi"/>
                <w:sz w:val="20"/>
              </w:rPr>
              <w:t xml:space="preserve">Démontrer une aptitude à mettre en œuvre des approches efficaces pour la formulation de conclusions ou l’élaboration de solutions et à adopter en temps opportun des mesures </w:t>
            </w:r>
            <w:r>
              <w:t>compatibles avec les données disponibles et les faits communiqués par différentes sources, les limites observées et les conséquences potentielles.</w:t>
            </w:r>
          </w:p>
        </w:tc>
      </w:tr>
      <w:tr w:rsidR="00AD60DD" w:rsidRPr="00520DB2" w14:paraId="18E0B375" w14:textId="77777777" w:rsidTr="00F924DE">
        <w:trPr>
          <w:trHeight w:val="1020"/>
        </w:trPr>
        <w:tc>
          <w:tcPr>
            <w:tcW w:w="386" w:type="pct"/>
            <w:shd w:val="clear" w:color="000000" w:fill="FFFFFF"/>
            <w:vAlign w:val="center"/>
          </w:tcPr>
          <w:p w14:paraId="14B2A9EA"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t>M.C3</w:t>
            </w:r>
          </w:p>
        </w:tc>
        <w:tc>
          <w:tcPr>
            <w:tcW w:w="724" w:type="pct"/>
            <w:shd w:val="clear" w:color="000000" w:fill="FFFFFF"/>
            <w:vAlign w:val="center"/>
          </w:tcPr>
          <w:p w14:paraId="252D2930" w14:textId="20191A5B" w:rsidR="00AD60DD" w:rsidRPr="00520DB2" w:rsidRDefault="00AD60DD" w:rsidP="00B579F3">
            <w:pPr>
              <w:spacing w:after="0"/>
              <w:rPr>
                <w:rFonts w:ascii="Verdana" w:hAnsi="Verdana" w:cstheme="minorHAnsi"/>
                <w:sz w:val="20"/>
                <w:szCs w:val="20"/>
              </w:rPr>
            </w:pPr>
            <w:proofErr w:type="spellStart"/>
            <w:r w:rsidRPr="00520DB2">
              <w:rPr>
                <w:rFonts w:ascii="Verdana" w:hAnsi="Verdana" w:cs="Calibri"/>
                <w:sz w:val="20"/>
                <w:szCs w:val="20"/>
              </w:rPr>
              <w:t>Delegation</w:t>
            </w:r>
            <w:proofErr w:type="spellEnd"/>
          </w:p>
        </w:tc>
        <w:tc>
          <w:tcPr>
            <w:tcW w:w="1459" w:type="pct"/>
            <w:shd w:val="clear" w:color="000000" w:fill="FFFFFF"/>
            <w:vAlign w:val="center"/>
          </w:tcPr>
          <w:p w14:paraId="5091CC3C" w14:textId="7E14C6A8"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 xml:space="preserve">Demonstrating ability to allocate decision-making and/or task responsibility to others, to ensure clear communication about the allocation and completion of responsibilities, and to provide appropriate support in a manner to </w:t>
            </w:r>
            <w:proofErr w:type="spellStart"/>
            <w:r w:rsidRPr="00AD60DD">
              <w:rPr>
                <w:rFonts w:ascii="Verdana" w:hAnsi="Verdana" w:cs="Calibri"/>
                <w:sz w:val="20"/>
                <w:szCs w:val="20"/>
                <w:lang w:val="en-US"/>
              </w:rPr>
              <w:t>maximise</w:t>
            </w:r>
            <w:proofErr w:type="spellEnd"/>
            <w:r w:rsidRPr="00AD60DD">
              <w:rPr>
                <w:rFonts w:ascii="Verdana" w:hAnsi="Verdana" w:cs="Calibri"/>
                <w:sz w:val="20"/>
                <w:szCs w:val="20"/>
                <w:lang w:val="en-US"/>
              </w:rPr>
              <w:t xml:space="preserve"> the </w:t>
            </w:r>
            <w:proofErr w:type="spellStart"/>
            <w:r w:rsidRPr="00AD60DD">
              <w:rPr>
                <w:rFonts w:ascii="Verdana" w:hAnsi="Verdana" w:cs="Calibri"/>
                <w:sz w:val="20"/>
                <w:szCs w:val="20"/>
                <w:lang w:val="en-US"/>
              </w:rPr>
              <w:t>organisational</w:t>
            </w:r>
            <w:proofErr w:type="spellEnd"/>
            <w:r w:rsidRPr="00AD60DD">
              <w:rPr>
                <w:rFonts w:ascii="Verdana" w:hAnsi="Verdana" w:cs="Calibri"/>
                <w:sz w:val="20"/>
                <w:szCs w:val="20"/>
                <w:lang w:val="en-US"/>
              </w:rPr>
              <w:t xml:space="preserve"> and </w:t>
            </w:r>
            <w:r w:rsidRPr="00AD60DD">
              <w:rPr>
                <w:rFonts w:ascii="Verdana" w:hAnsi="Verdana" w:cs="Calibri"/>
                <w:sz w:val="20"/>
                <w:szCs w:val="20"/>
                <w:lang w:val="en-US"/>
              </w:rPr>
              <w:lastRenderedPageBreak/>
              <w:t>individuals effectiveness.</w:t>
            </w:r>
          </w:p>
        </w:tc>
        <w:tc>
          <w:tcPr>
            <w:tcW w:w="661" w:type="pct"/>
            <w:shd w:val="clear" w:color="000000" w:fill="FFFFFF"/>
            <w:vAlign w:val="center"/>
          </w:tcPr>
          <w:p w14:paraId="045503AD" w14:textId="579E36FC" w:rsidR="00AD60DD" w:rsidRPr="00520DB2" w:rsidRDefault="00AD60DD" w:rsidP="00B579F3">
            <w:pPr>
              <w:spacing w:after="0"/>
              <w:rPr>
                <w:rFonts w:ascii="Verdana" w:hAnsi="Verdana" w:cstheme="minorHAnsi"/>
                <w:sz w:val="20"/>
                <w:szCs w:val="20"/>
              </w:rPr>
            </w:pPr>
            <w:r>
              <w:rPr>
                <w:rFonts w:ascii="Verdana" w:hAnsi="Verdana" w:cstheme="minorHAnsi"/>
                <w:sz w:val="20"/>
              </w:rPr>
              <w:lastRenderedPageBreak/>
              <w:t>Délégation</w:t>
            </w:r>
          </w:p>
        </w:tc>
        <w:tc>
          <w:tcPr>
            <w:tcW w:w="1770" w:type="pct"/>
            <w:shd w:val="clear" w:color="000000" w:fill="FFFFFF"/>
            <w:vAlign w:val="center"/>
          </w:tcPr>
          <w:p w14:paraId="4C7AAA36" w14:textId="6BB056E2" w:rsidR="00AD60DD" w:rsidRPr="00520DB2" w:rsidRDefault="00AD60DD" w:rsidP="00B579F3">
            <w:pPr>
              <w:spacing w:after="0"/>
              <w:rPr>
                <w:rFonts w:ascii="Verdana" w:hAnsi="Verdana" w:cstheme="minorHAnsi"/>
                <w:sz w:val="20"/>
                <w:szCs w:val="20"/>
              </w:rPr>
            </w:pPr>
            <w:r>
              <w:rPr>
                <w:rFonts w:ascii="Verdana" w:hAnsi="Verdana" w:cstheme="minorHAnsi"/>
                <w:sz w:val="20"/>
              </w:rPr>
              <w:t xml:space="preserve">Démontrer une aptitude à assigner les responsabilités en matière de prise de décisions et/ou d’exécution de tâches à d’autres personnes, à assurer une communication claire de l’attribution et de l’exécution des responsabilités et à fournir un soutien adéquat de manière à maximiser l’efficacité de l’organisation et </w:t>
            </w:r>
            <w:r>
              <w:rPr>
                <w:rFonts w:ascii="Verdana" w:hAnsi="Verdana" w:cstheme="minorHAnsi"/>
                <w:sz w:val="20"/>
              </w:rPr>
              <w:lastRenderedPageBreak/>
              <w:t>des individus.</w:t>
            </w:r>
          </w:p>
        </w:tc>
      </w:tr>
      <w:tr w:rsidR="00AD60DD" w:rsidRPr="00520DB2" w14:paraId="14EF58C5" w14:textId="77777777" w:rsidTr="00F924DE">
        <w:trPr>
          <w:trHeight w:val="765"/>
        </w:trPr>
        <w:tc>
          <w:tcPr>
            <w:tcW w:w="386" w:type="pct"/>
            <w:shd w:val="clear" w:color="000000" w:fill="FFFFFF"/>
            <w:vAlign w:val="center"/>
          </w:tcPr>
          <w:p w14:paraId="7F51612C"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lastRenderedPageBreak/>
              <w:t>M.C4</w:t>
            </w:r>
          </w:p>
        </w:tc>
        <w:tc>
          <w:tcPr>
            <w:tcW w:w="724" w:type="pct"/>
            <w:shd w:val="clear" w:color="000000" w:fill="FFFFFF"/>
            <w:vAlign w:val="center"/>
          </w:tcPr>
          <w:p w14:paraId="7009D4BC" w14:textId="0ECD5B0A" w:rsidR="00AD60DD" w:rsidRPr="00520DB2" w:rsidRDefault="00AD60DD" w:rsidP="00B579F3">
            <w:pPr>
              <w:spacing w:after="0"/>
              <w:rPr>
                <w:rFonts w:ascii="Verdana" w:hAnsi="Verdana" w:cstheme="minorHAnsi"/>
                <w:sz w:val="20"/>
                <w:szCs w:val="20"/>
              </w:rPr>
            </w:pPr>
            <w:r w:rsidRPr="00520DB2">
              <w:rPr>
                <w:rFonts w:ascii="Verdana" w:hAnsi="Verdana" w:cs="Calibri"/>
                <w:sz w:val="20"/>
                <w:szCs w:val="20"/>
              </w:rPr>
              <w:t>Facilitation and communication</w:t>
            </w:r>
          </w:p>
        </w:tc>
        <w:tc>
          <w:tcPr>
            <w:tcW w:w="1459" w:type="pct"/>
            <w:shd w:val="clear" w:color="000000" w:fill="FFFFFF"/>
            <w:vAlign w:val="center"/>
          </w:tcPr>
          <w:p w14:paraId="443324F6" w14:textId="772A5583"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6702072C" w:rsidR="00AD60DD" w:rsidRPr="00520DB2" w:rsidRDefault="00AD60DD" w:rsidP="00B579F3">
            <w:pPr>
              <w:spacing w:after="0"/>
              <w:rPr>
                <w:rFonts w:ascii="Verdana" w:hAnsi="Verdana" w:cstheme="minorHAnsi"/>
                <w:sz w:val="20"/>
                <w:szCs w:val="20"/>
              </w:rPr>
            </w:pPr>
            <w:r>
              <w:rPr>
                <w:rFonts w:ascii="Verdana" w:hAnsi="Verdana" w:cstheme="minorHAnsi"/>
                <w:sz w:val="20"/>
              </w:rPr>
              <w:t>Facilitation et communication</w:t>
            </w:r>
          </w:p>
        </w:tc>
        <w:tc>
          <w:tcPr>
            <w:tcW w:w="1770" w:type="pct"/>
            <w:shd w:val="clear" w:color="000000" w:fill="FFFFFF"/>
            <w:vAlign w:val="center"/>
          </w:tcPr>
          <w:p w14:paraId="05FB4E16" w14:textId="53DA128D" w:rsidR="00AD60DD" w:rsidRPr="00520DB2" w:rsidRDefault="00AD60DD" w:rsidP="00B579F3">
            <w:pPr>
              <w:spacing w:after="0"/>
              <w:rPr>
                <w:rFonts w:ascii="Verdana" w:hAnsi="Verdana" w:cstheme="minorHAnsi"/>
                <w:sz w:val="20"/>
                <w:szCs w:val="20"/>
              </w:rPr>
            </w:pPr>
            <w:r>
              <w:rPr>
                <w:rFonts w:ascii="Verdana" w:hAnsi="Verdana" w:cstheme="minorHAnsi"/>
                <w:sz w:val="20"/>
              </w:rPr>
              <w:t>Démontrer une aptitude à susciter la participation et la créativité des autres, à utiliser les capacités du groupe pour mener celui-ci vers un consensus, à résoudre efficacement les problèmes et à accomplir les tâches et à atteindre les objectifs mutuels.</w:t>
            </w:r>
          </w:p>
        </w:tc>
      </w:tr>
      <w:tr w:rsidR="00AD60DD" w:rsidRPr="00520DB2" w14:paraId="5B8CE7C2" w14:textId="77777777" w:rsidTr="00F924DE">
        <w:trPr>
          <w:trHeight w:val="765"/>
        </w:trPr>
        <w:tc>
          <w:tcPr>
            <w:tcW w:w="386" w:type="pct"/>
            <w:shd w:val="clear" w:color="000000" w:fill="FFFFFF"/>
            <w:vAlign w:val="center"/>
          </w:tcPr>
          <w:p w14:paraId="3D2D2893"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t>M.C5</w:t>
            </w:r>
          </w:p>
        </w:tc>
        <w:tc>
          <w:tcPr>
            <w:tcW w:w="724" w:type="pct"/>
            <w:shd w:val="clear" w:color="000000" w:fill="FFFFFF"/>
            <w:vAlign w:val="center"/>
          </w:tcPr>
          <w:p w14:paraId="087A7349" w14:textId="2E1F7C5A" w:rsidR="00AD60DD" w:rsidRPr="00520DB2" w:rsidRDefault="00AD60DD" w:rsidP="00B579F3">
            <w:pPr>
              <w:spacing w:after="0"/>
              <w:rPr>
                <w:rFonts w:ascii="Verdana" w:hAnsi="Verdana" w:cstheme="minorHAnsi"/>
                <w:sz w:val="20"/>
                <w:szCs w:val="20"/>
              </w:rPr>
            </w:pPr>
            <w:r w:rsidRPr="00520DB2">
              <w:rPr>
                <w:rFonts w:ascii="Verdana" w:hAnsi="Verdana" w:cs="Calibri"/>
                <w:sz w:val="20"/>
                <w:szCs w:val="20"/>
              </w:rPr>
              <w:t>Leadership</w:t>
            </w:r>
          </w:p>
        </w:tc>
        <w:tc>
          <w:tcPr>
            <w:tcW w:w="1459" w:type="pct"/>
            <w:shd w:val="clear" w:color="000000" w:fill="FFFFFF"/>
            <w:vAlign w:val="center"/>
          </w:tcPr>
          <w:p w14:paraId="5CA56FDD" w14:textId="08F2429E"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700696D1" w:rsidR="00AD60DD" w:rsidRPr="00520DB2" w:rsidRDefault="00AD60DD" w:rsidP="00B579F3">
            <w:pPr>
              <w:spacing w:after="0"/>
              <w:rPr>
                <w:rFonts w:ascii="Verdana" w:hAnsi="Verdana" w:cstheme="minorHAnsi"/>
                <w:sz w:val="20"/>
                <w:szCs w:val="20"/>
              </w:rPr>
            </w:pPr>
            <w:bookmarkStart w:id="11" w:name="RANGE!B8"/>
            <w:r>
              <w:t>Capacités d'encadrement</w:t>
            </w:r>
            <w:bookmarkEnd w:id="11"/>
          </w:p>
        </w:tc>
        <w:tc>
          <w:tcPr>
            <w:tcW w:w="1770" w:type="pct"/>
            <w:shd w:val="clear" w:color="000000" w:fill="FFFFFF"/>
            <w:vAlign w:val="center"/>
          </w:tcPr>
          <w:p w14:paraId="02D5B4FC" w14:textId="47D4C9D5" w:rsidR="00AD60DD" w:rsidRPr="00520DB2" w:rsidRDefault="00AD60DD" w:rsidP="00B579F3">
            <w:pPr>
              <w:spacing w:after="0"/>
              <w:rPr>
                <w:rFonts w:ascii="Verdana" w:hAnsi="Verdana" w:cstheme="minorHAnsi"/>
                <w:sz w:val="20"/>
                <w:szCs w:val="20"/>
              </w:rPr>
            </w:pPr>
            <w:r>
              <w:rPr>
                <w:rFonts w:ascii="Verdana" w:hAnsi="Verdana" w:cstheme="minorHAnsi"/>
                <w:sz w:val="20"/>
              </w:rPr>
              <w:t>Démontrer une aptitude à stimuler et à inspirer les individus afin qu’ils œuvrent pour atteindre la vision définie pour l’avenir, à présenter clairement les buts et objectifs, à imprimer une orientation aux employés et à susciter chez eux un sentiment d’appartenance ainsi qu’à jouer un rôle de catalyseur pour l’action.</w:t>
            </w:r>
          </w:p>
        </w:tc>
      </w:tr>
      <w:tr w:rsidR="00AD60DD" w:rsidRPr="00520DB2" w14:paraId="3D979643" w14:textId="77777777" w:rsidTr="00F924DE">
        <w:trPr>
          <w:trHeight w:val="765"/>
        </w:trPr>
        <w:tc>
          <w:tcPr>
            <w:tcW w:w="386" w:type="pct"/>
            <w:shd w:val="clear" w:color="000000" w:fill="FFFFFF"/>
            <w:vAlign w:val="center"/>
          </w:tcPr>
          <w:p w14:paraId="47A3F0DE"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t>M.C6</w:t>
            </w:r>
          </w:p>
        </w:tc>
        <w:tc>
          <w:tcPr>
            <w:tcW w:w="724" w:type="pct"/>
            <w:shd w:val="clear" w:color="000000" w:fill="FFFFFF"/>
            <w:vAlign w:val="center"/>
          </w:tcPr>
          <w:p w14:paraId="775C5AFF" w14:textId="50F26A89" w:rsidR="00AD60DD" w:rsidRPr="00520DB2" w:rsidRDefault="00AD60DD" w:rsidP="00B579F3">
            <w:pPr>
              <w:spacing w:after="0"/>
              <w:rPr>
                <w:rFonts w:ascii="Verdana" w:hAnsi="Verdana" w:cstheme="minorHAnsi"/>
                <w:sz w:val="20"/>
                <w:szCs w:val="20"/>
              </w:rPr>
            </w:pPr>
            <w:r w:rsidRPr="00520DB2">
              <w:rPr>
                <w:rFonts w:ascii="Verdana" w:hAnsi="Verdana" w:cs="Calibri"/>
                <w:sz w:val="20"/>
                <w:szCs w:val="20"/>
              </w:rPr>
              <w:t>Multi-</w:t>
            </w:r>
            <w:proofErr w:type="spellStart"/>
            <w:r w:rsidRPr="00520DB2">
              <w:rPr>
                <w:rFonts w:ascii="Verdana" w:hAnsi="Verdana" w:cs="Calibri"/>
                <w:sz w:val="20"/>
                <w:szCs w:val="20"/>
              </w:rPr>
              <w:t>level</w:t>
            </w:r>
            <w:proofErr w:type="spellEnd"/>
            <w:r w:rsidRPr="00520DB2">
              <w:rPr>
                <w:rFonts w:ascii="Verdana" w:hAnsi="Verdana" w:cs="Calibri"/>
                <w:sz w:val="20"/>
                <w:szCs w:val="20"/>
              </w:rPr>
              <w:t xml:space="preserve"> </w:t>
            </w:r>
            <w:proofErr w:type="spellStart"/>
            <w:r w:rsidRPr="00520DB2">
              <w:rPr>
                <w:rFonts w:ascii="Verdana" w:hAnsi="Verdana" w:cs="Calibri"/>
                <w:sz w:val="20"/>
                <w:szCs w:val="20"/>
              </w:rPr>
              <w:t>stakeholder</w:t>
            </w:r>
            <w:proofErr w:type="spellEnd"/>
            <w:r w:rsidRPr="00520DB2">
              <w:rPr>
                <w:rFonts w:ascii="Verdana" w:hAnsi="Verdana" w:cs="Calibri"/>
                <w:sz w:val="20"/>
                <w:szCs w:val="20"/>
              </w:rPr>
              <w:t xml:space="preserve"> management</w:t>
            </w:r>
          </w:p>
        </w:tc>
        <w:tc>
          <w:tcPr>
            <w:tcW w:w="1459" w:type="pct"/>
            <w:shd w:val="clear" w:color="000000" w:fill="FFFFFF"/>
            <w:vAlign w:val="center"/>
          </w:tcPr>
          <w:p w14:paraId="2D1BED7C" w14:textId="7EEDDA04"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14:paraId="237289D6" w14:textId="494FDE99" w:rsidR="00AD60DD" w:rsidRPr="00520DB2" w:rsidRDefault="00AD60DD" w:rsidP="00B579F3">
            <w:pPr>
              <w:spacing w:after="0"/>
              <w:rPr>
                <w:rFonts w:ascii="Verdana" w:hAnsi="Verdana" w:cstheme="minorHAnsi"/>
                <w:sz w:val="20"/>
                <w:szCs w:val="20"/>
              </w:rPr>
            </w:pPr>
            <w:r>
              <w:rPr>
                <w:rFonts w:ascii="Verdana" w:hAnsi="Verdana" w:cstheme="minorHAnsi"/>
                <w:sz w:val="20"/>
              </w:rPr>
              <w:t>Gestion des parties prenantes à plusieurs niveaux</w:t>
            </w:r>
          </w:p>
        </w:tc>
        <w:tc>
          <w:tcPr>
            <w:tcW w:w="1770" w:type="pct"/>
            <w:shd w:val="clear" w:color="000000" w:fill="FFFFFF"/>
            <w:vAlign w:val="center"/>
          </w:tcPr>
          <w:p w14:paraId="7C1E9DC5" w14:textId="181B74D7" w:rsidR="00AD60DD" w:rsidRPr="00520DB2" w:rsidRDefault="00AD60DD" w:rsidP="00B579F3">
            <w:pPr>
              <w:spacing w:after="0"/>
              <w:rPr>
                <w:rFonts w:ascii="Verdana" w:hAnsi="Verdana" w:cstheme="minorHAnsi"/>
                <w:sz w:val="20"/>
                <w:szCs w:val="20"/>
              </w:rPr>
            </w:pPr>
            <w:r>
              <w:rPr>
                <w:rFonts w:ascii="Verdana" w:hAnsi="Verdana" w:cstheme="minorHAnsi"/>
                <w:sz w:val="20"/>
              </w:rPr>
              <w:t xml:space="preserve">Démontrer une aptitude à comprendre les buts et objectifs de différentes parties prenantes, à assurer une coopération efficace et </w:t>
            </w:r>
            <w:r>
              <w:t xml:space="preserve">à obtenir la participation des parties prenantes (notamment en adoptant une attitude ouverte et en encourageant les échanges de bonnes pratiques entre différents États membres).  </w:t>
            </w:r>
          </w:p>
        </w:tc>
      </w:tr>
      <w:tr w:rsidR="00AD60DD" w:rsidRPr="00520DB2" w14:paraId="5F12FC3D" w14:textId="77777777" w:rsidTr="00F924DE">
        <w:trPr>
          <w:trHeight w:val="765"/>
        </w:trPr>
        <w:tc>
          <w:tcPr>
            <w:tcW w:w="386" w:type="pct"/>
            <w:shd w:val="clear" w:color="000000" w:fill="FFFFFF"/>
            <w:vAlign w:val="center"/>
          </w:tcPr>
          <w:p w14:paraId="7B6C6061"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t>M.C7</w:t>
            </w:r>
          </w:p>
        </w:tc>
        <w:tc>
          <w:tcPr>
            <w:tcW w:w="724" w:type="pct"/>
            <w:shd w:val="clear" w:color="000000" w:fill="FFFFFF"/>
            <w:vAlign w:val="center"/>
          </w:tcPr>
          <w:p w14:paraId="07BA537E" w14:textId="05D1B9E7" w:rsidR="00AD60DD" w:rsidRPr="00520DB2" w:rsidRDefault="00AD60DD" w:rsidP="00B579F3">
            <w:pPr>
              <w:spacing w:after="0"/>
              <w:rPr>
                <w:rFonts w:ascii="Verdana" w:hAnsi="Verdana" w:cstheme="minorHAnsi"/>
                <w:sz w:val="20"/>
                <w:szCs w:val="20"/>
              </w:rPr>
            </w:pPr>
            <w:proofErr w:type="spellStart"/>
            <w:r w:rsidRPr="00520DB2">
              <w:rPr>
                <w:rFonts w:ascii="Verdana" w:hAnsi="Verdana" w:cs="Calibri"/>
                <w:sz w:val="20"/>
                <w:szCs w:val="20"/>
              </w:rPr>
              <w:t>Negotiating</w:t>
            </w:r>
            <w:proofErr w:type="spellEnd"/>
          </w:p>
        </w:tc>
        <w:tc>
          <w:tcPr>
            <w:tcW w:w="1459" w:type="pct"/>
            <w:shd w:val="clear" w:color="000000" w:fill="FFFFFF"/>
            <w:vAlign w:val="center"/>
          </w:tcPr>
          <w:p w14:paraId="1221ABC5" w14:textId="59D57C5A"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 xml:space="preserve">Demonstrating ability to effectively explore (facilitating discussion, asking questions, responding to objections, etc.) alternatives and positions of others to reach </w:t>
            </w:r>
            <w:r w:rsidRPr="00AD60DD">
              <w:rPr>
                <w:rFonts w:ascii="Verdana" w:hAnsi="Verdana" w:cs="Calibri"/>
                <w:sz w:val="20"/>
                <w:szCs w:val="20"/>
                <w:lang w:val="en-US"/>
              </w:rPr>
              <w:lastRenderedPageBreak/>
              <w:t>outcomes that are accepted by all parties (a win-win solution).</w:t>
            </w:r>
          </w:p>
        </w:tc>
        <w:tc>
          <w:tcPr>
            <w:tcW w:w="661" w:type="pct"/>
            <w:shd w:val="clear" w:color="000000" w:fill="FFFFFF"/>
            <w:vAlign w:val="center"/>
          </w:tcPr>
          <w:p w14:paraId="30C75160" w14:textId="5CC48097" w:rsidR="00AD60DD" w:rsidRPr="00520DB2" w:rsidRDefault="00AD60DD" w:rsidP="00B579F3">
            <w:pPr>
              <w:spacing w:after="0"/>
              <w:rPr>
                <w:rFonts w:ascii="Verdana" w:hAnsi="Verdana" w:cstheme="minorHAnsi"/>
                <w:sz w:val="20"/>
                <w:szCs w:val="20"/>
              </w:rPr>
            </w:pPr>
            <w:r>
              <w:rPr>
                <w:rFonts w:ascii="Verdana" w:hAnsi="Verdana" w:cstheme="minorHAnsi"/>
                <w:sz w:val="20"/>
              </w:rPr>
              <w:lastRenderedPageBreak/>
              <w:t>Négociation</w:t>
            </w:r>
          </w:p>
        </w:tc>
        <w:tc>
          <w:tcPr>
            <w:tcW w:w="1770" w:type="pct"/>
            <w:shd w:val="clear" w:color="000000" w:fill="FFFFFF"/>
            <w:vAlign w:val="center"/>
          </w:tcPr>
          <w:p w14:paraId="69899B2D" w14:textId="79861A76" w:rsidR="00AD60DD" w:rsidRPr="00520DB2" w:rsidRDefault="00AD60DD" w:rsidP="00B579F3">
            <w:pPr>
              <w:spacing w:after="0"/>
              <w:rPr>
                <w:rFonts w:ascii="Verdana" w:hAnsi="Verdana" w:cstheme="minorHAnsi"/>
                <w:sz w:val="20"/>
                <w:szCs w:val="20"/>
              </w:rPr>
            </w:pPr>
            <w:r>
              <w:rPr>
                <w:rFonts w:ascii="Verdana" w:hAnsi="Verdana" w:cstheme="minorHAnsi"/>
                <w:sz w:val="20"/>
              </w:rPr>
              <w:t xml:space="preserve">Démontrer une aptitude à </w:t>
            </w:r>
            <w:r>
              <w:t xml:space="preserve">étudier efficacement (en favorisant la discussion, en posant des questions, en répondant aux objections, etc.) les différentes solutions et les </w:t>
            </w:r>
            <w:r>
              <w:lastRenderedPageBreak/>
              <w:t>points de vue des autres afin de parvenir à des résultats acceptés par toutes les parties (solutions gagnant-gagnant).</w:t>
            </w:r>
          </w:p>
        </w:tc>
      </w:tr>
      <w:tr w:rsidR="00AD60DD" w:rsidRPr="00520DB2" w14:paraId="4CD227BE" w14:textId="77777777" w:rsidTr="00F924DE">
        <w:trPr>
          <w:trHeight w:val="510"/>
        </w:trPr>
        <w:tc>
          <w:tcPr>
            <w:tcW w:w="386" w:type="pct"/>
            <w:shd w:val="clear" w:color="000000" w:fill="FFFFFF"/>
            <w:vAlign w:val="center"/>
          </w:tcPr>
          <w:p w14:paraId="7663A9C4"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lastRenderedPageBreak/>
              <w:t>M.C8</w:t>
            </w:r>
          </w:p>
        </w:tc>
        <w:tc>
          <w:tcPr>
            <w:tcW w:w="724" w:type="pct"/>
            <w:shd w:val="clear" w:color="000000" w:fill="FFFFFF"/>
            <w:vAlign w:val="center"/>
          </w:tcPr>
          <w:p w14:paraId="6874BCD6" w14:textId="6B569855" w:rsidR="00AD60DD" w:rsidRPr="00520DB2" w:rsidRDefault="00AD60DD" w:rsidP="00B579F3">
            <w:pPr>
              <w:spacing w:after="0"/>
              <w:rPr>
                <w:rFonts w:ascii="Verdana" w:hAnsi="Verdana" w:cstheme="minorHAnsi"/>
                <w:sz w:val="20"/>
                <w:szCs w:val="20"/>
              </w:rPr>
            </w:pPr>
            <w:proofErr w:type="spellStart"/>
            <w:r w:rsidRPr="00520DB2">
              <w:rPr>
                <w:rFonts w:ascii="Verdana" w:hAnsi="Verdana" w:cs="Calibri"/>
                <w:sz w:val="20"/>
                <w:szCs w:val="20"/>
              </w:rPr>
              <w:t>Result</w:t>
            </w:r>
            <w:proofErr w:type="spellEnd"/>
            <w:r w:rsidRPr="00520DB2">
              <w:rPr>
                <w:rFonts w:ascii="Verdana" w:hAnsi="Verdana" w:cs="Calibri"/>
                <w:sz w:val="20"/>
                <w:szCs w:val="20"/>
              </w:rPr>
              <w:t xml:space="preserve"> orientation</w:t>
            </w:r>
          </w:p>
        </w:tc>
        <w:tc>
          <w:tcPr>
            <w:tcW w:w="1459" w:type="pct"/>
            <w:shd w:val="clear" w:color="000000" w:fill="FFFFFF"/>
            <w:vAlign w:val="center"/>
          </w:tcPr>
          <w:p w14:paraId="617D48AA" w14:textId="741EEF29"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1EBD03FF" w:rsidR="00AD60DD" w:rsidRPr="00520DB2" w:rsidRDefault="00AD60DD" w:rsidP="00B579F3">
            <w:pPr>
              <w:spacing w:after="0"/>
              <w:rPr>
                <w:rFonts w:ascii="Verdana" w:hAnsi="Verdana" w:cstheme="minorHAnsi"/>
                <w:sz w:val="20"/>
                <w:szCs w:val="20"/>
              </w:rPr>
            </w:pPr>
            <w:r>
              <w:rPr>
                <w:rFonts w:ascii="Verdana" w:hAnsi="Verdana" w:cstheme="minorHAnsi"/>
                <w:sz w:val="20"/>
              </w:rPr>
              <w:t>Orientation vers les résultats</w:t>
            </w:r>
          </w:p>
        </w:tc>
        <w:tc>
          <w:tcPr>
            <w:tcW w:w="1770" w:type="pct"/>
            <w:shd w:val="clear" w:color="000000" w:fill="FFFFFF"/>
            <w:vAlign w:val="center"/>
          </w:tcPr>
          <w:p w14:paraId="6B0F80EE" w14:textId="544F09BA" w:rsidR="00AD60DD" w:rsidRPr="00520DB2" w:rsidRDefault="00AD60DD" w:rsidP="00B579F3">
            <w:pPr>
              <w:spacing w:after="0"/>
              <w:rPr>
                <w:rFonts w:ascii="Verdana" w:hAnsi="Verdana" w:cstheme="minorHAnsi"/>
                <w:sz w:val="20"/>
                <w:szCs w:val="20"/>
              </w:rPr>
            </w:pPr>
            <w:r>
              <w:rPr>
                <w:rFonts w:ascii="Verdana" w:hAnsi="Verdana" w:cstheme="minorHAnsi"/>
                <w:sz w:val="20"/>
              </w:rPr>
              <w:t>Démontrer une aptitude à fixer des objectifs ambitieux, à maintenir un cap et à faire preuve de persévérance ainsi qu’à toujours atteindre les objectifs ou obtenir les résultats attendus même dans des circonstances défavorables.</w:t>
            </w:r>
          </w:p>
        </w:tc>
      </w:tr>
      <w:tr w:rsidR="00AD60DD" w:rsidRPr="00520DB2" w14:paraId="512C0CE6" w14:textId="77777777" w:rsidTr="00F924DE">
        <w:trPr>
          <w:trHeight w:val="765"/>
        </w:trPr>
        <w:tc>
          <w:tcPr>
            <w:tcW w:w="386" w:type="pct"/>
            <w:shd w:val="clear" w:color="000000" w:fill="FFFFFF"/>
            <w:vAlign w:val="center"/>
          </w:tcPr>
          <w:p w14:paraId="354B7279"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t>M.C9</w:t>
            </w:r>
          </w:p>
        </w:tc>
        <w:tc>
          <w:tcPr>
            <w:tcW w:w="724" w:type="pct"/>
            <w:shd w:val="clear" w:color="000000" w:fill="FFFFFF"/>
            <w:vAlign w:val="center"/>
          </w:tcPr>
          <w:p w14:paraId="2A736C9E" w14:textId="61C9E284" w:rsidR="00AD60DD" w:rsidRPr="00520DB2" w:rsidRDefault="00AD60DD" w:rsidP="00B579F3">
            <w:pPr>
              <w:spacing w:after="0"/>
              <w:rPr>
                <w:rFonts w:ascii="Verdana" w:hAnsi="Verdana" w:cstheme="minorHAnsi"/>
                <w:sz w:val="20"/>
                <w:szCs w:val="20"/>
              </w:rPr>
            </w:pPr>
            <w:r w:rsidRPr="00520DB2">
              <w:rPr>
                <w:rFonts w:ascii="Verdana" w:hAnsi="Verdana" w:cs="Calibri"/>
                <w:sz w:val="20"/>
                <w:szCs w:val="20"/>
              </w:rPr>
              <w:t>Strategic management</w:t>
            </w:r>
          </w:p>
        </w:tc>
        <w:tc>
          <w:tcPr>
            <w:tcW w:w="1459" w:type="pct"/>
            <w:shd w:val="clear" w:color="000000" w:fill="FFFFFF"/>
            <w:vAlign w:val="center"/>
          </w:tcPr>
          <w:p w14:paraId="291AA904" w14:textId="1903CE14"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 xml:space="preserve">Demonstrating ability to make decisions and take actions that lead to development and implementation of strategies aligned with the strategic direction of the </w:t>
            </w:r>
            <w:proofErr w:type="spellStart"/>
            <w:r w:rsidRPr="00AD60DD">
              <w:rPr>
                <w:rFonts w:ascii="Verdana" w:hAnsi="Verdana" w:cs="Calibri"/>
                <w:sz w:val="20"/>
                <w:szCs w:val="20"/>
                <w:lang w:val="en-US"/>
              </w:rPr>
              <w:t>organisation</w:t>
            </w:r>
            <w:proofErr w:type="spellEnd"/>
            <w:r w:rsidRPr="00AD60DD">
              <w:rPr>
                <w:rFonts w:ascii="Verdana" w:hAnsi="Verdana" w:cs="Calibri"/>
                <w:sz w:val="20"/>
                <w:szCs w:val="20"/>
                <w:lang w:val="en-US"/>
              </w:rPr>
              <w:t xml:space="preserve"> and achievement of objectives.</w:t>
            </w:r>
          </w:p>
        </w:tc>
        <w:tc>
          <w:tcPr>
            <w:tcW w:w="661" w:type="pct"/>
            <w:shd w:val="clear" w:color="000000" w:fill="FFFFFF"/>
            <w:vAlign w:val="center"/>
          </w:tcPr>
          <w:p w14:paraId="7ED2BA18" w14:textId="77351855" w:rsidR="00AD60DD" w:rsidRPr="00520DB2" w:rsidRDefault="00AD60DD" w:rsidP="00B579F3">
            <w:pPr>
              <w:spacing w:after="0"/>
              <w:rPr>
                <w:rFonts w:ascii="Verdana" w:hAnsi="Verdana" w:cstheme="minorHAnsi"/>
                <w:sz w:val="20"/>
                <w:szCs w:val="20"/>
              </w:rPr>
            </w:pPr>
            <w:r>
              <w:rPr>
                <w:rFonts w:ascii="Verdana" w:hAnsi="Verdana" w:cstheme="minorHAnsi"/>
                <w:sz w:val="20"/>
              </w:rPr>
              <w:t>Gestion stratégique</w:t>
            </w:r>
          </w:p>
        </w:tc>
        <w:tc>
          <w:tcPr>
            <w:tcW w:w="1770" w:type="pct"/>
            <w:shd w:val="clear" w:color="000000" w:fill="FFFFFF"/>
            <w:vAlign w:val="center"/>
          </w:tcPr>
          <w:p w14:paraId="753A1B09" w14:textId="4AF36712" w:rsidR="00AD60DD" w:rsidRPr="00520DB2" w:rsidRDefault="00AD60DD" w:rsidP="00B579F3">
            <w:pPr>
              <w:spacing w:after="0"/>
              <w:rPr>
                <w:rFonts w:ascii="Verdana" w:hAnsi="Verdana" w:cstheme="minorHAnsi"/>
                <w:sz w:val="20"/>
                <w:szCs w:val="20"/>
              </w:rPr>
            </w:pPr>
            <w:r>
              <w:rPr>
                <w:rFonts w:ascii="Verdana" w:hAnsi="Verdana" w:cstheme="minorHAnsi"/>
                <w:sz w:val="20"/>
              </w:rPr>
              <w:t>Démontrer une aptitude à prendre des décisions et à adopter des mesures entraînant l’élaboration et la mise en œuvre de stratégies conformes à l’orientation stratégique de l’organisation et à la réalisation des objectifs.</w:t>
            </w:r>
          </w:p>
        </w:tc>
      </w:tr>
      <w:tr w:rsidR="00AD60DD" w:rsidRPr="00520DB2" w14:paraId="47745621" w14:textId="77777777" w:rsidTr="00F924DE">
        <w:trPr>
          <w:trHeight w:val="765"/>
        </w:trPr>
        <w:tc>
          <w:tcPr>
            <w:tcW w:w="386" w:type="pct"/>
            <w:shd w:val="clear" w:color="000000" w:fill="FFFFFF"/>
            <w:vAlign w:val="center"/>
          </w:tcPr>
          <w:p w14:paraId="21F7AB4C"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t>M.C10</w:t>
            </w:r>
          </w:p>
        </w:tc>
        <w:tc>
          <w:tcPr>
            <w:tcW w:w="724" w:type="pct"/>
            <w:shd w:val="clear" w:color="000000" w:fill="FFFFFF"/>
            <w:vAlign w:val="center"/>
          </w:tcPr>
          <w:p w14:paraId="357350FC" w14:textId="42058CDD" w:rsidR="00AD60DD" w:rsidRPr="00520DB2" w:rsidRDefault="00AD60DD" w:rsidP="00B579F3">
            <w:pPr>
              <w:spacing w:after="0"/>
              <w:rPr>
                <w:rFonts w:ascii="Verdana" w:hAnsi="Verdana" w:cstheme="minorHAnsi"/>
                <w:sz w:val="20"/>
                <w:szCs w:val="20"/>
              </w:rPr>
            </w:pPr>
            <w:proofErr w:type="spellStart"/>
            <w:r w:rsidRPr="00520DB2">
              <w:rPr>
                <w:rFonts w:ascii="Verdana" w:hAnsi="Verdana" w:cs="Calibri"/>
                <w:sz w:val="20"/>
                <w:szCs w:val="20"/>
              </w:rPr>
              <w:t>Risk</w:t>
            </w:r>
            <w:proofErr w:type="spellEnd"/>
            <w:r w:rsidRPr="00520DB2">
              <w:rPr>
                <w:rFonts w:ascii="Verdana" w:hAnsi="Verdana" w:cs="Calibri"/>
                <w:sz w:val="20"/>
                <w:szCs w:val="20"/>
              </w:rPr>
              <w:t xml:space="preserve"> management</w:t>
            </w:r>
          </w:p>
        </w:tc>
        <w:tc>
          <w:tcPr>
            <w:tcW w:w="1459" w:type="pct"/>
            <w:shd w:val="clear" w:color="000000" w:fill="FFFFFF"/>
            <w:vAlign w:val="center"/>
          </w:tcPr>
          <w:p w14:paraId="23F6AD3D" w14:textId="69F9CB95"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 xml:space="preserve">Demonstrating ability to identify, </w:t>
            </w:r>
            <w:proofErr w:type="spellStart"/>
            <w:r w:rsidRPr="00AD60DD">
              <w:rPr>
                <w:rFonts w:ascii="Verdana" w:hAnsi="Verdana" w:cs="Calibri"/>
                <w:sz w:val="20"/>
                <w:szCs w:val="20"/>
                <w:lang w:val="en-US"/>
              </w:rPr>
              <w:t>analyse</w:t>
            </w:r>
            <w:proofErr w:type="spellEnd"/>
            <w:r w:rsidRPr="00AD60DD">
              <w:rPr>
                <w:rFonts w:ascii="Verdana" w:hAnsi="Verdana" w:cs="Calibri"/>
                <w:sz w:val="20"/>
                <w:szCs w:val="20"/>
                <w:lang w:val="en-US"/>
              </w:rPr>
              <w:t xml:space="preserve">, assess and prioritize risks and to minimize, </w:t>
            </w:r>
            <w:proofErr w:type="gramStart"/>
            <w:r w:rsidRPr="00AD60DD">
              <w:rPr>
                <w:rFonts w:ascii="Verdana" w:hAnsi="Verdana" w:cs="Calibri"/>
                <w:sz w:val="20"/>
                <w:szCs w:val="20"/>
                <w:lang w:val="en-US"/>
              </w:rPr>
              <w:t>monitor</w:t>
            </w:r>
            <w:proofErr w:type="gramEnd"/>
            <w:r w:rsidRPr="00AD60DD">
              <w:rPr>
                <w:rFonts w:ascii="Verdana" w:hAnsi="Verdana" w:cs="Calibri"/>
                <w:sz w:val="20"/>
                <w:szCs w:val="20"/>
                <w:lang w:val="en-US"/>
              </w:rPr>
              <w:t>, and control the probability and/or impact of unfortunate events or to maximize the realization of opportunities.</w:t>
            </w:r>
          </w:p>
        </w:tc>
        <w:tc>
          <w:tcPr>
            <w:tcW w:w="661" w:type="pct"/>
            <w:shd w:val="clear" w:color="000000" w:fill="FFFFFF"/>
            <w:vAlign w:val="center"/>
          </w:tcPr>
          <w:p w14:paraId="4960C0E5" w14:textId="76C5F07B" w:rsidR="00AD60DD" w:rsidRPr="00520DB2" w:rsidRDefault="00AD60DD" w:rsidP="00B579F3">
            <w:pPr>
              <w:spacing w:after="0"/>
              <w:rPr>
                <w:rFonts w:ascii="Verdana" w:hAnsi="Verdana" w:cstheme="minorHAnsi"/>
                <w:sz w:val="20"/>
                <w:szCs w:val="20"/>
              </w:rPr>
            </w:pPr>
            <w:r>
              <w:rPr>
                <w:rFonts w:ascii="Verdana" w:hAnsi="Verdana" w:cstheme="minorHAnsi"/>
                <w:sz w:val="20"/>
              </w:rPr>
              <w:t>Gestion des risques</w:t>
            </w:r>
          </w:p>
        </w:tc>
        <w:tc>
          <w:tcPr>
            <w:tcW w:w="1770" w:type="pct"/>
            <w:shd w:val="clear" w:color="000000" w:fill="FFFFFF"/>
            <w:vAlign w:val="center"/>
          </w:tcPr>
          <w:p w14:paraId="1FD4F2D3" w14:textId="22A7A1CF" w:rsidR="00AD60DD" w:rsidRPr="00520DB2" w:rsidRDefault="00AD60DD" w:rsidP="00B579F3">
            <w:pPr>
              <w:spacing w:after="0"/>
              <w:rPr>
                <w:rFonts w:ascii="Verdana" w:hAnsi="Verdana" w:cstheme="minorHAnsi"/>
                <w:sz w:val="20"/>
                <w:szCs w:val="20"/>
              </w:rPr>
            </w:pPr>
            <w:r>
              <w:rPr>
                <w:rFonts w:ascii="Verdana" w:hAnsi="Verdana" w:cstheme="minorHAnsi"/>
                <w:sz w:val="20"/>
              </w:rPr>
              <w:t>Démontrer une aptitude à détecter, analyser, évaluer et hiérarchiser les risques</w:t>
            </w:r>
            <w:r>
              <w:t>, à réduire, suivre et contrôler la probabilité de survenue d’événements fâcheux ou leur incidence ainsi qu'à maximiser les chances de concrétisation des opportunités.</w:t>
            </w:r>
          </w:p>
        </w:tc>
      </w:tr>
      <w:tr w:rsidR="00AD60DD" w:rsidRPr="00520DB2" w14:paraId="754D2D10" w14:textId="77777777" w:rsidTr="00F924DE">
        <w:trPr>
          <w:trHeight w:val="765"/>
        </w:trPr>
        <w:tc>
          <w:tcPr>
            <w:tcW w:w="386" w:type="pct"/>
            <w:shd w:val="clear" w:color="000000" w:fill="FFFFFF"/>
            <w:vAlign w:val="center"/>
          </w:tcPr>
          <w:p w14:paraId="551902C8"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t>M.C11</w:t>
            </w:r>
          </w:p>
        </w:tc>
        <w:tc>
          <w:tcPr>
            <w:tcW w:w="724" w:type="pct"/>
            <w:shd w:val="clear" w:color="000000" w:fill="FFFFFF"/>
            <w:vAlign w:val="center"/>
          </w:tcPr>
          <w:p w14:paraId="3B8CA7D8" w14:textId="2F03F00B" w:rsidR="00AD60DD" w:rsidRPr="00520DB2" w:rsidRDefault="00AD60DD" w:rsidP="00B579F3">
            <w:pPr>
              <w:spacing w:after="0"/>
              <w:rPr>
                <w:rFonts w:ascii="Verdana" w:hAnsi="Verdana" w:cstheme="minorHAnsi"/>
                <w:sz w:val="20"/>
                <w:szCs w:val="20"/>
              </w:rPr>
            </w:pPr>
            <w:r w:rsidRPr="00520DB2">
              <w:rPr>
                <w:rFonts w:ascii="Verdana" w:hAnsi="Verdana" w:cs="Calibri"/>
                <w:sz w:val="20"/>
                <w:szCs w:val="20"/>
              </w:rPr>
              <w:t xml:space="preserve">Planning of </w:t>
            </w:r>
            <w:proofErr w:type="spellStart"/>
            <w:r w:rsidRPr="00520DB2">
              <w:rPr>
                <w:rFonts w:ascii="Verdana" w:hAnsi="Verdana" w:cs="Calibri"/>
                <w:sz w:val="20"/>
                <w:szCs w:val="20"/>
              </w:rPr>
              <w:t>resources</w:t>
            </w:r>
            <w:proofErr w:type="spellEnd"/>
          </w:p>
        </w:tc>
        <w:tc>
          <w:tcPr>
            <w:tcW w:w="1459" w:type="pct"/>
            <w:shd w:val="clear" w:color="000000" w:fill="FFFFFF"/>
            <w:vAlign w:val="center"/>
          </w:tcPr>
          <w:p w14:paraId="1E0FE69B" w14:textId="451C9277"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14:paraId="630E99AE" w14:textId="13F75719" w:rsidR="00AD60DD" w:rsidRPr="00520DB2" w:rsidRDefault="00AD60DD" w:rsidP="00B579F3">
            <w:pPr>
              <w:spacing w:after="0"/>
              <w:rPr>
                <w:rFonts w:ascii="Verdana" w:hAnsi="Verdana" w:cstheme="minorHAnsi"/>
                <w:sz w:val="20"/>
                <w:szCs w:val="20"/>
              </w:rPr>
            </w:pPr>
            <w:r>
              <w:rPr>
                <w:rFonts w:ascii="Verdana" w:hAnsi="Verdana" w:cstheme="minorHAnsi"/>
                <w:sz w:val="20"/>
              </w:rPr>
              <w:t>Planification des ressources</w:t>
            </w:r>
          </w:p>
        </w:tc>
        <w:tc>
          <w:tcPr>
            <w:tcW w:w="1770" w:type="pct"/>
            <w:shd w:val="clear" w:color="000000" w:fill="FFFFFF"/>
            <w:vAlign w:val="center"/>
          </w:tcPr>
          <w:p w14:paraId="422A8C17" w14:textId="12D505D8" w:rsidR="00AD60DD" w:rsidRPr="00520DB2" w:rsidRDefault="00AD60DD" w:rsidP="00B579F3">
            <w:pPr>
              <w:spacing w:after="0"/>
              <w:rPr>
                <w:rFonts w:ascii="Verdana" w:hAnsi="Verdana" w:cstheme="minorHAnsi"/>
                <w:sz w:val="20"/>
                <w:szCs w:val="20"/>
              </w:rPr>
            </w:pPr>
            <w:r>
              <w:rPr>
                <w:rFonts w:ascii="Verdana" w:hAnsi="Verdana" w:cstheme="minorHAnsi"/>
                <w:sz w:val="20"/>
              </w:rPr>
              <w:t>Démontrer une aptitude à gérer de manière efficace et efficiente les ressources de l’organisation, notamment, mais pas exclusivement, les ressources financières, les stocks, les compétences humaines, les ressources de production et les technologies de l’information (TI).</w:t>
            </w:r>
          </w:p>
        </w:tc>
      </w:tr>
      <w:tr w:rsidR="00AD60DD" w:rsidRPr="00520DB2" w14:paraId="51E43689" w14:textId="77777777" w:rsidTr="00F924DE">
        <w:trPr>
          <w:trHeight w:val="765"/>
        </w:trPr>
        <w:tc>
          <w:tcPr>
            <w:tcW w:w="386" w:type="pct"/>
            <w:shd w:val="clear" w:color="000000" w:fill="FFFFFF"/>
            <w:vAlign w:val="center"/>
          </w:tcPr>
          <w:p w14:paraId="2CC6AF6E" w14:textId="77777777" w:rsidR="00AD60DD" w:rsidRPr="00520DB2" w:rsidRDefault="00AD60DD" w:rsidP="00B579F3">
            <w:pPr>
              <w:spacing w:after="0"/>
              <w:rPr>
                <w:rFonts w:ascii="Verdana" w:hAnsi="Verdana" w:cstheme="minorHAnsi"/>
                <w:sz w:val="20"/>
                <w:szCs w:val="20"/>
              </w:rPr>
            </w:pPr>
            <w:r>
              <w:rPr>
                <w:rFonts w:ascii="Verdana" w:hAnsi="Verdana" w:cstheme="minorHAnsi"/>
                <w:sz w:val="20"/>
              </w:rPr>
              <w:lastRenderedPageBreak/>
              <w:t>M.C12</w:t>
            </w:r>
          </w:p>
        </w:tc>
        <w:tc>
          <w:tcPr>
            <w:tcW w:w="724" w:type="pct"/>
            <w:shd w:val="clear" w:color="000000" w:fill="FFFFFF"/>
            <w:vAlign w:val="center"/>
          </w:tcPr>
          <w:p w14:paraId="5D44E919" w14:textId="32534390"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HR Strategy development and implementation</w:t>
            </w:r>
          </w:p>
        </w:tc>
        <w:tc>
          <w:tcPr>
            <w:tcW w:w="1459" w:type="pct"/>
            <w:shd w:val="clear" w:color="000000" w:fill="FFFFFF"/>
            <w:vAlign w:val="center"/>
          </w:tcPr>
          <w:p w14:paraId="37AF51A1" w14:textId="3F53CB39" w:rsidR="00AD60DD" w:rsidRPr="00AD60DD" w:rsidRDefault="00AD60DD" w:rsidP="00B579F3">
            <w:pPr>
              <w:spacing w:after="0"/>
              <w:rPr>
                <w:rFonts w:ascii="Verdana" w:hAnsi="Verdana" w:cstheme="minorHAnsi"/>
                <w:sz w:val="20"/>
                <w:szCs w:val="20"/>
                <w:lang w:val="en-US"/>
              </w:rPr>
            </w:pPr>
            <w:r w:rsidRPr="00AD60DD">
              <w:rPr>
                <w:rFonts w:ascii="Verdana" w:hAnsi="Verdana" w:cs="Calibri"/>
                <w:sz w:val="20"/>
                <w:szCs w:val="20"/>
                <w:lang w:val="en-US"/>
              </w:rPr>
              <w:t xml:space="preserve">Demonstrating ability to make decisions and take actions that lead to development and implementation of HR strategies aligned with the strategic direction of the </w:t>
            </w:r>
            <w:proofErr w:type="spellStart"/>
            <w:r w:rsidRPr="00AD60DD">
              <w:rPr>
                <w:rFonts w:ascii="Verdana" w:hAnsi="Verdana" w:cs="Calibri"/>
                <w:sz w:val="20"/>
                <w:szCs w:val="20"/>
                <w:lang w:val="en-US"/>
              </w:rPr>
              <w:t>organisation</w:t>
            </w:r>
            <w:proofErr w:type="spellEnd"/>
            <w:r w:rsidRPr="00AD60DD">
              <w:rPr>
                <w:rFonts w:ascii="Verdana" w:hAnsi="Verdana" w:cs="Calibri"/>
                <w:sz w:val="20"/>
                <w:szCs w:val="20"/>
                <w:lang w:val="en-US"/>
              </w:rPr>
              <w:t xml:space="preserve"> and achievement of objectives.</w:t>
            </w:r>
          </w:p>
        </w:tc>
        <w:tc>
          <w:tcPr>
            <w:tcW w:w="661" w:type="pct"/>
            <w:shd w:val="clear" w:color="000000" w:fill="FFFFFF"/>
            <w:vAlign w:val="center"/>
          </w:tcPr>
          <w:p w14:paraId="5BDB5664" w14:textId="3DC761F8" w:rsidR="00AD60DD" w:rsidRPr="00520DB2" w:rsidRDefault="00AD60DD" w:rsidP="00B579F3">
            <w:pPr>
              <w:spacing w:after="0"/>
              <w:rPr>
                <w:rFonts w:ascii="Verdana" w:hAnsi="Verdana" w:cstheme="minorHAnsi"/>
                <w:sz w:val="20"/>
                <w:szCs w:val="20"/>
              </w:rPr>
            </w:pPr>
            <w:r>
              <w:rPr>
                <w:rFonts w:ascii="Verdana" w:hAnsi="Verdana" w:cstheme="minorHAnsi"/>
                <w:sz w:val="20"/>
              </w:rPr>
              <w:t>Élaboration et mise en œuvre de la stratégie en matière de RH</w:t>
            </w:r>
          </w:p>
        </w:tc>
        <w:tc>
          <w:tcPr>
            <w:tcW w:w="1770" w:type="pct"/>
            <w:shd w:val="clear" w:color="000000" w:fill="FFFFFF"/>
            <w:vAlign w:val="center"/>
          </w:tcPr>
          <w:p w14:paraId="088E306B" w14:textId="25063971" w:rsidR="00AD60DD" w:rsidRPr="00520DB2" w:rsidRDefault="00AD60DD" w:rsidP="00B579F3">
            <w:pPr>
              <w:spacing w:after="0"/>
              <w:rPr>
                <w:rFonts w:ascii="Verdana" w:hAnsi="Verdana" w:cstheme="minorHAnsi"/>
                <w:sz w:val="20"/>
                <w:szCs w:val="20"/>
              </w:rPr>
            </w:pPr>
            <w:r>
              <w:rPr>
                <w:rFonts w:ascii="Verdana" w:hAnsi="Verdana" w:cstheme="minorHAnsi"/>
                <w:sz w:val="20"/>
              </w:rPr>
              <w:t>Démontrer une aptitude à prendre des décisions et à adopter des mesures entraînant l’élaboration et la mise en œuvre de stratégies de RH conformes à l’orientation stratégique de l’organisation et à la réalisation des objectifs.</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2" w:name="_Toc494962282"/>
      <w:bookmarkStart w:id="13" w:name="_Toc508805206"/>
      <w:r>
        <w:lastRenderedPageBreak/>
        <w:t>Compétences professionnelles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Langue locale</w:t>
            </w:r>
          </w:p>
        </w:tc>
      </w:tr>
      <w:tr w:rsidR="00F924DE" w:rsidRPr="00520DB2" w14:paraId="41DEE8EB" w14:textId="77777777" w:rsidTr="005D0334">
        <w:trPr>
          <w:trHeight w:val="219"/>
          <w:tblHeader/>
        </w:trPr>
        <w:tc>
          <w:tcPr>
            <w:tcW w:w="453" w:type="pct"/>
            <w:shd w:val="clear" w:color="auto" w:fill="EDEDED" w:themeFill="accent3" w:themeFillTint="33"/>
            <w:vAlign w:val="center"/>
          </w:tcPr>
          <w:p w14:paraId="1743B4C6" w14:textId="77777777" w:rsidR="00F924DE" w:rsidRPr="00520DB2" w:rsidRDefault="00F924D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Code</w:t>
            </w:r>
          </w:p>
        </w:tc>
        <w:tc>
          <w:tcPr>
            <w:tcW w:w="726" w:type="pct"/>
            <w:shd w:val="clear" w:color="auto" w:fill="EDEDED" w:themeFill="accent3" w:themeFillTint="33"/>
            <w:noWrap/>
            <w:vAlign w:val="center"/>
            <w:hideMark/>
          </w:tcPr>
          <w:p w14:paraId="1B7ADEAF" w14:textId="702FD193" w:rsidR="00F924DE" w:rsidRPr="00520DB2" w:rsidRDefault="00F924D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182" w:type="pct"/>
            <w:shd w:val="clear" w:color="auto" w:fill="EDEDED" w:themeFill="accent3" w:themeFillTint="33"/>
            <w:noWrap/>
            <w:vAlign w:val="center"/>
            <w:hideMark/>
          </w:tcPr>
          <w:p w14:paraId="53BD8F61" w14:textId="77777777" w:rsidR="00F924DE" w:rsidRPr="00520DB2" w:rsidRDefault="00F924D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c>
          <w:tcPr>
            <w:tcW w:w="834" w:type="pct"/>
            <w:shd w:val="clear" w:color="auto" w:fill="EDEDED" w:themeFill="accent3" w:themeFillTint="33"/>
            <w:vAlign w:val="center"/>
          </w:tcPr>
          <w:p w14:paraId="2A3251BC" w14:textId="1BC7F67C" w:rsidR="00F924DE" w:rsidRPr="00520DB2" w:rsidRDefault="00F924D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805" w:type="pct"/>
            <w:shd w:val="clear" w:color="auto" w:fill="EDEDED" w:themeFill="accent3" w:themeFillTint="33"/>
            <w:vAlign w:val="center"/>
          </w:tcPr>
          <w:p w14:paraId="67765670" w14:textId="6147B1B0" w:rsidR="00F924DE" w:rsidRPr="00520DB2" w:rsidRDefault="00F924DE"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r>
      <w:tr w:rsidR="00AD60DD" w:rsidRPr="00520DB2" w14:paraId="4662E606" w14:textId="77777777" w:rsidTr="00391F02">
        <w:trPr>
          <w:trHeight w:val="421"/>
        </w:trPr>
        <w:tc>
          <w:tcPr>
            <w:tcW w:w="453" w:type="pct"/>
            <w:shd w:val="clear" w:color="000000" w:fill="FFFFFF"/>
            <w:vAlign w:val="center"/>
          </w:tcPr>
          <w:p w14:paraId="1F9A5E3C" w14:textId="77777777" w:rsidR="00AD60DD" w:rsidRPr="00520DB2" w:rsidRDefault="00AD60DD"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318D21B8" w:rsidR="00AD60DD" w:rsidRPr="00520DB2" w:rsidRDefault="00AD60DD" w:rsidP="003F0065">
            <w:pPr>
              <w:spacing w:after="0"/>
              <w:rPr>
                <w:rFonts w:ascii="Verdana" w:hAnsi="Verdana" w:cstheme="minorHAnsi"/>
                <w:sz w:val="20"/>
                <w:szCs w:val="20"/>
              </w:rPr>
            </w:pPr>
            <w:proofErr w:type="spellStart"/>
            <w:r w:rsidRPr="00520DB2">
              <w:rPr>
                <w:rFonts w:ascii="Verdana" w:hAnsi="Verdana" w:cs="Calibri"/>
                <w:sz w:val="20"/>
                <w:szCs w:val="20"/>
              </w:rPr>
              <w:t>Analytical</w:t>
            </w:r>
            <w:proofErr w:type="spellEnd"/>
            <w:r w:rsidRPr="00520DB2">
              <w:rPr>
                <w:rFonts w:ascii="Verdana" w:hAnsi="Verdana" w:cs="Calibri"/>
                <w:sz w:val="20"/>
                <w:szCs w:val="20"/>
              </w:rPr>
              <w:t xml:space="preserve"> </w:t>
            </w:r>
            <w:proofErr w:type="spellStart"/>
            <w:r w:rsidRPr="00520DB2">
              <w:rPr>
                <w:rFonts w:ascii="Verdana" w:hAnsi="Verdana" w:cs="Calibri"/>
                <w:sz w:val="20"/>
                <w:szCs w:val="20"/>
              </w:rPr>
              <w:t>skills</w:t>
            </w:r>
            <w:proofErr w:type="spellEnd"/>
          </w:p>
        </w:tc>
        <w:tc>
          <w:tcPr>
            <w:tcW w:w="1182" w:type="pct"/>
            <w:shd w:val="clear" w:color="000000" w:fill="FFFFFF"/>
            <w:vAlign w:val="center"/>
          </w:tcPr>
          <w:p w14:paraId="13992CF3" w14:textId="0E536723" w:rsidR="00AD60DD" w:rsidRPr="00AD60DD" w:rsidRDefault="00AD60DD" w:rsidP="003F0065">
            <w:pPr>
              <w:spacing w:after="0"/>
              <w:rPr>
                <w:rFonts w:ascii="Verdana" w:hAnsi="Verdana" w:cstheme="minorHAnsi"/>
                <w:sz w:val="20"/>
                <w:szCs w:val="20"/>
                <w:lang w:val="en-US"/>
              </w:rPr>
            </w:pPr>
            <w:r w:rsidRPr="00AD60DD">
              <w:rPr>
                <w:rFonts w:ascii="Verdana" w:hAnsi="Verdana" w:cs="Calibri"/>
                <w:sz w:val="20"/>
                <w:szCs w:val="20"/>
                <w:lang w:val="en-US"/>
              </w:rPr>
              <w:t xml:space="preserve">Building a logical approach to address complex problems or opportunities by splitting them into constituent parts to identify underlying issues, determine cause and </w:t>
            </w:r>
            <w:proofErr w:type="gramStart"/>
            <w:r w:rsidRPr="00AD60DD">
              <w:rPr>
                <w:rFonts w:ascii="Verdana" w:hAnsi="Verdana" w:cs="Calibri"/>
                <w:sz w:val="20"/>
                <w:szCs w:val="20"/>
                <w:lang w:val="en-US"/>
              </w:rPr>
              <w:t>effect</w:t>
            </w:r>
            <w:proofErr w:type="gramEnd"/>
            <w:r w:rsidRPr="00AD60DD">
              <w:rPr>
                <w:rFonts w:ascii="Verdana" w:hAnsi="Verdana" w:cs="Calibri"/>
                <w:sz w:val="20"/>
                <w:szCs w:val="20"/>
                <w:lang w:val="en-US"/>
              </w:rPr>
              <w:t xml:space="preserve"> relationships and arrive at conclusions or decisions.</w:t>
            </w:r>
          </w:p>
        </w:tc>
        <w:tc>
          <w:tcPr>
            <w:tcW w:w="834" w:type="pct"/>
            <w:shd w:val="clear" w:color="000000" w:fill="FFFFFF"/>
            <w:vAlign w:val="center"/>
          </w:tcPr>
          <w:p w14:paraId="765E273D" w14:textId="180C80C3" w:rsidR="00AD60DD" w:rsidRPr="00520DB2" w:rsidRDefault="00AD60DD" w:rsidP="003F0065">
            <w:pPr>
              <w:spacing w:after="0"/>
              <w:rPr>
                <w:rFonts w:ascii="Verdana" w:hAnsi="Verdana" w:cstheme="minorHAnsi"/>
                <w:sz w:val="20"/>
                <w:szCs w:val="20"/>
              </w:rPr>
            </w:pPr>
            <w:r>
              <w:rPr>
                <w:rFonts w:ascii="Verdana" w:hAnsi="Verdana" w:cstheme="minorHAnsi"/>
                <w:sz w:val="20"/>
              </w:rPr>
              <w:t>Compétences analytiques</w:t>
            </w:r>
          </w:p>
        </w:tc>
        <w:tc>
          <w:tcPr>
            <w:tcW w:w="1805" w:type="pct"/>
            <w:shd w:val="clear" w:color="000000" w:fill="FFFFFF"/>
            <w:vAlign w:val="center"/>
          </w:tcPr>
          <w:p w14:paraId="151449E0" w14:textId="32B4753C" w:rsidR="00AD60DD" w:rsidRPr="00520DB2" w:rsidRDefault="00AD60DD" w:rsidP="003F0065">
            <w:pPr>
              <w:spacing w:after="0"/>
              <w:rPr>
                <w:rFonts w:ascii="Verdana" w:hAnsi="Verdana" w:cstheme="minorHAnsi"/>
                <w:sz w:val="20"/>
                <w:szCs w:val="20"/>
              </w:rPr>
            </w:pPr>
            <w:r>
              <w:rPr>
                <w:rFonts w:ascii="Verdana" w:hAnsi="Verdana" w:cstheme="minorHAnsi"/>
                <w:sz w:val="20"/>
              </w:rPr>
              <w:t xml:space="preserve">Construire une approche logique en vue </w:t>
            </w:r>
            <w:r>
              <w:t>d'examiner des problèmes ou des perspectives complexes en les subdivisant en plusieurs éléments afin de détecter les problèmes sous-jacents, de déterminer les liens de cause à effet et de formuler des conclusions ou des décisions.</w:t>
            </w:r>
          </w:p>
        </w:tc>
      </w:tr>
      <w:tr w:rsidR="00AD60DD" w:rsidRPr="00520DB2" w14:paraId="2C36189D" w14:textId="77777777" w:rsidTr="00391F02">
        <w:trPr>
          <w:trHeight w:val="659"/>
        </w:trPr>
        <w:tc>
          <w:tcPr>
            <w:tcW w:w="453" w:type="pct"/>
            <w:shd w:val="clear" w:color="000000" w:fill="FFFFFF"/>
            <w:vAlign w:val="center"/>
          </w:tcPr>
          <w:p w14:paraId="5B1F513D" w14:textId="77777777" w:rsidR="00AD60DD" w:rsidRPr="00520DB2" w:rsidRDefault="00AD60DD"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30A874A5" w:rsidR="00AD60DD" w:rsidRPr="00520DB2" w:rsidRDefault="00AD60DD" w:rsidP="003F0065">
            <w:pPr>
              <w:spacing w:after="0"/>
              <w:rPr>
                <w:rFonts w:ascii="Verdana" w:hAnsi="Verdana" w:cstheme="minorHAnsi"/>
                <w:sz w:val="20"/>
                <w:szCs w:val="20"/>
              </w:rPr>
            </w:pPr>
            <w:proofErr w:type="spellStart"/>
            <w:r w:rsidRPr="00520DB2">
              <w:rPr>
                <w:rFonts w:ascii="Verdana" w:hAnsi="Verdana" w:cs="Calibri"/>
                <w:sz w:val="20"/>
                <w:szCs w:val="20"/>
              </w:rPr>
              <w:t>Communicating</w:t>
            </w:r>
            <w:proofErr w:type="spellEnd"/>
            <w:r w:rsidRPr="00520DB2">
              <w:rPr>
                <w:rFonts w:ascii="Verdana" w:hAnsi="Verdana" w:cs="Calibri"/>
                <w:sz w:val="20"/>
                <w:szCs w:val="20"/>
              </w:rPr>
              <w:t xml:space="preserve"> in </w:t>
            </w:r>
            <w:proofErr w:type="spellStart"/>
            <w:r w:rsidRPr="00520DB2">
              <w:rPr>
                <w:rFonts w:ascii="Verdana" w:hAnsi="Verdana" w:cs="Calibri"/>
                <w:sz w:val="20"/>
                <w:szCs w:val="20"/>
              </w:rPr>
              <w:t>writing</w:t>
            </w:r>
            <w:proofErr w:type="spellEnd"/>
          </w:p>
        </w:tc>
        <w:tc>
          <w:tcPr>
            <w:tcW w:w="1182" w:type="pct"/>
            <w:shd w:val="clear" w:color="000000" w:fill="FFFFFF"/>
            <w:vAlign w:val="center"/>
          </w:tcPr>
          <w:p w14:paraId="52914919" w14:textId="498FA9FE" w:rsidR="00AD60DD" w:rsidRPr="00AD60DD" w:rsidRDefault="00AD60DD" w:rsidP="003F0065">
            <w:pPr>
              <w:spacing w:after="0"/>
              <w:rPr>
                <w:rFonts w:ascii="Verdana" w:hAnsi="Verdana" w:cstheme="minorHAnsi"/>
                <w:sz w:val="20"/>
                <w:szCs w:val="20"/>
                <w:lang w:val="en-US"/>
              </w:rPr>
            </w:pPr>
            <w:r w:rsidRPr="00AD60DD">
              <w:rPr>
                <w:rFonts w:ascii="Verdana" w:hAnsi="Verdana" w:cs="Calibr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500241B5" w:rsidR="00AD60DD" w:rsidRPr="00520DB2" w:rsidRDefault="00AD60DD" w:rsidP="003F0065">
            <w:pPr>
              <w:spacing w:after="0"/>
              <w:rPr>
                <w:rFonts w:ascii="Verdana" w:hAnsi="Verdana" w:cstheme="minorHAnsi"/>
                <w:sz w:val="20"/>
                <w:szCs w:val="20"/>
              </w:rPr>
            </w:pPr>
            <w:r>
              <w:rPr>
                <w:rFonts w:ascii="Verdana" w:hAnsi="Verdana" w:cstheme="minorHAnsi"/>
                <w:sz w:val="20"/>
              </w:rPr>
              <w:t>Communication écrite</w:t>
            </w:r>
          </w:p>
        </w:tc>
        <w:tc>
          <w:tcPr>
            <w:tcW w:w="1805" w:type="pct"/>
            <w:shd w:val="clear" w:color="000000" w:fill="FFFFFF"/>
            <w:vAlign w:val="center"/>
          </w:tcPr>
          <w:p w14:paraId="756B30A5" w14:textId="019F9E77" w:rsidR="00AD60DD" w:rsidRPr="00520DB2" w:rsidRDefault="00AD60DD" w:rsidP="003F0065">
            <w:pPr>
              <w:spacing w:after="0"/>
              <w:rPr>
                <w:rFonts w:ascii="Verdana" w:hAnsi="Verdana" w:cstheme="minorHAnsi"/>
                <w:sz w:val="20"/>
                <w:szCs w:val="20"/>
              </w:rPr>
            </w:pPr>
            <w:r>
              <w:rPr>
                <w:rFonts w:ascii="Verdana" w:hAnsi="Verdana" w:cstheme="minorHAnsi"/>
                <w:sz w:val="20"/>
              </w:rPr>
              <w:t xml:space="preserve">Démontrer une aptitude à présenter des informations et des idées par écrit, de manière claire et convaincante, en sélectionnant des moyens adéquats de communication écrite et un style rédactionnel adapté afin d’atteindre le public ciblé, en utilisant une orthographe, une grammaire et une ponctuation correctes, ainsi que démontrer une aptitude à </w:t>
            </w:r>
            <w:r>
              <w:t>la communication multiculturelle.</w:t>
            </w:r>
          </w:p>
        </w:tc>
      </w:tr>
      <w:tr w:rsidR="00AD60DD" w:rsidRPr="00520DB2" w14:paraId="2802D4A0" w14:textId="77777777" w:rsidTr="00391F02">
        <w:trPr>
          <w:trHeight w:val="878"/>
        </w:trPr>
        <w:tc>
          <w:tcPr>
            <w:tcW w:w="453" w:type="pct"/>
            <w:shd w:val="clear" w:color="000000" w:fill="FFFFFF"/>
            <w:vAlign w:val="center"/>
          </w:tcPr>
          <w:p w14:paraId="325AFD74" w14:textId="77777777" w:rsidR="00AD60DD" w:rsidRPr="00520DB2" w:rsidRDefault="00AD60DD"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27795D20" w:rsidR="00AD60DD" w:rsidRPr="00520DB2" w:rsidRDefault="00AD60DD" w:rsidP="003F0065">
            <w:pPr>
              <w:spacing w:after="0"/>
              <w:rPr>
                <w:rFonts w:ascii="Verdana" w:hAnsi="Verdana" w:cstheme="minorHAnsi"/>
                <w:sz w:val="20"/>
                <w:szCs w:val="20"/>
              </w:rPr>
            </w:pPr>
            <w:proofErr w:type="spellStart"/>
            <w:r w:rsidRPr="00520DB2">
              <w:rPr>
                <w:rFonts w:ascii="Verdana" w:hAnsi="Verdana" w:cs="Calibri"/>
                <w:sz w:val="20"/>
                <w:szCs w:val="20"/>
              </w:rPr>
              <w:t>Communicating</w:t>
            </w:r>
            <w:proofErr w:type="spellEnd"/>
            <w:r w:rsidRPr="00520DB2">
              <w:rPr>
                <w:rFonts w:ascii="Verdana" w:hAnsi="Verdana" w:cs="Calibri"/>
                <w:sz w:val="20"/>
                <w:szCs w:val="20"/>
              </w:rPr>
              <w:t xml:space="preserve"> </w:t>
            </w:r>
            <w:proofErr w:type="spellStart"/>
            <w:r w:rsidRPr="00520DB2">
              <w:rPr>
                <w:rFonts w:ascii="Verdana" w:hAnsi="Verdana" w:cs="Calibri"/>
                <w:sz w:val="20"/>
                <w:szCs w:val="20"/>
              </w:rPr>
              <w:t>verbally</w:t>
            </w:r>
            <w:proofErr w:type="spellEnd"/>
          </w:p>
        </w:tc>
        <w:tc>
          <w:tcPr>
            <w:tcW w:w="1182" w:type="pct"/>
            <w:shd w:val="clear" w:color="000000" w:fill="FFFFFF"/>
            <w:vAlign w:val="center"/>
          </w:tcPr>
          <w:p w14:paraId="672D10C4" w14:textId="75F66505" w:rsidR="00AD60DD" w:rsidRPr="00AD60DD" w:rsidRDefault="00AD60DD" w:rsidP="003F0065">
            <w:pPr>
              <w:spacing w:after="0"/>
              <w:rPr>
                <w:rFonts w:ascii="Verdana" w:hAnsi="Verdana" w:cstheme="minorHAnsi"/>
                <w:sz w:val="20"/>
                <w:szCs w:val="20"/>
                <w:lang w:val="en-US"/>
              </w:rPr>
            </w:pPr>
            <w:r w:rsidRPr="00AD60DD">
              <w:rPr>
                <w:rFonts w:ascii="Verdana" w:hAnsi="Verdana" w:cs="Calibri"/>
                <w:sz w:val="20"/>
                <w:szCs w:val="20"/>
                <w:lang w:val="en-US"/>
              </w:rPr>
              <w:t xml:space="preserve">Demonstrating ability to clearly express thoughts and ideas to individuals or groups using speech in a way that engages the </w:t>
            </w:r>
            <w:proofErr w:type="gramStart"/>
            <w:r w:rsidRPr="00AD60DD">
              <w:rPr>
                <w:rFonts w:ascii="Verdana" w:hAnsi="Verdana" w:cs="Calibri"/>
                <w:sz w:val="20"/>
                <w:szCs w:val="20"/>
                <w:lang w:val="en-US"/>
              </w:rPr>
              <w:t>audience,</w:t>
            </w:r>
            <w:proofErr w:type="gramEnd"/>
            <w:r w:rsidRPr="00AD60DD">
              <w:rPr>
                <w:rFonts w:ascii="Verdana" w:hAnsi="Verdana" w:cs="Calibri"/>
                <w:sz w:val="20"/>
                <w:szCs w:val="20"/>
                <w:lang w:val="en-US"/>
              </w:rPr>
              <w:t xml:space="preserve"> encourages two-way communication and helps them understand and </w:t>
            </w:r>
            <w:r w:rsidRPr="00AD60DD">
              <w:rPr>
                <w:rFonts w:ascii="Verdana" w:hAnsi="Verdana" w:cs="Calibri"/>
                <w:sz w:val="20"/>
                <w:szCs w:val="20"/>
                <w:lang w:val="en-US"/>
              </w:rPr>
              <w:lastRenderedPageBreak/>
              <w:t>retain the message, as well as demonstrating ability to communicate across cultures.</w:t>
            </w:r>
          </w:p>
        </w:tc>
        <w:tc>
          <w:tcPr>
            <w:tcW w:w="834" w:type="pct"/>
            <w:shd w:val="clear" w:color="000000" w:fill="FFFFFF"/>
            <w:vAlign w:val="center"/>
          </w:tcPr>
          <w:p w14:paraId="46E90DC3" w14:textId="763B244B" w:rsidR="00AD60DD" w:rsidRPr="00520DB2" w:rsidRDefault="00AD60DD" w:rsidP="003F0065">
            <w:pPr>
              <w:spacing w:after="0"/>
              <w:rPr>
                <w:rFonts w:ascii="Verdana" w:hAnsi="Verdana" w:cstheme="minorHAnsi"/>
                <w:sz w:val="20"/>
                <w:szCs w:val="20"/>
              </w:rPr>
            </w:pPr>
            <w:r>
              <w:rPr>
                <w:rFonts w:ascii="Verdana" w:hAnsi="Verdana" w:cstheme="minorHAnsi"/>
                <w:sz w:val="20"/>
              </w:rPr>
              <w:lastRenderedPageBreak/>
              <w:t>Communication orale</w:t>
            </w:r>
          </w:p>
        </w:tc>
        <w:tc>
          <w:tcPr>
            <w:tcW w:w="1805" w:type="pct"/>
            <w:shd w:val="clear" w:color="000000" w:fill="FFFFFF"/>
            <w:vAlign w:val="center"/>
          </w:tcPr>
          <w:p w14:paraId="75C1D484" w14:textId="55EC484E" w:rsidR="00AD60DD" w:rsidRPr="00520DB2" w:rsidRDefault="00AD60DD" w:rsidP="003F0065">
            <w:pPr>
              <w:spacing w:after="0"/>
              <w:rPr>
                <w:rFonts w:ascii="Verdana" w:hAnsi="Verdana" w:cstheme="minorHAnsi"/>
                <w:sz w:val="20"/>
                <w:szCs w:val="20"/>
              </w:rPr>
            </w:pPr>
            <w:r>
              <w:rPr>
                <w:rFonts w:ascii="Verdana" w:hAnsi="Verdana" w:cstheme="minorHAnsi"/>
                <w:sz w:val="20"/>
              </w:rPr>
              <w:t xml:space="preserve">Démontrer une aptitude à exprimer clairement ses pensées et ses idées à des individus ou à des groupes en utilisant le langage oral de manière à capter l’attention du public, à favoriser une communication </w:t>
            </w:r>
            <w:r>
              <w:t>bidirectionnelle et à l’aider à comprendre et à retenir le message, et démontrer une aptitude à la communication multiculturelle.</w:t>
            </w:r>
          </w:p>
        </w:tc>
      </w:tr>
      <w:tr w:rsidR="00005AED" w:rsidRPr="00520DB2" w14:paraId="1EEA499C" w14:textId="77777777" w:rsidTr="00391F02">
        <w:trPr>
          <w:trHeight w:val="659"/>
        </w:trPr>
        <w:tc>
          <w:tcPr>
            <w:tcW w:w="453" w:type="pct"/>
            <w:shd w:val="clear" w:color="000000" w:fill="FFFFFF"/>
            <w:vAlign w:val="center"/>
          </w:tcPr>
          <w:p w14:paraId="0FA3BD98" w14:textId="77777777" w:rsidR="00005AED" w:rsidRPr="00520DB2" w:rsidRDefault="00005AED"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14:paraId="17AD1DEE" w14:textId="657AD060" w:rsidR="00005AED" w:rsidRPr="00520DB2" w:rsidRDefault="00005AED" w:rsidP="003F0065">
            <w:pPr>
              <w:spacing w:after="0"/>
              <w:rPr>
                <w:rFonts w:ascii="Verdana" w:hAnsi="Verdana" w:cstheme="minorHAnsi"/>
                <w:sz w:val="20"/>
                <w:szCs w:val="20"/>
              </w:rPr>
            </w:pPr>
            <w:proofErr w:type="spellStart"/>
            <w:r w:rsidRPr="00520DB2">
              <w:rPr>
                <w:rFonts w:ascii="Verdana" w:hAnsi="Verdana" w:cs="Calibri"/>
                <w:sz w:val="20"/>
                <w:szCs w:val="20"/>
              </w:rPr>
              <w:t>Conflict</w:t>
            </w:r>
            <w:proofErr w:type="spellEnd"/>
            <w:r w:rsidRPr="00520DB2">
              <w:rPr>
                <w:rFonts w:ascii="Verdana" w:hAnsi="Verdana" w:cs="Calibri"/>
                <w:sz w:val="20"/>
                <w:szCs w:val="20"/>
              </w:rPr>
              <w:t xml:space="preserve"> handling</w:t>
            </w:r>
          </w:p>
        </w:tc>
        <w:tc>
          <w:tcPr>
            <w:tcW w:w="1182" w:type="pct"/>
            <w:shd w:val="clear" w:color="000000" w:fill="FFFFFF"/>
            <w:vAlign w:val="center"/>
          </w:tcPr>
          <w:p w14:paraId="6761DF4B" w14:textId="3398DEFF"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 xml:space="preserve">Demonstrating ability to deal effectively with others in an antagonistic situation by </w:t>
            </w:r>
            <w:proofErr w:type="spellStart"/>
            <w:r w:rsidRPr="00005AED">
              <w:rPr>
                <w:rFonts w:ascii="Verdana" w:hAnsi="Verdana" w:cs="Calibri"/>
                <w:sz w:val="20"/>
                <w:szCs w:val="20"/>
                <w:lang w:val="en-US"/>
              </w:rPr>
              <w:t>recognising</w:t>
            </w:r>
            <w:proofErr w:type="spellEnd"/>
            <w:r w:rsidRPr="00005AED">
              <w:rPr>
                <w:rFonts w:ascii="Verdana" w:hAnsi="Verdana" w:cs="Calibri"/>
                <w:sz w:val="20"/>
                <w:szCs w:val="20"/>
                <w:lang w:val="en-US"/>
              </w:rPr>
              <w:t xml:space="preserve">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531BA369" w:rsidR="00005AED" w:rsidRPr="00520DB2" w:rsidRDefault="00005AED" w:rsidP="003F0065">
            <w:pPr>
              <w:spacing w:after="0"/>
              <w:rPr>
                <w:rFonts w:ascii="Verdana" w:hAnsi="Verdana" w:cstheme="minorHAnsi"/>
                <w:sz w:val="20"/>
                <w:szCs w:val="20"/>
              </w:rPr>
            </w:pPr>
            <w:r>
              <w:rPr>
                <w:rFonts w:ascii="Verdana" w:hAnsi="Verdana" w:cstheme="minorHAnsi"/>
                <w:sz w:val="20"/>
              </w:rPr>
              <w:t>Gestion des conflits</w:t>
            </w:r>
          </w:p>
        </w:tc>
        <w:tc>
          <w:tcPr>
            <w:tcW w:w="1805" w:type="pct"/>
            <w:shd w:val="clear" w:color="000000" w:fill="FFFFFF"/>
            <w:vAlign w:val="center"/>
          </w:tcPr>
          <w:p w14:paraId="5633DE76" w14:textId="6658DE11" w:rsidR="00005AED" w:rsidRPr="00520DB2" w:rsidRDefault="00005AED" w:rsidP="003F0065">
            <w:pPr>
              <w:spacing w:after="0"/>
              <w:rPr>
                <w:rFonts w:ascii="Verdana" w:hAnsi="Verdana" w:cstheme="minorHAnsi"/>
                <w:sz w:val="20"/>
                <w:szCs w:val="20"/>
              </w:rPr>
            </w:pPr>
            <w:r>
              <w:rPr>
                <w:rFonts w:ascii="Verdana" w:hAnsi="Verdana" w:cstheme="minorHAnsi"/>
                <w:sz w:val="20"/>
              </w:rPr>
              <w:t xml:space="preserve">Démontrer une aptitude à </w:t>
            </w:r>
            <w:r>
              <w:t>négocier efficacement avec les autres dans une situation conflictuelle, en acceptant les opinions différentes, en rassemblant les parties dans un dialogue ouvert et en utilisant des styles et des techniques interpersonnels appropriés pour trouver une solution favorable à toutes les parties prenantes, que ce soit dans des conflits entre deux personnes ou plus.</w:t>
            </w:r>
          </w:p>
        </w:tc>
      </w:tr>
      <w:tr w:rsidR="00005AED" w:rsidRPr="00520DB2" w14:paraId="10C72AE0" w14:textId="77777777" w:rsidTr="00391F02">
        <w:trPr>
          <w:trHeight w:val="659"/>
        </w:trPr>
        <w:tc>
          <w:tcPr>
            <w:tcW w:w="453" w:type="pct"/>
            <w:shd w:val="clear" w:color="000000" w:fill="FFFFFF"/>
            <w:vAlign w:val="center"/>
          </w:tcPr>
          <w:p w14:paraId="1D169900" w14:textId="77777777" w:rsidR="00005AED" w:rsidRPr="00520DB2" w:rsidRDefault="00005AED"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0AAFBA9A"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Flexibility and adaptability to change </w:t>
            </w:r>
          </w:p>
        </w:tc>
        <w:tc>
          <w:tcPr>
            <w:tcW w:w="1182" w:type="pct"/>
            <w:shd w:val="clear" w:color="000000" w:fill="FFFFFF"/>
            <w:vAlign w:val="center"/>
          </w:tcPr>
          <w:p w14:paraId="007105EF" w14:textId="129650E2"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 xml:space="preserve">Demonstrating ability to adjust and retain effectiveness when experiencing major changes in work tasks, work environment, </w:t>
            </w:r>
            <w:proofErr w:type="spellStart"/>
            <w:r w:rsidRPr="00005AED">
              <w:rPr>
                <w:rFonts w:ascii="Verdana" w:hAnsi="Verdana" w:cs="Calibri"/>
                <w:sz w:val="20"/>
                <w:szCs w:val="20"/>
                <w:lang w:val="en-US"/>
              </w:rPr>
              <w:t>organisational</w:t>
            </w:r>
            <w:proofErr w:type="spellEnd"/>
            <w:r w:rsidRPr="00005AED">
              <w:rPr>
                <w:rFonts w:ascii="Verdana" w:hAnsi="Verdana" w:cs="Calibri"/>
                <w:sz w:val="20"/>
                <w:szCs w:val="20"/>
                <w:lang w:val="en-US"/>
              </w:rPr>
              <w:t xml:space="preserve"> structure and culture, processes, requirements, and other work related aspects. </w:t>
            </w:r>
          </w:p>
        </w:tc>
        <w:tc>
          <w:tcPr>
            <w:tcW w:w="834" w:type="pct"/>
            <w:shd w:val="clear" w:color="000000" w:fill="FFFFFF"/>
            <w:vAlign w:val="center"/>
          </w:tcPr>
          <w:p w14:paraId="0AFD48F1" w14:textId="2115EBBE" w:rsidR="00005AED" w:rsidRPr="00520DB2" w:rsidRDefault="00005AED" w:rsidP="003F0065">
            <w:pPr>
              <w:spacing w:after="0"/>
              <w:rPr>
                <w:rFonts w:ascii="Verdana" w:hAnsi="Verdana" w:cstheme="minorHAnsi"/>
                <w:sz w:val="20"/>
                <w:szCs w:val="20"/>
              </w:rPr>
            </w:pPr>
            <w:r>
              <w:rPr>
                <w:rFonts w:ascii="Verdana" w:hAnsi="Verdana" w:cstheme="minorHAnsi"/>
                <w:sz w:val="20"/>
              </w:rPr>
              <w:t>Flexibilité et capacité d’adaptation au changement </w:t>
            </w:r>
          </w:p>
        </w:tc>
        <w:tc>
          <w:tcPr>
            <w:tcW w:w="1805" w:type="pct"/>
            <w:shd w:val="clear" w:color="000000" w:fill="FFFFFF"/>
            <w:vAlign w:val="center"/>
          </w:tcPr>
          <w:p w14:paraId="31E3F1FC" w14:textId="61019DC8" w:rsidR="00005AED" w:rsidRPr="00520DB2" w:rsidRDefault="00005AED" w:rsidP="003F0065">
            <w:pPr>
              <w:spacing w:after="0"/>
              <w:rPr>
                <w:rFonts w:ascii="Verdana" w:hAnsi="Verdana" w:cstheme="minorHAnsi"/>
                <w:sz w:val="20"/>
                <w:szCs w:val="20"/>
              </w:rPr>
            </w:pPr>
            <w:r>
              <w:rPr>
                <w:rFonts w:ascii="Verdana" w:hAnsi="Verdana" w:cstheme="minorHAnsi"/>
                <w:sz w:val="20"/>
              </w:rPr>
              <w:t xml:space="preserve">Démontrer une aptitude à s’adapter et à maintenir son efficacité en cas de changement majeur des tâches, de l’environnement de travail, de la structure et de la culture de l’organisation, des processus, des exigences et d’autres aspects liés au travail. </w:t>
            </w:r>
          </w:p>
        </w:tc>
      </w:tr>
      <w:tr w:rsidR="00005AED" w:rsidRPr="00520DB2" w14:paraId="698654D0" w14:textId="77777777" w:rsidTr="00391F02">
        <w:trPr>
          <w:trHeight w:val="659"/>
        </w:trPr>
        <w:tc>
          <w:tcPr>
            <w:tcW w:w="453" w:type="pct"/>
            <w:shd w:val="clear" w:color="000000" w:fill="FFFFFF"/>
            <w:vAlign w:val="center"/>
          </w:tcPr>
          <w:p w14:paraId="43C498CC" w14:textId="77777777" w:rsidR="00005AED" w:rsidRPr="00520DB2" w:rsidRDefault="00005AED"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2BA9A4A7" w:rsidR="00005AED" w:rsidRPr="00520DB2" w:rsidRDefault="00005AED" w:rsidP="003F0065">
            <w:pPr>
              <w:spacing w:after="0"/>
              <w:rPr>
                <w:rFonts w:ascii="Verdana" w:hAnsi="Verdana" w:cstheme="minorHAnsi"/>
                <w:sz w:val="20"/>
                <w:szCs w:val="20"/>
              </w:rPr>
            </w:pPr>
            <w:proofErr w:type="spellStart"/>
            <w:r w:rsidRPr="00520DB2">
              <w:rPr>
                <w:rFonts w:ascii="Verdana" w:hAnsi="Verdana" w:cs="Calibri"/>
                <w:sz w:val="20"/>
                <w:szCs w:val="20"/>
              </w:rPr>
              <w:t>Problem</w:t>
            </w:r>
            <w:proofErr w:type="spellEnd"/>
            <w:r w:rsidRPr="00520DB2">
              <w:rPr>
                <w:rFonts w:ascii="Verdana" w:hAnsi="Verdana" w:cs="Calibri"/>
                <w:sz w:val="20"/>
                <w:szCs w:val="20"/>
              </w:rPr>
              <w:t xml:space="preserve"> </w:t>
            </w:r>
            <w:proofErr w:type="spellStart"/>
            <w:r w:rsidRPr="00520DB2">
              <w:rPr>
                <w:rFonts w:ascii="Verdana" w:hAnsi="Verdana" w:cs="Calibri"/>
                <w:sz w:val="20"/>
                <w:szCs w:val="20"/>
              </w:rPr>
              <w:t>solving</w:t>
            </w:r>
            <w:proofErr w:type="spellEnd"/>
          </w:p>
        </w:tc>
        <w:tc>
          <w:tcPr>
            <w:tcW w:w="1182" w:type="pct"/>
            <w:shd w:val="clear" w:color="000000" w:fill="FFFFFF"/>
            <w:vAlign w:val="center"/>
          </w:tcPr>
          <w:p w14:paraId="2C3770D1" w14:textId="261E5723"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 xml:space="preserve">Demonstrating ability to identify problems by using logic, intuition, data, conducting appropriate analyses, searches and involving others (if needed) </w:t>
            </w:r>
            <w:r w:rsidRPr="00005AED">
              <w:rPr>
                <w:rFonts w:ascii="Verdana" w:hAnsi="Verdana" w:cs="Calibri"/>
                <w:sz w:val="20"/>
                <w:szCs w:val="20"/>
                <w:lang w:val="en-US"/>
              </w:rPr>
              <w:lastRenderedPageBreak/>
              <w:t>in order to arrive at solutions or decisions.</w:t>
            </w:r>
          </w:p>
        </w:tc>
        <w:tc>
          <w:tcPr>
            <w:tcW w:w="834" w:type="pct"/>
            <w:shd w:val="clear" w:color="000000" w:fill="FFFFFF"/>
            <w:vAlign w:val="center"/>
          </w:tcPr>
          <w:p w14:paraId="65EFC67C" w14:textId="160EDF9F" w:rsidR="00005AED" w:rsidRPr="00520DB2" w:rsidRDefault="00005AED" w:rsidP="003F0065">
            <w:pPr>
              <w:spacing w:after="0"/>
              <w:rPr>
                <w:rFonts w:ascii="Verdana" w:hAnsi="Verdana" w:cstheme="minorHAnsi"/>
                <w:sz w:val="20"/>
                <w:szCs w:val="20"/>
              </w:rPr>
            </w:pPr>
            <w:r>
              <w:rPr>
                <w:rFonts w:ascii="Verdana" w:hAnsi="Verdana" w:cstheme="minorHAnsi"/>
                <w:sz w:val="20"/>
              </w:rPr>
              <w:lastRenderedPageBreak/>
              <w:t>Résolution de</w:t>
            </w:r>
            <w:r>
              <w:t xml:space="preserve"> problèmes</w:t>
            </w:r>
          </w:p>
        </w:tc>
        <w:tc>
          <w:tcPr>
            <w:tcW w:w="1805" w:type="pct"/>
            <w:shd w:val="clear" w:color="000000" w:fill="FFFFFF"/>
            <w:vAlign w:val="center"/>
          </w:tcPr>
          <w:p w14:paraId="3A9E649B" w14:textId="53A581B2" w:rsidR="00005AED" w:rsidRPr="00520DB2" w:rsidRDefault="00005AED" w:rsidP="003F0065">
            <w:pPr>
              <w:spacing w:after="0"/>
              <w:rPr>
                <w:rFonts w:ascii="Verdana" w:hAnsi="Verdana" w:cstheme="minorHAnsi"/>
                <w:sz w:val="20"/>
                <w:szCs w:val="20"/>
              </w:rPr>
            </w:pPr>
            <w:r>
              <w:rPr>
                <w:rFonts w:ascii="Verdana" w:hAnsi="Verdana" w:cstheme="minorHAnsi"/>
                <w:sz w:val="20"/>
              </w:rPr>
              <w:t xml:space="preserve">Démontrer une aptitude à détecter les problèmes en utilisant sa logique, son intuition et les informations disponibles, en procédant aux analyses et aux recherches appropriées et en faisant participer (au besoin) les autres afin de trouver des </w:t>
            </w:r>
            <w:r>
              <w:rPr>
                <w:rFonts w:ascii="Verdana" w:hAnsi="Verdana" w:cstheme="minorHAnsi"/>
                <w:sz w:val="20"/>
              </w:rPr>
              <w:lastRenderedPageBreak/>
              <w:t>solutions ou de prendre des décisions.</w:t>
            </w:r>
          </w:p>
        </w:tc>
      </w:tr>
      <w:tr w:rsidR="00005AED" w:rsidRPr="00520DB2" w14:paraId="07666C1C" w14:textId="77777777" w:rsidTr="00391F02">
        <w:trPr>
          <w:trHeight w:val="659"/>
        </w:trPr>
        <w:tc>
          <w:tcPr>
            <w:tcW w:w="453" w:type="pct"/>
            <w:shd w:val="clear" w:color="000000" w:fill="FFFFFF"/>
            <w:vAlign w:val="center"/>
          </w:tcPr>
          <w:p w14:paraId="6170ACD7" w14:textId="77777777" w:rsidR="00005AED" w:rsidRPr="00520DB2" w:rsidRDefault="00005AED"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14:paraId="3AA3A8EB" w14:textId="08F47B03" w:rsidR="00005AED" w:rsidRPr="00520DB2" w:rsidRDefault="00005AED" w:rsidP="003F0065">
            <w:pPr>
              <w:spacing w:after="0"/>
              <w:rPr>
                <w:rFonts w:ascii="Verdana" w:hAnsi="Verdana" w:cstheme="minorHAnsi"/>
                <w:sz w:val="20"/>
                <w:szCs w:val="20"/>
              </w:rPr>
            </w:pPr>
            <w:r w:rsidRPr="00520DB2">
              <w:rPr>
                <w:rFonts w:ascii="Verdana" w:hAnsi="Verdana" w:cs="Calibri"/>
                <w:sz w:val="20"/>
                <w:szCs w:val="20"/>
              </w:rPr>
              <w:t xml:space="preserve">Team </w:t>
            </w:r>
            <w:proofErr w:type="spellStart"/>
            <w:r w:rsidRPr="00520DB2">
              <w:rPr>
                <w:rFonts w:ascii="Verdana" w:hAnsi="Verdana" w:cs="Calibri"/>
                <w:sz w:val="20"/>
                <w:szCs w:val="20"/>
              </w:rPr>
              <w:t>work</w:t>
            </w:r>
            <w:proofErr w:type="spellEnd"/>
          </w:p>
        </w:tc>
        <w:tc>
          <w:tcPr>
            <w:tcW w:w="1182" w:type="pct"/>
            <w:shd w:val="clear" w:color="000000" w:fill="FFFFFF"/>
            <w:vAlign w:val="center"/>
          </w:tcPr>
          <w:p w14:paraId="33942008" w14:textId="261FD69E"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2A618FCE" w:rsidR="00005AED" w:rsidRPr="00520DB2" w:rsidRDefault="00005AED" w:rsidP="003F0065">
            <w:pPr>
              <w:spacing w:after="0"/>
              <w:rPr>
                <w:rFonts w:ascii="Verdana" w:hAnsi="Verdana" w:cstheme="minorHAnsi"/>
                <w:sz w:val="20"/>
                <w:szCs w:val="20"/>
              </w:rPr>
            </w:pPr>
            <w:r>
              <w:rPr>
                <w:rFonts w:ascii="Verdana" w:hAnsi="Verdana" w:cstheme="minorHAnsi"/>
                <w:sz w:val="20"/>
              </w:rPr>
              <w:t>Travail d’équipe</w:t>
            </w:r>
          </w:p>
        </w:tc>
        <w:tc>
          <w:tcPr>
            <w:tcW w:w="1805" w:type="pct"/>
            <w:shd w:val="clear" w:color="000000" w:fill="FFFFFF"/>
            <w:vAlign w:val="center"/>
          </w:tcPr>
          <w:p w14:paraId="3C0ADA53" w14:textId="605F0CD4" w:rsidR="00005AED" w:rsidRPr="00520DB2" w:rsidRDefault="00267AF8" w:rsidP="000600DE">
            <w:pPr>
              <w:spacing w:after="0"/>
              <w:rPr>
                <w:rFonts w:ascii="Verdana" w:hAnsi="Verdana" w:cstheme="minorHAnsi"/>
                <w:sz w:val="20"/>
                <w:szCs w:val="20"/>
              </w:rPr>
            </w:pPr>
            <w:r w:rsidRPr="00267AF8">
              <w:rPr>
                <w:rFonts w:ascii="Verdana" w:hAnsi="Verdana" w:cstheme="minorHAnsi"/>
                <w:sz w:val="20"/>
              </w:rPr>
              <w:t xml:space="preserve">Démontrer une aptitude à travailler en coopération et en collaboration avec </w:t>
            </w:r>
            <w:r w:rsidR="000600DE">
              <w:rPr>
                <w:rFonts w:ascii="Verdana" w:hAnsi="Verdana" w:cstheme="minorHAnsi"/>
                <w:sz w:val="20"/>
              </w:rPr>
              <w:t>d'</w:t>
            </w:r>
            <w:r w:rsidRPr="00267AF8">
              <w:rPr>
                <w:rFonts w:ascii="Verdana" w:hAnsi="Verdana" w:cstheme="minorHAnsi"/>
                <w:sz w:val="20"/>
              </w:rPr>
              <w:t>autres collègues de différentes unités structurelles et de différents niveaux afin d’atteindre des objectifs collectifs.</w:t>
            </w:r>
          </w:p>
        </w:tc>
      </w:tr>
      <w:tr w:rsidR="00005AED" w:rsidRPr="00520DB2" w14:paraId="00EFFD46" w14:textId="77777777" w:rsidTr="00391F02">
        <w:trPr>
          <w:trHeight w:val="439"/>
        </w:trPr>
        <w:tc>
          <w:tcPr>
            <w:tcW w:w="453" w:type="pct"/>
            <w:shd w:val="clear" w:color="000000" w:fill="FFFFFF"/>
            <w:vAlign w:val="center"/>
          </w:tcPr>
          <w:p w14:paraId="7F4E2C5C" w14:textId="77777777" w:rsidR="00005AED" w:rsidRPr="00520DB2" w:rsidRDefault="00005AED"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2E792B8A" w:rsidR="00005AED" w:rsidRPr="00520DB2" w:rsidRDefault="00005AED" w:rsidP="003F0065">
            <w:pPr>
              <w:spacing w:after="0"/>
              <w:rPr>
                <w:rFonts w:ascii="Verdana" w:hAnsi="Verdana" w:cstheme="minorHAnsi"/>
                <w:sz w:val="20"/>
                <w:szCs w:val="20"/>
              </w:rPr>
            </w:pPr>
            <w:proofErr w:type="spellStart"/>
            <w:r w:rsidRPr="00520DB2">
              <w:rPr>
                <w:rFonts w:ascii="Verdana" w:hAnsi="Verdana" w:cs="Calibri"/>
                <w:sz w:val="20"/>
                <w:szCs w:val="20"/>
              </w:rPr>
              <w:t>Technological</w:t>
            </w:r>
            <w:proofErr w:type="spellEnd"/>
            <w:r w:rsidRPr="00520DB2">
              <w:rPr>
                <w:rFonts w:ascii="Verdana" w:hAnsi="Verdana" w:cs="Calibri"/>
                <w:sz w:val="20"/>
                <w:szCs w:val="20"/>
              </w:rPr>
              <w:t xml:space="preserve"> </w:t>
            </w:r>
            <w:proofErr w:type="spellStart"/>
            <w:r w:rsidRPr="00520DB2">
              <w:rPr>
                <w:rFonts w:ascii="Verdana" w:hAnsi="Verdana" w:cs="Calibri"/>
                <w:sz w:val="20"/>
                <w:szCs w:val="20"/>
              </w:rPr>
              <w:t>ability</w:t>
            </w:r>
            <w:proofErr w:type="spellEnd"/>
          </w:p>
        </w:tc>
        <w:tc>
          <w:tcPr>
            <w:tcW w:w="1182" w:type="pct"/>
            <w:shd w:val="clear" w:color="000000" w:fill="FFFFFF"/>
            <w:vAlign w:val="center"/>
          </w:tcPr>
          <w:p w14:paraId="6B33ACA6" w14:textId="79881330" w:rsidR="00005AED" w:rsidRPr="00005AED" w:rsidRDefault="00005AED" w:rsidP="00EE307C">
            <w:pPr>
              <w:spacing w:after="0"/>
              <w:rPr>
                <w:rFonts w:ascii="Verdana" w:hAnsi="Verdana" w:cstheme="minorHAnsi"/>
                <w:sz w:val="20"/>
                <w:szCs w:val="20"/>
                <w:lang w:val="en-US"/>
              </w:rPr>
            </w:pPr>
            <w:r w:rsidRPr="00005AED">
              <w:rPr>
                <w:rFonts w:ascii="Verdana" w:hAnsi="Verdana" w:cs="Calibri"/>
                <w:sz w:val="20"/>
                <w:szCs w:val="20"/>
                <w:lang w:val="en-US"/>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72EFBB43" w:rsidR="00005AED" w:rsidRPr="00520DB2" w:rsidRDefault="00005AED" w:rsidP="003F0065">
            <w:pPr>
              <w:spacing w:after="0"/>
              <w:rPr>
                <w:rFonts w:ascii="Verdana" w:hAnsi="Verdana" w:cstheme="minorHAnsi"/>
                <w:sz w:val="20"/>
                <w:szCs w:val="20"/>
              </w:rPr>
            </w:pPr>
            <w:r>
              <w:rPr>
                <w:rFonts w:ascii="Verdana" w:hAnsi="Verdana" w:cstheme="minorHAnsi"/>
                <w:sz w:val="20"/>
              </w:rPr>
              <w:t>Aptitudes technologiques</w:t>
            </w:r>
          </w:p>
        </w:tc>
        <w:tc>
          <w:tcPr>
            <w:tcW w:w="1805" w:type="pct"/>
            <w:shd w:val="clear" w:color="000000" w:fill="FFFFFF"/>
            <w:vAlign w:val="center"/>
          </w:tcPr>
          <w:p w14:paraId="388928D3" w14:textId="71EFEDDA" w:rsidR="00005AED" w:rsidRPr="00520DB2" w:rsidRDefault="00005AED" w:rsidP="003F0065">
            <w:pPr>
              <w:spacing w:after="0"/>
              <w:rPr>
                <w:rFonts w:ascii="Verdana" w:hAnsi="Verdana" w:cstheme="minorHAnsi"/>
                <w:sz w:val="20"/>
                <w:szCs w:val="20"/>
              </w:rPr>
            </w:pPr>
            <w:r>
              <w:rPr>
                <w:rFonts w:ascii="Verdana" w:hAnsi="Verdana" w:cstheme="minorHAnsi"/>
                <w:sz w:val="20"/>
              </w:rPr>
              <w:t>Démontrer une aptitude à utiliser les logiciels pour ordinateur personnel, les systèmes d’information et les autres outils informatiques (comme les programmes Microsoft Office) requis pour atteindre les objectifs de travail fixés.</w:t>
            </w:r>
          </w:p>
        </w:tc>
      </w:tr>
      <w:tr w:rsidR="00005AED" w:rsidRPr="00520DB2" w14:paraId="7AE54524" w14:textId="77777777" w:rsidTr="00391F02">
        <w:trPr>
          <w:trHeight w:val="659"/>
        </w:trPr>
        <w:tc>
          <w:tcPr>
            <w:tcW w:w="453" w:type="pct"/>
            <w:shd w:val="clear" w:color="000000" w:fill="FFFFFF"/>
            <w:vAlign w:val="center"/>
          </w:tcPr>
          <w:p w14:paraId="11D41902" w14:textId="77777777" w:rsidR="00005AED" w:rsidRPr="00520DB2" w:rsidRDefault="00005AED"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74551245"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Usage of monitoring and information system</w:t>
            </w:r>
          </w:p>
        </w:tc>
        <w:tc>
          <w:tcPr>
            <w:tcW w:w="1182" w:type="pct"/>
            <w:shd w:val="clear" w:color="000000" w:fill="FFFFFF"/>
            <w:vAlign w:val="center"/>
          </w:tcPr>
          <w:p w14:paraId="1D4840D9" w14:textId="7EAAC83D"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717308DC" w:rsidR="00005AED" w:rsidRPr="00520DB2" w:rsidRDefault="00005AED" w:rsidP="003F0065">
            <w:pPr>
              <w:spacing w:after="0"/>
              <w:rPr>
                <w:rFonts w:ascii="Verdana" w:hAnsi="Verdana" w:cstheme="minorHAnsi"/>
                <w:sz w:val="20"/>
                <w:szCs w:val="20"/>
              </w:rPr>
            </w:pPr>
            <w:r>
              <w:rPr>
                <w:rFonts w:ascii="Verdana" w:hAnsi="Verdana" w:cstheme="minorHAnsi"/>
                <w:sz w:val="20"/>
              </w:rPr>
              <w:t>Utilisation du système de suivi et d’information</w:t>
            </w:r>
          </w:p>
        </w:tc>
        <w:tc>
          <w:tcPr>
            <w:tcW w:w="1805" w:type="pct"/>
            <w:shd w:val="clear" w:color="000000" w:fill="FFFFFF"/>
            <w:vAlign w:val="center"/>
          </w:tcPr>
          <w:p w14:paraId="459832E5" w14:textId="6527D99A" w:rsidR="00005AED" w:rsidRPr="00520DB2" w:rsidRDefault="00005AED" w:rsidP="003F0065">
            <w:pPr>
              <w:spacing w:after="0"/>
              <w:rPr>
                <w:rFonts w:ascii="Verdana" w:hAnsi="Verdana" w:cstheme="minorHAnsi"/>
                <w:sz w:val="20"/>
                <w:szCs w:val="20"/>
              </w:rPr>
            </w:pPr>
            <w:r>
              <w:rPr>
                <w:rFonts w:ascii="Verdana" w:hAnsi="Verdana" w:cstheme="minorHAnsi"/>
                <w:sz w:val="20"/>
              </w:rPr>
              <w:t>Démontrer une aptitude à utiliser les systèmes de suivi et d’information relatifs aux fonds de l’UE (externes et internes, le cas échéant) afin d’atteindre les objectifs de travail fixés.</w:t>
            </w:r>
          </w:p>
        </w:tc>
      </w:tr>
      <w:tr w:rsidR="00005AED" w:rsidRPr="00520DB2" w14:paraId="2E896405" w14:textId="77777777" w:rsidTr="00391F02">
        <w:trPr>
          <w:trHeight w:val="398"/>
        </w:trPr>
        <w:tc>
          <w:tcPr>
            <w:tcW w:w="453" w:type="pct"/>
            <w:shd w:val="clear" w:color="000000" w:fill="FFFFFF"/>
            <w:vAlign w:val="center"/>
          </w:tcPr>
          <w:p w14:paraId="489A80FF" w14:textId="77777777" w:rsidR="00005AED" w:rsidRPr="00520DB2" w:rsidRDefault="00005AED"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78D0D101"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Representation to the outside world</w:t>
            </w:r>
          </w:p>
        </w:tc>
        <w:tc>
          <w:tcPr>
            <w:tcW w:w="1182" w:type="pct"/>
            <w:shd w:val="clear" w:color="000000" w:fill="FFFFFF"/>
            <w:vAlign w:val="center"/>
          </w:tcPr>
          <w:p w14:paraId="21817983" w14:textId="7DEF1583"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Demonstrating ability to act or speak for institution in an efficient way and appropriate manner.</w:t>
            </w:r>
          </w:p>
        </w:tc>
        <w:tc>
          <w:tcPr>
            <w:tcW w:w="834" w:type="pct"/>
            <w:shd w:val="clear" w:color="000000" w:fill="FFFFFF"/>
            <w:vAlign w:val="center"/>
          </w:tcPr>
          <w:p w14:paraId="7F1F6BC8" w14:textId="44D3E88C" w:rsidR="00005AED" w:rsidRPr="00520DB2" w:rsidRDefault="00005AED" w:rsidP="003F0065">
            <w:pPr>
              <w:spacing w:after="0"/>
              <w:rPr>
                <w:rFonts w:ascii="Verdana" w:hAnsi="Verdana" w:cstheme="minorHAnsi"/>
                <w:sz w:val="20"/>
                <w:szCs w:val="20"/>
              </w:rPr>
            </w:pPr>
            <w:r>
              <w:rPr>
                <w:rFonts w:ascii="Verdana" w:hAnsi="Verdana" w:cstheme="minorHAnsi"/>
                <w:sz w:val="20"/>
              </w:rPr>
              <w:t>Représentation auprès du monde extérieur</w:t>
            </w:r>
          </w:p>
        </w:tc>
        <w:tc>
          <w:tcPr>
            <w:tcW w:w="1805" w:type="pct"/>
            <w:shd w:val="clear" w:color="000000" w:fill="FFFFFF"/>
            <w:vAlign w:val="center"/>
          </w:tcPr>
          <w:p w14:paraId="7376C5A6" w14:textId="108D2984" w:rsidR="00005AED" w:rsidRPr="00520DB2" w:rsidRDefault="00005AED" w:rsidP="003F0065">
            <w:pPr>
              <w:spacing w:after="0"/>
              <w:rPr>
                <w:rFonts w:ascii="Verdana" w:hAnsi="Verdana" w:cstheme="minorHAnsi"/>
                <w:sz w:val="20"/>
                <w:szCs w:val="20"/>
              </w:rPr>
            </w:pPr>
            <w:r>
              <w:rPr>
                <w:rFonts w:ascii="Verdana" w:hAnsi="Verdana" w:cstheme="minorHAnsi"/>
                <w:sz w:val="20"/>
              </w:rPr>
              <w:t>Démontrer une aptitude à agir ou à prendre la parole pour l’institution de manière efficace et appropriée.</w:t>
            </w:r>
          </w:p>
        </w:tc>
      </w:tr>
      <w:tr w:rsidR="00005AED" w:rsidRPr="00520DB2" w14:paraId="31D1E50C" w14:textId="77777777" w:rsidTr="00391F02">
        <w:trPr>
          <w:trHeight w:val="659"/>
        </w:trPr>
        <w:tc>
          <w:tcPr>
            <w:tcW w:w="453" w:type="pct"/>
            <w:shd w:val="clear" w:color="000000" w:fill="FFFFFF"/>
            <w:vAlign w:val="center"/>
          </w:tcPr>
          <w:p w14:paraId="67CEF140" w14:textId="77777777" w:rsidR="00005AED" w:rsidRPr="00520DB2" w:rsidRDefault="00005AED"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5819300F" w:rsidR="00005AED" w:rsidRPr="00520DB2" w:rsidRDefault="00005AED" w:rsidP="003F0065">
            <w:pPr>
              <w:spacing w:after="0"/>
              <w:rPr>
                <w:rFonts w:ascii="Verdana" w:hAnsi="Verdana" w:cstheme="minorHAnsi"/>
                <w:sz w:val="20"/>
                <w:szCs w:val="20"/>
              </w:rPr>
            </w:pPr>
            <w:r w:rsidRPr="00520DB2">
              <w:rPr>
                <w:rFonts w:ascii="Verdana" w:hAnsi="Verdana" w:cs="Calibri"/>
                <w:sz w:val="20"/>
                <w:szCs w:val="20"/>
              </w:rPr>
              <w:t xml:space="preserve">Relevant </w:t>
            </w:r>
            <w:proofErr w:type="spellStart"/>
            <w:r w:rsidRPr="00520DB2">
              <w:rPr>
                <w:rFonts w:ascii="Verdana" w:hAnsi="Verdana" w:cs="Calibri"/>
                <w:sz w:val="20"/>
                <w:szCs w:val="20"/>
              </w:rPr>
              <w:t>language</w:t>
            </w:r>
            <w:proofErr w:type="spellEnd"/>
            <w:r w:rsidRPr="00520DB2">
              <w:rPr>
                <w:rFonts w:ascii="Verdana" w:hAnsi="Verdana" w:cs="Calibri"/>
                <w:sz w:val="20"/>
                <w:szCs w:val="20"/>
              </w:rPr>
              <w:t xml:space="preserve"> </w:t>
            </w:r>
            <w:proofErr w:type="spellStart"/>
            <w:r w:rsidRPr="00520DB2">
              <w:rPr>
                <w:rFonts w:ascii="Verdana" w:hAnsi="Verdana" w:cs="Calibri"/>
                <w:sz w:val="20"/>
                <w:szCs w:val="20"/>
              </w:rPr>
              <w:t>skills</w:t>
            </w:r>
            <w:proofErr w:type="spellEnd"/>
          </w:p>
        </w:tc>
        <w:tc>
          <w:tcPr>
            <w:tcW w:w="1182" w:type="pct"/>
            <w:shd w:val="clear" w:color="000000" w:fill="FFFFFF"/>
            <w:vAlign w:val="center"/>
          </w:tcPr>
          <w:p w14:paraId="624E0888" w14:textId="595597D3"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 xml:space="preserve">Demonstrating ability to apply relevant foreign language skills in order to carry out the assigned functions and accomplish </w:t>
            </w:r>
            <w:r w:rsidRPr="00005AED">
              <w:rPr>
                <w:rFonts w:ascii="Verdana" w:hAnsi="Verdana" w:cs="Calibri"/>
                <w:sz w:val="20"/>
                <w:szCs w:val="20"/>
                <w:lang w:val="en-US"/>
              </w:rPr>
              <w:lastRenderedPageBreak/>
              <w:t>work goals.</w:t>
            </w:r>
          </w:p>
        </w:tc>
        <w:tc>
          <w:tcPr>
            <w:tcW w:w="834" w:type="pct"/>
            <w:shd w:val="clear" w:color="000000" w:fill="FFFFFF"/>
            <w:vAlign w:val="center"/>
          </w:tcPr>
          <w:p w14:paraId="66AA299D" w14:textId="127E5A96" w:rsidR="00005AED" w:rsidRPr="00520DB2" w:rsidRDefault="00005AED" w:rsidP="003F0065">
            <w:pPr>
              <w:spacing w:after="0"/>
              <w:rPr>
                <w:rFonts w:ascii="Verdana" w:hAnsi="Verdana" w:cstheme="minorHAnsi"/>
                <w:sz w:val="20"/>
                <w:szCs w:val="20"/>
              </w:rPr>
            </w:pPr>
            <w:r>
              <w:rPr>
                <w:rFonts w:ascii="Verdana" w:hAnsi="Verdana" w:cstheme="minorHAnsi"/>
                <w:sz w:val="20"/>
              </w:rPr>
              <w:lastRenderedPageBreak/>
              <w:t>Compétences linguistiques pertinentes</w:t>
            </w:r>
          </w:p>
        </w:tc>
        <w:tc>
          <w:tcPr>
            <w:tcW w:w="1805" w:type="pct"/>
            <w:shd w:val="clear" w:color="000000" w:fill="FFFFFF"/>
            <w:vAlign w:val="center"/>
          </w:tcPr>
          <w:p w14:paraId="290B4E91" w14:textId="1465F7B9" w:rsidR="00005AED" w:rsidRPr="00520DB2" w:rsidRDefault="00005AED" w:rsidP="003F0065">
            <w:pPr>
              <w:spacing w:after="0"/>
              <w:rPr>
                <w:rFonts w:ascii="Verdana" w:hAnsi="Verdana" w:cstheme="minorHAnsi"/>
                <w:sz w:val="20"/>
                <w:szCs w:val="20"/>
              </w:rPr>
            </w:pPr>
            <w:r>
              <w:rPr>
                <w:rFonts w:ascii="Verdana" w:hAnsi="Verdana" w:cstheme="minorHAnsi"/>
                <w:sz w:val="20"/>
              </w:rPr>
              <w:t>Démontrer une aptitude à utiliser les compétences en langues étrangères adéquates pour exécuter les fonctions attribuées et atteindre les objectifs de travail fixés.</w:t>
            </w:r>
          </w:p>
        </w:tc>
      </w:tr>
      <w:tr w:rsidR="00005AED" w:rsidRPr="00520DB2" w14:paraId="058763DD" w14:textId="77777777" w:rsidTr="00391F02">
        <w:trPr>
          <w:trHeight w:val="659"/>
        </w:trPr>
        <w:tc>
          <w:tcPr>
            <w:tcW w:w="453" w:type="pct"/>
            <w:shd w:val="clear" w:color="000000" w:fill="FFFFFF"/>
            <w:vAlign w:val="center"/>
          </w:tcPr>
          <w:p w14:paraId="5C4CC510" w14:textId="77777777" w:rsidR="00005AED" w:rsidRPr="00520DB2" w:rsidRDefault="00005AED" w:rsidP="003F0065">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14:paraId="0830F080" w14:textId="6918DB75" w:rsidR="00005AED" w:rsidRPr="00520DB2" w:rsidRDefault="00005AED" w:rsidP="003F0065">
            <w:pPr>
              <w:spacing w:after="0"/>
              <w:rPr>
                <w:rFonts w:ascii="Verdana" w:hAnsi="Verdana" w:cstheme="minorHAnsi"/>
                <w:sz w:val="20"/>
                <w:szCs w:val="20"/>
              </w:rPr>
            </w:pPr>
            <w:proofErr w:type="spellStart"/>
            <w:r w:rsidRPr="00520DB2">
              <w:rPr>
                <w:rFonts w:ascii="Verdana" w:hAnsi="Verdana" w:cs="Calibri"/>
                <w:sz w:val="20"/>
                <w:szCs w:val="20"/>
              </w:rPr>
              <w:t>Intercultural</w:t>
            </w:r>
            <w:proofErr w:type="spellEnd"/>
            <w:r w:rsidRPr="00520DB2">
              <w:rPr>
                <w:rFonts w:ascii="Verdana" w:hAnsi="Verdana" w:cs="Calibri"/>
                <w:sz w:val="20"/>
                <w:szCs w:val="20"/>
              </w:rPr>
              <w:t xml:space="preserve"> </w:t>
            </w:r>
            <w:proofErr w:type="spellStart"/>
            <w:r w:rsidRPr="00520DB2">
              <w:rPr>
                <w:rFonts w:ascii="Verdana" w:hAnsi="Verdana" w:cs="Calibri"/>
                <w:sz w:val="20"/>
                <w:szCs w:val="20"/>
              </w:rPr>
              <w:t>skills</w:t>
            </w:r>
            <w:proofErr w:type="spellEnd"/>
          </w:p>
        </w:tc>
        <w:tc>
          <w:tcPr>
            <w:tcW w:w="1182" w:type="pct"/>
            <w:shd w:val="clear" w:color="000000" w:fill="FFFFFF"/>
            <w:vAlign w:val="center"/>
          </w:tcPr>
          <w:p w14:paraId="58871160" w14:textId="79A7FC5B" w:rsidR="00005AED" w:rsidRPr="00005AED" w:rsidRDefault="00005AED" w:rsidP="003F0065">
            <w:pPr>
              <w:spacing w:after="0"/>
              <w:rPr>
                <w:rFonts w:ascii="Verdana" w:hAnsi="Verdana" w:cstheme="minorHAnsi"/>
                <w:sz w:val="20"/>
                <w:szCs w:val="20"/>
                <w:lang w:val="en-US"/>
              </w:rPr>
            </w:pPr>
            <w:r w:rsidRPr="00005AED">
              <w:rPr>
                <w:rFonts w:ascii="Verdana" w:hAnsi="Verdana" w:cs="Calibri"/>
                <w:sz w:val="20"/>
                <w:szCs w:val="20"/>
                <w:lang w:val="en-US"/>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26DD35C5" w:rsidR="00005AED" w:rsidRPr="00520DB2" w:rsidRDefault="00005AED" w:rsidP="003F0065">
            <w:pPr>
              <w:spacing w:after="0"/>
              <w:rPr>
                <w:rFonts w:ascii="Verdana" w:hAnsi="Verdana" w:cstheme="minorHAnsi"/>
                <w:sz w:val="20"/>
                <w:szCs w:val="20"/>
              </w:rPr>
            </w:pPr>
            <w:r>
              <w:rPr>
                <w:rFonts w:ascii="Verdana" w:hAnsi="Verdana" w:cstheme="minorHAnsi"/>
                <w:sz w:val="20"/>
              </w:rPr>
              <w:t>Compétences interculturelles</w:t>
            </w:r>
          </w:p>
        </w:tc>
        <w:tc>
          <w:tcPr>
            <w:tcW w:w="1805" w:type="pct"/>
            <w:shd w:val="clear" w:color="000000" w:fill="FFFFFF"/>
            <w:vAlign w:val="center"/>
          </w:tcPr>
          <w:p w14:paraId="6979ED09" w14:textId="0F649DF0" w:rsidR="00005AED" w:rsidRPr="00520DB2" w:rsidRDefault="00005AED" w:rsidP="003F0065">
            <w:pPr>
              <w:spacing w:after="0"/>
              <w:rPr>
                <w:rFonts w:ascii="Verdana" w:hAnsi="Verdana" w:cstheme="minorHAnsi"/>
                <w:sz w:val="20"/>
                <w:szCs w:val="20"/>
              </w:rPr>
            </w:pPr>
            <w:r>
              <w:rPr>
                <w:rFonts w:ascii="Verdana" w:hAnsi="Verdana" w:cstheme="minorHAnsi"/>
                <w:sz w:val="20"/>
              </w:rPr>
              <w:t>Démontrer une aptitude à travailler dans un environnement multiculturel, en traitant efficacement avec les parties prenantes des institutions de l’UE et des autres États membres.</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44462" w14:textId="77777777" w:rsidR="00191E65" w:rsidRDefault="00191E65" w:rsidP="0008776A">
      <w:pPr>
        <w:spacing w:after="0" w:line="240" w:lineRule="auto"/>
      </w:pPr>
      <w:r>
        <w:separator/>
      </w:r>
    </w:p>
    <w:p w14:paraId="56B0314D" w14:textId="77777777" w:rsidR="00191E65" w:rsidRDefault="00191E65"/>
  </w:endnote>
  <w:endnote w:type="continuationSeparator" w:id="0">
    <w:p w14:paraId="4751354F" w14:textId="77777777" w:rsidR="00191E65" w:rsidRDefault="00191E65" w:rsidP="0008776A">
      <w:pPr>
        <w:spacing w:after="0" w:line="240" w:lineRule="auto"/>
      </w:pPr>
      <w:r>
        <w:continuationSeparator/>
      </w:r>
    </w:p>
    <w:p w14:paraId="1176F5F6" w14:textId="77777777" w:rsidR="00191E65" w:rsidRDefault="00191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194EB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194EB3"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D66B2" w14:textId="77777777" w:rsidR="00191E65" w:rsidRDefault="00191E65" w:rsidP="0008776A">
      <w:pPr>
        <w:spacing w:after="0" w:line="240" w:lineRule="auto"/>
      </w:pPr>
      <w:r>
        <w:separator/>
      </w:r>
    </w:p>
    <w:p w14:paraId="7B098151" w14:textId="77777777" w:rsidR="00191E65" w:rsidRDefault="00191E65"/>
  </w:footnote>
  <w:footnote w:type="continuationSeparator" w:id="0">
    <w:p w14:paraId="0DD27F27" w14:textId="77777777" w:rsidR="00191E65" w:rsidRDefault="00191E65" w:rsidP="0008776A">
      <w:pPr>
        <w:spacing w:after="0" w:line="240" w:lineRule="auto"/>
      </w:pPr>
      <w:r>
        <w:continuationSeparator/>
      </w:r>
    </w:p>
    <w:p w14:paraId="5F64B636" w14:textId="77777777" w:rsidR="00191E65" w:rsidRDefault="00191E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Référentiel de compétences de l’UE - Glossaire des termes utilisés dans l’outil d’autoévaluation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D92F59"/>
    <w:rsid w:val="00004CEE"/>
    <w:rsid w:val="00005AED"/>
    <w:rsid w:val="00047CBE"/>
    <w:rsid w:val="000600DE"/>
    <w:rsid w:val="0008776A"/>
    <w:rsid w:val="000950D5"/>
    <w:rsid w:val="000A1ECD"/>
    <w:rsid w:val="000A62E1"/>
    <w:rsid w:val="000C44D2"/>
    <w:rsid w:val="000E47BD"/>
    <w:rsid w:val="00123EE5"/>
    <w:rsid w:val="001319E4"/>
    <w:rsid w:val="00162980"/>
    <w:rsid w:val="00191E65"/>
    <w:rsid w:val="00194EB3"/>
    <w:rsid w:val="001A17E4"/>
    <w:rsid w:val="001B5122"/>
    <w:rsid w:val="001C491D"/>
    <w:rsid w:val="001D4E04"/>
    <w:rsid w:val="001D7CC2"/>
    <w:rsid w:val="001F0D1D"/>
    <w:rsid w:val="00206F86"/>
    <w:rsid w:val="002276EA"/>
    <w:rsid w:val="00231B6E"/>
    <w:rsid w:val="0024769A"/>
    <w:rsid w:val="00267AF8"/>
    <w:rsid w:val="002717F0"/>
    <w:rsid w:val="00272779"/>
    <w:rsid w:val="00281DCA"/>
    <w:rsid w:val="002A4AB7"/>
    <w:rsid w:val="00306B4F"/>
    <w:rsid w:val="00366D75"/>
    <w:rsid w:val="003839D5"/>
    <w:rsid w:val="003870A6"/>
    <w:rsid w:val="00390240"/>
    <w:rsid w:val="0039094C"/>
    <w:rsid w:val="00391F02"/>
    <w:rsid w:val="003928BC"/>
    <w:rsid w:val="003966E7"/>
    <w:rsid w:val="003F0065"/>
    <w:rsid w:val="00416AA7"/>
    <w:rsid w:val="0044373B"/>
    <w:rsid w:val="004504AE"/>
    <w:rsid w:val="00476CF8"/>
    <w:rsid w:val="00483FC6"/>
    <w:rsid w:val="004B0758"/>
    <w:rsid w:val="004C64B2"/>
    <w:rsid w:val="004F71B4"/>
    <w:rsid w:val="005074A2"/>
    <w:rsid w:val="00520DB2"/>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44F9"/>
    <w:rsid w:val="006C2D1C"/>
    <w:rsid w:val="006E738D"/>
    <w:rsid w:val="00716D09"/>
    <w:rsid w:val="007320E2"/>
    <w:rsid w:val="00757D2E"/>
    <w:rsid w:val="007A0134"/>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A279A"/>
    <w:rsid w:val="009F3CA7"/>
    <w:rsid w:val="00A30ABC"/>
    <w:rsid w:val="00A511F3"/>
    <w:rsid w:val="00A564CD"/>
    <w:rsid w:val="00AB64E3"/>
    <w:rsid w:val="00AD2B31"/>
    <w:rsid w:val="00AD341D"/>
    <w:rsid w:val="00AD60DD"/>
    <w:rsid w:val="00B24E46"/>
    <w:rsid w:val="00B579F3"/>
    <w:rsid w:val="00B87E3E"/>
    <w:rsid w:val="00B967FA"/>
    <w:rsid w:val="00C05C9C"/>
    <w:rsid w:val="00C971E1"/>
    <w:rsid w:val="00CC3497"/>
    <w:rsid w:val="00CD113F"/>
    <w:rsid w:val="00CD1306"/>
    <w:rsid w:val="00CE608F"/>
    <w:rsid w:val="00CF51E8"/>
    <w:rsid w:val="00CF661F"/>
    <w:rsid w:val="00CF6967"/>
    <w:rsid w:val="00D02119"/>
    <w:rsid w:val="00D2155C"/>
    <w:rsid w:val="00D27017"/>
    <w:rsid w:val="00D71900"/>
    <w:rsid w:val="00D84CED"/>
    <w:rsid w:val="00D92F59"/>
    <w:rsid w:val="00D9536F"/>
    <w:rsid w:val="00DE6C01"/>
    <w:rsid w:val="00E02A0C"/>
    <w:rsid w:val="00E44B41"/>
    <w:rsid w:val="00E87A35"/>
    <w:rsid w:val="00EB6450"/>
    <w:rsid w:val="00EE1F94"/>
    <w:rsid w:val="00EE307C"/>
    <w:rsid w:val="00F01312"/>
    <w:rsid w:val="00F01790"/>
    <w:rsid w:val="00F40B43"/>
    <w:rsid w:val="00F50847"/>
    <w:rsid w:val="00F74AE6"/>
    <w:rsid w:val="00F800B1"/>
    <w:rsid w:val="00F863CF"/>
    <w:rsid w:val="00F924DE"/>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fr-F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fr-F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fr-F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fr-F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 w:type="paragraph" w:styleId="NormalWeb">
    <w:name w:val="Normal (Web)"/>
    <w:basedOn w:val="Normal"/>
    <w:uiPriority w:val="99"/>
    <w:semiHidden/>
    <w:unhideWhenUsed/>
    <w:rsid w:val="00194EB3"/>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fr-F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fr-F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fr-F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fr-F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 w:type="paragraph" w:styleId="NormalWeb">
    <w:name w:val="Normal (Web)"/>
    <w:basedOn w:val="Normal"/>
    <w:uiPriority w:val="99"/>
    <w:semiHidden/>
    <w:unhideWhenUsed/>
    <w:rsid w:val="00194EB3"/>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467626006">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11CC-E512-45C6-803A-2393C460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9</cp:revision>
  <cp:lastPrinted>2017-03-22T18:35:00Z</cp:lastPrinted>
  <dcterms:created xsi:type="dcterms:W3CDTF">2018-03-14T14:20:00Z</dcterms:created>
  <dcterms:modified xsi:type="dcterms:W3CDTF">2018-04-13T09:37:00Z</dcterms:modified>
</cp:coreProperties>
</file>