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72E48" w14:textId="77777777" w:rsidR="00787A32" w:rsidRPr="00A8777F" w:rsidRDefault="0072688B" w:rsidP="00787A32">
      <w:pPr>
        <w:jc w:val="center"/>
        <w:rPr>
          <w:rFonts w:ascii="Verdana" w:hAnsi="Verdana" w:cstheme="minorHAnsi"/>
          <w:b/>
          <w:color w:val="003399"/>
          <w:kern w:val="12"/>
          <w:sz w:val="32"/>
          <w:szCs w:val="32"/>
          <w:lang w:val="cs-CZ"/>
        </w:rPr>
        <w:sectPr w:rsidR="00787A32" w:rsidRPr="00A8777F" w:rsidSect="00376B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474" w:right="0" w:bottom="1440" w:left="0" w:header="0" w:footer="720" w:gutter="0"/>
          <w:cols w:space="720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D3CAFF" wp14:editId="6F5D7EAC">
            <wp:simplePos x="0" y="0"/>
            <wp:positionH relativeFrom="column">
              <wp:posOffset>-28575</wp:posOffset>
            </wp:positionH>
            <wp:positionV relativeFrom="paragraph">
              <wp:posOffset>3809</wp:posOffset>
            </wp:positionV>
            <wp:extent cx="10077450" cy="71332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593" cy="7134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FD5A7" w14:textId="260CC8A6" w:rsidR="00F4392B" w:rsidRPr="00A8777F" w:rsidRDefault="00F4392B" w:rsidP="0072688B">
      <w:pPr>
        <w:jc w:val="center"/>
        <w:rPr>
          <w:rFonts w:ascii="Verdana" w:hAnsi="Verdana" w:cstheme="minorHAnsi"/>
          <w:b/>
          <w:color w:val="003399"/>
          <w:kern w:val="12"/>
          <w:sz w:val="32"/>
          <w:szCs w:val="32"/>
          <w:lang w:val="cs-CZ"/>
        </w:rPr>
      </w:pPr>
      <w:r w:rsidRPr="00A8777F">
        <w:rPr>
          <w:rFonts w:ascii="Verdana" w:hAnsi="Verdana" w:cstheme="minorHAnsi"/>
          <w:b/>
          <w:color w:val="003399"/>
          <w:kern w:val="12"/>
          <w:sz w:val="32"/>
          <w:lang w:val="cs-CZ"/>
        </w:rPr>
        <w:lastRenderedPageBreak/>
        <w:t>Verze dokumentu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8"/>
        <w:gridCol w:w="6588"/>
      </w:tblGrid>
      <w:tr w:rsidR="00F01312" w:rsidRPr="00A8777F" w14:paraId="75F5FB5F" w14:textId="77777777" w:rsidTr="00345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2500" w:type="pct"/>
            <w:shd w:val="clear" w:color="auto" w:fill="44546A" w:themeFill="text2"/>
          </w:tcPr>
          <w:p w14:paraId="23474D3C" w14:textId="0DAC9FDA" w:rsidR="00F01312" w:rsidRPr="00A8777F" w:rsidRDefault="00F4392B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  <w:r w:rsidRPr="00A8777F">
              <w:rPr>
                <w:rFonts w:cstheme="minorHAnsi"/>
                <w:sz w:val="20"/>
                <w:lang w:val="cs-CZ"/>
              </w:rPr>
              <w:t>Verze</w:t>
            </w:r>
          </w:p>
        </w:tc>
        <w:tc>
          <w:tcPr>
            <w:tcW w:w="2500" w:type="pct"/>
            <w:shd w:val="clear" w:color="auto" w:fill="44546A" w:themeFill="text2"/>
          </w:tcPr>
          <w:p w14:paraId="016AB6DD" w14:textId="302344FA" w:rsidR="00F01312" w:rsidRPr="00A8777F" w:rsidRDefault="00A31D83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  <w:r w:rsidRPr="00A8777F">
              <w:rPr>
                <w:rFonts w:cstheme="minorHAnsi"/>
                <w:sz w:val="20"/>
                <w:lang w:val="cs-CZ"/>
              </w:rPr>
              <w:t>Datum</w:t>
            </w:r>
          </w:p>
        </w:tc>
      </w:tr>
      <w:tr w:rsidR="00F01312" w:rsidRPr="00A8777F" w14:paraId="09F65DDF" w14:textId="77777777" w:rsidTr="00345D5C">
        <w:trPr>
          <w:trHeight w:val="265"/>
        </w:trPr>
        <w:tc>
          <w:tcPr>
            <w:tcW w:w="2500" w:type="pct"/>
          </w:tcPr>
          <w:p w14:paraId="78B96977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  <w:r w:rsidRPr="00A8777F">
              <w:rPr>
                <w:rFonts w:cstheme="minorHAnsi"/>
                <w:sz w:val="20"/>
                <w:szCs w:val="32"/>
                <w:lang w:val="cs-CZ"/>
              </w:rPr>
              <w:t>V1</w:t>
            </w:r>
          </w:p>
        </w:tc>
        <w:tc>
          <w:tcPr>
            <w:tcW w:w="2500" w:type="pct"/>
          </w:tcPr>
          <w:p w14:paraId="7C0FECA5" w14:textId="0F52D484" w:rsidR="00F01312" w:rsidRPr="00A8777F" w:rsidRDefault="00F4392B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  <w:r w:rsidRPr="00A8777F">
              <w:rPr>
                <w:rFonts w:cstheme="minorHAnsi"/>
                <w:sz w:val="20"/>
                <w:lang w:val="cs-CZ"/>
              </w:rPr>
              <w:t>3. listopadu 2017</w:t>
            </w:r>
          </w:p>
        </w:tc>
      </w:tr>
      <w:tr w:rsidR="00F01312" w:rsidRPr="00A8777F" w14:paraId="727A5A84" w14:textId="77777777" w:rsidTr="00345D5C">
        <w:trPr>
          <w:trHeight w:val="254"/>
        </w:trPr>
        <w:tc>
          <w:tcPr>
            <w:tcW w:w="2500" w:type="pct"/>
          </w:tcPr>
          <w:p w14:paraId="4B7BE517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  <w:tc>
          <w:tcPr>
            <w:tcW w:w="2500" w:type="pct"/>
          </w:tcPr>
          <w:p w14:paraId="6B107C38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</w:tr>
      <w:tr w:rsidR="00F01312" w:rsidRPr="00A8777F" w14:paraId="3287FC7C" w14:textId="77777777" w:rsidTr="00345D5C">
        <w:trPr>
          <w:trHeight w:val="254"/>
        </w:trPr>
        <w:tc>
          <w:tcPr>
            <w:tcW w:w="2500" w:type="pct"/>
          </w:tcPr>
          <w:p w14:paraId="5AEF62A0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  <w:tc>
          <w:tcPr>
            <w:tcW w:w="2500" w:type="pct"/>
          </w:tcPr>
          <w:p w14:paraId="2CA78AE3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</w:tr>
      <w:tr w:rsidR="00F01312" w:rsidRPr="00A8777F" w14:paraId="532832C8" w14:textId="77777777" w:rsidTr="00345D5C">
        <w:trPr>
          <w:trHeight w:val="265"/>
        </w:trPr>
        <w:tc>
          <w:tcPr>
            <w:tcW w:w="2500" w:type="pct"/>
          </w:tcPr>
          <w:p w14:paraId="25EDE89B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  <w:tc>
          <w:tcPr>
            <w:tcW w:w="2500" w:type="pct"/>
          </w:tcPr>
          <w:p w14:paraId="330147B1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</w:tr>
      <w:tr w:rsidR="00F01312" w:rsidRPr="00A8777F" w14:paraId="66BE27FC" w14:textId="77777777" w:rsidTr="00345D5C">
        <w:trPr>
          <w:trHeight w:val="254"/>
        </w:trPr>
        <w:tc>
          <w:tcPr>
            <w:tcW w:w="2500" w:type="pct"/>
          </w:tcPr>
          <w:p w14:paraId="4831088F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  <w:tc>
          <w:tcPr>
            <w:tcW w:w="2500" w:type="pct"/>
          </w:tcPr>
          <w:p w14:paraId="1C2230FD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</w:tr>
      <w:tr w:rsidR="00F01312" w:rsidRPr="00A8777F" w14:paraId="11C50E85" w14:textId="77777777" w:rsidTr="00345D5C">
        <w:trPr>
          <w:trHeight w:val="254"/>
        </w:trPr>
        <w:tc>
          <w:tcPr>
            <w:tcW w:w="2500" w:type="pct"/>
          </w:tcPr>
          <w:p w14:paraId="2810D2BA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  <w:tc>
          <w:tcPr>
            <w:tcW w:w="2500" w:type="pct"/>
          </w:tcPr>
          <w:p w14:paraId="2870FDCB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</w:tr>
      <w:tr w:rsidR="00F01312" w:rsidRPr="00A8777F" w14:paraId="25783DBF" w14:textId="77777777" w:rsidTr="00345D5C">
        <w:trPr>
          <w:trHeight w:val="265"/>
        </w:trPr>
        <w:tc>
          <w:tcPr>
            <w:tcW w:w="2500" w:type="pct"/>
          </w:tcPr>
          <w:p w14:paraId="4FCAB984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  <w:tc>
          <w:tcPr>
            <w:tcW w:w="2500" w:type="pct"/>
          </w:tcPr>
          <w:p w14:paraId="2F3BD572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</w:tr>
      <w:tr w:rsidR="00F01312" w:rsidRPr="00A8777F" w14:paraId="132B32CA" w14:textId="77777777" w:rsidTr="00345D5C">
        <w:trPr>
          <w:trHeight w:val="254"/>
        </w:trPr>
        <w:tc>
          <w:tcPr>
            <w:tcW w:w="2500" w:type="pct"/>
          </w:tcPr>
          <w:p w14:paraId="10E59F3B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  <w:tc>
          <w:tcPr>
            <w:tcW w:w="2500" w:type="pct"/>
          </w:tcPr>
          <w:p w14:paraId="541A61EA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</w:tr>
      <w:tr w:rsidR="00F01312" w:rsidRPr="00A8777F" w14:paraId="52874884" w14:textId="77777777" w:rsidTr="00345D5C">
        <w:trPr>
          <w:trHeight w:val="265"/>
        </w:trPr>
        <w:tc>
          <w:tcPr>
            <w:tcW w:w="2500" w:type="pct"/>
          </w:tcPr>
          <w:p w14:paraId="7B482E9E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  <w:tc>
          <w:tcPr>
            <w:tcW w:w="2500" w:type="pct"/>
          </w:tcPr>
          <w:p w14:paraId="1B316F4B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</w:tr>
      <w:tr w:rsidR="00F01312" w:rsidRPr="00A8777F" w14:paraId="70492330" w14:textId="77777777" w:rsidTr="00345D5C">
        <w:trPr>
          <w:trHeight w:val="254"/>
        </w:trPr>
        <w:tc>
          <w:tcPr>
            <w:tcW w:w="2500" w:type="pct"/>
          </w:tcPr>
          <w:p w14:paraId="2AF5D99B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  <w:tc>
          <w:tcPr>
            <w:tcW w:w="2500" w:type="pct"/>
          </w:tcPr>
          <w:p w14:paraId="34A9C722" w14:textId="77777777" w:rsidR="00F01312" w:rsidRPr="00A8777F" w:rsidRDefault="00F01312" w:rsidP="00345D5C">
            <w:pPr>
              <w:rPr>
                <w:rFonts w:cstheme="minorHAnsi"/>
                <w:sz w:val="20"/>
                <w:szCs w:val="32"/>
                <w:lang w:val="cs-CZ"/>
              </w:rPr>
            </w:pPr>
          </w:p>
        </w:tc>
      </w:tr>
    </w:tbl>
    <w:p w14:paraId="40D7DF59" w14:textId="77777777" w:rsidR="00F01312" w:rsidRPr="00A8777F" w:rsidRDefault="00F01312" w:rsidP="000A1ECD">
      <w:pPr>
        <w:jc w:val="center"/>
        <w:rPr>
          <w:rFonts w:ascii="Verdana" w:hAnsi="Verdana" w:cstheme="minorHAnsi"/>
          <w:b/>
          <w:color w:val="003399"/>
          <w:kern w:val="12"/>
          <w:sz w:val="32"/>
          <w:szCs w:val="32"/>
          <w:lang w:val="cs-CZ"/>
        </w:rPr>
      </w:pPr>
    </w:p>
    <w:p w14:paraId="34A03D5D" w14:textId="77777777" w:rsidR="00F01312" w:rsidRPr="00A8777F" w:rsidRDefault="00F01312" w:rsidP="000A1ECD">
      <w:pPr>
        <w:jc w:val="center"/>
        <w:rPr>
          <w:rFonts w:ascii="Verdana" w:hAnsi="Verdana" w:cstheme="minorHAnsi"/>
          <w:b/>
          <w:color w:val="003399"/>
          <w:kern w:val="12"/>
          <w:sz w:val="32"/>
          <w:szCs w:val="32"/>
          <w:lang w:val="cs-CZ"/>
        </w:rPr>
        <w:sectPr w:rsidR="00F01312" w:rsidRPr="00A8777F" w:rsidSect="00E02A0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Verdana" w:hAnsi="Verdana"/>
          <w:b/>
          <w:color w:val="2F5496" w:themeColor="accent5" w:themeShade="BF"/>
          <w:sz w:val="32"/>
          <w:szCs w:val="32"/>
          <w:lang w:val="cs-CZ"/>
        </w:rPr>
        <w:id w:val="1811126915"/>
        <w:docPartObj>
          <w:docPartGallery w:val="Table of Contents"/>
          <w:docPartUnique/>
        </w:docPartObj>
      </w:sdtPr>
      <w:sdtEndPr>
        <w:rPr>
          <w:b w:val="0"/>
          <w:bCs/>
          <w:noProof/>
          <w:color w:val="auto"/>
        </w:rPr>
      </w:sdtEndPr>
      <w:sdtContent>
        <w:p w14:paraId="1D32313A" w14:textId="77777777" w:rsidR="00F4392B" w:rsidRPr="00A8777F" w:rsidRDefault="00F4392B" w:rsidP="00F4392B">
          <w:pPr>
            <w:rPr>
              <w:rFonts w:ascii="Verdana" w:hAnsi="Verdana"/>
              <w:b/>
              <w:color w:val="2F5496" w:themeColor="accent5" w:themeShade="BF"/>
              <w:sz w:val="32"/>
              <w:szCs w:val="32"/>
              <w:lang w:val="cs-CZ"/>
            </w:rPr>
          </w:pPr>
          <w:r w:rsidRPr="00A8777F">
            <w:rPr>
              <w:rFonts w:ascii="Verdana" w:hAnsi="Verdana"/>
              <w:b/>
              <w:color w:val="2F5496" w:themeColor="accent5" w:themeShade="BF"/>
              <w:sz w:val="32"/>
              <w:lang w:val="cs-CZ"/>
            </w:rPr>
            <w:t>Obsah</w:t>
          </w:r>
        </w:p>
        <w:p w14:paraId="046794FE" w14:textId="72814788" w:rsidR="006630B8" w:rsidRPr="00A8777F" w:rsidRDefault="009F3CA7" w:rsidP="009F3CA7">
          <w:pPr>
            <w:tabs>
              <w:tab w:val="left" w:pos="1557"/>
            </w:tabs>
            <w:rPr>
              <w:rFonts w:ascii="Verdana" w:hAnsi="Verdana"/>
              <w:b/>
              <w:color w:val="0070C0"/>
              <w:sz w:val="32"/>
              <w:szCs w:val="32"/>
              <w:lang w:val="cs-CZ"/>
            </w:rPr>
          </w:pPr>
          <w:r w:rsidRPr="00A8777F">
            <w:rPr>
              <w:rFonts w:ascii="Verdana" w:hAnsi="Verdana"/>
              <w:b/>
              <w:color w:val="0070C0"/>
              <w:sz w:val="32"/>
              <w:szCs w:val="32"/>
              <w:lang w:val="cs-CZ"/>
            </w:rPr>
            <w:tab/>
          </w:r>
        </w:p>
        <w:p w14:paraId="798B01B9" w14:textId="77777777" w:rsidR="00F14F22" w:rsidRPr="001B050D" w:rsidRDefault="00CF51E8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r w:rsidRPr="00A8777F">
            <w:rPr>
              <w:rFonts w:ascii="Verdana" w:hAnsi="Verdana"/>
              <w:sz w:val="32"/>
              <w:szCs w:val="32"/>
              <w:lang w:val="cs-CZ"/>
            </w:rPr>
            <w:fldChar w:fldCharType="begin"/>
          </w:r>
          <w:r w:rsidRPr="00A8777F">
            <w:rPr>
              <w:rFonts w:ascii="Verdana" w:hAnsi="Verdana"/>
              <w:sz w:val="32"/>
              <w:szCs w:val="32"/>
              <w:lang w:val="cs-CZ"/>
            </w:rPr>
            <w:instrText xml:space="preserve"> TOC \o "1-3" \h \z \u </w:instrText>
          </w:r>
          <w:r w:rsidRPr="00A8777F">
            <w:rPr>
              <w:rFonts w:ascii="Verdana" w:hAnsi="Verdana"/>
              <w:sz w:val="32"/>
              <w:szCs w:val="32"/>
              <w:lang w:val="cs-CZ"/>
            </w:rPr>
            <w:fldChar w:fldCharType="separate"/>
          </w:r>
          <w:hyperlink w:anchor="_Toc508699907" w:history="1"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1.</w:t>
            </w:r>
            <w:r w:rsidR="00F14F22" w:rsidRPr="001B050D">
              <w:rPr>
                <w:rFonts w:eastAsiaTheme="minorEastAsia"/>
                <w:noProof/>
                <w:sz w:val="32"/>
                <w:szCs w:val="32"/>
                <w:lang w:eastAsia="en-GB"/>
              </w:rPr>
              <w:tab/>
            </w:r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Pracovní role</w:t>
            </w:r>
            <w:r w:rsidR="00F14F22" w:rsidRPr="001B050D">
              <w:rPr>
                <w:noProof/>
                <w:webHidden/>
                <w:sz w:val="32"/>
                <w:szCs w:val="32"/>
              </w:rPr>
              <w:tab/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begin"/>
            </w:r>
            <w:r w:rsidR="00F14F22" w:rsidRPr="001B050D">
              <w:rPr>
                <w:noProof/>
                <w:webHidden/>
                <w:sz w:val="32"/>
                <w:szCs w:val="32"/>
              </w:rPr>
              <w:instrText xml:space="preserve"> PAGEREF _Toc508699907 \h </w:instrText>
            </w:r>
            <w:r w:rsidR="00F14F22" w:rsidRPr="001B050D">
              <w:rPr>
                <w:noProof/>
                <w:webHidden/>
                <w:sz w:val="32"/>
                <w:szCs w:val="32"/>
              </w:rPr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14F22" w:rsidRPr="001B050D">
              <w:rPr>
                <w:noProof/>
                <w:webHidden/>
                <w:sz w:val="32"/>
                <w:szCs w:val="32"/>
              </w:rPr>
              <w:t>4</w:t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4CE0B05" w14:textId="77777777" w:rsidR="00F14F22" w:rsidRPr="001B050D" w:rsidRDefault="003C2C41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508699908" w:history="1"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2.</w:t>
            </w:r>
            <w:r w:rsidR="00F14F22" w:rsidRPr="001B050D">
              <w:rPr>
                <w:rFonts w:eastAsiaTheme="minorEastAsia"/>
                <w:noProof/>
                <w:sz w:val="32"/>
                <w:szCs w:val="32"/>
                <w:lang w:eastAsia="en-GB"/>
              </w:rPr>
              <w:tab/>
            </w:r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Dílčí úkoly</w:t>
            </w:r>
            <w:r w:rsidR="00F14F22" w:rsidRPr="001B050D">
              <w:rPr>
                <w:noProof/>
                <w:webHidden/>
                <w:sz w:val="32"/>
                <w:szCs w:val="32"/>
              </w:rPr>
              <w:tab/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begin"/>
            </w:r>
            <w:r w:rsidR="00F14F22" w:rsidRPr="001B050D">
              <w:rPr>
                <w:noProof/>
                <w:webHidden/>
                <w:sz w:val="32"/>
                <w:szCs w:val="32"/>
              </w:rPr>
              <w:instrText xml:space="preserve"> PAGEREF _Toc508699908 \h </w:instrText>
            </w:r>
            <w:r w:rsidR="00F14F22" w:rsidRPr="001B050D">
              <w:rPr>
                <w:noProof/>
                <w:webHidden/>
                <w:sz w:val="32"/>
                <w:szCs w:val="32"/>
              </w:rPr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14F22" w:rsidRPr="001B050D">
              <w:rPr>
                <w:noProof/>
                <w:webHidden/>
                <w:sz w:val="32"/>
                <w:szCs w:val="32"/>
              </w:rPr>
              <w:t>5</w:t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F899F8C" w14:textId="77777777" w:rsidR="00F14F22" w:rsidRPr="001B050D" w:rsidRDefault="003C2C41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508699909" w:history="1"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3.</w:t>
            </w:r>
            <w:r w:rsidR="00F14F22" w:rsidRPr="001B050D">
              <w:rPr>
                <w:rFonts w:eastAsiaTheme="minorEastAsia"/>
                <w:noProof/>
                <w:sz w:val="32"/>
                <w:szCs w:val="32"/>
                <w:lang w:eastAsia="en-GB"/>
              </w:rPr>
              <w:tab/>
            </w:r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Stupnice způsobilosti</w:t>
            </w:r>
            <w:r w:rsidR="00F14F22" w:rsidRPr="001B050D">
              <w:rPr>
                <w:noProof/>
                <w:webHidden/>
                <w:sz w:val="32"/>
                <w:szCs w:val="32"/>
              </w:rPr>
              <w:tab/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begin"/>
            </w:r>
            <w:r w:rsidR="00F14F22" w:rsidRPr="001B050D">
              <w:rPr>
                <w:noProof/>
                <w:webHidden/>
                <w:sz w:val="32"/>
                <w:szCs w:val="32"/>
              </w:rPr>
              <w:instrText xml:space="preserve"> PAGEREF _Toc508699909 \h </w:instrText>
            </w:r>
            <w:r w:rsidR="00F14F22" w:rsidRPr="001B050D">
              <w:rPr>
                <w:noProof/>
                <w:webHidden/>
                <w:sz w:val="32"/>
                <w:szCs w:val="32"/>
              </w:rPr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14F22" w:rsidRPr="001B050D">
              <w:rPr>
                <w:noProof/>
                <w:webHidden/>
                <w:sz w:val="32"/>
                <w:szCs w:val="32"/>
              </w:rPr>
              <w:t>6</w:t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DBAAACD" w14:textId="77777777" w:rsidR="00F14F22" w:rsidRPr="001B050D" w:rsidRDefault="003C2C41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508699910" w:history="1"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4.</w:t>
            </w:r>
            <w:r w:rsidR="00F14F22" w:rsidRPr="001B050D">
              <w:rPr>
                <w:rFonts w:eastAsiaTheme="minorEastAsia"/>
                <w:noProof/>
                <w:sz w:val="32"/>
                <w:szCs w:val="32"/>
                <w:lang w:eastAsia="en-GB"/>
              </w:rPr>
              <w:tab/>
            </w:r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Provozní kompetence</w:t>
            </w:r>
            <w:r w:rsidR="00F14F22" w:rsidRPr="001B050D">
              <w:rPr>
                <w:noProof/>
                <w:webHidden/>
                <w:sz w:val="32"/>
                <w:szCs w:val="32"/>
              </w:rPr>
              <w:tab/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begin"/>
            </w:r>
            <w:r w:rsidR="00F14F22" w:rsidRPr="001B050D">
              <w:rPr>
                <w:noProof/>
                <w:webHidden/>
                <w:sz w:val="32"/>
                <w:szCs w:val="32"/>
              </w:rPr>
              <w:instrText xml:space="preserve"> PAGEREF _Toc508699910 \h </w:instrText>
            </w:r>
            <w:r w:rsidR="00F14F22" w:rsidRPr="001B050D">
              <w:rPr>
                <w:noProof/>
                <w:webHidden/>
                <w:sz w:val="32"/>
                <w:szCs w:val="32"/>
              </w:rPr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14F22" w:rsidRPr="001B050D">
              <w:rPr>
                <w:noProof/>
                <w:webHidden/>
                <w:sz w:val="32"/>
                <w:szCs w:val="32"/>
              </w:rPr>
              <w:t>8</w:t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D377EB9" w14:textId="77777777" w:rsidR="00F14F22" w:rsidRPr="001B050D" w:rsidRDefault="003C2C41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508699911" w:history="1"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5.</w:t>
            </w:r>
            <w:r w:rsidR="00F14F22" w:rsidRPr="001B050D">
              <w:rPr>
                <w:rFonts w:eastAsiaTheme="minorEastAsia"/>
                <w:noProof/>
                <w:sz w:val="32"/>
                <w:szCs w:val="32"/>
                <w:lang w:eastAsia="en-GB"/>
              </w:rPr>
              <w:tab/>
            </w:r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Řídicí kompetence</w:t>
            </w:r>
            <w:r w:rsidR="00F14F22" w:rsidRPr="001B050D">
              <w:rPr>
                <w:noProof/>
                <w:webHidden/>
                <w:sz w:val="32"/>
                <w:szCs w:val="32"/>
              </w:rPr>
              <w:tab/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begin"/>
            </w:r>
            <w:r w:rsidR="00F14F22" w:rsidRPr="001B050D">
              <w:rPr>
                <w:noProof/>
                <w:webHidden/>
                <w:sz w:val="32"/>
                <w:szCs w:val="32"/>
              </w:rPr>
              <w:instrText xml:space="preserve"> PAGEREF _Toc508699911 \h </w:instrText>
            </w:r>
            <w:r w:rsidR="00F14F22" w:rsidRPr="001B050D">
              <w:rPr>
                <w:noProof/>
                <w:webHidden/>
                <w:sz w:val="32"/>
                <w:szCs w:val="32"/>
              </w:rPr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14F22" w:rsidRPr="001B050D">
              <w:rPr>
                <w:noProof/>
                <w:webHidden/>
                <w:sz w:val="32"/>
                <w:szCs w:val="32"/>
              </w:rPr>
              <w:t>9</w:t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505499C" w14:textId="77777777" w:rsidR="00F14F22" w:rsidRPr="001B050D" w:rsidRDefault="003C2C41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508699912" w:history="1"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6.</w:t>
            </w:r>
            <w:r w:rsidR="00F14F22" w:rsidRPr="001B050D">
              <w:rPr>
                <w:rFonts w:eastAsiaTheme="minorEastAsia"/>
                <w:noProof/>
                <w:sz w:val="32"/>
                <w:szCs w:val="32"/>
                <w:lang w:eastAsia="en-GB"/>
              </w:rPr>
              <w:tab/>
            </w:r>
            <w:r w:rsidR="00F14F22" w:rsidRPr="001B050D">
              <w:rPr>
                <w:rStyle w:val="Hyperlink"/>
                <w:noProof/>
                <w:sz w:val="32"/>
                <w:szCs w:val="32"/>
                <w:lang w:val="cs-CZ"/>
              </w:rPr>
              <w:t>Odborné kompetence</w:t>
            </w:r>
            <w:r w:rsidR="00F14F22" w:rsidRPr="001B050D">
              <w:rPr>
                <w:noProof/>
                <w:webHidden/>
                <w:sz w:val="32"/>
                <w:szCs w:val="32"/>
              </w:rPr>
              <w:tab/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begin"/>
            </w:r>
            <w:r w:rsidR="00F14F22" w:rsidRPr="001B050D">
              <w:rPr>
                <w:noProof/>
                <w:webHidden/>
                <w:sz w:val="32"/>
                <w:szCs w:val="32"/>
              </w:rPr>
              <w:instrText xml:space="preserve"> PAGEREF _Toc508699912 \h </w:instrText>
            </w:r>
            <w:r w:rsidR="00F14F22" w:rsidRPr="001B050D">
              <w:rPr>
                <w:noProof/>
                <w:webHidden/>
                <w:sz w:val="32"/>
                <w:szCs w:val="32"/>
              </w:rPr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14F22" w:rsidRPr="001B050D">
              <w:rPr>
                <w:noProof/>
                <w:webHidden/>
                <w:sz w:val="32"/>
                <w:szCs w:val="32"/>
              </w:rPr>
              <w:t>13</w:t>
            </w:r>
            <w:r w:rsidR="00F14F22" w:rsidRPr="001B050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9E53E01" w14:textId="77777777" w:rsidR="00CF51E8" w:rsidRPr="00A8777F" w:rsidRDefault="00CF51E8">
          <w:pPr>
            <w:rPr>
              <w:rFonts w:ascii="Verdana" w:hAnsi="Verdana"/>
              <w:sz w:val="32"/>
              <w:szCs w:val="32"/>
              <w:lang w:val="cs-CZ"/>
            </w:rPr>
          </w:pPr>
          <w:r w:rsidRPr="00A8777F">
            <w:rPr>
              <w:rFonts w:ascii="Verdana" w:hAnsi="Verdana"/>
              <w:bCs/>
              <w:noProof/>
              <w:sz w:val="32"/>
              <w:szCs w:val="32"/>
              <w:lang w:val="cs-CZ"/>
            </w:rPr>
            <w:fldChar w:fldCharType="end"/>
          </w:r>
        </w:p>
      </w:sdtContent>
    </w:sdt>
    <w:p w14:paraId="4A888D52" w14:textId="77777777" w:rsidR="00CF51E8" w:rsidRPr="00A8777F" w:rsidRDefault="00CF51E8" w:rsidP="00EE307C">
      <w:pPr>
        <w:pStyle w:val="Heading1"/>
        <w:rPr>
          <w:lang w:val="cs-CZ"/>
        </w:rPr>
        <w:sectPr w:rsidR="00CF51E8" w:rsidRPr="00A8777F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3E937AC" w14:textId="77777777" w:rsidR="00B45A80" w:rsidRPr="00A8777F" w:rsidRDefault="00B45A80" w:rsidP="00B45A80">
      <w:pPr>
        <w:pStyle w:val="Heading1"/>
        <w:rPr>
          <w:lang w:val="cs-CZ"/>
        </w:rPr>
      </w:pPr>
      <w:bookmarkStart w:id="0" w:name="_Toc508699907"/>
      <w:r w:rsidRPr="00A8777F">
        <w:rPr>
          <w:lang w:val="cs-CZ"/>
        </w:rPr>
        <w:lastRenderedPageBreak/>
        <w:t>Pracovní role</w:t>
      </w:r>
      <w:bookmarkEnd w:id="0"/>
    </w:p>
    <w:tbl>
      <w:tblPr>
        <w:tblW w:w="511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7"/>
        <w:gridCol w:w="3863"/>
        <w:gridCol w:w="1475"/>
        <w:gridCol w:w="6704"/>
      </w:tblGrid>
      <w:tr w:rsidR="007A0134" w:rsidRPr="00A8777F" w14:paraId="1DF8B735" w14:textId="77777777" w:rsidTr="00126F8E">
        <w:trPr>
          <w:trHeight w:val="467"/>
        </w:trPr>
        <w:tc>
          <w:tcPr>
            <w:tcW w:w="1966" w:type="pct"/>
            <w:gridSpan w:val="2"/>
            <w:shd w:val="clear" w:color="auto" w:fill="1F4E79" w:themeFill="accent1" w:themeFillShade="80"/>
            <w:vAlign w:val="center"/>
          </w:tcPr>
          <w:p w14:paraId="37079B51" w14:textId="75494B14" w:rsidR="007A0134" w:rsidRPr="00A8777F" w:rsidRDefault="001B050D" w:rsidP="007A013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  <w:t>angličtina</w:t>
            </w:r>
          </w:p>
        </w:tc>
        <w:tc>
          <w:tcPr>
            <w:tcW w:w="3034" w:type="pct"/>
            <w:gridSpan w:val="2"/>
            <w:shd w:val="clear" w:color="auto" w:fill="1F4E79" w:themeFill="accent1" w:themeFillShade="80"/>
            <w:vAlign w:val="center"/>
          </w:tcPr>
          <w:p w14:paraId="39DE3DE1" w14:textId="49DAE703" w:rsidR="007A0134" w:rsidRPr="00A8777F" w:rsidRDefault="00A31D83" w:rsidP="00162980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b/>
                <w:color w:val="FFFFFF" w:themeColor="background1"/>
                <w:sz w:val="20"/>
                <w:lang w:val="cs-CZ"/>
              </w:rPr>
              <w:t>čeština</w:t>
            </w:r>
          </w:p>
        </w:tc>
      </w:tr>
      <w:tr w:rsidR="00A31D83" w:rsidRPr="00A8777F" w14:paraId="70439D3A" w14:textId="77777777" w:rsidTr="00126F8E">
        <w:trPr>
          <w:trHeight w:val="440"/>
        </w:trPr>
        <w:tc>
          <w:tcPr>
            <w:tcW w:w="533" w:type="pct"/>
            <w:shd w:val="clear" w:color="auto" w:fill="F2F2F2" w:themeFill="background1" w:themeFillShade="F2"/>
            <w:vAlign w:val="center"/>
            <w:hideMark/>
          </w:tcPr>
          <w:p w14:paraId="69993741" w14:textId="77777777" w:rsidR="00A31D83" w:rsidRPr="00A8777F" w:rsidRDefault="00A31D83" w:rsidP="003928BC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Job Role</w:t>
            </w:r>
          </w:p>
        </w:tc>
        <w:tc>
          <w:tcPr>
            <w:tcW w:w="1433" w:type="pct"/>
            <w:shd w:val="clear" w:color="auto" w:fill="F2F2F2" w:themeFill="background1" w:themeFillShade="F2"/>
            <w:vAlign w:val="center"/>
          </w:tcPr>
          <w:p w14:paraId="35E9B200" w14:textId="77777777" w:rsidR="00A31D83" w:rsidRPr="00A8777F" w:rsidRDefault="00A31D83" w:rsidP="003928BC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Description</w:t>
            </w:r>
            <w:proofErr w:type="spellEnd"/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615E675D" w14:textId="51FCA720" w:rsidR="00A31D83" w:rsidRPr="00A8777F" w:rsidRDefault="00A31D8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Pracovní role</w:t>
            </w:r>
          </w:p>
        </w:tc>
        <w:tc>
          <w:tcPr>
            <w:tcW w:w="2487" w:type="pct"/>
            <w:shd w:val="clear" w:color="auto" w:fill="F2F2F2" w:themeFill="background1" w:themeFillShade="F2"/>
            <w:vAlign w:val="center"/>
          </w:tcPr>
          <w:p w14:paraId="7DB051EB" w14:textId="4FCEB959" w:rsidR="00A31D83" w:rsidRPr="00A8777F" w:rsidRDefault="00A31D8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Popis</w:t>
            </w:r>
          </w:p>
        </w:tc>
      </w:tr>
      <w:tr w:rsidR="00A31D83" w:rsidRPr="004F2EC1" w14:paraId="68CF39B9" w14:textId="77777777" w:rsidTr="00126F8E">
        <w:trPr>
          <w:trHeight w:val="1250"/>
        </w:trPr>
        <w:tc>
          <w:tcPr>
            <w:tcW w:w="533" w:type="pct"/>
            <w:shd w:val="clear" w:color="000000" w:fill="FFFFFF"/>
            <w:vAlign w:val="center"/>
            <w:hideMark/>
          </w:tcPr>
          <w:p w14:paraId="6CF3B9D2" w14:textId="77777777" w:rsidR="00A31D83" w:rsidRPr="00A8777F" w:rsidRDefault="00A31D83" w:rsidP="003928BC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Decision-making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level</w:t>
            </w:r>
            <w:proofErr w:type="spellEnd"/>
          </w:p>
        </w:tc>
        <w:tc>
          <w:tcPr>
            <w:tcW w:w="1433" w:type="pct"/>
            <w:shd w:val="clear" w:color="000000" w:fill="FFFFFF"/>
            <w:vAlign w:val="center"/>
          </w:tcPr>
          <w:p w14:paraId="5D2CA1F3" w14:textId="77777777" w:rsidR="00A31D83" w:rsidRPr="00A8777F" w:rsidRDefault="00A31D83" w:rsidP="003928BC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head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organization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persons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relatively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high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strategic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management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levels</w:t>
            </w:r>
            <w:proofErr w:type="spellEnd"/>
          </w:p>
        </w:tc>
        <w:tc>
          <w:tcPr>
            <w:tcW w:w="547" w:type="pct"/>
            <w:shd w:val="clear" w:color="000000" w:fill="FFFFFF"/>
            <w:vAlign w:val="center"/>
          </w:tcPr>
          <w:p w14:paraId="144DE070" w14:textId="63E250FF" w:rsidR="00A31D83" w:rsidRPr="00A8777F" w:rsidRDefault="00A31D8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Rozhodovací úroveň</w:t>
            </w:r>
          </w:p>
        </w:tc>
        <w:tc>
          <w:tcPr>
            <w:tcW w:w="2487" w:type="pct"/>
            <w:shd w:val="clear" w:color="000000" w:fill="FFFFFF"/>
            <w:vAlign w:val="center"/>
          </w:tcPr>
          <w:p w14:paraId="0AA7F784" w14:textId="52C3B83B" w:rsidR="00A31D83" w:rsidRPr="00A8777F" w:rsidRDefault="00A31D8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Jedná se o ředitele organizace nebo o osoby, které jednají na relativně vysokých úrovních strategického vedení</w:t>
            </w:r>
          </w:p>
        </w:tc>
      </w:tr>
      <w:tr w:rsidR="00A31D83" w:rsidRPr="004F2EC1" w14:paraId="5DC80A9D" w14:textId="77777777" w:rsidTr="00126F8E">
        <w:trPr>
          <w:trHeight w:val="1871"/>
        </w:trPr>
        <w:tc>
          <w:tcPr>
            <w:tcW w:w="533" w:type="pct"/>
            <w:shd w:val="clear" w:color="000000" w:fill="FFFFFF"/>
            <w:vAlign w:val="center"/>
            <w:hideMark/>
          </w:tcPr>
          <w:p w14:paraId="70E665F1" w14:textId="77777777" w:rsidR="00A31D83" w:rsidRPr="00A8777F" w:rsidRDefault="00A31D83" w:rsidP="003928BC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Supervisory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level</w:t>
            </w:r>
            <w:proofErr w:type="spellEnd"/>
          </w:p>
        </w:tc>
        <w:tc>
          <w:tcPr>
            <w:tcW w:w="1433" w:type="pct"/>
            <w:shd w:val="clear" w:color="000000" w:fill="FFFFFF"/>
            <w:vAlign w:val="center"/>
          </w:tcPr>
          <w:p w14:paraId="51E1B26E" w14:textId="2CE6B927" w:rsidR="00A31D83" w:rsidRPr="00A8777F" w:rsidRDefault="00A31D83" w:rsidP="00391F02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middle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management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level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responsible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group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people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not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directly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involved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operational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implementation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programme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instance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heads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organizational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units</w:t>
            </w:r>
            <w:proofErr w:type="spellEnd"/>
          </w:p>
        </w:tc>
        <w:tc>
          <w:tcPr>
            <w:tcW w:w="547" w:type="pct"/>
            <w:shd w:val="clear" w:color="000000" w:fill="FFFFFF"/>
            <w:vAlign w:val="center"/>
          </w:tcPr>
          <w:p w14:paraId="5A8704BE" w14:textId="042A9243" w:rsidR="00A31D83" w:rsidRPr="00A8777F" w:rsidRDefault="00A31D8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Úroveň dohledu</w:t>
            </w:r>
          </w:p>
        </w:tc>
        <w:tc>
          <w:tcPr>
            <w:tcW w:w="2487" w:type="pct"/>
            <w:shd w:val="clear" w:color="000000" w:fill="FFFFFF"/>
            <w:vAlign w:val="center"/>
          </w:tcPr>
          <w:p w14:paraId="08CDE49D" w14:textId="59CD7D6A" w:rsidR="00A31D83" w:rsidRPr="00A8777F" w:rsidRDefault="00A31D8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Jedná se o střední úroveň řízení, která odpovídá za skupinu osob a nepodílí se přímo na provozním provádění programu, například vedoucí organizačních útvarů</w:t>
            </w:r>
          </w:p>
        </w:tc>
      </w:tr>
      <w:tr w:rsidR="00A31D83" w:rsidRPr="004F2EC1" w14:paraId="057E0127" w14:textId="77777777" w:rsidTr="005054CD">
        <w:trPr>
          <w:trHeight w:val="1439"/>
        </w:trPr>
        <w:tc>
          <w:tcPr>
            <w:tcW w:w="533" w:type="pct"/>
            <w:shd w:val="clear" w:color="000000" w:fill="FFFFFF"/>
            <w:vAlign w:val="center"/>
            <w:hideMark/>
          </w:tcPr>
          <w:p w14:paraId="5E4C0FFC" w14:textId="77777777" w:rsidR="00A31D83" w:rsidRPr="00A8777F" w:rsidRDefault="00A31D83" w:rsidP="003928BC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Operational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level</w:t>
            </w:r>
            <w:proofErr w:type="spellEnd"/>
          </w:p>
        </w:tc>
        <w:tc>
          <w:tcPr>
            <w:tcW w:w="1433" w:type="pct"/>
            <w:shd w:val="clear" w:color="000000" w:fill="FFFFFF"/>
            <w:vAlign w:val="center"/>
          </w:tcPr>
          <w:p w14:paraId="270E266B" w14:textId="77777777" w:rsidR="00A31D83" w:rsidRPr="00A8777F" w:rsidRDefault="00A31D83" w:rsidP="003928BC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These are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experts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are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directly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different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tasks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sub-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tasks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within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organization</w:t>
            </w:r>
            <w:proofErr w:type="spellEnd"/>
          </w:p>
        </w:tc>
        <w:tc>
          <w:tcPr>
            <w:tcW w:w="547" w:type="pct"/>
            <w:shd w:val="clear" w:color="000000" w:fill="FFFFFF"/>
            <w:vAlign w:val="center"/>
          </w:tcPr>
          <w:p w14:paraId="64E4919D" w14:textId="13CF4C06" w:rsidR="00A31D83" w:rsidRPr="00A8777F" w:rsidRDefault="00A31D8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Provozní úroveň</w:t>
            </w:r>
          </w:p>
        </w:tc>
        <w:tc>
          <w:tcPr>
            <w:tcW w:w="2487" w:type="pct"/>
            <w:shd w:val="clear" w:color="000000" w:fill="FFFFFF"/>
            <w:vAlign w:val="center"/>
          </w:tcPr>
          <w:p w14:paraId="2FB31D76" w14:textId="6B8A54B6" w:rsidR="00A31D83" w:rsidRPr="00A8777F" w:rsidRDefault="00A31D8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Jedná se o odborníky, kteří pracují přímo na jednotlivých úkolech a dílčích úkolech v rámci organizace</w:t>
            </w:r>
          </w:p>
        </w:tc>
      </w:tr>
    </w:tbl>
    <w:p w14:paraId="4DFEDB02" w14:textId="77777777" w:rsidR="003928BC" w:rsidRPr="00A8777F" w:rsidRDefault="003928BC">
      <w:pPr>
        <w:rPr>
          <w:rFonts w:ascii="Verdana" w:hAnsi="Verdana" w:cstheme="minorHAnsi"/>
          <w:i/>
          <w:sz w:val="32"/>
          <w:szCs w:val="32"/>
          <w:lang w:val="cs-CZ"/>
        </w:rPr>
      </w:pPr>
    </w:p>
    <w:p w14:paraId="4524AB27" w14:textId="77777777" w:rsidR="0062042A" w:rsidRPr="00A8777F" w:rsidRDefault="0062042A" w:rsidP="00EE307C">
      <w:pPr>
        <w:pStyle w:val="Heading1"/>
        <w:rPr>
          <w:lang w:val="cs-CZ"/>
        </w:rPr>
        <w:sectPr w:rsidR="0062042A" w:rsidRPr="00A8777F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42ADD89" w14:textId="77777777" w:rsidR="0083587D" w:rsidRPr="00A8777F" w:rsidRDefault="0083587D" w:rsidP="0083587D">
      <w:pPr>
        <w:pStyle w:val="Heading1"/>
        <w:rPr>
          <w:lang w:val="cs-CZ"/>
        </w:rPr>
      </w:pPr>
      <w:bookmarkStart w:id="1" w:name="_Toc494962278"/>
      <w:bookmarkStart w:id="2" w:name="_Toc508699908"/>
      <w:r w:rsidRPr="00A8777F">
        <w:rPr>
          <w:lang w:val="cs-CZ"/>
        </w:rPr>
        <w:lastRenderedPageBreak/>
        <w:t>Dílčí úkoly</w:t>
      </w:r>
      <w:bookmarkEnd w:id="1"/>
      <w:bookmarkEnd w:id="2"/>
      <w:r w:rsidRPr="00A8777F">
        <w:rPr>
          <w:lang w:val="cs-CZ"/>
        </w:rPr>
        <w:t xml:space="preserve"> </w:t>
      </w:r>
    </w:p>
    <w:tbl>
      <w:tblPr>
        <w:tblW w:w="513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92"/>
        <w:gridCol w:w="7145"/>
      </w:tblGrid>
      <w:tr w:rsidR="0083587D" w:rsidRPr="00A8777F" w14:paraId="51A4F0C9" w14:textId="77777777" w:rsidTr="00640DC1">
        <w:trPr>
          <w:trHeight w:val="559"/>
          <w:tblHeader/>
        </w:trPr>
        <w:tc>
          <w:tcPr>
            <w:tcW w:w="2361" w:type="pct"/>
            <w:shd w:val="clear" w:color="auto" w:fill="44546A" w:themeFill="text2"/>
            <w:vAlign w:val="center"/>
          </w:tcPr>
          <w:p w14:paraId="25A6A9EC" w14:textId="77777777" w:rsidR="0083587D" w:rsidRPr="00A8777F" w:rsidRDefault="0083587D" w:rsidP="00AD341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32"/>
                <w:lang w:val="cs-CZ"/>
              </w:rPr>
            </w:pPr>
            <w:proofErr w:type="spellStart"/>
            <w:r w:rsidRPr="00A8777F"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32"/>
                <w:lang w:val="cs-CZ"/>
              </w:rPr>
              <w:t>English</w:t>
            </w:r>
            <w:proofErr w:type="spellEnd"/>
          </w:p>
        </w:tc>
        <w:tc>
          <w:tcPr>
            <w:tcW w:w="2639" w:type="pct"/>
            <w:shd w:val="clear" w:color="auto" w:fill="44546A" w:themeFill="text2"/>
            <w:vAlign w:val="center"/>
          </w:tcPr>
          <w:p w14:paraId="05D18340" w14:textId="7BA2B63E" w:rsidR="0083587D" w:rsidRPr="00A8777F" w:rsidRDefault="0083587D" w:rsidP="00AD341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32"/>
                <w:lang w:val="cs-CZ"/>
              </w:rPr>
            </w:pPr>
            <w:r w:rsidRPr="00A8777F">
              <w:rPr>
                <w:rFonts w:ascii="Verdana" w:hAnsi="Verdana" w:cstheme="minorHAnsi"/>
                <w:b/>
                <w:color w:val="FFFFFF" w:themeColor="background1"/>
                <w:sz w:val="20"/>
                <w:lang w:val="cs-CZ"/>
              </w:rPr>
              <w:t>čeština</w:t>
            </w:r>
          </w:p>
        </w:tc>
      </w:tr>
      <w:tr w:rsidR="00B45A80" w:rsidRPr="00EC33A2" w14:paraId="19F7ECFE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3FB6343F" w14:textId="72AE635B" w:rsidR="00B45A80" w:rsidRPr="00A8777F" w:rsidRDefault="00B45A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Audit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strategy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preparation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4BFF3DF0" w14:textId="03FC7DFF" w:rsidR="00B45A80" w:rsidRPr="00A8777F" w:rsidRDefault="00EC33A2" w:rsidP="000E47BD">
            <w:p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>
              <w:rPr>
                <w:rFonts w:ascii="Verdana" w:hAnsi="Verdana" w:cstheme="minorHAnsi"/>
                <w:sz w:val="20"/>
                <w:lang w:val="cs-CZ"/>
              </w:rPr>
              <w:t xml:space="preserve">1. </w:t>
            </w:r>
            <w:r w:rsidR="00B45A80" w:rsidRPr="00A8777F">
              <w:rPr>
                <w:rFonts w:ascii="Verdana" w:hAnsi="Verdana" w:cstheme="minorHAnsi"/>
                <w:sz w:val="20"/>
                <w:lang w:val="cs-CZ"/>
              </w:rPr>
              <w:t>Příprava strategie auditu</w:t>
            </w:r>
          </w:p>
        </w:tc>
      </w:tr>
      <w:tr w:rsidR="00B45A80" w:rsidRPr="00EC33A2" w14:paraId="3D411275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574B86B7" w14:textId="57B2043C" w:rsidR="00B45A80" w:rsidRPr="00A8777F" w:rsidRDefault="00B45A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Risk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Assessment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077C0E66" w14:textId="087A501E" w:rsidR="00B45A80" w:rsidRPr="00A8777F" w:rsidRDefault="00EC33A2" w:rsidP="000E47BD">
            <w:p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>
              <w:rPr>
                <w:rFonts w:ascii="Verdana" w:hAnsi="Verdana" w:cstheme="minorHAnsi"/>
                <w:sz w:val="20"/>
                <w:lang w:val="cs-CZ"/>
              </w:rPr>
              <w:t xml:space="preserve">2. </w:t>
            </w:r>
            <w:r w:rsidR="00B45A80" w:rsidRPr="00A8777F">
              <w:rPr>
                <w:rFonts w:ascii="Verdana" w:hAnsi="Verdana" w:cstheme="minorHAnsi"/>
                <w:sz w:val="20"/>
                <w:lang w:val="cs-CZ"/>
              </w:rPr>
              <w:t>Hodnocení rizik</w:t>
            </w:r>
          </w:p>
        </w:tc>
      </w:tr>
      <w:tr w:rsidR="00B45A80" w:rsidRPr="00EC33A2" w14:paraId="01B8880F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046DDD36" w14:textId="2DE12E61" w:rsidR="00B45A80" w:rsidRPr="00A8777F" w:rsidRDefault="00B45A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Planning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Audit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14:paraId="05CC17C5" w14:textId="25DEAC05" w:rsidR="00B45A80" w:rsidRPr="00A8777F" w:rsidRDefault="00EC33A2" w:rsidP="00757D2E">
            <w:p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>
              <w:rPr>
                <w:rFonts w:ascii="Verdana" w:hAnsi="Verdana" w:cstheme="minorHAnsi"/>
                <w:sz w:val="20"/>
                <w:lang w:val="cs-CZ"/>
              </w:rPr>
              <w:t xml:space="preserve">3. </w:t>
            </w:r>
            <w:r w:rsidR="00B45A80" w:rsidRPr="00A8777F">
              <w:rPr>
                <w:rFonts w:ascii="Verdana" w:hAnsi="Verdana" w:cstheme="minorHAnsi"/>
                <w:sz w:val="20"/>
                <w:lang w:val="cs-CZ"/>
              </w:rPr>
              <w:t>Plánování auditu</w:t>
            </w:r>
          </w:p>
        </w:tc>
      </w:tr>
      <w:tr w:rsidR="00B45A80" w:rsidRPr="00EC33A2" w14:paraId="0BCFAE61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1F48505D" w14:textId="5E6BADE0" w:rsidR="00B45A80" w:rsidRPr="00A8777F" w:rsidRDefault="00B45A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Carrying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out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audits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on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systems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343FBA02" w14:textId="6A79FB0E" w:rsidR="00B45A80" w:rsidRPr="00A8777F" w:rsidRDefault="00EC33A2" w:rsidP="00757D2E">
            <w:p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>
              <w:rPr>
                <w:rFonts w:ascii="Verdana" w:hAnsi="Verdana" w:cstheme="minorHAnsi"/>
                <w:sz w:val="20"/>
                <w:lang w:val="cs-CZ"/>
              </w:rPr>
              <w:t xml:space="preserve">4. </w:t>
            </w:r>
            <w:r w:rsidR="00B45A80" w:rsidRPr="00A8777F">
              <w:rPr>
                <w:rFonts w:ascii="Verdana" w:hAnsi="Verdana" w:cstheme="minorHAnsi"/>
                <w:sz w:val="20"/>
                <w:lang w:val="cs-CZ"/>
              </w:rPr>
              <w:t>Provádění auditů systémů</w:t>
            </w:r>
          </w:p>
        </w:tc>
      </w:tr>
      <w:tr w:rsidR="00B45A80" w:rsidRPr="00EC33A2" w14:paraId="046582DC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396175F0" w14:textId="6FD01794" w:rsidR="00B45A80" w:rsidRPr="00A8777F" w:rsidRDefault="00B45A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Carrying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out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Accreditation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audit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14:paraId="6AF64297" w14:textId="64A12D9D" w:rsidR="00B45A80" w:rsidRPr="00A8777F" w:rsidRDefault="00EC33A2" w:rsidP="00757D2E">
            <w:p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>
              <w:rPr>
                <w:rFonts w:ascii="Verdana" w:hAnsi="Verdana" w:cstheme="minorHAnsi"/>
                <w:sz w:val="20"/>
                <w:lang w:val="cs-CZ"/>
              </w:rPr>
              <w:t xml:space="preserve">5. </w:t>
            </w:r>
            <w:r w:rsidR="00B45A80" w:rsidRPr="00A8777F">
              <w:rPr>
                <w:rFonts w:ascii="Verdana" w:hAnsi="Verdana" w:cstheme="minorHAnsi"/>
                <w:sz w:val="20"/>
                <w:lang w:val="cs-CZ"/>
              </w:rPr>
              <w:t>Provádění auditu akreditace</w:t>
            </w:r>
          </w:p>
        </w:tc>
      </w:tr>
      <w:tr w:rsidR="00B45A80" w:rsidRPr="00EC33A2" w14:paraId="2560C967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4559E9E5" w14:textId="6F9D44FE" w:rsidR="00B45A80" w:rsidRPr="00A8777F" w:rsidRDefault="00B45A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Selection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gram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sample</w:t>
            </w:r>
            <w:proofErr w:type="gram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operations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256EC3F8" w14:textId="721FAFE6" w:rsidR="00B45A80" w:rsidRPr="00A8777F" w:rsidRDefault="00EC33A2" w:rsidP="00757D2E">
            <w:p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>
              <w:rPr>
                <w:rFonts w:ascii="Verdana" w:hAnsi="Verdana" w:cstheme="minorHAnsi"/>
                <w:sz w:val="20"/>
                <w:lang w:val="cs-CZ"/>
              </w:rPr>
              <w:t xml:space="preserve">6. </w:t>
            </w:r>
            <w:r w:rsidR="00B45A80" w:rsidRPr="00A8777F">
              <w:rPr>
                <w:rFonts w:ascii="Verdana" w:hAnsi="Verdana" w:cstheme="minorHAnsi"/>
                <w:sz w:val="20"/>
                <w:lang w:val="cs-CZ"/>
              </w:rPr>
              <w:t>Výběr vzorku operací</w:t>
            </w:r>
          </w:p>
        </w:tc>
      </w:tr>
      <w:tr w:rsidR="00B45A80" w:rsidRPr="004F2EC1" w14:paraId="5F57EAD2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0D1B32C3" w14:textId="0B4DF13A" w:rsidR="00B45A80" w:rsidRPr="00A8777F" w:rsidRDefault="00B45A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Annual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control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reports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accreditation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audit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14:paraId="67771B1C" w14:textId="12AA99C1" w:rsidR="00B45A80" w:rsidRPr="00A8777F" w:rsidRDefault="00EC33A2" w:rsidP="00757D2E">
            <w:p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>
              <w:rPr>
                <w:rFonts w:ascii="Verdana" w:hAnsi="Verdana" w:cstheme="minorHAnsi"/>
                <w:sz w:val="20"/>
                <w:lang w:val="cs-CZ"/>
              </w:rPr>
              <w:t xml:space="preserve">7. </w:t>
            </w:r>
            <w:r w:rsidR="00B45A80" w:rsidRPr="00A8777F">
              <w:rPr>
                <w:rFonts w:ascii="Verdana" w:hAnsi="Verdana" w:cstheme="minorHAnsi"/>
                <w:sz w:val="20"/>
                <w:lang w:val="cs-CZ"/>
              </w:rPr>
              <w:t>Výroční kontrolní zprávy a audit akreditace</w:t>
            </w:r>
          </w:p>
        </w:tc>
      </w:tr>
      <w:tr w:rsidR="00B45A80" w:rsidRPr="00EC33A2" w14:paraId="355DF572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4AD85879" w14:textId="14576BB9" w:rsidR="00B45A80" w:rsidRPr="00A8777F" w:rsidRDefault="00B45A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Carrying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out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audits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on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operations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68C70028" w14:textId="35D92ED2" w:rsidR="00B45A80" w:rsidRPr="00A8777F" w:rsidRDefault="00EC33A2" w:rsidP="00757D2E">
            <w:p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>
              <w:rPr>
                <w:rFonts w:ascii="Verdana" w:hAnsi="Verdana" w:cstheme="minorHAnsi"/>
                <w:sz w:val="20"/>
                <w:lang w:val="cs-CZ"/>
              </w:rPr>
              <w:t xml:space="preserve">8. </w:t>
            </w:r>
            <w:r w:rsidR="00B45A80" w:rsidRPr="00A8777F">
              <w:rPr>
                <w:rFonts w:ascii="Verdana" w:hAnsi="Verdana" w:cstheme="minorHAnsi"/>
                <w:sz w:val="20"/>
                <w:lang w:val="cs-CZ"/>
              </w:rPr>
              <w:t>Provádění auditů operací</w:t>
            </w:r>
          </w:p>
        </w:tc>
      </w:tr>
      <w:tr w:rsidR="00B45A80" w:rsidRPr="004F2EC1" w14:paraId="7C033C33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709DD401" w14:textId="0C2C5AFD" w:rsidR="00B45A80" w:rsidRPr="00A8777F" w:rsidRDefault="00B45A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Carrying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out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audits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accounts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certified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by CA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14:paraId="71DB100A" w14:textId="67E6007C" w:rsidR="00B45A80" w:rsidRPr="00A8777F" w:rsidRDefault="00EC33A2" w:rsidP="00757D2E">
            <w:p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>
              <w:rPr>
                <w:rFonts w:ascii="Verdana" w:hAnsi="Verdana" w:cstheme="minorHAnsi"/>
                <w:sz w:val="20"/>
                <w:lang w:val="cs-CZ"/>
              </w:rPr>
              <w:t xml:space="preserve">9. </w:t>
            </w:r>
            <w:r w:rsidR="00B45A80" w:rsidRPr="00A8777F">
              <w:rPr>
                <w:rFonts w:ascii="Verdana" w:hAnsi="Verdana" w:cstheme="minorHAnsi"/>
                <w:sz w:val="20"/>
                <w:lang w:val="cs-CZ"/>
              </w:rPr>
              <w:t>Provádění auditů účetních závěrek osvědčených certifikačním orgánem</w:t>
            </w:r>
          </w:p>
        </w:tc>
      </w:tr>
      <w:tr w:rsidR="00B45A80" w:rsidRPr="004F2EC1" w14:paraId="3C2E2F6B" w14:textId="77777777" w:rsidTr="00391F02">
        <w:trPr>
          <w:trHeight w:val="782"/>
        </w:trPr>
        <w:tc>
          <w:tcPr>
            <w:tcW w:w="2361" w:type="pct"/>
            <w:shd w:val="clear" w:color="000000" w:fill="FFFFFF"/>
            <w:vAlign w:val="center"/>
          </w:tcPr>
          <w:p w14:paraId="23297860" w14:textId="6F9441CE" w:rsidR="00B45A80" w:rsidRPr="00A8777F" w:rsidRDefault="00B45A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Procurement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goods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services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under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Technical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32"/>
                <w:lang w:val="cs-CZ"/>
              </w:rPr>
              <w:t>Assistance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08FBBA7E" w14:textId="7DAD78D9" w:rsidR="00B45A80" w:rsidRPr="00A8777F" w:rsidRDefault="00EC33A2" w:rsidP="00757D2E">
            <w:pPr>
              <w:spacing w:after="0"/>
              <w:rPr>
                <w:rFonts w:ascii="Verdana" w:hAnsi="Verdana" w:cstheme="minorHAnsi"/>
                <w:sz w:val="20"/>
                <w:szCs w:val="32"/>
                <w:lang w:val="cs-CZ"/>
              </w:rPr>
            </w:pPr>
            <w:r>
              <w:rPr>
                <w:rFonts w:ascii="Verdana" w:hAnsi="Verdana" w:cstheme="minorHAnsi"/>
                <w:sz w:val="20"/>
                <w:lang w:val="cs-CZ"/>
              </w:rPr>
              <w:t xml:space="preserve">10. </w:t>
            </w:r>
            <w:r w:rsidR="00B45A80" w:rsidRPr="00A8777F">
              <w:rPr>
                <w:rFonts w:ascii="Verdana" w:hAnsi="Verdana" w:cstheme="minorHAnsi"/>
                <w:sz w:val="20"/>
                <w:lang w:val="cs-CZ"/>
              </w:rPr>
              <w:t>Veřejné zakázky na zboží a služby v rámci technické pomoci</w:t>
            </w:r>
          </w:p>
        </w:tc>
      </w:tr>
    </w:tbl>
    <w:p w14:paraId="52DDE5D3" w14:textId="77777777" w:rsidR="000C44D2" w:rsidRPr="00A8777F" w:rsidRDefault="000C44D2">
      <w:pPr>
        <w:rPr>
          <w:rFonts w:ascii="Verdana" w:hAnsi="Verdana" w:cstheme="minorHAnsi"/>
          <w:i/>
          <w:sz w:val="32"/>
          <w:szCs w:val="32"/>
          <w:lang w:val="cs-CZ"/>
        </w:rPr>
      </w:pPr>
    </w:p>
    <w:p w14:paraId="25C6B435" w14:textId="77777777" w:rsidR="0062042A" w:rsidRPr="00A8777F" w:rsidRDefault="0062042A" w:rsidP="00EE307C">
      <w:pPr>
        <w:pStyle w:val="Heading1"/>
        <w:rPr>
          <w:lang w:val="cs-CZ"/>
        </w:rPr>
        <w:sectPr w:rsidR="0062042A" w:rsidRPr="00A8777F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91125A" w14:textId="77777777" w:rsidR="0083587D" w:rsidRPr="00A8777F" w:rsidRDefault="0083587D" w:rsidP="0083587D">
      <w:pPr>
        <w:pStyle w:val="Heading1"/>
        <w:rPr>
          <w:lang w:val="cs-CZ"/>
        </w:rPr>
      </w:pPr>
      <w:bookmarkStart w:id="3" w:name="_Toc494962279"/>
      <w:bookmarkStart w:id="4" w:name="_Toc508699909"/>
      <w:r w:rsidRPr="00A8777F">
        <w:rPr>
          <w:lang w:val="cs-CZ"/>
        </w:rPr>
        <w:lastRenderedPageBreak/>
        <w:t>Stupnice způsobilosti</w:t>
      </w:r>
      <w:bookmarkEnd w:id="3"/>
      <w:bookmarkEnd w:id="4"/>
      <w:r w:rsidRPr="00A8777F">
        <w:rPr>
          <w:lang w:val="cs-CZ"/>
        </w:rPr>
        <w:t xml:space="preserve"> 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4580"/>
        <w:gridCol w:w="1555"/>
        <w:gridCol w:w="5307"/>
      </w:tblGrid>
      <w:tr w:rsidR="0083587D" w:rsidRPr="00A8777F" w14:paraId="584EAE55" w14:textId="77777777" w:rsidTr="00162980">
        <w:trPr>
          <w:trHeight w:val="377"/>
          <w:tblHeader/>
        </w:trPr>
        <w:tc>
          <w:tcPr>
            <w:tcW w:w="2396" w:type="pct"/>
            <w:gridSpan w:val="2"/>
            <w:shd w:val="clear" w:color="auto" w:fill="44546A" w:themeFill="text2"/>
            <w:vAlign w:val="center"/>
          </w:tcPr>
          <w:p w14:paraId="2E48CD2B" w14:textId="0A0B8FD1" w:rsidR="0083587D" w:rsidRPr="00A8777F" w:rsidRDefault="00EC33A2" w:rsidP="00162980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  <w:t>angličtina</w:t>
            </w:r>
          </w:p>
        </w:tc>
        <w:tc>
          <w:tcPr>
            <w:tcW w:w="2604" w:type="pct"/>
            <w:gridSpan w:val="2"/>
            <w:shd w:val="clear" w:color="auto" w:fill="44546A" w:themeFill="text2"/>
            <w:vAlign w:val="center"/>
          </w:tcPr>
          <w:p w14:paraId="39F3C80F" w14:textId="396AC69F" w:rsidR="0083587D" w:rsidRPr="00A8777F" w:rsidRDefault="0083587D" w:rsidP="00B579F3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b/>
                <w:color w:val="FFFFFF" w:themeColor="background1"/>
                <w:sz w:val="20"/>
                <w:lang w:val="cs-CZ"/>
              </w:rPr>
              <w:t>čeština</w:t>
            </w:r>
          </w:p>
        </w:tc>
      </w:tr>
      <w:tr w:rsidR="0044373B" w:rsidRPr="00A8777F" w14:paraId="1175FF0F" w14:textId="77777777" w:rsidTr="006645FC">
        <w:trPr>
          <w:trHeight w:val="332"/>
          <w:tblHeader/>
        </w:trPr>
        <w:tc>
          <w:tcPr>
            <w:tcW w:w="658" w:type="pct"/>
            <w:shd w:val="clear" w:color="auto" w:fill="F2F2F2" w:themeFill="background1" w:themeFillShade="F2"/>
          </w:tcPr>
          <w:p w14:paraId="5D82C646" w14:textId="77777777" w:rsidR="0044373B" w:rsidRPr="00A8777F" w:rsidRDefault="0044373B" w:rsidP="00AD2B31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Scale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738" w:type="pct"/>
            <w:shd w:val="clear" w:color="auto" w:fill="F2F2F2" w:themeFill="background1" w:themeFillShade="F2"/>
          </w:tcPr>
          <w:p w14:paraId="7CFD4BA2" w14:textId="77777777" w:rsidR="0044373B" w:rsidRPr="00A8777F" w:rsidRDefault="0044373B" w:rsidP="006645F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Description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590" w:type="pct"/>
            <w:shd w:val="clear" w:color="auto" w:fill="F2F2F2" w:themeFill="background1" w:themeFillShade="F2"/>
          </w:tcPr>
          <w:p w14:paraId="1C4B8EC0" w14:textId="62602646" w:rsidR="0044373B" w:rsidRPr="00A8777F" w:rsidRDefault="0083587D" w:rsidP="00AD2B31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Stupnice</w:t>
            </w:r>
          </w:p>
        </w:tc>
        <w:tc>
          <w:tcPr>
            <w:tcW w:w="2014" w:type="pct"/>
            <w:shd w:val="clear" w:color="auto" w:fill="F2F2F2" w:themeFill="background1" w:themeFillShade="F2"/>
          </w:tcPr>
          <w:p w14:paraId="19B009D5" w14:textId="7679D66B" w:rsidR="0044373B" w:rsidRPr="00A8777F" w:rsidRDefault="0083587D" w:rsidP="00AD2B31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Popis</w:t>
            </w:r>
          </w:p>
        </w:tc>
      </w:tr>
      <w:tr w:rsidR="0044373B" w:rsidRPr="00A8777F" w14:paraId="3DAF99CA" w14:textId="77777777" w:rsidTr="006645FC">
        <w:trPr>
          <w:trHeight w:val="566"/>
        </w:trPr>
        <w:tc>
          <w:tcPr>
            <w:tcW w:w="658" w:type="pct"/>
            <w:shd w:val="clear" w:color="000000" w:fill="FFFFFF"/>
          </w:tcPr>
          <w:p w14:paraId="76C68B48" w14:textId="77777777" w:rsidR="0044373B" w:rsidRPr="00A8777F" w:rsidRDefault="0044373B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N.A.</w:t>
            </w:r>
            <w:proofErr w:type="gram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- Not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Applicable</w:t>
            </w:r>
            <w:proofErr w:type="spellEnd"/>
          </w:p>
        </w:tc>
        <w:tc>
          <w:tcPr>
            <w:tcW w:w="1738" w:type="pct"/>
            <w:shd w:val="clear" w:color="000000" w:fill="FFFFFF"/>
            <w:hideMark/>
          </w:tcPr>
          <w:p w14:paraId="39DA4922" w14:textId="77777777" w:rsidR="0044373B" w:rsidRPr="00A8777F" w:rsidRDefault="0044373B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not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applicable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job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role. </w:t>
            </w:r>
          </w:p>
        </w:tc>
        <w:tc>
          <w:tcPr>
            <w:tcW w:w="590" w:type="pct"/>
            <w:shd w:val="clear" w:color="000000" w:fill="FFFFFF"/>
          </w:tcPr>
          <w:p w14:paraId="0634807C" w14:textId="5A6C53F2" w:rsidR="0044373B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 w:cstheme="minorHAnsi"/>
                <w:sz w:val="20"/>
                <w:lang w:val="cs-CZ"/>
              </w:rPr>
              <w:t>N.A.</w:t>
            </w:r>
            <w:proofErr w:type="gramEnd"/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 – Nevztahuje se</w:t>
            </w:r>
          </w:p>
        </w:tc>
        <w:tc>
          <w:tcPr>
            <w:tcW w:w="2014" w:type="pct"/>
            <w:shd w:val="clear" w:color="000000" w:fill="FFFFFF"/>
          </w:tcPr>
          <w:p w14:paraId="2731D470" w14:textId="6A710803" w:rsidR="0044373B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Kompetence se na danou pracovní roli nevztahuje.</w:t>
            </w:r>
          </w:p>
        </w:tc>
      </w:tr>
      <w:tr w:rsidR="00E845FA" w:rsidRPr="004F2EC1" w14:paraId="45A3612C" w14:textId="77777777" w:rsidTr="006645FC">
        <w:trPr>
          <w:trHeight w:val="908"/>
        </w:trPr>
        <w:tc>
          <w:tcPr>
            <w:tcW w:w="658" w:type="pct"/>
            <w:shd w:val="clear" w:color="000000" w:fill="FFFFFF"/>
          </w:tcPr>
          <w:p w14:paraId="14ABB0B4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Level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0 – </w:t>
            </w:r>
          </w:p>
          <w:p w14:paraId="19A6A676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No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knowledge</w:t>
            </w:r>
            <w:proofErr w:type="spellEnd"/>
          </w:p>
        </w:tc>
        <w:tc>
          <w:tcPr>
            <w:tcW w:w="1738" w:type="pct"/>
            <w:shd w:val="clear" w:color="000000" w:fill="FFFFFF"/>
          </w:tcPr>
          <w:p w14:paraId="294CB1C5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No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knowledge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no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situations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590" w:type="pct"/>
            <w:shd w:val="clear" w:color="000000" w:fill="FFFFFF"/>
          </w:tcPr>
          <w:p w14:paraId="17A74213" w14:textId="77777777" w:rsidR="00E845FA" w:rsidRPr="00A8777F" w:rsidRDefault="00E845FA" w:rsidP="004D4779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Úroveň 0 – </w:t>
            </w:r>
          </w:p>
          <w:p w14:paraId="7E4C8F2E" w14:textId="069EA029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Žádná znalost</w:t>
            </w:r>
          </w:p>
        </w:tc>
        <w:tc>
          <w:tcPr>
            <w:tcW w:w="2014" w:type="pct"/>
            <w:shd w:val="clear" w:color="000000" w:fill="FFFFFF"/>
          </w:tcPr>
          <w:p w14:paraId="5A1DD5E4" w14:textId="171A20A5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Žádná znalost dané kompetence ani schopnost použít ji v reálných situacích.</w:t>
            </w:r>
          </w:p>
        </w:tc>
      </w:tr>
      <w:tr w:rsidR="00E845FA" w:rsidRPr="004F2EC1" w14:paraId="785CDCAD" w14:textId="77777777" w:rsidTr="00F4392B">
        <w:trPr>
          <w:trHeight w:val="1421"/>
        </w:trPr>
        <w:tc>
          <w:tcPr>
            <w:tcW w:w="658" w:type="pct"/>
            <w:shd w:val="clear" w:color="000000" w:fill="FFFFFF"/>
          </w:tcPr>
          <w:p w14:paraId="079CAA13" w14:textId="3DF4FAF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Level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1 –</w:t>
            </w:r>
          </w:p>
          <w:p w14:paraId="27D3AA8E" w14:textId="25AD6231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Awareness</w:t>
            </w:r>
            <w:proofErr w:type="spellEnd"/>
          </w:p>
        </w:tc>
        <w:tc>
          <w:tcPr>
            <w:tcW w:w="1738" w:type="pct"/>
            <w:shd w:val="clear" w:color="000000" w:fill="FFFFFF"/>
          </w:tcPr>
          <w:p w14:paraId="7E42CDB1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Basic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knowledge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e.g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understands</w:t>
            </w:r>
            <w:proofErr w:type="spellEnd"/>
            <w:proofErr w:type="gram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general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concepts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processes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familiar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related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key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terminology).</w:t>
            </w:r>
          </w:p>
          <w:p w14:paraId="63DA03C6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after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being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given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specific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instructions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guidance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590" w:type="pct"/>
            <w:shd w:val="clear" w:color="000000" w:fill="FFFFFF"/>
            <w:vAlign w:val="center"/>
          </w:tcPr>
          <w:p w14:paraId="076CCFC0" w14:textId="77777777" w:rsidR="00E845FA" w:rsidRPr="00A8777F" w:rsidRDefault="00E845FA" w:rsidP="00F4392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Úroveň 1 –</w:t>
            </w:r>
          </w:p>
          <w:p w14:paraId="3DCFA22A" w14:textId="746AAD6C" w:rsidR="00E845FA" w:rsidRPr="00A8777F" w:rsidRDefault="00E845FA" w:rsidP="00F4392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Má povědomí</w:t>
            </w:r>
          </w:p>
        </w:tc>
        <w:tc>
          <w:tcPr>
            <w:tcW w:w="2014" w:type="pct"/>
            <w:shd w:val="clear" w:color="000000" w:fill="FFFFFF"/>
          </w:tcPr>
          <w:p w14:paraId="7CC81151" w14:textId="77777777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Základní znalost dané kompetence (např. rozumí obecným pojmům a procesům, je obeznámen s příslušnou klíčovou terminologií).</w:t>
            </w:r>
          </w:p>
          <w:p w14:paraId="618CF9ED" w14:textId="224D44F1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Schopnost prokázat tuto kompetenci po obdržení konkrétních příkazů a pokynů.</w:t>
            </w:r>
          </w:p>
        </w:tc>
      </w:tr>
      <w:tr w:rsidR="00E845FA" w:rsidRPr="004F2EC1" w14:paraId="0C0FE97E" w14:textId="77777777" w:rsidTr="006645FC">
        <w:trPr>
          <w:trHeight w:val="1103"/>
        </w:trPr>
        <w:tc>
          <w:tcPr>
            <w:tcW w:w="658" w:type="pct"/>
            <w:shd w:val="clear" w:color="000000" w:fill="FFFFFF"/>
          </w:tcPr>
          <w:p w14:paraId="7A4CA646" w14:textId="173BA00E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Level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2 – </w:t>
            </w:r>
          </w:p>
          <w:p w14:paraId="1D8AC20D" w14:textId="6993D5BF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Trained</w:t>
            </w:r>
            <w:proofErr w:type="spellEnd"/>
          </w:p>
        </w:tc>
        <w:tc>
          <w:tcPr>
            <w:tcW w:w="1738" w:type="pct"/>
            <w:shd w:val="clear" w:color="000000" w:fill="FFFFFF"/>
          </w:tcPr>
          <w:p w14:paraId="6F432118" w14:textId="54AC0611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Good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knowledge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knowledge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daily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  <w:p w14:paraId="7D5994A5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perform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standard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activities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regards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independent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manner</w:t>
            </w:r>
            <w:proofErr w:type="spellEnd"/>
          </w:p>
        </w:tc>
        <w:tc>
          <w:tcPr>
            <w:tcW w:w="590" w:type="pct"/>
            <w:shd w:val="clear" w:color="000000" w:fill="FFFFFF"/>
          </w:tcPr>
          <w:p w14:paraId="1631A49B" w14:textId="77777777" w:rsidR="00E845FA" w:rsidRPr="00A8777F" w:rsidRDefault="00E845FA" w:rsidP="004D4779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Úroveň 2 – </w:t>
            </w:r>
          </w:p>
          <w:p w14:paraId="70A872C1" w14:textId="09848CBA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Je vyškolen</w:t>
            </w:r>
          </w:p>
        </w:tc>
        <w:tc>
          <w:tcPr>
            <w:tcW w:w="2014" w:type="pct"/>
            <w:shd w:val="clear" w:color="000000" w:fill="FFFFFF"/>
          </w:tcPr>
          <w:p w14:paraId="51598A21" w14:textId="77777777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Dobrá pracovní znalost dané kompetence. Schopnost použít tuto znalost při každodenní práci.</w:t>
            </w:r>
          </w:p>
          <w:p w14:paraId="094736D9" w14:textId="7314F6AB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Schopnost samostatně provádět standardní činnosti týkající se dané kompetence</w:t>
            </w:r>
          </w:p>
        </w:tc>
      </w:tr>
      <w:tr w:rsidR="00E845FA" w:rsidRPr="004F2EC1" w14:paraId="188C0F34" w14:textId="77777777" w:rsidTr="00F4392B">
        <w:trPr>
          <w:trHeight w:val="1103"/>
        </w:trPr>
        <w:tc>
          <w:tcPr>
            <w:tcW w:w="658" w:type="pct"/>
            <w:shd w:val="clear" w:color="000000" w:fill="FFFFFF"/>
            <w:vAlign w:val="center"/>
          </w:tcPr>
          <w:p w14:paraId="6577E4EB" w14:textId="6C9D65BA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Level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3 – </w:t>
            </w:r>
          </w:p>
          <w:p w14:paraId="597D4543" w14:textId="4395EF2D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Intermediate</w:t>
            </w:r>
            <w:proofErr w:type="spellEnd"/>
          </w:p>
        </w:tc>
        <w:tc>
          <w:tcPr>
            <w:tcW w:w="1738" w:type="pct"/>
            <w:shd w:val="clear" w:color="000000" w:fill="FFFFFF"/>
          </w:tcPr>
          <w:p w14:paraId="30E8D0DD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Broad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in-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depth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knowledge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skills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regards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  <w:p w14:paraId="35D707E9" w14:textId="6671A58C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 variety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exceptions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special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cases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related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independent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manner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  <w:p w14:paraId="1557570E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effectively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share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knowledge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experience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more junior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profiles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br/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Confidence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serving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as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advisor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sought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out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provide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insight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application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  <w:p w14:paraId="52B36CA8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capable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coaching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application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translating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complex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nuances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issues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relating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into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easy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understand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terms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590" w:type="pct"/>
            <w:shd w:val="clear" w:color="000000" w:fill="FFFFFF"/>
            <w:vAlign w:val="center"/>
          </w:tcPr>
          <w:p w14:paraId="12BE0A52" w14:textId="77777777" w:rsidR="00E845FA" w:rsidRPr="00A8777F" w:rsidRDefault="00E845FA" w:rsidP="00F4392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lastRenderedPageBreak/>
              <w:t xml:space="preserve">Úroveň 3 – </w:t>
            </w:r>
          </w:p>
          <w:p w14:paraId="485C4831" w14:textId="1F9EA93C" w:rsidR="00E845FA" w:rsidRPr="00A8777F" w:rsidRDefault="00E845FA" w:rsidP="00F4392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Středně pokročilý</w:t>
            </w:r>
          </w:p>
        </w:tc>
        <w:tc>
          <w:tcPr>
            <w:tcW w:w="2014" w:type="pct"/>
            <w:shd w:val="clear" w:color="000000" w:fill="FFFFFF"/>
          </w:tcPr>
          <w:p w14:paraId="03D3AA6F" w14:textId="77777777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Široká a hluboká znalost a dovednosti v oblasti dané kompetence.</w:t>
            </w:r>
          </w:p>
          <w:p w14:paraId="6A3E10C1" w14:textId="77777777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Schopnost samostatně si poradit s nejrůznějšími výjimkami a zvláštními případy týkajícími se této kompetence.</w:t>
            </w:r>
          </w:p>
          <w:p w14:paraId="6A15B14D" w14:textId="77777777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Schopnost účinně sdílet znalosti a zkušenosti s méně zkušenými zaměstnanci.</w:t>
            </w: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br/>
            </w:r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Má důvěru jakožto poradce a je oslovován, aby </w:t>
            </w:r>
            <w:r w:rsidRPr="00A8777F">
              <w:rPr>
                <w:rFonts w:ascii="Verdana" w:hAnsi="Verdana" w:cstheme="minorHAnsi"/>
                <w:sz w:val="20"/>
                <w:lang w:val="cs-CZ"/>
              </w:rPr>
              <w:lastRenderedPageBreak/>
              <w:t>poskytoval podrobnější vysvětlení v oblasti uplatnění této kompetence.</w:t>
            </w:r>
          </w:p>
          <w:p w14:paraId="174A4D81" w14:textId="5D3FB41B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Je schopen vést a podporovat ostatní při uplatňování této kompetence tím, že složitější aspekty a problémy týkající se této kompetence vyjadřuje snadno srozumitelným způsobem.</w:t>
            </w:r>
          </w:p>
        </w:tc>
      </w:tr>
      <w:tr w:rsidR="00E845FA" w:rsidRPr="004F2EC1" w14:paraId="1A9A14BD" w14:textId="77777777" w:rsidTr="00F4392B">
        <w:trPr>
          <w:trHeight w:val="1103"/>
        </w:trPr>
        <w:tc>
          <w:tcPr>
            <w:tcW w:w="658" w:type="pct"/>
            <w:shd w:val="clear" w:color="000000" w:fill="FFFFFF"/>
            <w:vAlign w:val="center"/>
          </w:tcPr>
          <w:p w14:paraId="6D54909F" w14:textId="6EA1826D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Level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4 – </w:t>
            </w:r>
          </w:p>
          <w:p w14:paraId="5030005A" w14:textId="603D0DEF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Expert</w:t>
            </w:r>
          </w:p>
        </w:tc>
        <w:tc>
          <w:tcPr>
            <w:tcW w:w="1738" w:type="pct"/>
            <w:shd w:val="clear" w:color="000000" w:fill="FFFFFF"/>
          </w:tcPr>
          <w:p w14:paraId="5C8A5AF4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Extensive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expert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knowledge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skills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regards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  <w:p w14:paraId="42D02FD0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highlight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(dis)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advantages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each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processes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related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whilst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linking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them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bigger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picture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  <w:p w14:paraId="47C70AFD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provide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tailored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advice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to support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advice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relevant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context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specific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arguments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when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responding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internal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external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queries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  <w:p w14:paraId="39FD703D" w14:textId="77777777" w:rsidR="00E845FA" w:rsidRPr="00A8777F" w:rsidRDefault="00E845FA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Viewed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as a role model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who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capable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leading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teaching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area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competency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590" w:type="pct"/>
            <w:shd w:val="clear" w:color="000000" w:fill="FFFFFF"/>
            <w:vAlign w:val="center"/>
          </w:tcPr>
          <w:p w14:paraId="6884BEB0" w14:textId="77777777" w:rsidR="00E845FA" w:rsidRPr="00A8777F" w:rsidRDefault="00E845FA" w:rsidP="00F4392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Úroveň 4 – </w:t>
            </w:r>
          </w:p>
          <w:p w14:paraId="4AC7B651" w14:textId="479454D5" w:rsidR="00E845FA" w:rsidRPr="00A8777F" w:rsidRDefault="00E845FA" w:rsidP="00F4392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Expert</w:t>
            </w:r>
          </w:p>
        </w:tc>
        <w:tc>
          <w:tcPr>
            <w:tcW w:w="2014" w:type="pct"/>
            <w:shd w:val="clear" w:color="000000" w:fill="FFFFFF"/>
          </w:tcPr>
          <w:p w14:paraId="6F54BE83" w14:textId="77777777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Rozsáhlá expertní znalost a dovednosti v oblasti dané kompetence.</w:t>
            </w:r>
          </w:p>
          <w:p w14:paraId="211D8F38" w14:textId="77777777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Schopnost upozornit na (ne)výhody každého z procesů souvisejících s kompetencí a propojit je do širšího obrazu.</w:t>
            </w:r>
          </w:p>
          <w:p w14:paraId="060C12EA" w14:textId="77777777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Schopnost poskytovat individuálně přizpůsobené poradenství a podpořit toto poradenství odpovídajícími argumenty podle konkrétního kontextu při reakci na interní a externí dotazy a připomínky.</w:t>
            </w:r>
          </w:p>
          <w:p w14:paraId="6AAA1950" w14:textId="183E5DFF" w:rsidR="00E845FA" w:rsidRPr="00A8777F" w:rsidRDefault="00E845FA" w:rsidP="00E845FA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Je ostatními vnímán jako vzor pro danou roli, který je v oblasti dané kompetence schopen vést nebo učit jiné.</w:t>
            </w:r>
          </w:p>
        </w:tc>
      </w:tr>
    </w:tbl>
    <w:p w14:paraId="241A681C" w14:textId="77777777" w:rsidR="0044373B" w:rsidRPr="00A8777F" w:rsidRDefault="0044373B" w:rsidP="0044373B">
      <w:pPr>
        <w:rPr>
          <w:rFonts w:ascii="Verdana" w:hAnsi="Verdana"/>
          <w:sz w:val="32"/>
          <w:szCs w:val="32"/>
          <w:lang w:val="cs-CZ"/>
        </w:rPr>
      </w:pPr>
    </w:p>
    <w:p w14:paraId="2418BEA9" w14:textId="77777777" w:rsidR="0044373B" w:rsidRPr="00A8777F" w:rsidRDefault="0044373B" w:rsidP="0044373B">
      <w:pPr>
        <w:rPr>
          <w:rFonts w:ascii="Verdana" w:hAnsi="Verdana"/>
          <w:sz w:val="32"/>
          <w:szCs w:val="32"/>
          <w:lang w:val="cs-CZ"/>
        </w:rPr>
      </w:pPr>
    </w:p>
    <w:p w14:paraId="64570D9E" w14:textId="77777777" w:rsidR="006645FC" w:rsidRPr="00A8777F" w:rsidRDefault="006645FC" w:rsidP="00EE307C">
      <w:pPr>
        <w:pStyle w:val="Heading1"/>
        <w:rPr>
          <w:lang w:val="cs-CZ"/>
        </w:rPr>
        <w:sectPr w:rsidR="006645FC" w:rsidRPr="00A8777F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049911F" w14:textId="77777777" w:rsidR="0083587D" w:rsidRPr="00A8777F" w:rsidRDefault="0083587D" w:rsidP="0083587D">
      <w:pPr>
        <w:pStyle w:val="Heading1"/>
        <w:rPr>
          <w:lang w:val="cs-CZ"/>
        </w:rPr>
      </w:pPr>
      <w:bookmarkStart w:id="5" w:name="_Toc494962280"/>
      <w:bookmarkStart w:id="6" w:name="_Toc508699910"/>
      <w:r w:rsidRPr="00A8777F">
        <w:rPr>
          <w:lang w:val="cs-CZ"/>
        </w:rPr>
        <w:lastRenderedPageBreak/>
        <w:t>Provozní kompetence</w:t>
      </w:r>
      <w:bookmarkEnd w:id="5"/>
      <w:bookmarkEnd w:id="6"/>
    </w:p>
    <w:tbl>
      <w:tblPr>
        <w:tblpPr w:leftFromText="180" w:rightFromText="180" w:vertAnchor="text" w:tblpY="1"/>
        <w:tblOverlap w:val="never"/>
        <w:tblW w:w="13570" w:type="dxa"/>
        <w:tblLook w:val="04A0" w:firstRow="1" w:lastRow="0" w:firstColumn="1" w:lastColumn="0" w:noHBand="0" w:noVBand="1"/>
      </w:tblPr>
      <w:tblGrid>
        <w:gridCol w:w="1534"/>
        <w:gridCol w:w="5887"/>
        <w:gridCol w:w="6149"/>
      </w:tblGrid>
      <w:tr w:rsidR="00391F02" w:rsidRPr="00A8777F" w14:paraId="0F2B647B" w14:textId="77777777" w:rsidTr="00391F02">
        <w:trPr>
          <w:trHeight w:val="377"/>
          <w:tblHeader/>
        </w:trPr>
        <w:tc>
          <w:tcPr>
            <w:tcW w:w="74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546A" w:themeFill="text2"/>
            <w:vAlign w:val="center"/>
          </w:tcPr>
          <w:p w14:paraId="1145D38E" w14:textId="783F8FFC" w:rsidR="00391F02" w:rsidRPr="00A8777F" w:rsidRDefault="00EC33A2" w:rsidP="00391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val="cs-CZ" w:bidi="he-I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val="cs-CZ" w:bidi="he-IL"/>
              </w:rPr>
              <w:t>angličtina</w:t>
            </w:r>
          </w:p>
        </w:tc>
        <w:tc>
          <w:tcPr>
            <w:tcW w:w="6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ED1BC23" w14:textId="489277AB" w:rsidR="00391F02" w:rsidRPr="00A8777F" w:rsidRDefault="0083587D" w:rsidP="00391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val="cs-CZ" w:bidi="he-IL"/>
              </w:rPr>
            </w:pPr>
            <w:r w:rsidRPr="00A8777F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val="cs-CZ" w:bidi="he-IL"/>
              </w:rPr>
              <w:t>čeština</w:t>
            </w:r>
          </w:p>
        </w:tc>
      </w:tr>
      <w:tr w:rsidR="007A0134" w:rsidRPr="00A8777F" w14:paraId="503DAA8F" w14:textId="77777777" w:rsidTr="00391F02">
        <w:trPr>
          <w:trHeight w:val="271"/>
          <w:tblHeader/>
        </w:trPr>
        <w:tc>
          <w:tcPr>
            <w:tcW w:w="1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6CF6DDF" w14:textId="77777777" w:rsidR="007A0134" w:rsidRPr="00A8777F" w:rsidRDefault="007A0134" w:rsidP="000A62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s-CZ" w:bidi="he-IL"/>
              </w:rPr>
            </w:pPr>
            <w:proofErr w:type="spellStart"/>
            <w:r w:rsidRPr="00A877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s-CZ" w:bidi="he-IL"/>
              </w:rPr>
              <w:t>Code</w:t>
            </w:r>
            <w:proofErr w:type="spellEnd"/>
          </w:p>
        </w:tc>
        <w:tc>
          <w:tcPr>
            <w:tcW w:w="58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EB6D60E" w14:textId="791E8008" w:rsidR="007A0134" w:rsidRPr="00A8777F" w:rsidRDefault="000A62E1" w:rsidP="000A62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s-CZ" w:bidi="he-IL"/>
              </w:rPr>
            </w:pPr>
            <w:proofErr w:type="spellStart"/>
            <w:r w:rsidRPr="00A877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s-CZ" w:bidi="he-IL"/>
              </w:rPr>
              <w:t>Competency</w:t>
            </w:r>
            <w:proofErr w:type="spellEnd"/>
            <w:r w:rsidR="00391F02" w:rsidRPr="00A8777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s-CZ" w:bidi="he-IL"/>
              </w:rPr>
              <w:t xml:space="preserve"> </w:t>
            </w:r>
          </w:p>
        </w:tc>
        <w:tc>
          <w:tcPr>
            <w:tcW w:w="6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ED351" w14:textId="251C3AD9" w:rsidR="007A0134" w:rsidRPr="00A8777F" w:rsidRDefault="00A8777F" w:rsidP="00391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cs-CZ" w:bidi="he-IL"/>
              </w:rPr>
            </w:pPr>
            <w:r w:rsidRPr="00A8777F">
              <w:rPr>
                <w:rFonts w:ascii="Verdana" w:hAnsi="Verdana"/>
                <w:b/>
                <w:sz w:val="20"/>
                <w:lang w:val="cs-CZ"/>
              </w:rPr>
              <w:t>Kompetence</w:t>
            </w:r>
          </w:p>
        </w:tc>
      </w:tr>
      <w:tr w:rsidR="007A0134" w:rsidRPr="00A8777F" w14:paraId="27057136" w14:textId="77777777" w:rsidTr="00391F02">
        <w:trPr>
          <w:trHeight w:val="288"/>
        </w:trPr>
        <w:tc>
          <w:tcPr>
            <w:tcW w:w="1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68C50B82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C1</w:t>
            </w:r>
          </w:p>
        </w:tc>
        <w:tc>
          <w:tcPr>
            <w:tcW w:w="58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6A577914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Audit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standards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procedures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methodologies</w:t>
            </w:r>
            <w:proofErr w:type="spellEnd"/>
          </w:p>
        </w:tc>
        <w:tc>
          <w:tcPr>
            <w:tcW w:w="6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8CCE1F6" w14:textId="5CF1B4A9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Auditorské standardy, postupy a metodiky</w:t>
            </w:r>
          </w:p>
        </w:tc>
      </w:tr>
      <w:tr w:rsidR="007A0134" w:rsidRPr="00A8777F" w14:paraId="3D87DA36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6D4EC1A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1725FDD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Eligibility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expenditure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BD46087" w14:textId="62D627F7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Způsobilost výdajů</w:t>
            </w:r>
          </w:p>
        </w:tc>
      </w:tr>
      <w:tr w:rsidR="007A0134" w:rsidRPr="004F2EC1" w14:paraId="188D8C06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FCB0D51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C3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BCAA75B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Fraud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risk management (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incl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prevention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detection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mitigation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measures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)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8831A1D" w14:textId="71F61F64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Řízení rizik podvodu (včetně opatření v oblasti předcházení podvodům, odhalování podvodů a zmírňování rizik)</w:t>
            </w:r>
          </w:p>
        </w:tc>
      </w:tr>
      <w:tr w:rsidR="007A0134" w:rsidRPr="00A8777F" w14:paraId="7AE8B625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9419295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33A10DC9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Simplified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Cost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Options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49A9F93" w14:textId="7AB4A6FA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Zjednodušené vykazování nákladů</w:t>
            </w:r>
          </w:p>
        </w:tc>
      </w:tr>
      <w:tr w:rsidR="007A0134" w:rsidRPr="004F2EC1" w14:paraId="2786D266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CA0B149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BBE237F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Financial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instruments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relevant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for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function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864A124" w14:textId="5910491D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Finanční nástroje související s danou funkcí</w:t>
            </w:r>
          </w:p>
        </w:tc>
      </w:tr>
      <w:tr w:rsidR="007A0134" w:rsidRPr="00A8777F" w14:paraId="5A4E891F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7A42513E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D33AE95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Horizontal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issues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2BD7C19" w14:textId="49F80903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Horizontální otázky</w:t>
            </w:r>
          </w:p>
        </w:tc>
      </w:tr>
      <w:tr w:rsidR="007A0134" w:rsidRPr="004F2EC1" w14:paraId="174BC97A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1EF5364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C7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255ED0BD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Public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procurement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rules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17A98FC" w14:textId="7110AA85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Pravidla pro zadávání veřejných zakázek</w:t>
            </w:r>
          </w:p>
        </w:tc>
      </w:tr>
      <w:tr w:rsidR="007A0134" w:rsidRPr="00A8777F" w14:paraId="301295DA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17CFD33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C8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30A69FD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State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Aid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190EE4C" w14:textId="63445C27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Státní podpora</w:t>
            </w:r>
          </w:p>
        </w:tc>
      </w:tr>
      <w:tr w:rsidR="007A0134" w:rsidRPr="00A8777F" w14:paraId="3AB6D41D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40BA788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C9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E2701DB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Audit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standards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procedures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methodologies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97F10DE" w14:textId="723D26B2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Auditorské standardy, postupy a metodiky</w:t>
            </w:r>
          </w:p>
        </w:tc>
      </w:tr>
      <w:tr w:rsidR="007A0134" w:rsidRPr="00A8777F" w14:paraId="52992BDC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2F4309C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3CF97C81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IT Audit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standards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A2A44AB" w14:textId="69B2D762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Standardy pro audit IT</w:t>
            </w:r>
          </w:p>
        </w:tc>
      </w:tr>
      <w:tr w:rsidR="007A0134" w:rsidRPr="00A8777F" w14:paraId="41094034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9348BA9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C11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FDEAC15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Sampling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extrapolation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methods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C7C8BBB" w14:textId="12F29693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Metody výběru vzorků a extrapolace</w:t>
            </w:r>
          </w:p>
        </w:tc>
      </w:tr>
      <w:tr w:rsidR="007A0134" w:rsidRPr="00A8777F" w14:paraId="398519CC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AF0D85E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C12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24A960F2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Funding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gap and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revenue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generation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0F8F2BE" w14:textId="28F55738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Mezera ve financování a tvorba příjmů</w:t>
            </w:r>
          </w:p>
        </w:tc>
      </w:tr>
      <w:tr w:rsidR="007A0134" w:rsidRPr="004F2EC1" w14:paraId="55AE316F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23B787B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C13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7E89EA8F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Major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projects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procedures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/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legislation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BF87506" w14:textId="39106F54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Postupy / právní předpisy pro velké projekty</w:t>
            </w:r>
          </w:p>
        </w:tc>
      </w:tr>
      <w:tr w:rsidR="007A0134" w:rsidRPr="004F2EC1" w14:paraId="68316A07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6AB4964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C14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42B418B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Territorial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issues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, such as ITI, CLLD,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Sustainable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urban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development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macro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/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regional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strategies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interregional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cooperation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planning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A7E3E86" w14:textId="2DD5C83B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Územní otázky, např. integrované územní investice, komunitně vedený místní rozvoj, udržitelný rozvoj měst, makro/regionální strategie a plánování meziregionální spolupráce</w:t>
            </w:r>
          </w:p>
        </w:tc>
      </w:tr>
      <w:tr w:rsidR="007A0134" w:rsidRPr="004F2EC1" w14:paraId="41C02A9F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ABD7618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C15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6168519B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Administrative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procedures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for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procurement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goods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services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from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Technical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Assistance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A0F8DCF" w14:textId="5BC4F131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Správní postupy pro veřejné zakázky na zboží a služby v rámci technické pomoci</w:t>
            </w:r>
          </w:p>
        </w:tc>
      </w:tr>
      <w:tr w:rsidR="007A0134" w:rsidRPr="00A8777F" w14:paraId="7D30E892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42FE950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C16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3D16437B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Input, output,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results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indicators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A279FFA" w14:textId="4D36327A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Ukazatele vstupů, výstupů, výsledků</w:t>
            </w:r>
          </w:p>
        </w:tc>
      </w:tr>
      <w:tr w:rsidR="007A0134" w:rsidRPr="00A8777F" w14:paraId="40F10764" w14:textId="77777777" w:rsidTr="00391F02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857366D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C17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24CFEA83" w14:textId="77777777" w:rsidR="007A0134" w:rsidRPr="00A8777F" w:rsidRDefault="007A013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Incentive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effect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764612E" w14:textId="6DDE5F2A" w:rsidR="007A0134" w:rsidRPr="00A8777F" w:rsidRDefault="009E0654" w:rsidP="00391F02">
            <w:pPr>
              <w:spacing w:after="0"/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>Motivační účinek</w:t>
            </w:r>
          </w:p>
        </w:tc>
      </w:tr>
      <w:tr w:rsidR="0083587D" w:rsidRPr="004F2EC1" w14:paraId="21AF33FC" w14:textId="77777777" w:rsidTr="00A002A9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79B54D75" w14:textId="77777777" w:rsidR="0083587D" w:rsidRPr="00A8777F" w:rsidRDefault="0083587D" w:rsidP="0083587D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AA.O.</w:t>
            </w:r>
            <w:proofErr w:type="gram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C18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3B69824E" w14:textId="77777777" w:rsidR="0083587D" w:rsidRPr="00A8777F" w:rsidRDefault="0083587D" w:rsidP="0083587D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Programme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management and Project </w:t>
            </w:r>
            <w:proofErr w:type="spellStart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>Cycle</w:t>
            </w:r>
            <w:proofErr w:type="spellEnd"/>
            <w:r w:rsidRPr="00A8777F">
              <w:rPr>
                <w:rFonts w:ascii="Verdana" w:hAnsi="Verdana"/>
                <w:sz w:val="20"/>
                <w:szCs w:val="20"/>
                <w:lang w:val="cs-CZ"/>
              </w:rPr>
              <w:t xml:space="preserve"> management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9B8CD77" w14:textId="4B7CF98E" w:rsidR="0083587D" w:rsidRPr="00A8777F" w:rsidRDefault="0083587D" w:rsidP="0083587D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/>
                <w:sz w:val="20"/>
                <w:lang w:val="cs-CZ"/>
              </w:rPr>
              <w:t xml:space="preserve">Řízení programu a řízení projektového cyklu </w:t>
            </w:r>
          </w:p>
        </w:tc>
      </w:tr>
    </w:tbl>
    <w:p w14:paraId="7FFA1DF7" w14:textId="77777777" w:rsidR="00391F02" w:rsidRPr="00A8777F" w:rsidRDefault="00391F02" w:rsidP="00EE307C">
      <w:pPr>
        <w:pStyle w:val="Heading1"/>
        <w:rPr>
          <w:lang w:val="cs-CZ"/>
        </w:rPr>
        <w:sectPr w:rsidR="00391F02" w:rsidRPr="00A8777F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7F86C2" w14:textId="77777777" w:rsidR="00A8777F" w:rsidRPr="00A8777F" w:rsidRDefault="00A8777F" w:rsidP="00A8777F">
      <w:pPr>
        <w:pStyle w:val="Heading1"/>
        <w:rPr>
          <w:lang w:val="cs-CZ"/>
        </w:rPr>
      </w:pPr>
      <w:bookmarkStart w:id="7" w:name="_Toc494962281"/>
      <w:bookmarkStart w:id="8" w:name="_Toc508699911"/>
      <w:r w:rsidRPr="00A8777F">
        <w:rPr>
          <w:lang w:val="cs-CZ"/>
        </w:rPr>
        <w:lastRenderedPageBreak/>
        <w:t>Řídicí kompetence</w:t>
      </w:r>
      <w:bookmarkEnd w:id="7"/>
      <w:bookmarkEnd w:id="8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908"/>
        <w:gridCol w:w="3845"/>
        <w:gridCol w:w="1742"/>
        <w:gridCol w:w="4664"/>
      </w:tblGrid>
      <w:tr w:rsidR="003F0065" w:rsidRPr="00A8777F" w14:paraId="61B9EAA3" w14:textId="77777777" w:rsidTr="00391F02">
        <w:trPr>
          <w:trHeight w:val="485"/>
          <w:tblHeader/>
        </w:trPr>
        <w:tc>
          <w:tcPr>
            <w:tcW w:w="386" w:type="pct"/>
            <w:shd w:val="clear" w:color="auto" w:fill="1F3864" w:themeFill="accent5" w:themeFillShade="80"/>
          </w:tcPr>
          <w:p w14:paraId="4122E431" w14:textId="77777777" w:rsidR="003F0065" w:rsidRPr="00A8777F" w:rsidRDefault="003F0065" w:rsidP="00AD2B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val="cs-CZ" w:bidi="he-IL"/>
              </w:rPr>
            </w:pPr>
          </w:p>
        </w:tc>
        <w:tc>
          <w:tcPr>
            <w:tcW w:w="2183" w:type="pct"/>
            <w:gridSpan w:val="2"/>
            <w:shd w:val="clear" w:color="auto" w:fill="1F3864" w:themeFill="accent5" w:themeFillShade="80"/>
            <w:noWrap/>
            <w:vAlign w:val="center"/>
          </w:tcPr>
          <w:p w14:paraId="72990710" w14:textId="6D0E1654" w:rsidR="003F0065" w:rsidRPr="00A8777F" w:rsidRDefault="00EC33A2" w:rsidP="001629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val="cs-CZ" w:bidi="he-I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val="cs-CZ" w:bidi="he-IL"/>
              </w:rPr>
              <w:t>angličtina</w:t>
            </w:r>
          </w:p>
        </w:tc>
        <w:tc>
          <w:tcPr>
            <w:tcW w:w="2431" w:type="pct"/>
            <w:gridSpan w:val="2"/>
            <w:shd w:val="clear" w:color="auto" w:fill="1F3864" w:themeFill="accent5" w:themeFillShade="80"/>
            <w:vAlign w:val="center"/>
          </w:tcPr>
          <w:p w14:paraId="73B0D3CA" w14:textId="614BA736" w:rsidR="003F0065" w:rsidRPr="00A8777F" w:rsidRDefault="00A8777F" w:rsidP="00A87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val="cs-CZ" w:bidi="he-IL"/>
              </w:rPr>
            </w:pPr>
            <w:r w:rsidRPr="00A8777F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val="cs-CZ" w:bidi="he-IL"/>
              </w:rPr>
              <w:t>čeština</w:t>
            </w:r>
          </w:p>
        </w:tc>
      </w:tr>
      <w:tr w:rsidR="00A8777F" w:rsidRPr="00A8777F" w14:paraId="016DC1DD" w14:textId="77777777" w:rsidTr="00DD2B2A">
        <w:trPr>
          <w:trHeight w:val="255"/>
          <w:tblHeader/>
        </w:trPr>
        <w:tc>
          <w:tcPr>
            <w:tcW w:w="386" w:type="pct"/>
            <w:shd w:val="clear" w:color="auto" w:fill="EDEDED" w:themeFill="accent3" w:themeFillTint="33"/>
          </w:tcPr>
          <w:p w14:paraId="346B4B9A" w14:textId="474E97EB" w:rsidR="00A8777F" w:rsidRPr="00A8777F" w:rsidRDefault="00EC33A2" w:rsidP="00AD2B31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  <w:t>Kód</w:t>
            </w:r>
          </w:p>
        </w:tc>
        <w:tc>
          <w:tcPr>
            <w:tcW w:w="724" w:type="pct"/>
            <w:shd w:val="clear" w:color="auto" w:fill="EDEDED" w:themeFill="accent3" w:themeFillTint="33"/>
            <w:noWrap/>
            <w:vAlign w:val="center"/>
            <w:hideMark/>
          </w:tcPr>
          <w:p w14:paraId="13402B5D" w14:textId="5B67AF6F" w:rsidR="00A8777F" w:rsidRPr="00A8777F" w:rsidRDefault="00A8777F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  <w:t>Competency</w:t>
            </w:r>
            <w:proofErr w:type="spellEnd"/>
          </w:p>
        </w:tc>
        <w:tc>
          <w:tcPr>
            <w:tcW w:w="1459" w:type="pct"/>
            <w:shd w:val="clear" w:color="auto" w:fill="EDEDED" w:themeFill="accent3" w:themeFillTint="33"/>
            <w:noWrap/>
            <w:vAlign w:val="center"/>
            <w:hideMark/>
          </w:tcPr>
          <w:p w14:paraId="1FCC4F27" w14:textId="77777777" w:rsidR="00A8777F" w:rsidRPr="00A8777F" w:rsidRDefault="00A8777F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  <w:t>Description</w:t>
            </w:r>
            <w:proofErr w:type="spellEnd"/>
          </w:p>
        </w:tc>
        <w:tc>
          <w:tcPr>
            <w:tcW w:w="661" w:type="pct"/>
            <w:shd w:val="clear" w:color="auto" w:fill="EDEDED" w:themeFill="accent3" w:themeFillTint="33"/>
            <w:vAlign w:val="center"/>
          </w:tcPr>
          <w:p w14:paraId="7C053FC4" w14:textId="1E83F0B1" w:rsidR="00A8777F" w:rsidRPr="00A8777F" w:rsidRDefault="00A8777F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b/>
                <w:sz w:val="20"/>
                <w:lang w:val="cs-CZ"/>
              </w:rPr>
              <w:t>Kompetence</w:t>
            </w:r>
          </w:p>
        </w:tc>
        <w:tc>
          <w:tcPr>
            <w:tcW w:w="1770" w:type="pct"/>
            <w:shd w:val="clear" w:color="auto" w:fill="EDEDED" w:themeFill="accent3" w:themeFillTint="33"/>
          </w:tcPr>
          <w:p w14:paraId="706C2FAC" w14:textId="3BBB6588" w:rsidR="00A8777F" w:rsidRPr="00A8777F" w:rsidRDefault="00A8777F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b/>
                <w:sz w:val="20"/>
                <w:lang w:val="cs-CZ"/>
              </w:rPr>
              <w:t>Popis</w:t>
            </w:r>
          </w:p>
        </w:tc>
      </w:tr>
      <w:tr w:rsidR="00A8777F" w:rsidRPr="004F2EC1" w14:paraId="4617CB3F" w14:textId="77777777" w:rsidTr="000A62E1">
        <w:trPr>
          <w:trHeight w:val="579"/>
        </w:trPr>
        <w:tc>
          <w:tcPr>
            <w:tcW w:w="386" w:type="pct"/>
            <w:shd w:val="clear" w:color="000000" w:fill="FFFFFF"/>
            <w:vAlign w:val="center"/>
          </w:tcPr>
          <w:p w14:paraId="6AB2EFCF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M.C1</w:t>
            </w:r>
            <w:proofErr w:type="gramEnd"/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6DA6BEB3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Developing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people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management</w:t>
            </w:r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30EED0EA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provide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timely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clear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specific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guidance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feedback and support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identifying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development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training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needs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opportunities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developing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their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knowledge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skills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needed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accomplish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assigned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tasks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solve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issues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as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well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as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manage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activities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employees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their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development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performance in 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manner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maximise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efficiency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human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resources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54D16C76" w14:textId="1651DDF3" w:rsidR="00A8777F" w:rsidRPr="00A8777F" w:rsidRDefault="00A8777F" w:rsidP="003C2C41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  <w:bookmarkStart w:id="9" w:name="_GoBack"/>
            <w:r w:rsidRPr="00A8777F">
              <w:rPr>
                <w:rFonts w:ascii="Verdana" w:hAnsi="Verdana" w:cstheme="minorHAnsi"/>
                <w:sz w:val="20"/>
                <w:lang w:val="cs-CZ"/>
              </w:rPr>
              <w:t>Rozvoj ostatních a řízení pracovníků</w:t>
            </w:r>
            <w:bookmarkEnd w:id="9"/>
          </w:p>
        </w:tc>
        <w:tc>
          <w:tcPr>
            <w:tcW w:w="1770" w:type="pct"/>
            <w:shd w:val="clear" w:color="000000" w:fill="FFFFFF"/>
            <w:vAlign w:val="center"/>
          </w:tcPr>
          <w:p w14:paraId="013AC157" w14:textId="106AEC11" w:rsidR="00A8777F" w:rsidRPr="00A8777F" w:rsidRDefault="00A8777F" w:rsidP="00EC33A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poskytnout včasné, jasné a konkrétní pokyny a zpětnou vazbu a podpořit ostatní při určování potřeb a příležitostí v oblasti rozvoje a odborné přípravy, rozvíjet jejich znalosti, dovednosti a schopnosti potřebné k plnění přidělených úkolů nebo řešení problémů, jakož i prokazování schopnosti řídit pracovní činnosti zaměstnanců, jejich rozvoj a výkonnost tak, aby byla maximalizována efektivnost lidských zdrojů.</w:t>
            </w:r>
          </w:p>
        </w:tc>
      </w:tr>
      <w:tr w:rsidR="00A8777F" w:rsidRPr="004F2EC1" w14:paraId="32557D3F" w14:textId="77777777" w:rsidTr="000A62E1">
        <w:trPr>
          <w:trHeight w:val="765"/>
        </w:trPr>
        <w:tc>
          <w:tcPr>
            <w:tcW w:w="386" w:type="pct"/>
            <w:shd w:val="clear" w:color="000000" w:fill="FFFFFF"/>
            <w:vAlign w:val="center"/>
          </w:tcPr>
          <w:p w14:paraId="19DD02E9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M.C2</w:t>
            </w:r>
            <w:proofErr w:type="gramEnd"/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4EC56D79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Decision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making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0705AA14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efficient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approaches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drawing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conclusions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developing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solutions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take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timely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consistent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available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data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facts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received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from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different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sources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limitations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potential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consequences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7F5A830D" w14:textId="749CFF95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Rozhodování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4E6275FE" w14:textId="748A0FE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uplatnit efektivní přístupy za účelem vyvození závěrů nebo přípravy řešení a přijmout včasné opatření v souladu s dostupnými údaji a skutečnostmi získanými z různých zdrojů, s omezeními a potenciálními důsledky.</w:t>
            </w:r>
          </w:p>
        </w:tc>
      </w:tr>
      <w:tr w:rsidR="00A8777F" w:rsidRPr="004F2EC1" w14:paraId="18E0B375" w14:textId="77777777" w:rsidTr="000A62E1">
        <w:trPr>
          <w:trHeight w:val="1020"/>
        </w:trPr>
        <w:tc>
          <w:tcPr>
            <w:tcW w:w="386" w:type="pct"/>
            <w:shd w:val="clear" w:color="000000" w:fill="FFFFFF"/>
            <w:vAlign w:val="center"/>
          </w:tcPr>
          <w:p w14:paraId="14B2A9EA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M.C3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252D2930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Delegation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5091CC3C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allocate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decision-making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and/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task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responsibility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ensure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clear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communication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about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allocation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completion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responsibilities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and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provide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appropriate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support in 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manner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maximise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organisational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individuals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effectiveness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045503AD" w14:textId="6E19679C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lastRenderedPageBreak/>
              <w:t>Delegování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4C7AAA36" w14:textId="5B04FF29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přidělovat rozhodovací odpovědnost a/nebo odpovědnost za konkrétní úkoly ostatním, zajistit jasnou komunikaci týkající se rozdělení a plnění povinností a poskytnout odpovídající podporu tak, aby byla maximalizována efektivnost organizace i jednotlivců.</w:t>
            </w:r>
          </w:p>
        </w:tc>
      </w:tr>
      <w:tr w:rsidR="00A8777F" w:rsidRPr="004F2EC1" w14:paraId="14EF58C5" w14:textId="77777777" w:rsidTr="000A62E1">
        <w:trPr>
          <w:trHeight w:val="765"/>
        </w:trPr>
        <w:tc>
          <w:tcPr>
            <w:tcW w:w="386" w:type="pct"/>
            <w:shd w:val="clear" w:color="000000" w:fill="FFFFFF"/>
            <w:vAlign w:val="center"/>
          </w:tcPr>
          <w:p w14:paraId="7F51612C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M.C4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7009D4BC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Facilitation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443324F6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evoke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engagement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creativity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from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use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group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capabilities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lead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group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consensus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effectively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solve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issues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accomplish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tasks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mutual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791DC429" w14:textId="4458161A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Facilitace a komunikace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05FB4E16" w14:textId="5A5D3D96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vzbuzovat u ostatních angažovanost a kreativitu, využívat skupinových schopností a vést skupinu ke konsenzu, účinně řešit problémy, plnit úkoly a společné cíle.</w:t>
            </w:r>
          </w:p>
        </w:tc>
      </w:tr>
      <w:tr w:rsidR="00A8777F" w:rsidRPr="004F2EC1" w14:paraId="5B8CE7C2" w14:textId="77777777" w:rsidTr="000A62E1">
        <w:trPr>
          <w:trHeight w:val="765"/>
        </w:trPr>
        <w:tc>
          <w:tcPr>
            <w:tcW w:w="386" w:type="pct"/>
            <w:shd w:val="clear" w:color="000000" w:fill="FFFFFF"/>
            <w:vAlign w:val="center"/>
          </w:tcPr>
          <w:p w14:paraId="3D2D2893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M.C5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087A7349" w14:textId="1FA9CF53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bookmarkStart w:id="10" w:name="RANGE!B8"/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Leadership</w:t>
            </w:r>
            <w:bookmarkEnd w:id="10"/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5CA56FDD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energize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inspire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individuals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strive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towards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vision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future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present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clearly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objectives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create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sense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direction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purpose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employees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as 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catalyst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62CE9D46" w14:textId="28A60398" w:rsidR="00A8777F" w:rsidRPr="00A8777F" w:rsidRDefault="00A8777F" w:rsidP="009E0654">
            <w:pPr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Vedení lidí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02D5B4FC" w14:textId="48BC1376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podněcovat a inspirovat jednotlivce, aby se snažili naplnit vizi budoucnosti, jasně prezentovat záměry a cíle, vzbuzovat u zaměstnanců smysl pro zacílení a účel a působit jako prvek motivující k rychlému postupu.</w:t>
            </w:r>
          </w:p>
        </w:tc>
      </w:tr>
      <w:tr w:rsidR="00A8777F" w:rsidRPr="004F2EC1" w14:paraId="3D979643" w14:textId="77777777" w:rsidTr="000A62E1">
        <w:trPr>
          <w:trHeight w:val="765"/>
        </w:trPr>
        <w:tc>
          <w:tcPr>
            <w:tcW w:w="386" w:type="pct"/>
            <w:shd w:val="clear" w:color="000000" w:fill="FFFFFF"/>
            <w:vAlign w:val="center"/>
          </w:tcPr>
          <w:p w14:paraId="47A3F0DE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M.C6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775C5AFF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Multi-level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stakeholder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management</w:t>
            </w:r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2D1BED7C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understand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objectives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various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stakeholders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ensure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efficient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cooperation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stakeholders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engagement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incl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being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open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stimulating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exchange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good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practices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between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different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Member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States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).  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237289D6" w14:textId="76B0D022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Víceúrovňové řízení zúčastněných subjektů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7C1E9DC5" w14:textId="7CC54242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Prokazování schopnosti porozumět záměrům a cílům různých zúčastněných subjektů, zajistit efektivní spolupráci a zapojení zúčastněných subjektů (včetně otevřeného přístupu a podněcování výměny osvědčených postupů mezi různými členskými státy).  </w:t>
            </w:r>
          </w:p>
        </w:tc>
      </w:tr>
      <w:tr w:rsidR="00A8777F" w:rsidRPr="00A8777F" w14:paraId="5F12FC3D" w14:textId="77777777" w:rsidTr="000A62E1">
        <w:trPr>
          <w:trHeight w:val="765"/>
        </w:trPr>
        <w:tc>
          <w:tcPr>
            <w:tcW w:w="386" w:type="pct"/>
            <w:shd w:val="clear" w:color="000000" w:fill="FFFFFF"/>
            <w:vAlign w:val="center"/>
          </w:tcPr>
          <w:p w14:paraId="7B6C6061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M.C7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07BA537E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Negotiating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1221ABC5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effectively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explore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facilitating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discussion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asking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questions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responding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objections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etc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.)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alternatives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positions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reach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outcomes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are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accepted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all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parties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(a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win-win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solution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).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30C75160" w14:textId="2BCF3F61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lastRenderedPageBreak/>
              <w:t>Vyjednávání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69899B2D" w14:textId="18EB0286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Prokazování schopnosti účinně zkoumat (zprostředkováním diskuse, kladením dotazů, reagováním na námitky atd.) alternativy a stanoviska ostatních s cílem dosáhnout výstupů, které všechny strany přijmou (řešení prospěšné pro všechny </w:t>
            </w:r>
            <w:r w:rsidRPr="00A8777F">
              <w:rPr>
                <w:rFonts w:ascii="Verdana" w:hAnsi="Verdana" w:cstheme="minorHAnsi"/>
                <w:sz w:val="20"/>
                <w:lang w:val="cs-CZ"/>
              </w:rPr>
              <w:lastRenderedPageBreak/>
              <w:t>strany tzv. „</w:t>
            </w:r>
            <w:proofErr w:type="spellStart"/>
            <w:r w:rsidRPr="00A8777F">
              <w:rPr>
                <w:rFonts w:ascii="Verdana" w:hAnsi="Verdana" w:cstheme="minorHAnsi"/>
                <w:sz w:val="20"/>
                <w:lang w:val="cs-CZ"/>
              </w:rPr>
              <w:t>win-win</w:t>
            </w:r>
            <w:proofErr w:type="spellEnd"/>
            <w:r w:rsidRPr="00A8777F">
              <w:rPr>
                <w:rFonts w:ascii="Verdana" w:hAnsi="Verdana" w:cstheme="minorHAnsi"/>
                <w:sz w:val="20"/>
                <w:lang w:val="cs-CZ"/>
              </w:rPr>
              <w:t>“).</w:t>
            </w:r>
          </w:p>
        </w:tc>
      </w:tr>
      <w:tr w:rsidR="00A8777F" w:rsidRPr="004F2EC1" w14:paraId="4CD227BE" w14:textId="77777777" w:rsidTr="000A62E1">
        <w:trPr>
          <w:trHeight w:val="510"/>
        </w:trPr>
        <w:tc>
          <w:tcPr>
            <w:tcW w:w="386" w:type="pct"/>
            <w:shd w:val="clear" w:color="000000" w:fill="FFFFFF"/>
            <w:vAlign w:val="center"/>
          </w:tcPr>
          <w:p w14:paraId="7663A9C4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M.C8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6874BCD6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Result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orientation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617D48AA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set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challenging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maintain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focus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persistence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constantly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achieve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deliver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required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results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even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proofErr w:type="gram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proofErr w:type="gram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case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adversity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1E598351" w14:textId="57BD5E6C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Zaměření na výsledky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6B0F80EE" w14:textId="38C04AC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stanovit náročné cíle, udržovat pozornost a soustavnost a trvale dosahovat cílů nebo zajišťovat požadované výsledky, a to i za nepříznivé situace.</w:t>
            </w:r>
          </w:p>
        </w:tc>
      </w:tr>
      <w:tr w:rsidR="00A8777F" w:rsidRPr="004F2EC1" w14:paraId="512C0CE6" w14:textId="77777777" w:rsidTr="000A62E1">
        <w:trPr>
          <w:trHeight w:val="765"/>
        </w:trPr>
        <w:tc>
          <w:tcPr>
            <w:tcW w:w="386" w:type="pct"/>
            <w:shd w:val="clear" w:color="000000" w:fill="FFFFFF"/>
            <w:vAlign w:val="center"/>
          </w:tcPr>
          <w:p w14:paraId="354B7279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M.C9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2A736C9E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Strategic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management</w:t>
            </w:r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291AA904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make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decisions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take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lead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development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implementation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strategies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aligned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strategic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direction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organisation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achievement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objectives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7ED2BA18" w14:textId="1DD7DEA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Strategické řízení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753A1B09" w14:textId="4E5F1BAA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přijímat rozhodnutí a opatření, která vedou k rozvoji a provádění strategií sladěných se strategickým směřováním organizace a dosahováním cílů.</w:t>
            </w:r>
          </w:p>
        </w:tc>
      </w:tr>
      <w:tr w:rsidR="00A8777F" w:rsidRPr="004F2EC1" w14:paraId="47745621" w14:textId="77777777" w:rsidTr="000A62E1">
        <w:trPr>
          <w:trHeight w:val="765"/>
        </w:trPr>
        <w:tc>
          <w:tcPr>
            <w:tcW w:w="386" w:type="pct"/>
            <w:shd w:val="clear" w:color="000000" w:fill="FFFFFF"/>
            <w:vAlign w:val="center"/>
          </w:tcPr>
          <w:p w14:paraId="21F7AB4C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M.C10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357350FC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Risk management</w:t>
            </w:r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23F6AD3D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identify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analyse,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assess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prioritize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risks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minimize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monitor,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control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probability and/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impact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unfortunate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events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maximize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realization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opportunities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4960C0E5" w14:textId="28CFB131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Řízení rizik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1FD4F2D3" w14:textId="16A0C88C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určovat, analyzovat a hodnotit rizika a stanovovat jejich prioritu a minimalizovat, monitorovat a kontrolovat pravděpodobnost a/nebo dopad nepříznivých událostí nebo maximalizovat využívání příležitostí.</w:t>
            </w:r>
          </w:p>
        </w:tc>
      </w:tr>
      <w:tr w:rsidR="00A8777F" w:rsidRPr="004F2EC1" w14:paraId="754D2D10" w14:textId="77777777" w:rsidTr="000A62E1">
        <w:trPr>
          <w:trHeight w:val="765"/>
        </w:trPr>
        <w:tc>
          <w:tcPr>
            <w:tcW w:w="386" w:type="pct"/>
            <w:shd w:val="clear" w:color="000000" w:fill="FFFFFF"/>
            <w:vAlign w:val="center"/>
          </w:tcPr>
          <w:p w14:paraId="551902C8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M.C11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3B8CA7D8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Planning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resources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1E0FE69B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manage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organization's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resources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including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but not limited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financial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resources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inventory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human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skills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production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resources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information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technology (IT)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efficient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effective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way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630E99AE" w14:textId="1D531E4E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Plánování zdrojů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422A8C17" w14:textId="7B3A0CB5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efektivně a účinně řídit zdroje organizace, mimo jiné včetně finančních zdrojů, zásob, lidských dovedností, výrobních zdrojů, informační technologie (IT).</w:t>
            </w:r>
          </w:p>
        </w:tc>
      </w:tr>
      <w:tr w:rsidR="00A8777F" w:rsidRPr="004F2EC1" w14:paraId="51E43689" w14:textId="77777777" w:rsidTr="000A62E1">
        <w:trPr>
          <w:trHeight w:val="765"/>
        </w:trPr>
        <w:tc>
          <w:tcPr>
            <w:tcW w:w="386" w:type="pct"/>
            <w:shd w:val="clear" w:color="000000" w:fill="FFFFFF"/>
            <w:vAlign w:val="center"/>
          </w:tcPr>
          <w:p w14:paraId="2CC6AF6E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M.C12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14:paraId="5D44E919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HR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Strategy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development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implementation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37AF51A1" w14:textId="77777777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make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decisions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take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lead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development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implementation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HR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strategies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aligned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strategic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direction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organisation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achievement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objectives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14:paraId="5BDB5664" w14:textId="6224F94B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Příprava a provádění strategie lidských zdrojů</w:t>
            </w:r>
          </w:p>
        </w:tc>
        <w:tc>
          <w:tcPr>
            <w:tcW w:w="1770" w:type="pct"/>
            <w:shd w:val="clear" w:color="000000" w:fill="FFFFFF"/>
            <w:vAlign w:val="center"/>
          </w:tcPr>
          <w:p w14:paraId="088E306B" w14:textId="7AD4EEFA" w:rsidR="00A8777F" w:rsidRPr="00A8777F" w:rsidRDefault="00A8777F" w:rsidP="00B579F3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přijímat rozhodnutí a opatření, která vedou k rozvoji a provádění strategií lidských zdrojů sladěných se strategickým směřováním organizace a dosahováním cílů.</w:t>
            </w:r>
          </w:p>
        </w:tc>
      </w:tr>
    </w:tbl>
    <w:p w14:paraId="3B0D126B" w14:textId="77777777" w:rsidR="000E47BD" w:rsidRPr="00A8777F" w:rsidRDefault="000E47BD" w:rsidP="000E47BD">
      <w:pPr>
        <w:spacing w:after="0"/>
        <w:rPr>
          <w:rFonts w:ascii="Verdana" w:hAnsi="Verdana" w:cstheme="minorHAnsi"/>
          <w:sz w:val="32"/>
          <w:szCs w:val="32"/>
          <w:lang w:val="cs-CZ"/>
        </w:rPr>
      </w:pPr>
    </w:p>
    <w:p w14:paraId="7F8854E1" w14:textId="77777777" w:rsidR="00306B4F" w:rsidRPr="00A8777F" w:rsidRDefault="00306B4F" w:rsidP="00EE307C">
      <w:pPr>
        <w:pStyle w:val="Heading1"/>
        <w:rPr>
          <w:lang w:val="cs-CZ"/>
        </w:rPr>
        <w:sectPr w:rsidR="00306B4F" w:rsidRPr="00A8777F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02C564" w14:textId="77777777" w:rsidR="00A8777F" w:rsidRPr="00A8777F" w:rsidRDefault="00A8777F" w:rsidP="00A8777F">
      <w:pPr>
        <w:pStyle w:val="Heading1"/>
        <w:rPr>
          <w:lang w:val="cs-CZ"/>
        </w:rPr>
      </w:pPr>
      <w:bookmarkStart w:id="11" w:name="_Toc494962282"/>
      <w:bookmarkStart w:id="12" w:name="_Toc508699912"/>
      <w:r w:rsidRPr="00A8777F">
        <w:rPr>
          <w:lang w:val="cs-CZ"/>
        </w:rPr>
        <w:lastRenderedPageBreak/>
        <w:t>Odborné kompetence</w:t>
      </w:r>
      <w:bookmarkEnd w:id="11"/>
      <w:bookmarkEnd w:id="12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913"/>
        <w:gridCol w:w="3115"/>
        <w:gridCol w:w="2198"/>
        <w:gridCol w:w="4757"/>
      </w:tblGrid>
      <w:tr w:rsidR="003F0065" w:rsidRPr="00A8777F" w14:paraId="492B2553" w14:textId="77777777" w:rsidTr="00391F02">
        <w:trPr>
          <w:trHeight w:val="377"/>
          <w:tblHeader/>
        </w:trPr>
        <w:tc>
          <w:tcPr>
            <w:tcW w:w="453" w:type="pct"/>
            <w:shd w:val="clear" w:color="auto" w:fill="1F3864" w:themeFill="accent5" w:themeFillShade="80"/>
          </w:tcPr>
          <w:p w14:paraId="5E86BC8A" w14:textId="77777777" w:rsidR="003F0065" w:rsidRPr="00A8777F" w:rsidRDefault="003F0065" w:rsidP="001D4E0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1908" w:type="pct"/>
            <w:gridSpan w:val="2"/>
            <w:shd w:val="clear" w:color="auto" w:fill="1F3864" w:themeFill="accent5" w:themeFillShade="80"/>
            <w:noWrap/>
            <w:vAlign w:val="center"/>
          </w:tcPr>
          <w:p w14:paraId="71FBEAAC" w14:textId="66ACF699" w:rsidR="003F0065" w:rsidRPr="00A8777F" w:rsidRDefault="001A09FF" w:rsidP="00162980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  <w:t>angličtina</w:t>
            </w:r>
          </w:p>
        </w:tc>
        <w:tc>
          <w:tcPr>
            <w:tcW w:w="2639" w:type="pct"/>
            <w:gridSpan w:val="2"/>
            <w:shd w:val="clear" w:color="auto" w:fill="1F3864" w:themeFill="accent5" w:themeFillShade="80"/>
            <w:vAlign w:val="center"/>
          </w:tcPr>
          <w:p w14:paraId="6866C1F1" w14:textId="708E670D" w:rsidR="003F0065" w:rsidRPr="00A8777F" w:rsidRDefault="00A8777F" w:rsidP="00A8777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lang w:val="cs-CZ"/>
              </w:rPr>
              <w:t>čeština</w:t>
            </w:r>
          </w:p>
        </w:tc>
      </w:tr>
      <w:tr w:rsidR="003F0065" w:rsidRPr="00A8777F" w14:paraId="41DEE8EB" w14:textId="77777777" w:rsidTr="00391F02">
        <w:trPr>
          <w:trHeight w:val="219"/>
          <w:tblHeader/>
        </w:trPr>
        <w:tc>
          <w:tcPr>
            <w:tcW w:w="453" w:type="pct"/>
            <w:shd w:val="clear" w:color="auto" w:fill="EDEDED" w:themeFill="accent3" w:themeFillTint="33"/>
            <w:vAlign w:val="center"/>
          </w:tcPr>
          <w:p w14:paraId="1743B4C6" w14:textId="77777777" w:rsidR="003F0065" w:rsidRPr="00A8777F" w:rsidRDefault="003F0065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  <w:t>Code</w:t>
            </w:r>
            <w:proofErr w:type="spellEnd"/>
          </w:p>
        </w:tc>
        <w:tc>
          <w:tcPr>
            <w:tcW w:w="726" w:type="pct"/>
            <w:shd w:val="clear" w:color="auto" w:fill="EDEDED" w:themeFill="accent3" w:themeFillTint="33"/>
            <w:noWrap/>
            <w:vAlign w:val="center"/>
            <w:hideMark/>
          </w:tcPr>
          <w:p w14:paraId="1B7ADEAF" w14:textId="702FD193" w:rsidR="003F0065" w:rsidRPr="00A8777F" w:rsidRDefault="000A62E1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  <w:t>Competency</w:t>
            </w:r>
            <w:proofErr w:type="spellEnd"/>
          </w:p>
        </w:tc>
        <w:tc>
          <w:tcPr>
            <w:tcW w:w="1182" w:type="pct"/>
            <w:shd w:val="clear" w:color="auto" w:fill="EDEDED" w:themeFill="accent3" w:themeFillTint="33"/>
            <w:noWrap/>
            <w:vAlign w:val="center"/>
            <w:hideMark/>
          </w:tcPr>
          <w:p w14:paraId="53BD8F61" w14:textId="77777777" w:rsidR="003F0065" w:rsidRPr="00A8777F" w:rsidRDefault="003F0065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  <w:t>Description</w:t>
            </w:r>
            <w:proofErr w:type="spellEnd"/>
          </w:p>
        </w:tc>
        <w:tc>
          <w:tcPr>
            <w:tcW w:w="834" w:type="pct"/>
            <w:shd w:val="clear" w:color="auto" w:fill="EDEDED" w:themeFill="accent3" w:themeFillTint="33"/>
            <w:vAlign w:val="center"/>
          </w:tcPr>
          <w:p w14:paraId="2A3251BC" w14:textId="3C4246BD" w:rsidR="003F0065" w:rsidRPr="00A8777F" w:rsidRDefault="00A67A33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 w:cstheme="minorHAnsi"/>
                <w:b/>
                <w:sz w:val="20"/>
              </w:rPr>
              <w:t>Kompetence</w:t>
            </w:r>
            <w:proofErr w:type="spellEnd"/>
          </w:p>
        </w:tc>
        <w:tc>
          <w:tcPr>
            <w:tcW w:w="1805" w:type="pct"/>
            <w:shd w:val="clear" w:color="auto" w:fill="EDEDED" w:themeFill="accent3" w:themeFillTint="33"/>
          </w:tcPr>
          <w:p w14:paraId="67765670" w14:textId="60C3AE02" w:rsidR="003F0065" w:rsidRPr="00A8777F" w:rsidRDefault="00A67A33" w:rsidP="001D4E0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Verdana" w:hAnsi="Verdana" w:cstheme="minorHAnsi"/>
                <w:b/>
                <w:sz w:val="20"/>
              </w:rPr>
              <w:t>Popis</w:t>
            </w:r>
            <w:proofErr w:type="spellEnd"/>
          </w:p>
        </w:tc>
      </w:tr>
      <w:tr w:rsidR="00F4392B" w:rsidRPr="004F2EC1" w14:paraId="4662E606" w14:textId="77777777" w:rsidTr="00391F02">
        <w:trPr>
          <w:trHeight w:val="421"/>
        </w:trPr>
        <w:tc>
          <w:tcPr>
            <w:tcW w:w="453" w:type="pct"/>
            <w:shd w:val="clear" w:color="000000" w:fill="FFFFFF"/>
            <w:vAlign w:val="center"/>
          </w:tcPr>
          <w:p w14:paraId="1F9A5E3C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P.C1</w:t>
            </w:r>
            <w:proofErr w:type="gramEnd"/>
          </w:p>
        </w:tc>
        <w:tc>
          <w:tcPr>
            <w:tcW w:w="726" w:type="pct"/>
            <w:shd w:val="clear" w:color="000000" w:fill="FFFFFF"/>
            <w:vAlign w:val="center"/>
          </w:tcPr>
          <w:p w14:paraId="001DD5A1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Analytical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13992CF3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Building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logical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approach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address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complex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problems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opportunities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splitting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them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into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constituent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parts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identify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underlying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issues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determine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cause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effect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relationships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arrive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conclusions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decisions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765E273D" w14:textId="2285A1D5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Analytické schopnosti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151449E0" w14:textId="570C03C0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Rozvíjení logického přístupu k řešení složitých problémů nebo příležitostí na základě jejich rozčlenění na jednotlivé složky za účelem identifikace základních problémů, určení vztahů příčinné souvislosti a dosažení závěrů nebo rozhodnutí.</w:t>
            </w:r>
          </w:p>
        </w:tc>
      </w:tr>
      <w:tr w:rsidR="00F4392B" w:rsidRPr="003C2C41" w14:paraId="2C36189D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5B1F513D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gram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P.C2</w:t>
            </w:r>
            <w:proofErr w:type="gramEnd"/>
          </w:p>
        </w:tc>
        <w:tc>
          <w:tcPr>
            <w:tcW w:w="726" w:type="pct"/>
            <w:shd w:val="clear" w:color="000000" w:fill="FFFFFF"/>
            <w:vAlign w:val="center"/>
          </w:tcPr>
          <w:p w14:paraId="5B7C81ED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Communicating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writing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52914919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present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information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ideas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writing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clear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convincing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manner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selecting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appropriate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means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written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communication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writing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style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reach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audience,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using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correct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spelling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grammar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punctuation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as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well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as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communicate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across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cultures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2AAE226B" w14:textId="137B6B3C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Písemná komunikace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756B30A5" w14:textId="2708F31C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písemně prezentovat informace a myšlenky jasným a přesvědčivým způsobem, volit prostředky písemné komunikace a vyjadřovacího stylu vhodné k oslovení cílové skupiny, používat správný pravopis, gramatiku a interpunkci, jakož i prokazování schopnosti komunikovat napříč různými kulturami.</w:t>
            </w:r>
          </w:p>
        </w:tc>
      </w:tr>
      <w:tr w:rsidR="00F4392B" w:rsidRPr="003C2C41" w14:paraId="2802D4A0" w14:textId="77777777" w:rsidTr="00391F02">
        <w:trPr>
          <w:trHeight w:val="878"/>
        </w:trPr>
        <w:tc>
          <w:tcPr>
            <w:tcW w:w="453" w:type="pct"/>
            <w:shd w:val="clear" w:color="000000" w:fill="FFFFFF"/>
            <w:vAlign w:val="center"/>
          </w:tcPr>
          <w:p w14:paraId="325AFD74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P.C3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67BA0A61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Communicating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verbally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672D10C4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clearly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express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thoughts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ideas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individuals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groups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using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speech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way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engages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audience,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encourages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two-way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communication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helps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them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understand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retain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message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as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well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as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communicate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across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cultures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46E90DC3" w14:textId="133F684E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lastRenderedPageBreak/>
              <w:t>Ústní komunikace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75C1D484" w14:textId="77BB6E24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Prokazování schopnosti jasně ústně vyjadřovat myšlenky a náměty vůči jednotlivcům či skupinám, a to způsobem, který vyvolá aktivní zájem publika, povzbudí oboustrannou komunikaci a pomůže posluchačům pochopit a zapamatovat si příslušné sdělení, jakož i prokazování schopnosti komunikovat napříč různými </w:t>
            </w:r>
            <w:r w:rsidRPr="00A8777F">
              <w:rPr>
                <w:rFonts w:ascii="Verdana" w:hAnsi="Verdana" w:cstheme="minorHAnsi"/>
                <w:sz w:val="20"/>
                <w:lang w:val="cs-CZ"/>
              </w:rPr>
              <w:lastRenderedPageBreak/>
              <w:t>kulturami.</w:t>
            </w:r>
          </w:p>
        </w:tc>
      </w:tr>
      <w:tr w:rsidR="00F4392B" w:rsidRPr="003C2C41" w14:paraId="1EEA499C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0FA3BD98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P.C4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17AD1DEE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Conflict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handling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6761DF4B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effectively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antagonistic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situation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recognising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different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opinions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bringing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them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open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discussion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using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appropriate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interpersonal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styles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techniques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order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find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win-win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solution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a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conflict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between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two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more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people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30C0240D" w14:textId="64EE675F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Řešení konfliktů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5633DE76" w14:textId="67BFA986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účinně jednat s ostatními v konfliktních situacích a za tím účelem uznat rozdílné názory, předložit je k otevřené diskusi a uplatnit vhodné interpersonální styly a techniky s cílem nalézt řešení prospěšné pro všechny strany v konfliktu dvou či více osob.</w:t>
            </w:r>
          </w:p>
        </w:tc>
      </w:tr>
      <w:tr w:rsidR="00F4392B" w:rsidRPr="003C2C41" w14:paraId="10C72AE0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1D169900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P.C5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06F858BD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Flexibility and adaptability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change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 </w:t>
            </w:r>
          </w:p>
        </w:tc>
        <w:tc>
          <w:tcPr>
            <w:tcW w:w="1182" w:type="pct"/>
            <w:shd w:val="clear" w:color="000000" w:fill="FFFFFF"/>
            <w:vAlign w:val="center"/>
          </w:tcPr>
          <w:p w14:paraId="007105EF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adjust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retain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effectiveness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when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experiencing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major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changes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tasks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environment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organisational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structure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culture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processes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requirements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related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aspects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0AFD48F1" w14:textId="3F9765EF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Flexibilita a schopnost přizpůsobit se změně 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31E3F1FC" w14:textId="620847AA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Prokazování schopnosti přizpůsobit a zachovat efektivitu, pokud dochází k zásadním změnám pracovních úkolů, pracovního prostředí, organizační struktury a kultury, procesů, požadavků a jiných aspektů souvisejících s prací. </w:t>
            </w:r>
          </w:p>
        </w:tc>
      </w:tr>
      <w:tr w:rsidR="00F4392B" w:rsidRPr="003C2C41" w14:paraId="698654D0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43C498CC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P.C6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68269BE4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Problem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solving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2C3770D1" w14:textId="77777777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identify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problems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using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logic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intuition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data,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conducting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appropriate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analyses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searches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involving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needed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) </w:t>
            </w: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 xml:space="preserve">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order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arrive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solutions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decisions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65EFC67C" w14:textId="02257B11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lastRenderedPageBreak/>
              <w:t>Řešení problémů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3A9E649B" w14:textId="0DB29D1F" w:rsidR="00F4392B" w:rsidRPr="00A8777F" w:rsidRDefault="00F4392B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určovat problémy pomocí logiky, intuice, dat, provádění vhodných analýz, průzkumů a zapojení ostatních (dle potřeby), a dospět tak k řešením nebo rozhodnutím.</w:t>
            </w:r>
          </w:p>
        </w:tc>
      </w:tr>
      <w:tr w:rsidR="001669F1" w:rsidRPr="003C2C41" w14:paraId="07666C1C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6170ACD7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P.C7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3AA3A8EB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Team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33942008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cooperatively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collaboratively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colleagues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from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different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structural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units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ranks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order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accomplish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collective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549D9285" w14:textId="3244C181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Týmová práce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3C0ADA53" w14:textId="63A4CFC8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Prokazování schopnosti kooperativně a </w:t>
            </w:r>
            <w:proofErr w:type="spellStart"/>
            <w:r w:rsidRPr="00A8777F">
              <w:rPr>
                <w:rFonts w:ascii="Verdana" w:hAnsi="Verdana" w:cstheme="minorHAnsi"/>
                <w:sz w:val="20"/>
                <w:lang w:val="cs-CZ"/>
              </w:rPr>
              <w:t>kolaborativně</w:t>
            </w:r>
            <w:proofErr w:type="spellEnd"/>
            <w:r w:rsidRPr="00A8777F">
              <w:rPr>
                <w:rFonts w:ascii="Verdana" w:hAnsi="Verdana" w:cstheme="minorHAnsi"/>
                <w:sz w:val="20"/>
                <w:lang w:val="cs-CZ"/>
              </w:rPr>
              <w:t xml:space="preserve"> spolupracovat s ostatními kolegy z jiných strukturálních útvarů a úrovní za účelem dosažení společných cílů.</w:t>
            </w:r>
          </w:p>
        </w:tc>
      </w:tr>
      <w:tr w:rsidR="001669F1" w:rsidRPr="003C2C41" w14:paraId="00EFFD46" w14:textId="77777777" w:rsidTr="00391F02">
        <w:trPr>
          <w:trHeight w:val="439"/>
        </w:trPr>
        <w:tc>
          <w:tcPr>
            <w:tcW w:w="453" w:type="pct"/>
            <w:shd w:val="clear" w:color="000000" w:fill="FFFFFF"/>
            <w:vAlign w:val="center"/>
          </w:tcPr>
          <w:p w14:paraId="7F4E2C5C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P.C8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7508BC7B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Technological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6B33ACA6" w14:textId="420A106E" w:rsidR="001669F1" w:rsidRPr="00A8777F" w:rsidRDefault="001669F1" w:rsidP="00EE307C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use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appropriate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personal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computer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software,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information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systems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IT </w:t>
            </w:r>
            <w:proofErr w:type="spellStart"/>
            <w:proofErr w:type="gram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tools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e.g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  <w:proofErr w:type="gram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Microsoft Office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programs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that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are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required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accomplish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387340C9" w14:textId="12FD6899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Technologické dovednosti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388928D3" w14:textId="617CCD40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používat vhodný software na osobním počítači, informační systémy a jiné nástroje IT (např. programy Microsoft Office), které jsou zapotřebí pro plnění pracovních cílů.</w:t>
            </w:r>
          </w:p>
        </w:tc>
      </w:tr>
      <w:tr w:rsidR="001669F1" w:rsidRPr="003C2C41" w14:paraId="7AE54524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11D41902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P.C9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10D02C82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Usage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monitoring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information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system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1D4840D9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use EU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funds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monitoring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information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systems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both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external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internal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if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available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)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order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accomplish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77EC76D8" w14:textId="1C71E146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Používání monitorovacího a informačního systému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459832E5" w14:textId="23D5D491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používat monitorovací a informační systémy fondů EU (externí i interní, jsou-li k dispozici) pro plnění pracovních cílů.</w:t>
            </w:r>
          </w:p>
        </w:tc>
      </w:tr>
      <w:tr w:rsidR="001669F1" w:rsidRPr="003C2C41" w14:paraId="2E896405" w14:textId="77777777" w:rsidTr="00391F02">
        <w:trPr>
          <w:trHeight w:val="398"/>
        </w:trPr>
        <w:tc>
          <w:tcPr>
            <w:tcW w:w="453" w:type="pct"/>
            <w:shd w:val="clear" w:color="000000" w:fill="FFFFFF"/>
            <w:vAlign w:val="center"/>
          </w:tcPr>
          <w:p w14:paraId="489A80FF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P.C10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6A53877B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Representation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outside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world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21817983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speak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for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institution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efficient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way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appropriate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manner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7F1F6BC8" w14:textId="260756E3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Zastupování navenek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7376C5A6" w14:textId="034D1A8D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efektivně a odpovídajícím způsobem jednat nebo hovořit jménem instituce.</w:t>
            </w:r>
          </w:p>
        </w:tc>
      </w:tr>
      <w:tr w:rsidR="001669F1" w:rsidRPr="003C2C41" w14:paraId="31D1E50C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67CEF140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P.C11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090A1180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Relevant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language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624E0888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apply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relevant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foreign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language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skills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order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carry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out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the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assigned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functions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accomplish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work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goals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66AA299D" w14:textId="2BBE3396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lastRenderedPageBreak/>
              <w:t>Příslušné jazykové dovednosti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290B4E91" w14:textId="2320B73A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používat příslušnou znalost cizích jazyků k výkonu přidělených funkcí a plnění pracovních cílů.</w:t>
            </w:r>
          </w:p>
        </w:tc>
      </w:tr>
      <w:tr w:rsidR="001669F1" w:rsidRPr="003C2C41" w14:paraId="058763DD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5C4CC510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lastRenderedPageBreak/>
              <w:t>P.C12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0830F080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Intercultural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58871160" w14:textId="77777777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Demonstrating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ability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work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multi-cultural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environment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efficiently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dealing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with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stakeholders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in EU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institutions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other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member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states</w:t>
            </w:r>
            <w:proofErr w:type="spellEnd"/>
            <w:r w:rsidRPr="00A8777F">
              <w:rPr>
                <w:rFonts w:ascii="Verdana" w:hAnsi="Verdana" w:cstheme="minorHAnsi"/>
                <w:sz w:val="20"/>
                <w:szCs w:val="20"/>
                <w:lang w:val="cs-CZ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50B27687" w14:textId="2646836A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Mezikulturní dovednosti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6979ED09" w14:textId="4A9577B2" w:rsidR="001669F1" w:rsidRPr="00A8777F" w:rsidRDefault="001669F1" w:rsidP="003F0065">
            <w:pPr>
              <w:spacing w:after="0"/>
              <w:rPr>
                <w:rFonts w:ascii="Verdana" w:hAnsi="Verdana" w:cstheme="minorHAnsi"/>
                <w:sz w:val="20"/>
                <w:szCs w:val="20"/>
                <w:lang w:val="cs-CZ"/>
              </w:rPr>
            </w:pPr>
            <w:r w:rsidRPr="00A8777F">
              <w:rPr>
                <w:rFonts w:ascii="Verdana" w:hAnsi="Verdana" w:cstheme="minorHAnsi"/>
                <w:sz w:val="20"/>
                <w:lang w:val="cs-CZ"/>
              </w:rPr>
              <w:t>Prokazování schopnosti pracovat v multikulturním prostředí, efektivně jednat se zúčastněnými subjekty v orgánech EU a jiných členských státech.</w:t>
            </w:r>
          </w:p>
        </w:tc>
      </w:tr>
    </w:tbl>
    <w:p w14:paraId="72551A32" w14:textId="77777777" w:rsidR="00A30ABC" w:rsidRPr="00A8777F" w:rsidRDefault="00A30ABC" w:rsidP="00EE307C">
      <w:pPr>
        <w:pStyle w:val="Heading1"/>
        <w:numPr>
          <w:ilvl w:val="0"/>
          <w:numId w:val="0"/>
        </w:numPr>
        <w:rPr>
          <w:lang w:val="cs-CZ"/>
        </w:rPr>
      </w:pPr>
    </w:p>
    <w:p w14:paraId="45DAE86D" w14:textId="77777777" w:rsidR="00A30ABC" w:rsidRPr="00A8777F" w:rsidRDefault="00A30ABC" w:rsidP="000E47BD">
      <w:pPr>
        <w:rPr>
          <w:rFonts w:ascii="Verdana" w:hAnsi="Verdana" w:cstheme="minorHAnsi"/>
          <w:b/>
          <w:i/>
          <w:sz w:val="32"/>
          <w:szCs w:val="32"/>
          <w:lang w:val="cs-CZ"/>
        </w:rPr>
      </w:pPr>
    </w:p>
    <w:sectPr w:rsidR="00A30ABC" w:rsidRPr="00A8777F" w:rsidSect="00EE307C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7504E" w14:textId="77777777" w:rsidR="00D9536F" w:rsidRDefault="00D9536F" w:rsidP="0008776A">
      <w:pPr>
        <w:spacing w:after="0" w:line="240" w:lineRule="auto"/>
      </w:pPr>
      <w:r>
        <w:separator/>
      </w:r>
    </w:p>
    <w:p w14:paraId="564095E7" w14:textId="77777777" w:rsidR="00D9536F" w:rsidRDefault="00D9536F"/>
  </w:endnote>
  <w:endnote w:type="continuationSeparator" w:id="0">
    <w:p w14:paraId="1B463F71" w14:textId="77777777" w:rsidR="00D9536F" w:rsidRDefault="00D9536F" w:rsidP="0008776A">
      <w:pPr>
        <w:spacing w:after="0" w:line="240" w:lineRule="auto"/>
      </w:pPr>
      <w:r>
        <w:continuationSeparator/>
      </w:r>
    </w:p>
    <w:p w14:paraId="70FC8AEB" w14:textId="77777777" w:rsidR="00D9536F" w:rsidRDefault="00D95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CD14" w14:textId="77777777" w:rsidR="00376B65" w:rsidRDefault="0037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C3CB" w14:textId="19FCB719" w:rsidR="00787A32" w:rsidRDefault="00787A32" w:rsidP="00E02A0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8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ECD1C" w14:textId="77777777" w:rsidR="00787A32" w:rsidRPr="00E02A0C" w:rsidRDefault="003C2C41" w:rsidP="00E02A0C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FB16" w14:textId="77777777" w:rsidR="0072688B" w:rsidRDefault="0072688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823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94010" w14:textId="0D2963FA" w:rsidR="00E02A0C" w:rsidRDefault="00E02A0C" w:rsidP="00E02A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C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02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C4888" w14:textId="0A6B4E3B" w:rsidR="00483FC6" w:rsidRPr="00E02A0C" w:rsidRDefault="003C2C41" w:rsidP="00E02A0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F7E3D" w14:textId="77777777" w:rsidR="00D9536F" w:rsidRDefault="00D9536F" w:rsidP="0008776A">
      <w:pPr>
        <w:spacing w:after="0" w:line="240" w:lineRule="auto"/>
      </w:pPr>
      <w:r>
        <w:separator/>
      </w:r>
    </w:p>
    <w:p w14:paraId="69FA9A1D" w14:textId="77777777" w:rsidR="00D9536F" w:rsidRDefault="00D9536F"/>
  </w:footnote>
  <w:footnote w:type="continuationSeparator" w:id="0">
    <w:p w14:paraId="1EAB37FF" w14:textId="77777777" w:rsidR="00D9536F" w:rsidRDefault="00D9536F" w:rsidP="0008776A">
      <w:pPr>
        <w:spacing w:after="0" w:line="240" w:lineRule="auto"/>
      </w:pPr>
      <w:r>
        <w:continuationSeparator/>
      </w:r>
    </w:p>
    <w:p w14:paraId="298FEE41" w14:textId="77777777" w:rsidR="00D9536F" w:rsidRDefault="00D953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68D0" w14:textId="77777777" w:rsidR="00376B65" w:rsidRDefault="0037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17AB" w14:textId="47C14829" w:rsidR="00376B65" w:rsidRDefault="00376B65" w:rsidP="00376B65">
    <w:pPr>
      <w:pStyle w:val="Header"/>
      <w:tabs>
        <w:tab w:val="clear" w:pos="4680"/>
        <w:tab w:val="clear" w:pos="9360"/>
        <w:tab w:val="left" w:pos="55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61219" w14:textId="77777777" w:rsidR="00376B65" w:rsidRDefault="00376B6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2C25B" w14:textId="77777777" w:rsidR="0072688B" w:rsidRDefault="0072688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BDBA" w14:textId="77777777" w:rsidR="00126F8E" w:rsidRPr="008023D1" w:rsidRDefault="00126F8E" w:rsidP="00126F8E">
    <w:pPr>
      <w:pStyle w:val="Header"/>
      <w:pBdr>
        <w:bottom w:val="single" w:sz="4" w:space="1" w:color="808080" w:themeColor="background1" w:themeShade="80"/>
      </w:pBdr>
      <w:spacing w:line="276" w:lineRule="auto"/>
      <w:jc w:val="center"/>
      <w:rPr>
        <w:rFonts w:ascii="Verdana" w:hAnsi="Verdana"/>
        <w:color w:val="808080" w:themeColor="background1" w:themeShade="80"/>
        <w:lang w:val="cs-CZ"/>
      </w:rPr>
    </w:pPr>
    <w:r w:rsidRPr="008023D1">
      <w:rPr>
        <w:rFonts w:ascii="Verdana" w:hAnsi="Verdana"/>
        <w:color w:val="808080" w:themeColor="background1" w:themeShade="80"/>
        <w:lang w:val="cs-CZ"/>
      </w:rPr>
      <w:t>Kompetenční rámec EU – Glosář výrazů používaných v nástroji sebehodnocení</w:t>
    </w:r>
  </w:p>
  <w:p w14:paraId="2E781966" w14:textId="6BC82AA4" w:rsidR="00B24E46" w:rsidRPr="00126F8E" w:rsidRDefault="00B24E46" w:rsidP="00126F8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1CCA" w14:textId="77777777" w:rsidR="0072688B" w:rsidRDefault="00726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255"/>
    <w:multiLevelType w:val="hybridMultilevel"/>
    <w:tmpl w:val="9404C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330698"/>
    <w:multiLevelType w:val="multilevel"/>
    <w:tmpl w:val="A24CE13E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02799C"/>
    <w:multiLevelType w:val="hybridMultilevel"/>
    <w:tmpl w:val="69AA2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92F59"/>
    <w:rsid w:val="00004CEE"/>
    <w:rsid w:val="00047CBE"/>
    <w:rsid w:val="0008776A"/>
    <w:rsid w:val="000950D5"/>
    <w:rsid w:val="000A1ECD"/>
    <w:rsid w:val="000A4D46"/>
    <w:rsid w:val="000A62E1"/>
    <w:rsid w:val="000C44D2"/>
    <w:rsid w:val="000E47BD"/>
    <w:rsid w:val="00123EE5"/>
    <w:rsid w:val="00126F8E"/>
    <w:rsid w:val="001319E4"/>
    <w:rsid w:val="00162980"/>
    <w:rsid w:val="001669F1"/>
    <w:rsid w:val="001A09FF"/>
    <w:rsid w:val="001B050D"/>
    <w:rsid w:val="001B5122"/>
    <w:rsid w:val="001C491D"/>
    <w:rsid w:val="001D4E04"/>
    <w:rsid w:val="001D7CC2"/>
    <w:rsid w:val="001F0D1D"/>
    <w:rsid w:val="00206F86"/>
    <w:rsid w:val="002276EA"/>
    <w:rsid w:val="00231B6E"/>
    <w:rsid w:val="0024769A"/>
    <w:rsid w:val="002717F0"/>
    <w:rsid w:val="00272779"/>
    <w:rsid w:val="00281DCA"/>
    <w:rsid w:val="002A4AB7"/>
    <w:rsid w:val="00306B4F"/>
    <w:rsid w:val="00366D75"/>
    <w:rsid w:val="00376B65"/>
    <w:rsid w:val="003839D5"/>
    <w:rsid w:val="003870A6"/>
    <w:rsid w:val="00390240"/>
    <w:rsid w:val="00391F02"/>
    <w:rsid w:val="003928BC"/>
    <w:rsid w:val="003966E7"/>
    <w:rsid w:val="003C2C41"/>
    <w:rsid w:val="003F0065"/>
    <w:rsid w:val="00416AA7"/>
    <w:rsid w:val="0044373B"/>
    <w:rsid w:val="004504AE"/>
    <w:rsid w:val="00476CF8"/>
    <w:rsid w:val="00483FC6"/>
    <w:rsid w:val="004B0758"/>
    <w:rsid w:val="004C64B2"/>
    <w:rsid w:val="004F2EC1"/>
    <w:rsid w:val="004F71B4"/>
    <w:rsid w:val="005074A2"/>
    <w:rsid w:val="00520DB2"/>
    <w:rsid w:val="00536145"/>
    <w:rsid w:val="00554E39"/>
    <w:rsid w:val="00584C64"/>
    <w:rsid w:val="005A43B4"/>
    <w:rsid w:val="005C3880"/>
    <w:rsid w:val="005D08C6"/>
    <w:rsid w:val="005D6AFD"/>
    <w:rsid w:val="005F32D4"/>
    <w:rsid w:val="005F5DB2"/>
    <w:rsid w:val="00614B9B"/>
    <w:rsid w:val="0062042A"/>
    <w:rsid w:val="00640DC1"/>
    <w:rsid w:val="0066051D"/>
    <w:rsid w:val="006630B8"/>
    <w:rsid w:val="006645FC"/>
    <w:rsid w:val="006744F9"/>
    <w:rsid w:val="006C2D1C"/>
    <w:rsid w:val="006E738D"/>
    <w:rsid w:val="00716D09"/>
    <w:rsid w:val="0072688B"/>
    <w:rsid w:val="007320E2"/>
    <w:rsid w:val="00757D2E"/>
    <w:rsid w:val="00787A32"/>
    <w:rsid w:val="007A0134"/>
    <w:rsid w:val="007D60DC"/>
    <w:rsid w:val="008023D1"/>
    <w:rsid w:val="00822B80"/>
    <w:rsid w:val="008339CD"/>
    <w:rsid w:val="00834E93"/>
    <w:rsid w:val="0083587D"/>
    <w:rsid w:val="0084461D"/>
    <w:rsid w:val="008529C2"/>
    <w:rsid w:val="008806DD"/>
    <w:rsid w:val="008E21AD"/>
    <w:rsid w:val="008F3BD4"/>
    <w:rsid w:val="008F4A1B"/>
    <w:rsid w:val="00910BED"/>
    <w:rsid w:val="009248AB"/>
    <w:rsid w:val="009259B3"/>
    <w:rsid w:val="00927761"/>
    <w:rsid w:val="009A279A"/>
    <w:rsid w:val="009E0654"/>
    <w:rsid w:val="009F3CA7"/>
    <w:rsid w:val="00A30ABC"/>
    <w:rsid w:val="00A31D83"/>
    <w:rsid w:val="00A511F3"/>
    <w:rsid w:val="00A564CD"/>
    <w:rsid w:val="00A67A33"/>
    <w:rsid w:val="00A8777F"/>
    <w:rsid w:val="00AB64E3"/>
    <w:rsid w:val="00AD2B31"/>
    <w:rsid w:val="00AD341D"/>
    <w:rsid w:val="00B24E46"/>
    <w:rsid w:val="00B45A80"/>
    <w:rsid w:val="00B55278"/>
    <w:rsid w:val="00B579F3"/>
    <w:rsid w:val="00B87E3E"/>
    <w:rsid w:val="00B967FA"/>
    <w:rsid w:val="00C05C9C"/>
    <w:rsid w:val="00C971E1"/>
    <w:rsid w:val="00CC3497"/>
    <w:rsid w:val="00CD113F"/>
    <w:rsid w:val="00CD1306"/>
    <w:rsid w:val="00CE608F"/>
    <w:rsid w:val="00CF51E8"/>
    <w:rsid w:val="00CF661F"/>
    <w:rsid w:val="00CF6967"/>
    <w:rsid w:val="00D02119"/>
    <w:rsid w:val="00D27017"/>
    <w:rsid w:val="00D71900"/>
    <w:rsid w:val="00D84CED"/>
    <w:rsid w:val="00D92F59"/>
    <w:rsid w:val="00D9536F"/>
    <w:rsid w:val="00DE6C01"/>
    <w:rsid w:val="00E02A0C"/>
    <w:rsid w:val="00E44B41"/>
    <w:rsid w:val="00E845FA"/>
    <w:rsid w:val="00E87A35"/>
    <w:rsid w:val="00EB6450"/>
    <w:rsid w:val="00EC33A2"/>
    <w:rsid w:val="00EE1F94"/>
    <w:rsid w:val="00EE307C"/>
    <w:rsid w:val="00F01312"/>
    <w:rsid w:val="00F14F22"/>
    <w:rsid w:val="00F40B43"/>
    <w:rsid w:val="00F4392B"/>
    <w:rsid w:val="00F50847"/>
    <w:rsid w:val="00F74AE6"/>
    <w:rsid w:val="00F800B1"/>
    <w:rsid w:val="00F863CF"/>
    <w:rsid w:val="00F93A46"/>
    <w:rsid w:val="00FC0AA0"/>
    <w:rsid w:val="00FD22DE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07C"/>
    <w:pPr>
      <w:keepNext/>
      <w:keepLines/>
      <w:numPr>
        <w:numId w:val="2"/>
      </w:numPr>
      <w:spacing w:after="120"/>
      <w:ind w:left="547" w:hanging="547"/>
      <w:outlineLvl w:val="0"/>
    </w:pPr>
    <w:rPr>
      <w:rFonts w:ascii="Verdana" w:eastAsiaTheme="majorEastAsia" w:hAnsi="Verdana" w:cstheme="majorBidi"/>
      <w:b/>
      <w:color w:val="2F5496" w:themeColor="accent5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07C"/>
    <w:rPr>
      <w:rFonts w:ascii="Verdana" w:eastAsiaTheme="majorEastAsia" w:hAnsi="Verdana" w:cstheme="majorBidi"/>
      <w:b/>
      <w:color w:val="2F5496" w:themeColor="accent5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51E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51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51E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FC0AA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0AA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6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9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F69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7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3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73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3B"/>
    <w:rPr>
      <w:b/>
      <w:bCs/>
      <w:sz w:val="20"/>
      <w:szCs w:val="20"/>
      <w:lang w:val="en-GB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F800B1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nl-BE" w:eastAsia="nl-BE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styleId="Revision">
    <w:name w:val="Revision"/>
    <w:hidden/>
    <w:uiPriority w:val="99"/>
    <w:semiHidden/>
    <w:rsid w:val="008F3BD4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07C"/>
    <w:pPr>
      <w:keepNext/>
      <w:keepLines/>
      <w:numPr>
        <w:numId w:val="2"/>
      </w:numPr>
      <w:spacing w:after="120"/>
      <w:ind w:left="547" w:hanging="547"/>
      <w:outlineLvl w:val="0"/>
    </w:pPr>
    <w:rPr>
      <w:rFonts w:ascii="Verdana" w:eastAsiaTheme="majorEastAsia" w:hAnsi="Verdana" w:cstheme="majorBidi"/>
      <w:b/>
      <w:color w:val="2F5496" w:themeColor="accent5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07C"/>
    <w:rPr>
      <w:rFonts w:ascii="Verdana" w:eastAsiaTheme="majorEastAsia" w:hAnsi="Verdana" w:cstheme="majorBidi"/>
      <w:b/>
      <w:color w:val="2F5496" w:themeColor="accent5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51E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51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51E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FC0AA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0AA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6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9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F69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7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3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73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3B"/>
    <w:rPr>
      <w:b/>
      <w:bCs/>
      <w:sz w:val="20"/>
      <w:szCs w:val="20"/>
      <w:lang w:val="en-GB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F800B1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nl-BE" w:eastAsia="nl-BE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styleId="Revision">
    <w:name w:val="Revision"/>
    <w:hidden/>
    <w:uiPriority w:val="99"/>
    <w:semiHidden/>
    <w:rsid w:val="008F3BD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B1BB-103F-4EC5-9379-030A92EC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Scataglini</dc:creator>
  <cp:keywords/>
  <dc:description/>
  <cp:lastModifiedBy>LWCR</cp:lastModifiedBy>
  <cp:revision>37</cp:revision>
  <cp:lastPrinted>2017-03-22T18:35:00Z</cp:lastPrinted>
  <dcterms:created xsi:type="dcterms:W3CDTF">2017-10-05T08:42:00Z</dcterms:created>
  <dcterms:modified xsi:type="dcterms:W3CDTF">2018-03-15T12:43:00Z</dcterms:modified>
</cp:coreProperties>
</file>