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Studiu privind punerea în aplicare a cadrului de competențe al UE pentru gestionarea și implementarea Fondului european de dezvoltare regională și a Fondului de coeziune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Politică regională și urbană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Politică regională și urbană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Anexa 3. </w:t>
      </w:r>
      <w:r>
        <w:rPr>
          <w:caps/>
          <w:noProof/>
          <w:sz w:val="16"/>
        </w:rPr>
        <w:t xml:space="preserve"> </w:t>
      </w:r>
      <w:r>
        <w:t>3 – Model de plan de învățare și dezvoltare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Cadrul de competențe al UE pentru gestionarea și implementarea FEDR și a Fondului de coeziune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Model de plan de învățare și dezvoltare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Politică regională și urbană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Politică regională și urbană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[Introduceți numele administrației]</w:t>
      </w:r>
      <w: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Cuprins</w:t>
          </w:r>
        </w:p>
        <w:p w14:paraId="11C9DFD4" w14:textId="77777777" w:rsidR="00170BD4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399357" w:history="1">
            <w:r w:rsidR="00170BD4" w:rsidRPr="003B692D">
              <w:rPr>
                <w:rStyle w:val="Hyperlink"/>
                <w:noProof/>
              </w:rPr>
              <w:t>1.</w:t>
            </w:r>
            <w:r w:rsidR="00170BD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170BD4" w:rsidRPr="003B692D">
              <w:rPr>
                <w:rStyle w:val="Hyperlink"/>
                <w:noProof/>
              </w:rPr>
              <w:t>Domeniul de aplicare și metodologia autoevaluării</w:t>
            </w:r>
            <w:r w:rsidR="00170BD4">
              <w:rPr>
                <w:noProof/>
                <w:webHidden/>
              </w:rPr>
              <w:tab/>
            </w:r>
            <w:r w:rsidR="00170BD4">
              <w:rPr>
                <w:noProof/>
                <w:webHidden/>
              </w:rPr>
              <w:fldChar w:fldCharType="begin"/>
            </w:r>
            <w:r w:rsidR="00170BD4">
              <w:rPr>
                <w:noProof/>
                <w:webHidden/>
              </w:rPr>
              <w:instrText xml:space="preserve"> PAGEREF _Toc507399357 \h </w:instrText>
            </w:r>
            <w:r w:rsidR="00170BD4">
              <w:rPr>
                <w:noProof/>
                <w:webHidden/>
              </w:rPr>
            </w:r>
            <w:r w:rsidR="00170BD4">
              <w:rPr>
                <w:noProof/>
                <w:webHidden/>
              </w:rPr>
              <w:fldChar w:fldCharType="separate"/>
            </w:r>
            <w:r w:rsidR="00170BD4">
              <w:rPr>
                <w:noProof/>
                <w:webHidden/>
              </w:rPr>
              <w:t>4</w:t>
            </w:r>
            <w:r w:rsidR="00170BD4">
              <w:rPr>
                <w:noProof/>
                <w:webHidden/>
              </w:rPr>
              <w:fldChar w:fldCharType="end"/>
            </w:r>
          </w:hyperlink>
        </w:p>
        <w:p w14:paraId="089C8EC0" w14:textId="77777777" w:rsidR="00170BD4" w:rsidRDefault="00170BD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399358" w:history="1">
            <w:r w:rsidRPr="003B692D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Rezultatele evaluării competențelor la nivelul instituției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D2135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59" w:history="1">
            <w:r w:rsidRPr="003B692D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Competențe operaționale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FD6B4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0" w:history="1">
            <w:r w:rsidRPr="003B692D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Competențe de gestionare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C992C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1" w:history="1">
            <w:r w:rsidRPr="003B692D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Competențe profesionale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D0879" w14:textId="77777777" w:rsidR="00170BD4" w:rsidRDefault="00170BD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399362" w:history="1">
            <w:r w:rsidRPr="003B692D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Acțiuni imediate pentru îmbunătățirea competențelor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ADB7A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3" w:history="1">
            <w:r w:rsidRPr="003B692D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Acțiuni selectate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2C923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4" w:history="1">
            <w:r w:rsidRPr="003B692D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Metode de învățare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B1A2F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5" w:history="1">
            <w:r w:rsidRPr="003B692D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Recrutare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84815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6" w:history="1">
            <w:r w:rsidRPr="003B692D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Externalizare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1FA4A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7" w:history="1">
            <w:r w:rsidRPr="003B692D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Tratare automată a proceselor fără intervenție umană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BA640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8" w:history="1">
            <w:r w:rsidRPr="003B692D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Participarea la rețele de învățare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5B606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69" w:history="1">
            <w:r w:rsidRPr="003B692D">
              <w:rPr>
                <w:rStyle w:val="Hyperlink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Bune practici, schimburi și sprijin reciproc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4D6AD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0" w:history="1">
            <w:r w:rsidRPr="003B692D">
              <w:rPr>
                <w:rStyle w:val="Hyperlink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Considerente privind structura organizatorică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C842A" w14:textId="77777777" w:rsidR="00170BD4" w:rsidRDefault="00170BD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399371" w:history="1">
            <w:r w:rsidRPr="003B692D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Utilizarea instrumentului pe termen mediu și 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70684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2" w:history="1">
            <w:r w:rsidRPr="003B692D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Acțiuni pe termen mediu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1C5D4" w14:textId="77777777" w:rsidR="00170BD4" w:rsidRDefault="00170BD4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3" w:history="1">
            <w:r w:rsidRPr="003B692D">
              <w:rPr>
                <w:rStyle w:val="Hyperlink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Responsabilitate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F219F" w14:textId="77777777" w:rsidR="00170BD4" w:rsidRDefault="00170BD4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4" w:history="1">
            <w:r w:rsidRPr="003B692D">
              <w:rPr>
                <w:rStyle w:val="Hyperlink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Proceduri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98ECD" w14:textId="77777777" w:rsidR="00170BD4" w:rsidRDefault="00170BD4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5" w:history="1">
            <w:r w:rsidRPr="003B692D">
              <w:rPr>
                <w:rStyle w:val="Hyperlink"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Resurse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83799" w14:textId="77777777" w:rsidR="00170BD4" w:rsidRDefault="00170BD4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6" w:history="1">
            <w:r w:rsidRPr="003B692D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Acțiuni pe termen 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9BC6D" w14:textId="77777777" w:rsidR="00170BD4" w:rsidRDefault="00170BD4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399377" w:history="1">
            <w:r w:rsidRPr="003B692D">
              <w:rPr>
                <w:rStyle w:val="Hyperlink"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Strategie de resurse umane bazată pe competențe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E8541" w14:textId="77777777" w:rsidR="00170BD4" w:rsidRDefault="00170BD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399378" w:history="1">
            <w:r w:rsidRPr="003B692D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3B692D">
              <w:rPr>
                <w:rStyle w:val="Hyperlink"/>
                <w:noProof/>
              </w:rPr>
              <w:t>Foaie de parcurs privind dezvoltarea competențelor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_Toc507399378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9B62E6" w:rsidP="00170BD4">
          <w:p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7399357"/>
      <w:r>
        <w:lastRenderedPageBreak/>
        <w:t>Domeniul de aplicare și metodologia autoevaluării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Angajați implicați</w:t>
      </w:r>
    </w:p>
    <w:p w14:paraId="63E6EDDD" w14:textId="21CFB609" w:rsidR="004F16D3" w:rsidRDefault="004F16D3" w:rsidP="004F16D3">
      <w:pPr>
        <w:pStyle w:val="Bulletpoint1"/>
      </w:pPr>
      <w:r>
        <w:t>Termenele evaluării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5" w:name="_Toc495920262"/>
      <w:bookmarkStart w:id="6" w:name="_Toc507399358"/>
      <w:r>
        <w:lastRenderedPageBreak/>
        <w:t>Rezultatele evaluării competențelor la nivelul instituției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Prezentare generală a rezultatelor pentru grupele de competențe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7399359"/>
      <w:r>
        <w:t>Competențe operaționale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Prezentare generală a rezultatelor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1" w:name="_Toc484416485"/>
      <w:bookmarkStart w:id="12" w:name="_Toc491804322"/>
      <w:r>
        <w:t>Angajați de la nivelul operațional</w:t>
      </w:r>
      <w:bookmarkEnd w:id="11"/>
      <w:bookmarkEnd w:id="12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3" w:name="_Toc484416486"/>
      <w:bookmarkStart w:id="14" w:name="_Toc491804323"/>
      <w:r>
        <w:t>Supervizori și angajați cu atribuții în luarea deciziilor</w:t>
      </w:r>
      <w:bookmarkEnd w:id="13"/>
      <w:bookmarkEnd w:id="14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5" w:name="_Toc484160131"/>
      <w:bookmarkStart w:id="16" w:name="_Toc484165316"/>
      <w:bookmarkStart w:id="17" w:name="_Toc484165581"/>
      <w:bookmarkStart w:id="18" w:name="_Toc484165653"/>
      <w:bookmarkStart w:id="19" w:name="_Toc484165725"/>
      <w:bookmarkStart w:id="20" w:name="_Toc484165850"/>
      <w:bookmarkStart w:id="21" w:name="_Toc484416487"/>
      <w:bookmarkStart w:id="22" w:name="_Toc491804324"/>
      <w:bookmarkStart w:id="23" w:name="_Toc495920264"/>
      <w:bookmarkStart w:id="24" w:name="_Toc507399360"/>
      <w:bookmarkEnd w:id="15"/>
      <w:bookmarkEnd w:id="16"/>
      <w:bookmarkEnd w:id="17"/>
      <w:bookmarkEnd w:id="18"/>
      <w:bookmarkEnd w:id="19"/>
      <w:bookmarkEnd w:id="20"/>
      <w:r>
        <w:lastRenderedPageBreak/>
        <w:t>Competențe de gestionare</w:t>
      </w:r>
      <w:bookmarkEnd w:id="21"/>
      <w:bookmarkEnd w:id="22"/>
      <w:bookmarkEnd w:id="23"/>
      <w:bookmarkEnd w:id="24"/>
    </w:p>
    <w:p w14:paraId="76A06F5F" w14:textId="77777777" w:rsidR="003801BE" w:rsidRDefault="003801BE" w:rsidP="00F0763C">
      <w:pPr>
        <w:pStyle w:val="activities"/>
      </w:pPr>
      <w:bookmarkStart w:id="25" w:name="_Toc484416488"/>
      <w:bookmarkStart w:id="26" w:name="_Toc491804325"/>
      <w:r>
        <w:t>Prezentare generală a rezultatelor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Angajați la nivel operațional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Supervizori și angajați cu atribuții în luarea deciziilor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5"/>
    <w:bookmarkEnd w:id="26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7" w:name="_Toc484416490"/>
      <w:bookmarkStart w:id="28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9" w:name="_Toc495920265"/>
      <w:bookmarkStart w:id="30" w:name="_Toc507399361"/>
      <w:r>
        <w:lastRenderedPageBreak/>
        <w:t>Competențe profesionale</w:t>
      </w:r>
      <w:bookmarkEnd w:id="27"/>
      <w:bookmarkEnd w:id="28"/>
      <w:bookmarkEnd w:id="29"/>
      <w:bookmarkEnd w:id="30"/>
    </w:p>
    <w:p w14:paraId="010D3186" w14:textId="77777777" w:rsidR="003801BE" w:rsidRDefault="003801BE" w:rsidP="00F0763C">
      <w:pPr>
        <w:pStyle w:val="activities"/>
      </w:pPr>
      <w:bookmarkStart w:id="31" w:name="_Toc484416491"/>
      <w:bookmarkStart w:id="32" w:name="_Toc491804328"/>
      <w:r>
        <w:t>Prezentare generală a rezultatelor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Angajați la nivel operațional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Supervizori și angajați cu atribuții în luarea deciziilor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3" w:name="_Toc484416494"/>
      <w:bookmarkStart w:id="34" w:name="_Toc491804330"/>
      <w:bookmarkEnd w:id="31"/>
      <w:bookmarkEnd w:id="32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5" w:name="_Toc495920266"/>
      <w:bookmarkStart w:id="36" w:name="_Toc507399362"/>
      <w:r>
        <w:lastRenderedPageBreak/>
        <w:t>Acțiuni imediate pentru îmbunătățirea competențelor</w:t>
      </w:r>
      <w:bookmarkEnd w:id="33"/>
      <w:bookmarkEnd w:id="34"/>
      <w:bookmarkEnd w:id="35"/>
      <w:bookmarkEnd w:id="36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7" w:name="_Toc495920267"/>
      <w:bookmarkStart w:id="38" w:name="_Toc507399363"/>
      <w:r>
        <w:t>Acțiuni selectate</w:t>
      </w:r>
      <w:bookmarkEnd w:id="37"/>
      <w:bookmarkEnd w:id="38"/>
    </w:p>
    <w:p w14:paraId="6EA6A7A3" w14:textId="438E2417" w:rsidR="00CA1CD6" w:rsidRPr="0004504E" w:rsidRDefault="0004504E" w:rsidP="0004504E">
      <w:pPr>
        <w:pStyle w:val="Bulletpoint1"/>
      </w:pPr>
      <w:r>
        <w:t>Prezentare generală a metodelor și acțiunilor selectate pentru dezvoltarea competențelor</w:t>
      </w:r>
    </w:p>
    <w:p w14:paraId="078943E6" w14:textId="38D97C03" w:rsidR="00CA1CD6" w:rsidRPr="0004504E" w:rsidRDefault="0004504E" w:rsidP="0004504E">
      <w:pPr>
        <w:pStyle w:val="Bulletpoint1"/>
      </w:pPr>
      <w:r>
        <w:t>Legătură către resursele de asistență tehnică din cadrul programului operațional</w:t>
      </w:r>
    </w:p>
    <w:p w14:paraId="13C06019" w14:textId="4B80F8A5" w:rsidR="003801BE" w:rsidRPr="00206D1F" w:rsidRDefault="00A3490C" w:rsidP="00000BE3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7BBC3F0C" wp14:editId="2D953DB6">
            <wp:extent cx="5566410" cy="30968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39" w:name="_Toc484416495"/>
      <w:bookmarkStart w:id="40" w:name="_Toc491804331"/>
      <w:bookmarkStart w:id="41" w:name="_Toc495920268"/>
      <w:bookmarkStart w:id="42" w:name="_Toc507399364"/>
      <w:r>
        <w:t>Metode de învățare</w:t>
      </w:r>
      <w:bookmarkEnd w:id="39"/>
      <w:bookmarkEnd w:id="40"/>
      <w:bookmarkEnd w:id="41"/>
      <w:bookmarkEnd w:id="42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02"/>
        <w:gridCol w:w="1097"/>
        <w:gridCol w:w="366"/>
        <w:gridCol w:w="767"/>
        <w:gridCol w:w="962"/>
        <w:gridCol w:w="634"/>
        <w:gridCol w:w="292"/>
        <w:gridCol w:w="1104"/>
        <w:gridCol w:w="763"/>
        <w:gridCol w:w="1717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Competențe operaționale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Competență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Denumirea cursului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Scurtă descriere a cursului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Durată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de învățare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Nivelul dorit vizat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Sarcini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Resurse de asistență tehnică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02"/>
        <w:gridCol w:w="1097"/>
        <w:gridCol w:w="366"/>
        <w:gridCol w:w="767"/>
        <w:gridCol w:w="962"/>
        <w:gridCol w:w="634"/>
        <w:gridCol w:w="292"/>
        <w:gridCol w:w="1104"/>
        <w:gridCol w:w="763"/>
        <w:gridCol w:w="1717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Competențe profesionale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Competență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Denumirea cursului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Scurtă descriere a cursului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Durată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de învățare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Nivelul dorit vizat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Sarcini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Resurse de asistență tehnică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195"/>
        <w:gridCol w:w="1097"/>
        <w:gridCol w:w="316"/>
        <w:gridCol w:w="633"/>
        <w:gridCol w:w="830"/>
        <w:gridCol w:w="590"/>
        <w:gridCol w:w="285"/>
        <w:gridCol w:w="887"/>
        <w:gridCol w:w="763"/>
        <w:gridCol w:w="734"/>
        <w:gridCol w:w="942"/>
        <w:gridCol w:w="732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Competențe de gestionare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Competență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Denumirea cursului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Scurtă descriere a cursului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Durată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de învățare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Nivelul dorit vizat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Sarcini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Resurse de asistență tehnică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3" w:name="_Toc484416496"/>
      <w:bookmarkStart w:id="44" w:name="_Toc491804332"/>
      <w:bookmarkStart w:id="45" w:name="_Toc495920269"/>
      <w:bookmarkStart w:id="46" w:name="_Toc507399365"/>
      <w:r>
        <w:t>Recrutare</w:t>
      </w:r>
      <w:bookmarkEnd w:id="43"/>
      <w:bookmarkEnd w:id="44"/>
      <w:bookmarkEnd w:id="45"/>
      <w:bookmarkEnd w:id="46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Funcția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Nivelul dorit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Competențe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Sarcini aferente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7" w:name="_Toc484165327"/>
      <w:bookmarkStart w:id="48" w:name="_Toc484165592"/>
      <w:bookmarkStart w:id="49" w:name="_Toc484165664"/>
      <w:bookmarkStart w:id="50" w:name="_Toc484165736"/>
      <w:bookmarkStart w:id="51" w:name="_Toc484165861"/>
      <w:bookmarkStart w:id="52" w:name="_Toc484416497"/>
      <w:bookmarkStart w:id="53" w:name="_Toc491804333"/>
      <w:bookmarkStart w:id="54" w:name="_Toc495920270"/>
      <w:bookmarkStart w:id="55" w:name="_Toc507399366"/>
      <w:bookmarkEnd w:id="47"/>
      <w:bookmarkEnd w:id="48"/>
      <w:bookmarkEnd w:id="49"/>
      <w:bookmarkEnd w:id="50"/>
      <w:bookmarkEnd w:id="51"/>
      <w:r>
        <w:t>Externalizare</w:t>
      </w:r>
      <w:bookmarkEnd w:id="52"/>
      <w:bookmarkEnd w:id="53"/>
      <w:bookmarkEnd w:id="54"/>
      <w:bookmarkEnd w:id="5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Sarcini externalizate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Detalii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Competențe vizate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Resurse de asistență tehnică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6" w:name="_Toc484165329"/>
      <w:bookmarkStart w:id="57" w:name="_Toc484165594"/>
      <w:bookmarkStart w:id="58" w:name="_Toc484165666"/>
      <w:bookmarkStart w:id="59" w:name="_Toc484165738"/>
      <w:bookmarkStart w:id="60" w:name="_Toc484165863"/>
      <w:bookmarkStart w:id="61" w:name="_Toc484416498"/>
      <w:bookmarkStart w:id="62" w:name="_Toc491804334"/>
      <w:bookmarkStart w:id="63" w:name="_Toc495920271"/>
      <w:bookmarkStart w:id="64" w:name="_Toc507399367"/>
      <w:bookmarkEnd w:id="56"/>
      <w:bookmarkEnd w:id="57"/>
      <w:bookmarkEnd w:id="58"/>
      <w:bookmarkEnd w:id="59"/>
      <w:bookmarkEnd w:id="60"/>
      <w:r>
        <w:t>Tratare automată a proceselor fără intervenție umană</w:t>
      </w:r>
      <w:bookmarkEnd w:id="61"/>
      <w:bookmarkEnd w:id="62"/>
      <w:bookmarkEnd w:id="63"/>
      <w:bookmarkEnd w:id="6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Sarcini automatizate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Detalii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Competențe vizate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Resurse de asistență tehnică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5" w:name="_Toc484165331"/>
      <w:bookmarkStart w:id="66" w:name="_Toc484165596"/>
      <w:bookmarkStart w:id="67" w:name="_Toc484165668"/>
      <w:bookmarkStart w:id="68" w:name="_Toc484165740"/>
      <w:bookmarkStart w:id="69" w:name="_Toc484165865"/>
      <w:bookmarkStart w:id="70" w:name="_Toc484416499"/>
      <w:bookmarkStart w:id="71" w:name="_Toc491804335"/>
      <w:bookmarkStart w:id="72" w:name="_Toc495920272"/>
      <w:bookmarkStart w:id="73" w:name="_Toc507399368"/>
      <w:bookmarkEnd w:id="65"/>
      <w:bookmarkEnd w:id="66"/>
      <w:bookmarkEnd w:id="67"/>
      <w:bookmarkEnd w:id="68"/>
      <w:bookmarkEnd w:id="69"/>
      <w:r>
        <w:t>Participarea la rețele de învățare</w:t>
      </w:r>
      <w:bookmarkEnd w:id="70"/>
      <w:bookmarkEnd w:id="71"/>
      <w:bookmarkEnd w:id="72"/>
      <w:bookmarkEnd w:id="73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Rețea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Detalii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Competențe vizate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Sarcini aferente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4" w:name="_Toc484416500"/>
      <w:bookmarkStart w:id="75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6" w:name="_Toc495920273"/>
      <w:bookmarkStart w:id="77" w:name="_Toc507399369"/>
      <w:r>
        <w:lastRenderedPageBreak/>
        <w:t>Bune practici, schimburi și sprijin reciproc</w:t>
      </w:r>
      <w:bookmarkEnd w:id="76"/>
      <w:bookmarkEnd w:id="77"/>
      <w:r>
        <w:t xml:space="preserve"> </w:t>
      </w:r>
      <w:bookmarkEnd w:id="74"/>
      <w:bookmarkEnd w:id="7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Bună practică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Detalii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Competențe care vor beneficia de acest lucru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Sarcini care vor beneficia de acest lucru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Subiect de învățare reciprocă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Detalii privind administrația implicată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Competențe care vor beneficia de acest lucru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Sarcini care vor beneficia de acest lucru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8" w:name="_Toc495920274"/>
      <w:bookmarkStart w:id="79" w:name="_Toc507399370"/>
      <w:r>
        <w:t>Considerente privind structura organizatorică</w:t>
      </w:r>
      <w:bookmarkEnd w:id="78"/>
      <w:bookmarkEnd w:id="79"/>
    </w:p>
    <w:p w14:paraId="0E0A838E" w14:textId="245C1D21" w:rsidR="00AE1442" w:rsidRPr="00F435FF" w:rsidRDefault="00AE1442" w:rsidP="0004504E">
      <w:pPr>
        <w:pStyle w:val="Bulletpoint1"/>
      </w:pPr>
      <w:r>
        <w:t>Considerente privind unitățile organizaționale și sarcinile/sarcinile subordonate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0" w:name="_Toc495679512"/>
      <w:bookmarkStart w:id="81" w:name="_Toc484416506"/>
      <w:bookmarkStart w:id="82" w:name="_Toc491804337"/>
      <w:bookmarkEnd w:id="80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3" w:name="_Toc484416501"/>
      <w:bookmarkStart w:id="84" w:name="_Toc491804338"/>
      <w:bookmarkStart w:id="85" w:name="_Toc495920275"/>
      <w:bookmarkStart w:id="86" w:name="_Toc507399371"/>
      <w:bookmarkEnd w:id="81"/>
      <w:bookmarkEnd w:id="82"/>
      <w:r>
        <w:lastRenderedPageBreak/>
        <w:t xml:space="preserve">Utilizarea instrumentului </w:t>
      </w:r>
      <w:bookmarkEnd w:id="83"/>
      <w:r>
        <w:t>pe termen mediu și lung</w:t>
      </w:r>
      <w:bookmarkEnd w:id="84"/>
      <w:bookmarkEnd w:id="85"/>
      <w:bookmarkEnd w:id="86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7" w:name="_Toc495920276"/>
      <w:bookmarkStart w:id="88" w:name="_Toc484416502"/>
      <w:bookmarkStart w:id="89" w:name="_Toc491804339"/>
      <w:bookmarkStart w:id="90" w:name="_Toc507399372"/>
      <w:r>
        <w:t>Acțiuni pe termen mediu</w:t>
      </w:r>
      <w:bookmarkEnd w:id="87"/>
      <w:bookmarkEnd w:id="90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1" w:name="_Toc495920277"/>
      <w:bookmarkStart w:id="92" w:name="_Toc507399373"/>
      <w:bookmarkEnd w:id="88"/>
      <w:bookmarkEnd w:id="89"/>
      <w:r>
        <w:t>Responsabilitate</w:t>
      </w:r>
      <w:bookmarkEnd w:id="91"/>
      <w:bookmarkEnd w:id="92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3" w:name="_Toc484416503"/>
      <w:bookmarkStart w:id="94" w:name="_Toc491804340"/>
      <w:bookmarkStart w:id="95" w:name="_Toc495920278"/>
      <w:bookmarkStart w:id="96" w:name="_Toc507399374"/>
      <w:r>
        <w:t>Proceduri</w:t>
      </w:r>
      <w:bookmarkEnd w:id="93"/>
      <w:bookmarkEnd w:id="94"/>
      <w:bookmarkEnd w:id="95"/>
      <w:bookmarkEnd w:id="96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7" w:name="_Toc484416504"/>
      <w:bookmarkStart w:id="98" w:name="_Toc491804341"/>
      <w:bookmarkStart w:id="99" w:name="_Toc495920279"/>
      <w:bookmarkStart w:id="100" w:name="_Toc507399375"/>
      <w:r>
        <w:t>Resurse</w:t>
      </w:r>
      <w:bookmarkEnd w:id="97"/>
      <w:bookmarkEnd w:id="98"/>
      <w:bookmarkEnd w:id="99"/>
      <w:bookmarkEnd w:id="100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1" w:name="_Toc484416505"/>
      <w:bookmarkStart w:id="102" w:name="_Toc491804342"/>
      <w:bookmarkStart w:id="103" w:name="_Toc495920280"/>
      <w:bookmarkStart w:id="104" w:name="_Toc507399376"/>
      <w:r>
        <w:t>Acțiuni pe termen lung</w:t>
      </w:r>
      <w:bookmarkEnd w:id="101"/>
      <w:bookmarkEnd w:id="102"/>
      <w:bookmarkEnd w:id="103"/>
      <w:bookmarkEnd w:id="104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5" w:name="_Toc495920281"/>
      <w:bookmarkStart w:id="106" w:name="_Toc507399377"/>
      <w:r>
        <w:t>Strategie de resurse umane bazată pe competențe</w:t>
      </w:r>
      <w:bookmarkEnd w:id="105"/>
      <w:bookmarkEnd w:id="106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7" w:name="_Toc495920282"/>
      <w:bookmarkStart w:id="108" w:name="_Toc507399378"/>
      <w:r>
        <w:lastRenderedPageBreak/>
        <w:t>Foaie de parcurs privind dezvoltarea competențelor</w:t>
      </w:r>
      <w:bookmarkEnd w:id="107"/>
      <w:bookmarkEnd w:id="108"/>
    </w:p>
    <w:p w14:paraId="40BC598C" w14:textId="131F2DF7" w:rsidR="00793251" w:rsidRDefault="002E43D0" w:rsidP="00793251">
      <w:pPr>
        <w:pStyle w:val="Text2"/>
        <w:ind w:left="0"/>
      </w:pPr>
      <w:bookmarkStart w:id="109" w:name="_GoBack"/>
      <w:r>
        <w:rPr>
          <w:noProof/>
          <w:lang w:val="en-GB" w:eastAsia="en-GB" w:bidi="ar-SA"/>
        </w:rPr>
        <w:drawing>
          <wp:inline distT="0" distB="0" distL="0" distR="0" wp14:anchorId="5BE3845E" wp14:editId="18ABFA41">
            <wp:extent cx="8858250" cy="38284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09"/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[Număr de catalog]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[Număr de catalog]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88DB" w14:textId="77777777" w:rsidR="00F81ABA" w:rsidRDefault="00F81ABA">
      <w:r>
        <w:separator/>
      </w:r>
    </w:p>
  </w:endnote>
  <w:endnote w:type="continuationSeparator" w:id="0">
    <w:p w14:paraId="4C16B80B" w14:textId="77777777" w:rsidR="00F81ABA" w:rsidRDefault="00F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Segoe UI"/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[număr]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5463" w14:textId="77777777" w:rsidR="00F81ABA" w:rsidRDefault="00F81ABA">
      <w:r>
        <w:separator/>
      </w:r>
    </w:p>
  </w:footnote>
  <w:footnote w:type="continuationSeparator" w:id="0">
    <w:p w14:paraId="18401FA8" w14:textId="77777777" w:rsidR="00F81ABA" w:rsidRDefault="00F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de învățare și dezvoltare – </w:t>
    </w:r>
    <w:r>
      <w:rPr>
        <w:highlight w:val="lightGray"/>
      </w:rPr>
      <w:t xml:space="preserve">Instituție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de învățare și dezvoltare – </w:t>
    </w:r>
    <w:r>
      <w:rPr>
        <w:highlight w:val="lightGray"/>
      </w:rPr>
      <w:t xml:space="preserve">Instituție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de învățare și dezvoltare – </w:t>
    </w:r>
    <w:r>
      <w:rPr>
        <w:highlight w:val="lightGray"/>
      </w:rPr>
      <w:t xml:space="preserve">Instituție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de învățare și dezvoltare – </w:t>
    </w:r>
    <w:r>
      <w:rPr>
        <w:highlight w:val="lightGray"/>
      </w:rPr>
      <w:t xml:space="preserve">Instituție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[Număr de catalog]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[Număr de catalog]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70BD4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33D5"/>
    <w:rsid w:val="002D52C0"/>
    <w:rsid w:val="002E2FBF"/>
    <w:rsid w:val="002E34E2"/>
    <w:rsid w:val="002E43D0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490C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63E8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."/>
  <w:listSeparator w:val=",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ro-RO" w:eastAsia="ro-RO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ro-RO" w:eastAsia="ro-RO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ro-RO" w:eastAsia="ro-RO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ro-RO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ro-RO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ro-RO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ro-RO" w:eastAsia="ro-RO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ro-RO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ro-RO" w:eastAsia="ro-RO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ro-RO" w:eastAsia="ro-RO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ro-RO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ro-RO" w:eastAsia="ro-RO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ro-RO" w:eastAsia="ro-RO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ro-RO" w:eastAsia="ro-RO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ro-RO" w:eastAsia="ro-RO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ro-RO" w:eastAsia="ro-RO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ro-RO" w:eastAsia="ro-RO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ro-RO" w:eastAsia="ro-RO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ro-RO" w:eastAsia="ro-RO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ro-RO" w:eastAsia="ro-RO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ro-RO" w:eastAsia="ro-RO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ro-RO" w:eastAsia="ro-RO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ro-RO" w:eastAsia="ro-RO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ro-RO" w:eastAsia="ro-RO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ro-RO" w:eastAsia="ro-RO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ro-RO" w:eastAsia="ro-RO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ro-RO" w:eastAsia="ro-RO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ro-RO" w:eastAsia="ro-RO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ro-RO" w:eastAsia="ro-RO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ro-RO" w:eastAsia="ro-RO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ro-RO" w:eastAsia="ro-RO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ro-RO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ro-RO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ro-RO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ro-RO" w:eastAsia="ro-RO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ro-RO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ro-RO" w:eastAsia="ro-RO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ro-RO" w:eastAsia="ro-RO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ro-RO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ro-RO" w:eastAsia="ro-RO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ro-RO" w:eastAsia="ro-RO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ro-RO" w:eastAsia="ro-RO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ro-RO" w:eastAsia="ro-RO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ro-RO" w:eastAsia="ro-RO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ro-RO" w:eastAsia="ro-RO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ro-RO" w:eastAsia="ro-RO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ro-RO" w:eastAsia="ro-RO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ro-RO" w:eastAsia="ro-RO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ro-RO" w:eastAsia="ro-RO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ro-RO" w:eastAsia="ro-RO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ro-RO" w:eastAsia="ro-RO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ro-RO" w:eastAsia="ro-RO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ro-RO" w:eastAsia="ro-RO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ro-RO" w:eastAsia="ro-RO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ro-RO" w:eastAsia="ro-RO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ro-RO" w:eastAsia="ro-RO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075F-11AF-46D4-AE86-0754EA8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75</TotalTime>
  <Pages>13</Pages>
  <Words>551</Words>
  <Characters>5139</Characters>
  <Application>Microsoft Office Word</Application>
  <DocSecurity>0</DocSecurity>
  <PresentationFormat>Microsoft Word 11.0</PresentationFormat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5679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ZAINEA Andreea (DGT)</cp:lastModifiedBy>
  <cp:revision>4</cp:revision>
  <cp:lastPrinted>2016-03-25T07:45:00Z</cp:lastPrinted>
  <dcterms:created xsi:type="dcterms:W3CDTF">2018-02-01T09:16:00Z</dcterms:created>
  <dcterms:modified xsi:type="dcterms:W3CDTF">2018-02-26T08:44:00Z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