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Studio sull’attuazione del quadro UE delle competenze per la gestione e l’attuazione del Fondo europeo di sviluppo regionale e del Fondo di coesione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Politica regionale e urbana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Politica regionale e urbana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Allegato 3.</w:t>
      </w:r>
      <w:r>
        <w:rPr>
          <w:caps/>
          <w:noProof/>
          <w:sz w:val="16"/>
        </w:rPr>
        <w:t xml:space="preserve"> </w:t>
      </w:r>
      <w:r>
        <w:t>3 - Modello di piano di apprendimento e sviluppo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Quadro UE delle competenze per la gestione e l’attuazione del FESR e del Fondo di coesione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Modello di piano di apprendimento e sviluppo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Politica regionale e urbana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Politica regionale e urbana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[Inserire il nome dell’amministrazione]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Indice</w:t>
          </w:r>
        </w:p>
        <w:p w14:paraId="42E05A46" w14:textId="77777777" w:rsidR="001B4C64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84041" w:history="1">
            <w:r w:rsidR="001B4C64" w:rsidRPr="00151203">
              <w:rPr>
                <w:rStyle w:val="Hyperlink"/>
                <w:noProof/>
              </w:rPr>
              <w:t>1.</w:t>
            </w:r>
            <w:r w:rsidR="001B4C6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Portata e metodologia dell’autovalutazione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_Toc508984041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4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33F3FB55" w14:textId="77777777" w:rsidR="001B4C64" w:rsidRDefault="005D22C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984042" w:history="1">
            <w:r w:rsidR="001B4C64" w:rsidRPr="00151203">
              <w:rPr>
                <w:rStyle w:val="Hyperlink"/>
                <w:noProof/>
              </w:rPr>
              <w:t>2.</w:t>
            </w:r>
            <w:r w:rsidR="001B4C6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Risultati della valutazione delle competenze a livello dell’istituzione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_Toc508984042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5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31FDC5CB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43" w:history="1">
            <w:r w:rsidR="001B4C64" w:rsidRPr="00151203">
              <w:rPr>
                <w:rStyle w:val="Hyperlink"/>
                <w:noProof/>
              </w:rPr>
              <w:t>2.1.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Competenze operative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_Toc508984043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5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6F99D562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44" w:history="1">
            <w:r w:rsidR="001B4C64" w:rsidRPr="00151203">
              <w:rPr>
                <w:rStyle w:val="Hyperlink"/>
                <w:noProof/>
              </w:rPr>
              <w:t>2.2.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Competenze gestionali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_Toc508984044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6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7B9C0C3B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45" w:history="1">
            <w:r w:rsidR="001B4C64" w:rsidRPr="00151203">
              <w:rPr>
                <w:rStyle w:val="Hyperlink"/>
                <w:noProof/>
              </w:rPr>
              <w:t>2.3.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Competenze professionali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_Toc508984045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7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2C8E2866" w14:textId="77777777" w:rsidR="001B4C64" w:rsidRDefault="005D22C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984046" w:history="1">
            <w:r w:rsidR="001B4C64" w:rsidRPr="00151203">
              <w:rPr>
                <w:rStyle w:val="Hyperlink"/>
                <w:noProof/>
              </w:rPr>
              <w:t>3.</w:t>
            </w:r>
            <w:r w:rsidR="001B4C6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Azioni immediate per il miglioramento delle competenze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_Toc508984046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8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64B0995C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47" w:history="1">
            <w:r w:rsidR="001B4C64" w:rsidRPr="00151203">
              <w:rPr>
                <w:rStyle w:val="Hyperlink"/>
                <w:noProof/>
              </w:rPr>
              <w:t>3.1.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Azioni selezionate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_Toc508984047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8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65F84320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48" w:history="1">
            <w:r w:rsidR="001B4C64" w:rsidRPr="00151203">
              <w:rPr>
                <w:rStyle w:val="Hyperlink"/>
                <w:noProof/>
              </w:rPr>
              <w:t>3.2.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Metodi di apprendimento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_Toc508984048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8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00340143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49" w:history="1">
            <w:r w:rsidR="001B4C64" w:rsidRPr="00151203">
              <w:rPr>
                <w:rStyle w:val="Hyperlink"/>
                <w:noProof/>
              </w:rPr>
              <w:t>3.3.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Assunzione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_Toc508984049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9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66212AA0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0" w:history="1">
            <w:r w:rsidR="001B4C64" w:rsidRPr="00151203">
              <w:rPr>
                <w:rStyle w:val="Hyperlink"/>
                <w:noProof/>
              </w:rPr>
              <w:t>3.4.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Esternalizzazione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_Toc508984050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9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216D1A50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1" w:history="1">
            <w:r w:rsidR="001B4C64" w:rsidRPr="00151203">
              <w:rPr>
                <w:rStyle w:val="Hyperlink"/>
                <w:noProof/>
              </w:rPr>
              <w:t>3.5.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Robotica e Automazione di processo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_Toc508984051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9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71973D49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2" w:history="1">
            <w:r w:rsidR="001B4C64" w:rsidRPr="00151203">
              <w:rPr>
                <w:rStyle w:val="Hyperlink"/>
                <w:noProof/>
              </w:rPr>
              <w:t>3.6.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Partecipazione a reti di apprendimento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_Toc508984052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9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52170BA2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3" w:history="1">
            <w:r w:rsidR="001B4C64" w:rsidRPr="00151203">
              <w:rPr>
                <w:rStyle w:val="Hyperlink"/>
                <w:noProof/>
              </w:rPr>
              <w:t>3.7.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Buone pratiche, scambi e supporto tra pari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_Toc508984053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10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59263844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4" w:history="1">
            <w:r w:rsidR="001B4C64" w:rsidRPr="00151203">
              <w:rPr>
                <w:rStyle w:val="Hyperlink"/>
                <w:noProof/>
              </w:rPr>
              <w:t>3.8.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Considerazioni sulla struttura organizzativa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_Toc508984054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10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2A49708E" w14:textId="77777777" w:rsidR="001B4C64" w:rsidRDefault="005D22C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984055" w:history="1">
            <w:r w:rsidR="001B4C64" w:rsidRPr="00151203">
              <w:rPr>
                <w:rStyle w:val="Hyperlink"/>
                <w:noProof/>
              </w:rPr>
              <w:t>4.</w:t>
            </w:r>
            <w:r w:rsidR="001B4C6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Impiego a medio e lungo termine dello strumento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_Toc508984055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5E6FC7FC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6" w:history="1">
            <w:r w:rsidR="001B4C64" w:rsidRPr="00151203">
              <w:rPr>
                <w:rStyle w:val="Hyperlink"/>
                <w:noProof/>
              </w:rPr>
              <w:t>4.1.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Azioni a medio termine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_Toc508984056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0157E492" w14:textId="77777777" w:rsidR="001B4C64" w:rsidRDefault="005D22C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7" w:history="1">
            <w:r w:rsidR="001B4C64" w:rsidRPr="00151203">
              <w:rPr>
                <w:rStyle w:val="Hyperlink"/>
                <w:noProof/>
              </w:rPr>
              <w:t>4.1.1.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Responsabilità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_Toc508984057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23E8563C" w14:textId="77777777" w:rsidR="001B4C64" w:rsidRDefault="005D22C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8" w:history="1">
            <w:r w:rsidR="001B4C64" w:rsidRPr="00151203">
              <w:rPr>
                <w:rStyle w:val="Hyperlink"/>
                <w:noProof/>
              </w:rPr>
              <w:t>4.1.2.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Procedure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_Toc508984058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2341012F" w14:textId="77777777" w:rsidR="001B4C64" w:rsidRDefault="005D22C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59" w:history="1">
            <w:r w:rsidR="001B4C64" w:rsidRPr="00151203">
              <w:rPr>
                <w:rStyle w:val="Hyperlink"/>
                <w:noProof/>
              </w:rPr>
              <w:t>4.1.3.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Risorse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_Toc508984059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0FD72EB3" w14:textId="77777777" w:rsidR="001B4C64" w:rsidRDefault="005D22C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60" w:history="1">
            <w:r w:rsidR="001B4C64" w:rsidRPr="00151203">
              <w:rPr>
                <w:rStyle w:val="Hyperlink"/>
                <w:noProof/>
              </w:rPr>
              <w:t>4.2.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Azioni a lungo termine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_Toc508984060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4D2730DA" w14:textId="77777777" w:rsidR="001B4C64" w:rsidRDefault="005D22C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984061" w:history="1">
            <w:r w:rsidR="001B4C64" w:rsidRPr="00151203">
              <w:rPr>
                <w:rStyle w:val="Hyperlink"/>
                <w:noProof/>
              </w:rPr>
              <w:t>4.2.1.</w:t>
            </w:r>
            <w:r w:rsidR="001B4C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Strategia delle risorse umane basata sulle competenze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_Toc508984061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11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7389F6A4" w14:textId="77777777" w:rsidR="001B4C64" w:rsidRDefault="005D22C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984062" w:history="1">
            <w:r w:rsidR="001B4C64" w:rsidRPr="00151203">
              <w:rPr>
                <w:rStyle w:val="Hyperlink"/>
                <w:noProof/>
              </w:rPr>
              <w:t>5.</w:t>
            </w:r>
            <w:r w:rsidR="001B4C6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1B4C64" w:rsidRPr="00151203">
              <w:rPr>
                <w:rStyle w:val="Hyperlink"/>
                <w:noProof/>
              </w:rPr>
              <w:t>Tabella di marcia per lo sviluppo delle competenze</w:t>
            </w:r>
            <w:r w:rsidR="001B4C64">
              <w:rPr>
                <w:noProof/>
                <w:webHidden/>
              </w:rPr>
              <w:tab/>
            </w:r>
            <w:r w:rsidR="001B4C64">
              <w:rPr>
                <w:noProof/>
                <w:webHidden/>
              </w:rPr>
              <w:fldChar w:fldCharType="begin"/>
            </w:r>
            <w:r w:rsidR="001B4C64">
              <w:rPr>
                <w:noProof/>
                <w:webHidden/>
              </w:rPr>
              <w:instrText xml:space="preserve"> PAGEREF _Toc508984062 \h </w:instrText>
            </w:r>
            <w:r w:rsidR="001B4C64">
              <w:rPr>
                <w:noProof/>
                <w:webHidden/>
              </w:rPr>
            </w:r>
            <w:r w:rsidR="001B4C64">
              <w:rPr>
                <w:noProof/>
                <w:webHidden/>
              </w:rPr>
              <w:fldChar w:fldCharType="separate"/>
            </w:r>
            <w:r w:rsidR="001B4C64">
              <w:rPr>
                <w:noProof/>
                <w:webHidden/>
              </w:rPr>
              <w:t>12</w:t>
            </w:r>
            <w:r w:rsidR="001B4C64"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8984041"/>
      <w:r>
        <w:lastRenderedPageBreak/>
        <w:t>Portata e metodologia dell’autovalutazione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Personale coinvolto</w:t>
      </w:r>
    </w:p>
    <w:p w14:paraId="63E6EDDD" w14:textId="21CFB609" w:rsidR="004F16D3" w:rsidRDefault="004F16D3" w:rsidP="004F16D3">
      <w:pPr>
        <w:pStyle w:val="Bulletpoint1"/>
      </w:pPr>
      <w:r>
        <w:t>Tempi di valutazione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5" w:name="_Toc495920262"/>
      <w:bookmarkStart w:id="6" w:name="_Toc508984042"/>
      <w:r>
        <w:lastRenderedPageBreak/>
        <w:t>Risultati della valutazione delle competenze a livello dell’istituzione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Panoramica dei risultati per gruppi di competenze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8984043"/>
      <w:r>
        <w:t>Competenze operative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Panoramica dei risultati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1" w:name="_Toc484416485"/>
      <w:bookmarkStart w:id="12" w:name="_Toc491804322"/>
      <w:r>
        <w:t>Personale a livello operativo</w:t>
      </w:r>
      <w:bookmarkEnd w:id="11"/>
      <w:bookmarkEnd w:id="12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3" w:name="_Toc484416486"/>
      <w:bookmarkStart w:id="14" w:name="_Toc491804323"/>
      <w:r>
        <w:t>Supervisori e personale a livello decisionale</w:t>
      </w:r>
      <w:bookmarkEnd w:id="13"/>
      <w:bookmarkEnd w:id="14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5" w:name="_Toc484160131"/>
      <w:bookmarkStart w:id="16" w:name="_Toc484165316"/>
      <w:bookmarkStart w:id="17" w:name="_Toc484165581"/>
      <w:bookmarkStart w:id="18" w:name="_Toc484165653"/>
      <w:bookmarkStart w:id="19" w:name="_Toc484165725"/>
      <w:bookmarkStart w:id="20" w:name="_Toc484165850"/>
      <w:bookmarkStart w:id="21" w:name="_Toc484416487"/>
      <w:bookmarkStart w:id="22" w:name="_Toc491804324"/>
      <w:bookmarkStart w:id="23" w:name="_Toc495920264"/>
      <w:bookmarkStart w:id="24" w:name="_Toc508984044"/>
      <w:bookmarkEnd w:id="15"/>
      <w:bookmarkEnd w:id="16"/>
      <w:bookmarkEnd w:id="17"/>
      <w:bookmarkEnd w:id="18"/>
      <w:bookmarkEnd w:id="19"/>
      <w:bookmarkEnd w:id="20"/>
      <w:r>
        <w:lastRenderedPageBreak/>
        <w:t>Competenze gestionali</w:t>
      </w:r>
      <w:bookmarkEnd w:id="21"/>
      <w:bookmarkEnd w:id="22"/>
      <w:bookmarkEnd w:id="23"/>
      <w:bookmarkEnd w:id="24"/>
    </w:p>
    <w:p w14:paraId="76A06F5F" w14:textId="77777777" w:rsidR="003801BE" w:rsidRDefault="003801BE" w:rsidP="00F0763C">
      <w:pPr>
        <w:pStyle w:val="activities"/>
      </w:pPr>
      <w:bookmarkStart w:id="25" w:name="_Toc484416488"/>
      <w:bookmarkStart w:id="26" w:name="_Toc491804325"/>
      <w:r>
        <w:t>Panoramica dei risultati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Personale a livello operativo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Supervisori e personale a livello decisionale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5"/>
    <w:bookmarkEnd w:id="26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7" w:name="_Toc484416490"/>
      <w:bookmarkStart w:id="28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9" w:name="_Toc495920265"/>
      <w:bookmarkStart w:id="30" w:name="_Toc508984045"/>
      <w:r>
        <w:lastRenderedPageBreak/>
        <w:t>Competenze professionali</w:t>
      </w:r>
      <w:bookmarkEnd w:id="27"/>
      <w:bookmarkEnd w:id="28"/>
      <w:bookmarkEnd w:id="29"/>
      <w:bookmarkEnd w:id="30"/>
    </w:p>
    <w:p w14:paraId="010D3186" w14:textId="77777777" w:rsidR="003801BE" w:rsidRDefault="003801BE" w:rsidP="00F0763C">
      <w:pPr>
        <w:pStyle w:val="activities"/>
      </w:pPr>
      <w:bookmarkStart w:id="31" w:name="_Toc484416491"/>
      <w:bookmarkStart w:id="32" w:name="_Toc491804328"/>
      <w:r>
        <w:t>Panoramica dei risultati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Personale a livello operativo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Supervisori e personale a livello decisionale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3" w:name="_Toc484416494"/>
      <w:bookmarkStart w:id="34" w:name="_Toc491804330"/>
      <w:bookmarkEnd w:id="31"/>
      <w:bookmarkEnd w:id="32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5" w:name="_Toc495920266"/>
      <w:bookmarkStart w:id="36" w:name="_Toc508984046"/>
      <w:r>
        <w:lastRenderedPageBreak/>
        <w:t>Azioni immediate per il miglioramento delle competenze</w:t>
      </w:r>
      <w:bookmarkEnd w:id="33"/>
      <w:bookmarkEnd w:id="34"/>
      <w:bookmarkEnd w:id="35"/>
      <w:bookmarkEnd w:id="36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7" w:name="_Toc495920267"/>
      <w:bookmarkStart w:id="38" w:name="_Toc508984047"/>
      <w:r>
        <w:t>Azioni selezionate</w:t>
      </w:r>
      <w:bookmarkEnd w:id="37"/>
      <w:bookmarkEnd w:id="38"/>
    </w:p>
    <w:p w14:paraId="6EA6A7A3" w14:textId="438E2417" w:rsidR="00CA1CD6" w:rsidRPr="0004504E" w:rsidRDefault="0004504E" w:rsidP="0004504E">
      <w:pPr>
        <w:pStyle w:val="Bulletpoint1"/>
      </w:pPr>
      <w:r>
        <w:t>Panoramica dei metodi e delle azioni selezionate per lo sviluppo delle competenze</w:t>
      </w:r>
    </w:p>
    <w:p w14:paraId="078943E6" w14:textId="38D97C03" w:rsidR="00CA1CD6" w:rsidRPr="0004504E" w:rsidRDefault="0004504E" w:rsidP="0004504E">
      <w:pPr>
        <w:pStyle w:val="Bulletpoint1"/>
      </w:pPr>
      <w:r>
        <w:t>Link alle risorse dell’assistenza tecnica del programma operativo</w:t>
      </w:r>
    </w:p>
    <w:p w14:paraId="13C06019" w14:textId="73303761" w:rsidR="003801BE" w:rsidRPr="00206D1F" w:rsidRDefault="005D22CC" w:rsidP="00000BE3">
      <w:pPr>
        <w:pStyle w:val="TableBullet1"/>
        <w:numPr>
          <w:ilvl w:val="0"/>
          <w:numId w:val="0"/>
        </w:numPr>
        <w:spacing w:before="0" w:after="0"/>
        <w:contextualSpacing/>
      </w:pPr>
      <w:bookmarkStart w:id="39" w:name="_GoBack"/>
      <w:r w:rsidRPr="005D22CC">
        <w:drawing>
          <wp:inline distT="0" distB="0" distL="0" distR="0" wp14:anchorId="143F448B" wp14:editId="069A9419">
            <wp:extent cx="5580380" cy="319471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9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8984048"/>
      <w:r>
        <w:t>Metodi di apprendimento</w:t>
      </w:r>
      <w:bookmarkEnd w:id="40"/>
      <w:bookmarkEnd w:id="41"/>
      <w:bookmarkEnd w:id="42"/>
      <w:bookmarkEnd w:id="43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61"/>
        <w:gridCol w:w="766"/>
        <w:gridCol w:w="371"/>
        <w:gridCol w:w="741"/>
        <w:gridCol w:w="861"/>
        <w:gridCol w:w="963"/>
        <w:gridCol w:w="470"/>
        <w:gridCol w:w="1064"/>
        <w:gridCol w:w="831"/>
        <w:gridCol w:w="1676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Competenze operative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Competenza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Nome del corso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Breve descrizione del corso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Durata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Metodo di apprendimento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Livello atteso trattato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Compiti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Risorse dell’assistenza tecnica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61"/>
        <w:gridCol w:w="766"/>
        <w:gridCol w:w="371"/>
        <w:gridCol w:w="741"/>
        <w:gridCol w:w="861"/>
        <w:gridCol w:w="963"/>
        <w:gridCol w:w="470"/>
        <w:gridCol w:w="1064"/>
        <w:gridCol w:w="831"/>
        <w:gridCol w:w="1676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Competenze professionali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Competenza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Nome del corso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Breve descrizione del corso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Durata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Metodo di apprendimento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Livello atteso trattato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Compiti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Risorse dell’assistenza tecnica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16"/>
        <w:gridCol w:w="684"/>
        <w:gridCol w:w="370"/>
        <w:gridCol w:w="742"/>
        <w:gridCol w:w="765"/>
        <w:gridCol w:w="966"/>
        <w:gridCol w:w="467"/>
        <w:gridCol w:w="826"/>
        <w:gridCol w:w="831"/>
        <w:gridCol w:w="225"/>
        <w:gridCol w:w="1372"/>
        <w:gridCol w:w="540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Competenze gestionali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Competenza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Nome del corso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Breve descrizione del corso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Durata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Metodo di apprendimento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Livello atteso trattato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Compiti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Risorse dell’assistenza tecnica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8984049"/>
      <w:r>
        <w:t>Assunzione</w:t>
      </w:r>
      <w:bookmarkEnd w:id="44"/>
      <w:bookmarkEnd w:id="45"/>
      <w:bookmarkEnd w:id="46"/>
      <w:bookmarkEnd w:id="47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Profilo professionale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Livello atteso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Competenze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Compiti correlati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8984050"/>
      <w:bookmarkEnd w:id="48"/>
      <w:bookmarkEnd w:id="49"/>
      <w:bookmarkEnd w:id="50"/>
      <w:bookmarkEnd w:id="51"/>
      <w:bookmarkEnd w:id="52"/>
      <w:r>
        <w:t>Esternalizzazione</w:t>
      </w:r>
      <w:bookmarkEnd w:id="53"/>
      <w:bookmarkEnd w:id="54"/>
      <w:bookmarkEnd w:id="55"/>
      <w:bookmarkEnd w:id="5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Compiti esternalizzati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Dati specifici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Competenze trattate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Risorse dell’assistenza tecnica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8984051"/>
      <w:bookmarkEnd w:id="57"/>
      <w:bookmarkEnd w:id="58"/>
      <w:bookmarkEnd w:id="59"/>
      <w:bookmarkEnd w:id="60"/>
      <w:bookmarkEnd w:id="61"/>
      <w:r>
        <w:t>Robotica e Automazione di processo</w:t>
      </w:r>
      <w:bookmarkEnd w:id="62"/>
      <w:bookmarkEnd w:id="63"/>
      <w:bookmarkEnd w:id="64"/>
      <w:bookmarkEnd w:id="6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Compiti automatizzati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Dati specifici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Competenze trattate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Risorse dell’assistenza tecnica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8984052"/>
      <w:bookmarkEnd w:id="66"/>
      <w:bookmarkEnd w:id="67"/>
      <w:bookmarkEnd w:id="68"/>
      <w:bookmarkEnd w:id="69"/>
      <w:bookmarkEnd w:id="70"/>
      <w:r>
        <w:t>Partecipazione a reti di apprendimento</w:t>
      </w:r>
      <w:bookmarkEnd w:id="71"/>
      <w:bookmarkEnd w:id="72"/>
      <w:bookmarkEnd w:id="73"/>
      <w:bookmarkEnd w:id="7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Rete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Dati specifici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Competenze trattate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Compiti correlati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7" w:name="_Toc495920273"/>
      <w:bookmarkStart w:id="78" w:name="_Toc508984053"/>
      <w:r>
        <w:lastRenderedPageBreak/>
        <w:t>Buone pratiche, scambi e supporto tra pari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Buona pratica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Dati specifici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Competenze che ne trarranno vantaggio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Compiti che ne trarranno vantaggio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5"/>
        <w:gridCol w:w="1964"/>
        <w:gridCol w:w="1818"/>
        <w:gridCol w:w="1818"/>
        <w:gridCol w:w="1819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Argomento di apprendimento tra pari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Informazioni in merito all’amministrazione coinvolta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Competenze che ne trarranno vantaggio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Compiti che ne trarranno vantaggio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9" w:name="_Toc495920274"/>
      <w:bookmarkStart w:id="80" w:name="_Toc508984054"/>
      <w:r>
        <w:t>Considerazioni sulla struttura organizzativa</w:t>
      </w:r>
      <w:bookmarkEnd w:id="79"/>
      <w:bookmarkEnd w:id="80"/>
    </w:p>
    <w:p w14:paraId="0E0A838E" w14:textId="245C1D21" w:rsidR="00AE1442" w:rsidRPr="00F435FF" w:rsidRDefault="00AE1442" w:rsidP="0004504E">
      <w:pPr>
        <w:pStyle w:val="Bulletpoint1"/>
      </w:pPr>
      <w:r>
        <w:t>Considerazioni su unità organizzative e compiti principali / secondari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8984055"/>
      <w:bookmarkEnd w:id="82"/>
      <w:bookmarkEnd w:id="83"/>
      <w:r>
        <w:lastRenderedPageBreak/>
        <w:t xml:space="preserve">Impiego a medio e lungo termine </w:t>
      </w:r>
      <w:bookmarkEnd w:id="84"/>
      <w:r>
        <w:t>dello strumento</w:t>
      </w:r>
      <w:bookmarkEnd w:id="85"/>
      <w:bookmarkEnd w:id="86"/>
      <w:bookmarkEnd w:id="87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8" w:name="_Toc495920276"/>
      <w:bookmarkStart w:id="89" w:name="_Toc508984056"/>
      <w:bookmarkStart w:id="90" w:name="_Toc484416502"/>
      <w:bookmarkStart w:id="91" w:name="_Toc491804339"/>
      <w:r>
        <w:t>Azioni a medio termine</w:t>
      </w:r>
      <w:bookmarkEnd w:id="88"/>
      <w:bookmarkEnd w:id="89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8984057"/>
      <w:bookmarkEnd w:id="90"/>
      <w:bookmarkEnd w:id="91"/>
      <w:r>
        <w:t>Responsabilità</w:t>
      </w:r>
      <w:bookmarkEnd w:id="92"/>
      <w:bookmarkEnd w:id="93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8984058"/>
      <w:r>
        <w:t>Procedure</w:t>
      </w:r>
      <w:bookmarkEnd w:id="94"/>
      <w:bookmarkEnd w:id="95"/>
      <w:bookmarkEnd w:id="96"/>
      <w:bookmarkEnd w:id="97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8984059"/>
      <w:r>
        <w:t>Risorse</w:t>
      </w:r>
      <w:bookmarkEnd w:id="98"/>
      <w:bookmarkEnd w:id="99"/>
      <w:bookmarkEnd w:id="100"/>
      <w:bookmarkEnd w:id="101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8984060"/>
      <w:r>
        <w:t>Azioni a lungo termine</w:t>
      </w:r>
      <w:bookmarkEnd w:id="102"/>
      <w:bookmarkEnd w:id="103"/>
      <w:bookmarkEnd w:id="104"/>
      <w:bookmarkEnd w:id="105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8984061"/>
      <w:r>
        <w:t>Strategia delle risorse umane basata sulle competenze</w:t>
      </w:r>
      <w:bookmarkEnd w:id="106"/>
      <w:bookmarkEnd w:id="107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8" w:name="_Toc495920282"/>
      <w:bookmarkStart w:id="109" w:name="_Toc508984062"/>
      <w:r>
        <w:lastRenderedPageBreak/>
        <w:t>Tabella di marcia per lo sviluppo delle competenze</w:t>
      </w:r>
      <w:bookmarkEnd w:id="108"/>
      <w:bookmarkEnd w:id="109"/>
    </w:p>
    <w:p w14:paraId="40BC598C" w14:textId="0535BF0F" w:rsidR="00793251" w:rsidRDefault="00C047D4" w:rsidP="00793251">
      <w:pPr>
        <w:pStyle w:val="Text2"/>
        <w:ind w:left="0"/>
      </w:pPr>
      <w:r w:rsidRPr="00C047D4">
        <w:rPr>
          <w:noProof/>
          <w:lang w:val="en-GB" w:eastAsia="en-GB" w:bidi="ar-SA"/>
        </w:rPr>
        <w:drawing>
          <wp:inline distT="0" distB="0" distL="0" distR="0" wp14:anchorId="108D5AE8" wp14:editId="6C716C90">
            <wp:extent cx="9414510" cy="394292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39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[Numero catalogo]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[Numero catalogo]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88DB" w14:textId="77777777" w:rsidR="00F81ABA" w:rsidRDefault="00F81ABA">
      <w:r>
        <w:separator/>
      </w:r>
    </w:p>
  </w:endnote>
  <w:endnote w:type="continuationSeparator" w:id="0">
    <w:p w14:paraId="4C16B80B" w14:textId="77777777" w:rsidR="00F81ABA" w:rsidRDefault="00F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[numero]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5463" w14:textId="77777777" w:rsidR="00F81ABA" w:rsidRDefault="00F81ABA">
      <w:r>
        <w:separator/>
      </w:r>
    </w:p>
  </w:footnote>
  <w:footnote w:type="continuationSeparator" w:id="0">
    <w:p w14:paraId="18401FA8" w14:textId="77777777" w:rsidR="00F81ABA" w:rsidRDefault="00F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Piano di apprendimento e sviluppo – </w:t>
    </w:r>
    <w:r>
      <w:rPr>
        <w:highlight w:val="lightGray"/>
      </w:rPr>
      <w:t xml:space="preserve">Istituzione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Piano di apprendimento e sviluppo – </w:t>
    </w:r>
    <w:r>
      <w:rPr>
        <w:highlight w:val="lightGray"/>
      </w:rPr>
      <w:t xml:space="preserve">Istituzione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Piano di apprendimento e sviluppo – </w:t>
    </w:r>
    <w:r>
      <w:rPr>
        <w:highlight w:val="lightGray"/>
      </w:rPr>
      <w:t xml:space="preserve">Istituzione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Piano di apprendimento e sviluppo – </w:t>
    </w:r>
    <w:r>
      <w:rPr>
        <w:highlight w:val="lightGray"/>
      </w:rPr>
      <w:t xml:space="preserve">Istituzione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[Numero catalogo]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[Numero catalogo]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B4C64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22CC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50E1C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47D4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it-IT" w:eastAsia="it-IT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it-IT" w:eastAsia="it-IT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it-IT" w:eastAsia="it-IT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it-IT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it-IT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it-IT" w:eastAsia="it-IT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it-IT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it-IT" w:eastAsia="it-IT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it-IT" w:eastAsia="it-IT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it-IT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it-IT" w:eastAsia="it-IT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it-IT" w:eastAsia="it-IT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it-IT" w:eastAsia="it-IT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it-IT"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it-IT" w:eastAsia="it-IT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it-IT" w:eastAsia="it-IT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it-IT" w:eastAsia="it-IT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it-IT" w:eastAsia="it-IT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it-IT" w:eastAsia="it-IT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it-IT" w:eastAsia="it-IT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it-IT" w:eastAsia="it-IT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it-IT" w:eastAsia="it-IT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it-IT" w:eastAsia="it-IT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it-IT" w:eastAsia="it-IT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it-IT" w:eastAsia="it-IT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it-IT" w:eastAsia="it-IT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it-IT" w:eastAsia="it-IT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it-IT" w:eastAsia="it-IT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it-IT" w:eastAsia="it-IT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it-IT" w:eastAsia="it-IT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it-IT" w:eastAsia="it-IT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it-IT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it-IT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it-IT" w:eastAsia="it-IT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it-IT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it-IT" w:eastAsia="it-IT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it-IT" w:eastAsia="it-IT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it-IT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it-IT" w:eastAsia="it-IT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it-IT" w:eastAsia="it-IT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it-IT" w:eastAsia="it-IT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it-IT"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it-IT" w:eastAsia="it-IT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it-IT" w:eastAsia="it-IT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it-IT" w:eastAsia="it-IT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it-IT" w:eastAsia="it-IT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it-IT" w:eastAsia="it-IT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it-IT" w:eastAsia="it-IT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it-IT" w:eastAsia="it-IT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it-IT" w:eastAsia="it-IT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it-IT" w:eastAsia="it-IT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it-IT" w:eastAsia="it-IT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it-IT" w:eastAsia="it-IT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it-IT" w:eastAsia="it-IT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it-IT" w:eastAsia="it-IT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it-IT" w:eastAsia="it-IT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33E1-63EA-468E-B877-A6D45826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12</TotalTime>
  <Pages>13</Pages>
  <Words>546</Words>
  <Characters>5063</Characters>
  <Application>Microsoft Office Word</Application>
  <DocSecurity>0</DocSecurity>
  <PresentationFormat>Microsoft Word 11.0</PresentationFormat>
  <Lines>337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5504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ANTICHI Oriana (DGT)</cp:lastModifiedBy>
  <cp:revision>12</cp:revision>
  <cp:lastPrinted>2016-03-25T07:45:00Z</cp:lastPrinted>
  <dcterms:created xsi:type="dcterms:W3CDTF">2017-10-20T12:45:00Z</dcterms:created>
  <dcterms:modified xsi:type="dcterms:W3CDTF">2018-03-16T17:49:00Z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