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5B1D" w:rsidRPr="0070014E" w:rsidRDefault="00675B1D" w:rsidP="00923616">
      <w:pPr>
        <w:pStyle w:val="HStandard"/>
      </w:pPr>
      <w:r w:rsidRPr="0070014E">
        <w:rPr>
          <w:noProof/>
          <w:lang w:val="en-GB" w:eastAsia="en-GB" w:bidi="ar-SA"/>
        </w:rPr>
        <w:drawing>
          <wp:anchor distT="0" distB="0" distL="114300" distR="114300" simplePos="0" relativeHeight="251659264" behindDoc="1" locked="0" layoutInCell="1" allowOverlap="1" wp14:anchorId="1AFA7602" wp14:editId="158DE480">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sidRPr="0070014E">
        <w:rPr>
          <w:noProof/>
          <w:szCs w:val="24"/>
          <w:lang w:val="en-GB" w:eastAsia="en-GB" w:bidi="ar-SA"/>
        </w:rPr>
        <mc:AlternateContent>
          <mc:Choice Requires="wps">
            <w:drawing>
              <wp:anchor distT="0" distB="0" distL="114300" distR="114300" simplePos="0" relativeHeight="251661312" behindDoc="1" locked="0" layoutInCell="1" allowOverlap="1" wp14:anchorId="7F83B7B2" wp14:editId="7B2B2684">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5B1D" w:rsidRPr="00346304" w:rsidRDefault="00675B1D" w:rsidP="00185B1D">
                            <w:pPr>
                              <w:pStyle w:val="HTitle1"/>
                              <w:rPr>
                                <w:rFonts w:ascii="Arial" w:hAnsi="Arial" w:cs="Arial"/>
                                <w:lang w:val="en-GB"/>
                              </w:rPr>
                            </w:pPr>
                            <w:r w:rsidRPr="00346304">
                              <w:rPr>
                                <w:rFonts w:ascii="Arial" w:hAnsi="Arial"/>
                                <w:lang w:val="en-GB"/>
                              </w:rPr>
                              <w:t>GUIDELINES</w:t>
                            </w:r>
                          </w:p>
                          <w:p w:rsidR="00675B1D" w:rsidRPr="00346304" w:rsidRDefault="00675B1D" w:rsidP="00185B1D">
                            <w:pPr>
                              <w:pStyle w:val="HTitle2"/>
                              <w:rPr>
                                <w:rFonts w:ascii="Arial" w:hAnsi="Arial" w:cs="Arial"/>
                                <w:color w:val="262626" w:themeColor="text1" w:themeTint="D9"/>
                                <w:lang w:val="en-GB"/>
                              </w:rPr>
                            </w:pPr>
                            <w:r w:rsidRPr="00346304">
                              <w:rPr>
                                <w:rFonts w:ascii="Arial" w:hAnsi="Arial"/>
                                <w:color w:val="262626" w:themeColor="text1" w:themeTint="D9"/>
                                <w:lang w:val="en-GB"/>
                              </w:rPr>
                              <w:t>EVALUATION OF NATIONAL RURAL NETWORKS 2014-2020</w:t>
                            </w:r>
                          </w:p>
                          <w:p w:rsidR="00675B1D" w:rsidRPr="00346304" w:rsidRDefault="00675B1D" w:rsidP="00185B1D">
                            <w:pPr>
                              <w:pStyle w:val="HTitle2"/>
                              <w:rPr>
                                <w:rFonts w:ascii="Arial" w:hAnsi="Arial" w:cs="Arial"/>
                                <w:color w:val="262626" w:themeColor="text1" w:themeTint="D9"/>
                                <w:szCs w:val="40"/>
                                <w:lang w:val="en-GB"/>
                              </w:rPr>
                            </w:pPr>
                          </w:p>
                          <w:p w:rsidR="00675B1D" w:rsidRPr="005E40EA" w:rsidRDefault="00675B1D" w:rsidP="00185B1D">
                            <w:pPr>
                              <w:pStyle w:val="HTitle3"/>
                              <w:rPr>
                                <w:color w:val="262626" w:themeColor="text1" w:themeTint="D9"/>
                              </w:rPr>
                            </w:pPr>
                            <w:r w:rsidRPr="005E40EA">
                              <w:rPr>
                                <w:color w:val="262626" w:themeColor="text1" w:themeTint="D9"/>
                              </w:rPr>
                              <w:t>JULY 2016</w:t>
                            </w:r>
                          </w:p>
                          <w:p w:rsidR="00675B1D" w:rsidRPr="00DE5388" w:rsidRDefault="00675B1D"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83B7B2"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675B1D" w:rsidRPr="00346304" w:rsidRDefault="00675B1D" w:rsidP="00185B1D">
                      <w:pPr>
                        <w:pStyle w:val="HTitle1"/>
                        <w:rPr>
                          <w:rFonts w:ascii="Arial" w:hAnsi="Arial" w:cs="Arial"/>
                          <w:lang w:val="en-GB"/>
                        </w:rPr>
                      </w:pPr>
                      <w:r w:rsidRPr="00346304">
                        <w:rPr>
                          <w:rFonts w:ascii="Arial" w:hAnsi="Arial"/>
                          <w:lang w:val="en-GB"/>
                        </w:rPr>
                        <w:t>GUIDELINES</w:t>
                      </w:r>
                    </w:p>
                    <w:p w:rsidR="00675B1D" w:rsidRPr="00346304" w:rsidRDefault="00675B1D" w:rsidP="00185B1D">
                      <w:pPr>
                        <w:pStyle w:val="HTitle2"/>
                        <w:rPr>
                          <w:rFonts w:ascii="Arial" w:hAnsi="Arial" w:cs="Arial"/>
                          <w:color w:val="262626" w:themeColor="text1" w:themeTint="D9"/>
                          <w:lang w:val="en-GB"/>
                        </w:rPr>
                      </w:pPr>
                      <w:r w:rsidRPr="00346304">
                        <w:rPr>
                          <w:rFonts w:ascii="Arial" w:hAnsi="Arial"/>
                          <w:color w:val="262626" w:themeColor="text1" w:themeTint="D9"/>
                          <w:lang w:val="en-GB"/>
                        </w:rPr>
                        <w:t>EVALUATION OF NATIONAL RURAL NETWORKS 2014-2020</w:t>
                      </w:r>
                    </w:p>
                    <w:p w:rsidR="00675B1D" w:rsidRPr="00346304" w:rsidRDefault="00675B1D" w:rsidP="00185B1D">
                      <w:pPr>
                        <w:pStyle w:val="HTitle2"/>
                        <w:rPr>
                          <w:rFonts w:ascii="Arial" w:hAnsi="Arial" w:cs="Arial"/>
                          <w:color w:val="262626" w:themeColor="text1" w:themeTint="D9"/>
                          <w:szCs w:val="40"/>
                          <w:lang w:val="en-GB"/>
                        </w:rPr>
                      </w:pPr>
                    </w:p>
                    <w:p w:rsidR="00675B1D" w:rsidRPr="005E40EA" w:rsidRDefault="00675B1D" w:rsidP="00185B1D">
                      <w:pPr>
                        <w:pStyle w:val="HTitle3"/>
                        <w:rPr>
                          <w:color w:val="262626" w:themeColor="text1" w:themeTint="D9"/>
                        </w:rPr>
                      </w:pPr>
                      <w:r w:rsidRPr="005E40EA">
                        <w:rPr>
                          <w:color w:val="262626" w:themeColor="text1" w:themeTint="D9"/>
                        </w:rPr>
                        <w:t>JULY 2016</w:t>
                      </w:r>
                    </w:p>
                    <w:p w:rsidR="00675B1D" w:rsidRPr="00DE5388" w:rsidRDefault="00675B1D" w:rsidP="00185B1D">
                      <w:pPr>
                        <w:pStyle w:val="HTitle3"/>
                      </w:pPr>
                    </w:p>
                  </w:txbxContent>
                </v:textbox>
                <w10:wrap type="tight" anchorx="page" anchory="page"/>
              </v:shape>
            </w:pict>
          </mc:Fallback>
        </mc:AlternateContent>
      </w:r>
      <w:r w:rsidRPr="0070014E">
        <w:br w:type="page"/>
      </w:r>
    </w:p>
    <w:p w:rsidR="00675B1D" w:rsidRPr="0070014E" w:rsidRDefault="00675B1D" w:rsidP="00923616">
      <w:pPr>
        <w:pStyle w:val="HStandard"/>
      </w:pPr>
    </w:p>
    <w:p w:rsidR="00675B1D" w:rsidRPr="0070014E" w:rsidRDefault="00675B1D" w:rsidP="00923616">
      <w:pPr>
        <w:pStyle w:val="HStandard"/>
      </w:pPr>
    </w:p>
    <w:p w:rsidR="00675B1D" w:rsidRPr="0070014E" w:rsidRDefault="00675B1D" w:rsidP="00923616">
      <w:pPr>
        <w:pStyle w:val="HStandard"/>
      </w:pPr>
    </w:p>
    <w:p w:rsidR="00675B1D" w:rsidRPr="0070014E" w:rsidRDefault="00675B1D" w:rsidP="00923616">
      <w:pPr>
        <w:pStyle w:val="HStandard"/>
      </w:pPr>
    </w:p>
    <w:p w:rsidR="00675B1D" w:rsidRPr="0070014E" w:rsidRDefault="00675B1D">
      <w:pPr>
        <w:spacing w:after="0" w:line="240" w:lineRule="auto"/>
        <w:rPr>
          <w:rFonts w:cs="Arial"/>
          <w:color w:val="576C88" w:themeColor="text2" w:themeTint="D9"/>
          <w:sz w:val="20"/>
          <w:szCs w:val="20"/>
        </w:rPr>
      </w:pPr>
      <w:r w:rsidRPr="0070014E">
        <w:rPr>
          <w:noProof/>
          <w:lang w:eastAsia="en-GB"/>
        </w:rPr>
        <mc:AlternateContent>
          <mc:Choice Requires="wps">
            <w:drawing>
              <wp:anchor distT="0" distB="0" distL="114300" distR="114300" simplePos="0" relativeHeight="251660288" behindDoc="0" locked="0" layoutInCell="1" allowOverlap="1" wp14:anchorId="417183B9" wp14:editId="3AD72E18">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Copyright notice</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 European Union, 2016</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Reproduction is authorised provided the source is acknowledged.</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 xml:space="preserve">Recommended citation: </w:t>
                            </w:r>
                          </w:p>
                          <w:p w:rsidR="00675B1D" w:rsidRPr="00346304" w:rsidRDefault="00675B1D" w:rsidP="00707EDB">
                            <w:pPr>
                              <w:pStyle w:val="Hdisclaimer"/>
                              <w:rPr>
                                <w:rFonts w:ascii="Arial" w:hAnsi="Arial"/>
                                <w:color w:val="262626" w:themeColor="text1" w:themeTint="D9"/>
                                <w:lang w:val="en-GB"/>
                              </w:rPr>
                            </w:pPr>
                            <w:r w:rsidRPr="00346304">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Disclaimer:</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675B1D" w:rsidRPr="005E40EA" w:rsidRDefault="00675B1D" w:rsidP="005B24FC">
                            <w:pPr>
                              <w:pStyle w:val="Hdisclaimer"/>
                              <w:tabs>
                                <w:tab w:val="right" w:pos="10065"/>
                              </w:tabs>
                              <w:rPr>
                                <w:rFonts w:ascii="Arial" w:hAnsi="Arial"/>
                                <w:color w:val="262626" w:themeColor="text1" w:themeTint="D9"/>
                              </w:rPr>
                            </w:pPr>
                            <w:r w:rsidRPr="005E40EA">
                              <w:rPr>
                                <w:rFonts w:ascii="Arial" w:hAnsi="Arial"/>
                                <w:noProof/>
                                <w:color w:val="262626" w:themeColor="text1" w:themeTint="D9"/>
                                <w:lang w:val="en-GB" w:eastAsia="en-GB" w:bidi="ar-SA"/>
                              </w:rPr>
                              <w:drawing>
                                <wp:inline distT="0" distB="0" distL="0" distR="0" wp14:anchorId="4B6F269F" wp14:editId="02298ABE">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rsidRPr="005E40EA">
                              <w:tab/>
                            </w:r>
                            <w:r w:rsidRPr="005E40EA">
                              <w:rPr>
                                <w:rFonts w:ascii="Arial" w:hAnsi="Arial"/>
                                <w:noProof/>
                                <w:color w:val="262626" w:themeColor="text1" w:themeTint="D9"/>
                                <w:lang w:val="en-GB" w:eastAsia="en-GB" w:bidi="ar-SA"/>
                              </w:rPr>
                              <w:drawing>
                                <wp:inline distT="0" distB="0" distL="0" distR="0" wp14:anchorId="0EBC3A7F" wp14:editId="661CD8B4">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183B9"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Copyright notice</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 European Union, 2016</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Reproduction is authorised provided the source is acknowledged.</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 xml:space="preserve">Recommended citation: </w:t>
                      </w:r>
                    </w:p>
                    <w:p w:rsidR="00675B1D" w:rsidRPr="00346304" w:rsidRDefault="00675B1D" w:rsidP="00707EDB">
                      <w:pPr>
                        <w:pStyle w:val="Hdisclaimer"/>
                        <w:rPr>
                          <w:rFonts w:ascii="Arial" w:hAnsi="Arial"/>
                          <w:color w:val="262626" w:themeColor="text1" w:themeTint="D9"/>
                          <w:lang w:val="en-GB"/>
                        </w:rPr>
                      </w:pPr>
                      <w:r w:rsidRPr="00346304">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Disclaimer:</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675B1D" w:rsidRPr="005E40EA" w:rsidRDefault="00675B1D" w:rsidP="005B24FC">
                      <w:pPr>
                        <w:pStyle w:val="Hdisclaimer"/>
                        <w:tabs>
                          <w:tab w:val="right" w:pos="10065"/>
                        </w:tabs>
                        <w:rPr>
                          <w:rFonts w:ascii="Arial" w:hAnsi="Arial"/>
                          <w:color w:val="262626" w:themeColor="text1" w:themeTint="D9"/>
                        </w:rPr>
                      </w:pPr>
                      <w:r w:rsidRPr="005E40EA">
                        <w:rPr>
                          <w:rFonts w:ascii="Arial" w:hAnsi="Arial"/>
                          <w:noProof/>
                          <w:color w:val="262626" w:themeColor="text1" w:themeTint="D9"/>
                          <w:lang w:val="en-GB" w:eastAsia="en-GB" w:bidi="ar-SA"/>
                        </w:rPr>
                        <w:drawing>
                          <wp:inline distT="0" distB="0" distL="0" distR="0" wp14:anchorId="4B6F269F" wp14:editId="02298ABE">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rsidRPr="005E40EA">
                        <w:tab/>
                      </w:r>
                      <w:r w:rsidRPr="005E40EA">
                        <w:rPr>
                          <w:rFonts w:ascii="Arial" w:hAnsi="Arial"/>
                          <w:noProof/>
                          <w:color w:val="262626" w:themeColor="text1" w:themeTint="D9"/>
                          <w:lang w:val="en-GB" w:eastAsia="en-GB" w:bidi="ar-SA"/>
                        </w:rPr>
                        <w:drawing>
                          <wp:inline distT="0" distB="0" distL="0" distR="0" wp14:anchorId="0EBC3A7F" wp14:editId="661CD8B4">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675B1D" w:rsidRPr="00346304" w:rsidRDefault="00675B1D" w:rsidP="005B24FC">
                      <w:pPr>
                        <w:pStyle w:val="Hdisclaimer"/>
                        <w:rPr>
                          <w:rFonts w:ascii="Arial" w:hAnsi="Arial"/>
                          <w:color w:val="262626" w:themeColor="text1" w:themeTint="D9"/>
                          <w:lang w:val="en-GB"/>
                        </w:rPr>
                      </w:pPr>
                      <w:r w:rsidRPr="00346304">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rsidRPr="0070014E">
        <w:br w:type="page"/>
      </w:r>
    </w:p>
    <w:p w:rsidR="00675B1D" w:rsidRPr="0070014E" w:rsidRDefault="00675B1D" w:rsidP="00923616">
      <w:pPr>
        <w:pStyle w:val="HStandard"/>
        <w:sectPr w:rsidR="00675B1D" w:rsidRPr="0070014E" w:rsidSect="00B456A7">
          <w:pgSz w:w="11906" w:h="16838"/>
          <w:pgMar w:top="1440" w:right="1440" w:bottom="1440" w:left="1440" w:header="708" w:footer="708" w:gutter="0"/>
          <w:cols w:space="708"/>
          <w:docGrid w:linePitch="360"/>
        </w:sectPr>
      </w:pPr>
      <w:r w:rsidRPr="0070014E">
        <w:rPr>
          <w:noProof/>
          <w:lang w:val="en-GB" w:eastAsia="en-GB" w:bidi="ar-SA"/>
        </w:rPr>
        <w:lastRenderedPageBreak/>
        <mc:AlternateContent>
          <mc:Choice Requires="wps">
            <w:drawing>
              <wp:anchor distT="0" distB="0" distL="114300" distR="114300" simplePos="0" relativeHeight="251662336" behindDoc="1" locked="0" layoutInCell="1" allowOverlap="1" wp14:anchorId="6C10190C" wp14:editId="409DC264">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5B1D" w:rsidRPr="00346304" w:rsidRDefault="00675B1D" w:rsidP="00F10C08">
                            <w:pPr>
                              <w:pStyle w:val="HTitle1"/>
                              <w:rPr>
                                <w:rFonts w:ascii="Arial" w:hAnsi="Arial" w:cs="Arial"/>
                                <w:lang w:val="en-GB"/>
                              </w:rPr>
                            </w:pPr>
                            <w:r w:rsidRPr="00346304">
                              <w:rPr>
                                <w:rFonts w:ascii="Arial" w:hAnsi="Arial"/>
                                <w:lang w:val="en-GB"/>
                              </w:rPr>
                              <w:t>GUIDELINES</w:t>
                            </w:r>
                          </w:p>
                          <w:p w:rsidR="00675B1D" w:rsidRPr="00346304" w:rsidRDefault="00675B1D" w:rsidP="00F10C08">
                            <w:pPr>
                              <w:pStyle w:val="HTitle2"/>
                              <w:rPr>
                                <w:rFonts w:ascii="Arial" w:hAnsi="Arial" w:cs="Arial"/>
                                <w:color w:val="262626" w:themeColor="text1" w:themeTint="D9"/>
                                <w:lang w:val="en-GB"/>
                              </w:rPr>
                            </w:pPr>
                            <w:r w:rsidRPr="00346304">
                              <w:rPr>
                                <w:rFonts w:ascii="Arial" w:hAnsi="Arial"/>
                                <w:color w:val="262626" w:themeColor="text1" w:themeTint="D9"/>
                                <w:lang w:val="en-GB"/>
                              </w:rPr>
                              <w:t>EVALUATION OF NATIONAL RURAL NETWORKS 2014-2020</w:t>
                            </w:r>
                          </w:p>
                          <w:p w:rsidR="00675B1D" w:rsidRPr="00346304" w:rsidRDefault="00675B1D" w:rsidP="00F10C08">
                            <w:pPr>
                              <w:pStyle w:val="HTitle2"/>
                              <w:rPr>
                                <w:rFonts w:ascii="Arial" w:hAnsi="Arial" w:cs="Arial"/>
                                <w:color w:val="262626" w:themeColor="text1" w:themeTint="D9"/>
                                <w:szCs w:val="40"/>
                                <w:lang w:val="en-GB"/>
                              </w:rPr>
                            </w:pPr>
                          </w:p>
                          <w:p w:rsidR="00675B1D" w:rsidRPr="005E40EA" w:rsidRDefault="00675B1D" w:rsidP="00F10C08">
                            <w:pPr>
                              <w:pStyle w:val="HTitle3"/>
                            </w:pPr>
                            <w:r w:rsidRPr="005E40EA">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0190C"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675B1D" w:rsidRPr="00346304" w:rsidRDefault="00675B1D" w:rsidP="00F10C08">
                      <w:pPr>
                        <w:pStyle w:val="HTitle1"/>
                        <w:rPr>
                          <w:rFonts w:ascii="Arial" w:hAnsi="Arial" w:cs="Arial"/>
                          <w:lang w:val="en-GB"/>
                        </w:rPr>
                      </w:pPr>
                      <w:r w:rsidRPr="00346304">
                        <w:rPr>
                          <w:rFonts w:ascii="Arial" w:hAnsi="Arial"/>
                          <w:lang w:val="en-GB"/>
                        </w:rPr>
                        <w:t>GUIDELINES</w:t>
                      </w:r>
                    </w:p>
                    <w:p w:rsidR="00675B1D" w:rsidRPr="00346304" w:rsidRDefault="00675B1D" w:rsidP="00F10C08">
                      <w:pPr>
                        <w:pStyle w:val="HTitle2"/>
                        <w:rPr>
                          <w:rFonts w:ascii="Arial" w:hAnsi="Arial" w:cs="Arial"/>
                          <w:color w:val="262626" w:themeColor="text1" w:themeTint="D9"/>
                          <w:lang w:val="en-GB"/>
                        </w:rPr>
                      </w:pPr>
                      <w:r w:rsidRPr="00346304">
                        <w:rPr>
                          <w:rFonts w:ascii="Arial" w:hAnsi="Arial"/>
                          <w:color w:val="262626" w:themeColor="text1" w:themeTint="D9"/>
                          <w:lang w:val="en-GB"/>
                        </w:rPr>
                        <w:t>EVALUATION OF NATIONAL RURAL NETWORKS 2014-2020</w:t>
                      </w:r>
                    </w:p>
                    <w:p w:rsidR="00675B1D" w:rsidRPr="00346304" w:rsidRDefault="00675B1D" w:rsidP="00F10C08">
                      <w:pPr>
                        <w:pStyle w:val="HTitle2"/>
                        <w:rPr>
                          <w:rFonts w:ascii="Arial" w:hAnsi="Arial" w:cs="Arial"/>
                          <w:color w:val="262626" w:themeColor="text1" w:themeTint="D9"/>
                          <w:szCs w:val="40"/>
                          <w:lang w:val="en-GB"/>
                        </w:rPr>
                      </w:pPr>
                    </w:p>
                    <w:p w:rsidR="00675B1D" w:rsidRPr="005E40EA" w:rsidRDefault="00675B1D" w:rsidP="00F10C08">
                      <w:pPr>
                        <w:pStyle w:val="HTitle3"/>
                      </w:pPr>
                      <w:r w:rsidRPr="005E40EA">
                        <w:t>JULY 2016</w:t>
                      </w:r>
                    </w:p>
                  </w:txbxContent>
                </v:textbox>
                <w10:wrap type="tight" anchorx="page" anchory="page"/>
              </v:shape>
            </w:pict>
          </mc:Fallback>
        </mc:AlternateContent>
      </w:r>
    </w:p>
    <w:p w:rsidR="00675B1D" w:rsidRPr="0070014E" w:rsidRDefault="00675B1D">
      <w:pPr>
        <w:spacing w:after="0" w:line="240" w:lineRule="auto"/>
        <w:rPr>
          <w:rFonts w:cs="Arial"/>
          <w:b/>
          <w:bCs/>
          <w:caps/>
          <w:color w:val="F07E31"/>
          <w:kern w:val="32"/>
          <w:sz w:val="20"/>
          <w:szCs w:val="32"/>
        </w:rPr>
      </w:pPr>
      <w:r w:rsidRPr="0070014E">
        <w:lastRenderedPageBreak/>
        <w:br w:type="page"/>
      </w:r>
    </w:p>
    <w:p w:rsidR="00675B1D" w:rsidRPr="0070014E" w:rsidRDefault="00675B1D" w:rsidP="000B62C2">
      <w:pPr>
        <w:pStyle w:val="HContent"/>
        <w:rPr>
          <w:rFonts w:ascii="Arial" w:hAnsi="Arial"/>
        </w:rPr>
      </w:pPr>
      <w:r w:rsidRPr="0070014E">
        <w:rPr>
          <w:rFonts w:ascii="Arial" w:hAnsi="Arial"/>
        </w:rPr>
        <w:lastRenderedPageBreak/>
        <w:t>Content</w:t>
      </w:r>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r w:rsidRPr="00346304">
        <w:rPr>
          <w:noProof w:val="0"/>
          <w:color w:val="576C88" w:themeColor="text2" w:themeTint="D9"/>
        </w:rPr>
        <w:fldChar w:fldCharType="begin"/>
      </w:r>
      <w:r w:rsidRPr="00346304">
        <w:rPr>
          <w:noProof w:val="0"/>
          <w:color w:val="576C88" w:themeColor="text2" w:themeTint="D9"/>
        </w:rPr>
        <w:instrText xml:space="preserve"> TOC \h \z \t "H_Heading 1;1;H_Heading 2;2;H_Heading 3;3;H_Heading 9;1" </w:instrText>
      </w:r>
      <w:r w:rsidRPr="00346304">
        <w:rPr>
          <w:noProof w:val="0"/>
          <w:color w:val="576C88" w:themeColor="text2" w:themeTint="D9"/>
        </w:rPr>
        <w:fldChar w:fldCharType="separate"/>
      </w:r>
      <w:hyperlink w:anchor="_Toc461616629" w:history="1">
        <w:r w:rsidRPr="00346304">
          <w:rPr>
            <w:rStyle w:val="Hyperlink"/>
            <w:rFonts w:cs="Arial"/>
            <w:noProof w:val="0"/>
            <w:highlight w:val="yellow"/>
          </w:rPr>
          <w:t>1</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INTRODUZIONE</w:t>
        </w:r>
        <w:r w:rsidRPr="00346304">
          <w:rPr>
            <w:noProof w:val="0"/>
            <w:webHidden/>
          </w:rPr>
          <w:tab/>
        </w:r>
        <w:r w:rsidRPr="00346304">
          <w:rPr>
            <w:noProof w:val="0"/>
            <w:webHidden/>
          </w:rPr>
          <w:fldChar w:fldCharType="begin"/>
        </w:r>
        <w:r w:rsidRPr="00346304">
          <w:rPr>
            <w:noProof w:val="0"/>
            <w:webHidden/>
          </w:rPr>
          <w:instrText xml:space="preserve"> PAGEREF _Toc461616629 \h </w:instrText>
        </w:r>
        <w:r w:rsidRPr="00346304">
          <w:rPr>
            <w:noProof w:val="0"/>
            <w:webHidden/>
          </w:rPr>
        </w:r>
        <w:r w:rsidRPr="00346304">
          <w:rPr>
            <w:noProof w:val="0"/>
            <w:webHidden/>
          </w:rPr>
          <w:fldChar w:fldCharType="separate"/>
        </w:r>
        <w:r w:rsidRPr="00346304">
          <w:rPr>
            <w:noProof w:val="0"/>
            <w:webHidden/>
          </w:rPr>
          <w:t>11</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30" w:history="1">
        <w:r w:rsidRPr="00346304">
          <w:rPr>
            <w:rStyle w:val="Hyperlink"/>
            <w:noProof w:val="0"/>
            <w:highlight w:val="yellow"/>
          </w:rPr>
          <w:t>1.1</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Linee guida per la valutazione delle reti rurali nazionali</w:t>
        </w:r>
        <w:r w:rsidRPr="00346304">
          <w:rPr>
            <w:noProof w:val="0"/>
            <w:webHidden/>
          </w:rPr>
          <w:tab/>
        </w:r>
        <w:r w:rsidRPr="00346304">
          <w:rPr>
            <w:noProof w:val="0"/>
            <w:webHidden/>
          </w:rPr>
          <w:fldChar w:fldCharType="begin"/>
        </w:r>
        <w:r w:rsidRPr="00346304">
          <w:rPr>
            <w:noProof w:val="0"/>
            <w:webHidden/>
          </w:rPr>
          <w:instrText xml:space="preserve"> PAGEREF _Toc461616630 \h </w:instrText>
        </w:r>
        <w:r w:rsidRPr="00346304">
          <w:rPr>
            <w:noProof w:val="0"/>
            <w:webHidden/>
          </w:rPr>
        </w:r>
        <w:r w:rsidRPr="00346304">
          <w:rPr>
            <w:noProof w:val="0"/>
            <w:webHidden/>
          </w:rPr>
          <w:fldChar w:fldCharType="separate"/>
        </w:r>
        <w:r w:rsidRPr="00346304">
          <w:rPr>
            <w:noProof w:val="0"/>
            <w:webHidden/>
          </w:rPr>
          <w:t>11</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31" w:history="1">
        <w:r w:rsidRPr="00346304">
          <w:rPr>
            <w:rStyle w:val="Hyperlink"/>
            <w:noProof w:val="0"/>
            <w:highlight w:val="yellow"/>
          </w:rPr>
          <w:t>1.2</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Le reti e la creazione di reti nella politica di sviluppo rurale dell'UE</w:t>
        </w:r>
        <w:r w:rsidRPr="00346304">
          <w:rPr>
            <w:noProof w:val="0"/>
            <w:webHidden/>
          </w:rPr>
          <w:tab/>
        </w:r>
        <w:r w:rsidRPr="00346304">
          <w:rPr>
            <w:noProof w:val="0"/>
            <w:webHidden/>
          </w:rPr>
          <w:fldChar w:fldCharType="begin"/>
        </w:r>
        <w:r w:rsidRPr="00346304">
          <w:rPr>
            <w:noProof w:val="0"/>
            <w:webHidden/>
          </w:rPr>
          <w:instrText xml:space="preserve"> PAGEREF _Toc461616631 \h </w:instrText>
        </w:r>
        <w:r w:rsidRPr="00346304">
          <w:rPr>
            <w:noProof w:val="0"/>
            <w:webHidden/>
          </w:rPr>
        </w:r>
        <w:r w:rsidRPr="00346304">
          <w:rPr>
            <w:noProof w:val="0"/>
            <w:webHidden/>
          </w:rPr>
          <w:fldChar w:fldCharType="separate"/>
        </w:r>
        <w:r w:rsidRPr="00346304">
          <w:rPr>
            <w:noProof w:val="0"/>
            <w:webHidden/>
          </w:rPr>
          <w:t>13</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32" w:history="1">
        <w:r w:rsidRPr="00346304">
          <w:rPr>
            <w:rStyle w:val="Hyperlink"/>
            <w:noProof w:val="0"/>
            <w:highlight w:val="yellow"/>
          </w:rPr>
          <w:t>1.3</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Perché e come si valutano le RRN?</w:t>
        </w:r>
        <w:r w:rsidRPr="00346304">
          <w:rPr>
            <w:noProof w:val="0"/>
            <w:webHidden/>
          </w:rPr>
          <w:tab/>
        </w:r>
        <w:r w:rsidRPr="00346304">
          <w:rPr>
            <w:noProof w:val="0"/>
            <w:webHidden/>
          </w:rPr>
          <w:fldChar w:fldCharType="begin"/>
        </w:r>
        <w:r w:rsidRPr="00346304">
          <w:rPr>
            <w:noProof w:val="0"/>
            <w:webHidden/>
          </w:rPr>
          <w:instrText xml:space="preserve"> PAGEREF _Toc461616632 \h </w:instrText>
        </w:r>
        <w:r w:rsidRPr="00346304">
          <w:rPr>
            <w:noProof w:val="0"/>
            <w:webHidden/>
          </w:rPr>
        </w:r>
        <w:r w:rsidRPr="00346304">
          <w:rPr>
            <w:noProof w:val="0"/>
            <w:webHidden/>
          </w:rPr>
          <w:fldChar w:fldCharType="separate"/>
        </w:r>
        <w:r w:rsidRPr="00346304">
          <w:rPr>
            <w:noProof w:val="0"/>
            <w:webHidden/>
          </w:rPr>
          <w:t>18</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33" w:history="1">
        <w:r w:rsidRPr="00346304">
          <w:rPr>
            <w:rStyle w:val="Hyperlink"/>
            <w:noProof w:val="0"/>
            <w:highlight w:val="yellow"/>
          </w:rPr>
          <w:t>1.4</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Requisiti della valutazione delle RRN nella politica di sviluppo rurale dell'UE</w:t>
        </w:r>
        <w:r w:rsidRPr="00346304">
          <w:rPr>
            <w:noProof w:val="0"/>
            <w:webHidden/>
          </w:rPr>
          <w:tab/>
        </w:r>
        <w:r w:rsidRPr="00346304">
          <w:rPr>
            <w:noProof w:val="0"/>
            <w:webHidden/>
          </w:rPr>
          <w:fldChar w:fldCharType="begin"/>
        </w:r>
        <w:r w:rsidRPr="00346304">
          <w:rPr>
            <w:noProof w:val="0"/>
            <w:webHidden/>
          </w:rPr>
          <w:instrText xml:space="preserve"> PAGEREF _Toc461616633 \h </w:instrText>
        </w:r>
        <w:r w:rsidRPr="00346304">
          <w:rPr>
            <w:noProof w:val="0"/>
            <w:webHidden/>
          </w:rPr>
        </w:r>
        <w:r w:rsidRPr="00346304">
          <w:rPr>
            <w:noProof w:val="0"/>
            <w:webHidden/>
          </w:rPr>
          <w:fldChar w:fldCharType="separate"/>
        </w:r>
        <w:r w:rsidRPr="00346304">
          <w:rPr>
            <w:noProof w:val="0"/>
            <w:webHidden/>
          </w:rPr>
          <w:t>21</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34" w:history="1">
        <w:r w:rsidRPr="00346304">
          <w:rPr>
            <w:rStyle w:val="Hyperlink"/>
            <w:noProof w:val="0"/>
            <w:highlight w:val="yellow"/>
          </w:rPr>
          <w:t>1.4.1</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Calendario dei requisiti giuridici per la valutazione e la rendicontazione</w:t>
        </w:r>
        <w:r w:rsidRPr="00346304">
          <w:rPr>
            <w:noProof w:val="0"/>
            <w:webHidden/>
          </w:rPr>
          <w:tab/>
        </w:r>
        <w:r w:rsidRPr="00346304">
          <w:rPr>
            <w:noProof w:val="0"/>
            <w:webHidden/>
          </w:rPr>
          <w:fldChar w:fldCharType="begin"/>
        </w:r>
        <w:r w:rsidRPr="00346304">
          <w:rPr>
            <w:noProof w:val="0"/>
            <w:webHidden/>
          </w:rPr>
          <w:instrText xml:space="preserve"> PAGEREF _Toc461616634 \h </w:instrText>
        </w:r>
        <w:r w:rsidRPr="00346304">
          <w:rPr>
            <w:noProof w:val="0"/>
            <w:webHidden/>
          </w:rPr>
        </w:r>
        <w:r w:rsidRPr="00346304">
          <w:rPr>
            <w:noProof w:val="0"/>
            <w:webHidden/>
          </w:rPr>
          <w:fldChar w:fldCharType="separate"/>
        </w:r>
        <w:r w:rsidRPr="00346304">
          <w:rPr>
            <w:noProof w:val="0"/>
            <w:webHidden/>
          </w:rPr>
          <w:t>21</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35" w:history="1">
        <w:r w:rsidRPr="00346304">
          <w:rPr>
            <w:rStyle w:val="Hyperlink"/>
            <w:noProof w:val="0"/>
            <w:highlight w:val="yellow"/>
          </w:rPr>
          <w:t>1.4.2</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Oggetto della valutazione della RRN: che cosa si deve valutare?</w:t>
        </w:r>
        <w:r w:rsidRPr="00346304">
          <w:rPr>
            <w:noProof w:val="0"/>
            <w:webHidden/>
          </w:rPr>
          <w:tab/>
        </w:r>
        <w:r w:rsidRPr="00346304">
          <w:rPr>
            <w:noProof w:val="0"/>
            <w:webHidden/>
          </w:rPr>
          <w:fldChar w:fldCharType="begin"/>
        </w:r>
        <w:r w:rsidRPr="00346304">
          <w:rPr>
            <w:noProof w:val="0"/>
            <w:webHidden/>
          </w:rPr>
          <w:instrText xml:space="preserve"> PAGEREF _Toc461616635 \h </w:instrText>
        </w:r>
        <w:r w:rsidRPr="00346304">
          <w:rPr>
            <w:noProof w:val="0"/>
            <w:webHidden/>
          </w:rPr>
        </w:r>
        <w:r w:rsidRPr="00346304">
          <w:rPr>
            <w:noProof w:val="0"/>
            <w:webHidden/>
          </w:rPr>
          <w:fldChar w:fldCharType="separate"/>
        </w:r>
        <w:r w:rsidRPr="00346304">
          <w:rPr>
            <w:noProof w:val="0"/>
            <w:webHidden/>
          </w:rPr>
          <w:t>22</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36" w:history="1">
        <w:r w:rsidRPr="00346304">
          <w:rPr>
            <w:rStyle w:val="Hyperlink"/>
            <w:noProof w:val="0"/>
            <w:highlight w:val="yellow"/>
          </w:rPr>
          <w:t>1.4.3</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Elementi di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_Toc461616636 \h </w:instrText>
        </w:r>
        <w:r w:rsidRPr="00346304">
          <w:rPr>
            <w:noProof w:val="0"/>
            <w:webHidden/>
          </w:rPr>
        </w:r>
        <w:r w:rsidRPr="00346304">
          <w:rPr>
            <w:noProof w:val="0"/>
            <w:webHidden/>
          </w:rPr>
          <w:fldChar w:fldCharType="separate"/>
        </w:r>
        <w:r w:rsidRPr="00346304">
          <w:rPr>
            <w:noProof w:val="0"/>
            <w:webHidden/>
          </w:rPr>
          <w:t>29</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637" w:history="1">
        <w:r w:rsidRPr="00346304">
          <w:rPr>
            <w:rStyle w:val="Hyperlink"/>
            <w:rFonts w:cs="Arial"/>
            <w:noProof w:val="0"/>
            <w:highlight w:val="yellow"/>
          </w:rPr>
          <w:t>2</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PARTE I - LA GESTIONE DELLA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_Toc461616637 \h </w:instrText>
        </w:r>
        <w:r w:rsidRPr="00346304">
          <w:rPr>
            <w:noProof w:val="0"/>
            <w:webHidden/>
          </w:rPr>
        </w:r>
        <w:r w:rsidRPr="00346304">
          <w:rPr>
            <w:noProof w:val="0"/>
            <w:webHidden/>
          </w:rPr>
          <w:fldChar w:fldCharType="separate"/>
        </w:r>
        <w:r w:rsidRPr="00346304">
          <w:rPr>
            <w:noProof w:val="0"/>
            <w:webHidden/>
          </w:rPr>
          <w:t>33</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38" w:history="1">
        <w:r w:rsidRPr="00346304">
          <w:rPr>
            <w:rStyle w:val="Hyperlink"/>
            <w:noProof w:val="0"/>
            <w:highlight w:val="yellow"/>
          </w:rPr>
          <w:t>2.1</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Chi è coinvolto nella valutazione delle RRN e in che ruolo?</w:t>
        </w:r>
        <w:r w:rsidRPr="00346304">
          <w:rPr>
            <w:noProof w:val="0"/>
            <w:webHidden/>
          </w:rPr>
          <w:tab/>
        </w:r>
        <w:r w:rsidRPr="00346304">
          <w:rPr>
            <w:noProof w:val="0"/>
            <w:webHidden/>
          </w:rPr>
          <w:fldChar w:fldCharType="begin"/>
        </w:r>
        <w:r w:rsidRPr="00346304">
          <w:rPr>
            <w:noProof w:val="0"/>
            <w:webHidden/>
          </w:rPr>
          <w:instrText xml:space="preserve"> PAGEREF _Toc461616638 \h </w:instrText>
        </w:r>
        <w:r w:rsidRPr="00346304">
          <w:rPr>
            <w:noProof w:val="0"/>
            <w:webHidden/>
          </w:rPr>
        </w:r>
        <w:r w:rsidRPr="00346304">
          <w:rPr>
            <w:noProof w:val="0"/>
            <w:webHidden/>
          </w:rPr>
          <w:fldChar w:fldCharType="separate"/>
        </w:r>
        <w:r w:rsidRPr="00346304">
          <w:rPr>
            <w:noProof w:val="0"/>
            <w:webHidden/>
          </w:rPr>
          <w:t>33</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39" w:history="1">
        <w:r w:rsidRPr="00346304">
          <w:rPr>
            <w:rStyle w:val="Hyperlink"/>
            <w:noProof w:val="0"/>
            <w:highlight w:val="yellow"/>
          </w:rPr>
          <w:t>2.1.1</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Attori coinvolti nel funzionamento della rete</w:t>
        </w:r>
        <w:r w:rsidRPr="00346304">
          <w:rPr>
            <w:noProof w:val="0"/>
            <w:webHidden/>
          </w:rPr>
          <w:tab/>
        </w:r>
        <w:r w:rsidRPr="00346304">
          <w:rPr>
            <w:noProof w:val="0"/>
            <w:webHidden/>
          </w:rPr>
          <w:fldChar w:fldCharType="begin"/>
        </w:r>
        <w:r w:rsidRPr="00346304">
          <w:rPr>
            <w:noProof w:val="0"/>
            <w:webHidden/>
          </w:rPr>
          <w:instrText xml:space="preserve"> PAGEREF _Toc461616639 \h </w:instrText>
        </w:r>
        <w:r w:rsidRPr="00346304">
          <w:rPr>
            <w:noProof w:val="0"/>
            <w:webHidden/>
          </w:rPr>
        </w:r>
        <w:r w:rsidRPr="00346304">
          <w:rPr>
            <w:noProof w:val="0"/>
            <w:webHidden/>
          </w:rPr>
          <w:fldChar w:fldCharType="separate"/>
        </w:r>
        <w:r w:rsidRPr="00346304">
          <w:rPr>
            <w:noProof w:val="0"/>
            <w:webHidden/>
          </w:rPr>
          <w:t>33</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0" w:history="1">
        <w:r w:rsidRPr="00346304">
          <w:rPr>
            <w:rStyle w:val="Hyperlink"/>
            <w:noProof w:val="0"/>
            <w:highlight w:val="yellow"/>
          </w:rPr>
          <w:t>2.1.2</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I membri della rete</w:t>
        </w:r>
        <w:r w:rsidRPr="00346304">
          <w:rPr>
            <w:noProof w:val="0"/>
            <w:webHidden/>
          </w:rPr>
          <w:tab/>
        </w:r>
        <w:r w:rsidRPr="00346304">
          <w:rPr>
            <w:noProof w:val="0"/>
            <w:webHidden/>
          </w:rPr>
          <w:fldChar w:fldCharType="begin"/>
        </w:r>
        <w:r w:rsidRPr="00346304">
          <w:rPr>
            <w:noProof w:val="0"/>
            <w:webHidden/>
          </w:rPr>
          <w:instrText xml:space="preserve"> PAGEREF _Toc461616640 \h </w:instrText>
        </w:r>
        <w:r w:rsidRPr="00346304">
          <w:rPr>
            <w:noProof w:val="0"/>
            <w:webHidden/>
          </w:rPr>
        </w:r>
        <w:r w:rsidRPr="00346304">
          <w:rPr>
            <w:noProof w:val="0"/>
            <w:webHidden/>
          </w:rPr>
          <w:fldChar w:fldCharType="separate"/>
        </w:r>
        <w:r w:rsidRPr="00346304">
          <w:rPr>
            <w:noProof w:val="0"/>
            <w:webHidden/>
          </w:rPr>
          <w:t>35</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1" w:history="1">
        <w:r w:rsidRPr="00346304">
          <w:rPr>
            <w:rStyle w:val="Hyperlink"/>
            <w:noProof w:val="0"/>
            <w:highlight w:val="yellow"/>
          </w:rPr>
          <w:t>2.1.3</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Attori che valutano la rete</w:t>
        </w:r>
        <w:r w:rsidRPr="00346304">
          <w:rPr>
            <w:noProof w:val="0"/>
            <w:webHidden/>
          </w:rPr>
          <w:tab/>
        </w:r>
        <w:r w:rsidRPr="00346304">
          <w:rPr>
            <w:noProof w:val="0"/>
            <w:webHidden/>
          </w:rPr>
          <w:fldChar w:fldCharType="begin"/>
        </w:r>
        <w:r w:rsidRPr="00346304">
          <w:rPr>
            <w:noProof w:val="0"/>
            <w:webHidden/>
          </w:rPr>
          <w:instrText xml:space="preserve"> PAGEREF _Toc461616641 \h </w:instrText>
        </w:r>
        <w:r w:rsidRPr="00346304">
          <w:rPr>
            <w:noProof w:val="0"/>
            <w:webHidden/>
          </w:rPr>
        </w:r>
        <w:r w:rsidRPr="00346304">
          <w:rPr>
            <w:noProof w:val="0"/>
            <w:webHidden/>
          </w:rPr>
          <w:fldChar w:fldCharType="separate"/>
        </w:r>
        <w:r w:rsidRPr="00346304">
          <w:rPr>
            <w:noProof w:val="0"/>
            <w:webHidden/>
          </w:rPr>
          <w:t>36</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42" w:history="1">
        <w:r w:rsidRPr="00346304">
          <w:rPr>
            <w:rStyle w:val="Hyperlink"/>
            <w:noProof w:val="0"/>
            <w:highlight w:val="yellow"/>
          </w:rPr>
          <w:t>2.2</w:t>
        </w:r>
        <w:r w:rsidRPr="00346304">
          <w:rPr>
            <w:rFonts w:asciiTheme="minorHAnsi" w:eastAsiaTheme="minorEastAsia" w:hAnsiTheme="minorHAnsi" w:cstheme="minorBidi"/>
            <w:noProof w:val="0"/>
            <w:color w:val="auto"/>
            <w:sz w:val="22"/>
            <w:lang w:eastAsia="zh-CN" w:bidi="ar-SA"/>
          </w:rPr>
          <w:tab/>
        </w:r>
        <w:r w:rsidRPr="00346304">
          <w:rPr>
            <w:rStyle w:val="Hyperlink"/>
            <w:noProof w:val="0"/>
            <w:highlight w:val="yellow"/>
          </w:rPr>
          <w:t>Passaggi cruciali nella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_Toc461616642 \h </w:instrText>
        </w:r>
        <w:r w:rsidRPr="00346304">
          <w:rPr>
            <w:noProof w:val="0"/>
            <w:webHidden/>
          </w:rPr>
        </w:r>
        <w:r w:rsidRPr="00346304">
          <w:rPr>
            <w:noProof w:val="0"/>
            <w:webHidden/>
          </w:rPr>
          <w:fldChar w:fldCharType="separate"/>
        </w:r>
        <w:r w:rsidRPr="00346304">
          <w:rPr>
            <w:noProof w:val="0"/>
            <w:webHidden/>
          </w:rPr>
          <w:t>36</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3" w:history="1">
        <w:r w:rsidRPr="00346304">
          <w:rPr>
            <w:rStyle w:val="Hyperlink"/>
            <w:noProof w:val="0"/>
            <w:highlight w:val="yellow"/>
          </w:rPr>
          <w:t>2.2.1</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Pianificare 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_Toc461616643 \h </w:instrText>
        </w:r>
        <w:r w:rsidRPr="00346304">
          <w:rPr>
            <w:noProof w:val="0"/>
            <w:webHidden/>
          </w:rPr>
        </w:r>
        <w:r w:rsidRPr="00346304">
          <w:rPr>
            <w:noProof w:val="0"/>
            <w:webHidden/>
          </w:rPr>
          <w:fldChar w:fldCharType="separate"/>
        </w:r>
        <w:r w:rsidRPr="00346304">
          <w:rPr>
            <w:noProof w:val="0"/>
            <w:webHidden/>
          </w:rPr>
          <w:t>37</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4" w:history="1">
        <w:r w:rsidRPr="00346304">
          <w:rPr>
            <w:rStyle w:val="Hyperlink"/>
            <w:noProof w:val="0"/>
            <w:highlight w:val="yellow"/>
          </w:rPr>
          <w:t>2.2.2</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Preparazione della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_Toc461616644 \h </w:instrText>
        </w:r>
        <w:r w:rsidRPr="00346304">
          <w:rPr>
            <w:noProof w:val="0"/>
            <w:webHidden/>
          </w:rPr>
        </w:r>
        <w:r w:rsidRPr="00346304">
          <w:rPr>
            <w:noProof w:val="0"/>
            <w:webHidden/>
          </w:rPr>
          <w:fldChar w:fldCharType="separate"/>
        </w:r>
        <w:r w:rsidRPr="00346304">
          <w:rPr>
            <w:noProof w:val="0"/>
            <w:webHidden/>
          </w:rPr>
          <w:t>43</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5" w:history="1">
        <w:r w:rsidRPr="00346304">
          <w:rPr>
            <w:rStyle w:val="Hyperlink"/>
            <w:noProof w:val="0"/>
            <w:highlight w:val="yellow"/>
          </w:rPr>
          <w:t>2.2.3</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Attuare la valutazione</w:t>
        </w:r>
        <w:r w:rsidRPr="00346304">
          <w:rPr>
            <w:noProof w:val="0"/>
            <w:webHidden/>
          </w:rPr>
          <w:tab/>
        </w:r>
        <w:r w:rsidRPr="00346304">
          <w:rPr>
            <w:noProof w:val="0"/>
            <w:webHidden/>
          </w:rPr>
          <w:fldChar w:fldCharType="begin"/>
        </w:r>
        <w:r w:rsidRPr="00346304">
          <w:rPr>
            <w:noProof w:val="0"/>
            <w:webHidden/>
          </w:rPr>
          <w:instrText xml:space="preserve"> PAGEREF _Toc461616645 \h </w:instrText>
        </w:r>
        <w:r w:rsidRPr="00346304">
          <w:rPr>
            <w:noProof w:val="0"/>
            <w:webHidden/>
          </w:rPr>
        </w:r>
        <w:r w:rsidRPr="00346304">
          <w:rPr>
            <w:noProof w:val="0"/>
            <w:webHidden/>
          </w:rPr>
          <w:fldChar w:fldCharType="separate"/>
        </w:r>
        <w:r w:rsidRPr="00346304">
          <w:rPr>
            <w:noProof w:val="0"/>
            <w:webHidden/>
          </w:rPr>
          <w:t>62</w:t>
        </w:r>
        <w:r w:rsidRPr="00346304">
          <w:rPr>
            <w:noProof w:val="0"/>
            <w:webHidden/>
          </w:rPr>
          <w:fldChar w:fldCharType="end"/>
        </w:r>
      </w:hyperlink>
    </w:p>
    <w:p w:rsidR="00675B1D" w:rsidRPr="00346304" w:rsidRDefault="00675B1D">
      <w:pPr>
        <w:pStyle w:val="TOC3"/>
        <w:rPr>
          <w:rFonts w:asciiTheme="minorHAnsi" w:eastAsiaTheme="minorEastAsia" w:hAnsiTheme="minorHAnsi" w:cstheme="minorBidi"/>
          <w:noProof w:val="0"/>
          <w:color w:val="auto"/>
          <w:sz w:val="22"/>
          <w:szCs w:val="22"/>
          <w:lang w:eastAsia="zh-CN" w:bidi="ar-SA"/>
        </w:rPr>
      </w:pPr>
      <w:hyperlink w:anchor="_Toc461616646" w:history="1">
        <w:r w:rsidRPr="00346304">
          <w:rPr>
            <w:rStyle w:val="Hyperlink"/>
            <w:noProof w:val="0"/>
            <w:highlight w:val="yellow"/>
          </w:rPr>
          <w:t>2.2.4</w:t>
        </w:r>
        <w:r w:rsidRPr="00346304">
          <w:rPr>
            <w:rFonts w:asciiTheme="minorHAnsi" w:eastAsiaTheme="minorEastAsia" w:hAnsiTheme="minorHAnsi" w:cstheme="minorBidi"/>
            <w:noProof w:val="0"/>
            <w:color w:val="auto"/>
            <w:sz w:val="22"/>
            <w:szCs w:val="22"/>
            <w:lang w:eastAsia="zh-CN" w:bidi="ar-SA"/>
          </w:rPr>
          <w:tab/>
        </w:r>
        <w:r w:rsidRPr="00346304">
          <w:rPr>
            <w:rStyle w:val="Hyperlink"/>
            <w:noProof w:val="0"/>
            <w:highlight w:val="yellow"/>
          </w:rPr>
          <w:t>Comunicare e divulgare i risultati della valutazione</w:t>
        </w:r>
        <w:r w:rsidRPr="00346304">
          <w:rPr>
            <w:noProof w:val="0"/>
            <w:webHidden/>
          </w:rPr>
          <w:tab/>
        </w:r>
        <w:r w:rsidRPr="00346304">
          <w:rPr>
            <w:noProof w:val="0"/>
            <w:webHidden/>
          </w:rPr>
          <w:fldChar w:fldCharType="begin"/>
        </w:r>
        <w:r w:rsidRPr="00346304">
          <w:rPr>
            <w:noProof w:val="0"/>
            <w:webHidden/>
          </w:rPr>
          <w:instrText xml:space="preserve"> PAGEREF _Toc461616646 \h </w:instrText>
        </w:r>
        <w:r w:rsidRPr="00346304">
          <w:rPr>
            <w:noProof w:val="0"/>
            <w:webHidden/>
          </w:rPr>
        </w:r>
        <w:r w:rsidRPr="00346304">
          <w:rPr>
            <w:noProof w:val="0"/>
            <w:webHidden/>
          </w:rPr>
          <w:fldChar w:fldCharType="separate"/>
        </w:r>
        <w:r w:rsidRPr="00346304">
          <w:rPr>
            <w:noProof w:val="0"/>
            <w:webHidden/>
          </w:rPr>
          <w:t>64</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rPr>
      </w:pPr>
      <w:r w:rsidRPr="00346304">
        <w:rPr>
          <w:rFonts w:cs="Arial"/>
          <w:noProof w:val="0"/>
          <w:color w:val="576C88" w:themeColor="text2" w:themeTint="D9"/>
        </w:rPr>
        <w:fldChar w:fldCharType="end"/>
      </w:r>
    </w:p>
    <w:p w:rsidR="00675B1D" w:rsidRPr="00346304" w:rsidRDefault="00675B1D" w:rsidP="00B67939">
      <w:pPr>
        <w:pStyle w:val="HContent"/>
        <w:tabs>
          <w:tab w:val="right" w:leader="dot" w:pos="8742"/>
        </w:tabs>
        <w:rPr>
          <w:rFonts w:ascii="Arial" w:hAnsi="Arial"/>
        </w:rPr>
      </w:pPr>
      <w:r w:rsidRPr="00346304">
        <w:rPr>
          <w:rFonts w:ascii="Arial" w:hAnsi="Arial"/>
        </w:rPr>
        <w:lastRenderedPageBreak/>
        <w:t>Tables, Figures and BOXES</w:t>
      </w:r>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r w:rsidRPr="00346304">
        <w:rPr>
          <w:rFonts w:cs="Arial"/>
          <w:noProof w:val="0"/>
          <w:color w:val="576C88" w:themeColor="text2" w:themeTint="D9"/>
        </w:rPr>
        <w:fldChar w:fldCharType="begin"/>
      </w:r>
      <w:r w:rsidRPr="00346304">
        <w:rPr>
          <w:rFonts w:cs="Arial"/>
          <w:noProof w:val="0"/>
          <w:color w:val="576C88" w:themeColor="text2" w:themeTint="D9"/>
        </w:rPr>
        <w:instrText xml:space="preserve"> TOC \h \z \t "H_Heading_tables;1" </w:instrText>
      </w:r>
      <w:r w:rsidRPr="00346304">
        <w:rPr>
          <w:rFonts w:cs="Arial"/>
          <w:noProof w:val="0"/>
          <w:color w:val="576C88" w:themeColor="text2" w:themeTint="D9"/>
        </w:rPr>
        <w:fldChar w:fldCharType="separate"/>
      </w:r>
      <w:hyperlink w:anchor="_Toc461616762" w:history="1">
        <w:r w:rsidRPr="00346304">
          <w:rPr>
            <w:rStyle w:val="Hyperlink"/>
            <w:noProof w:val="0"/>
            <w:highlight w:val="yellow"/>
          </w:rPr>
          <w:t>Tabella 1. Quadro di valutazione comune per la RRN</w:t>
        </w:r>
        <w:r w:rsidRPr="00346304">
          <w:rPr>
            <w:noProof w:val="0"/>
            <w:webHidden/>
          </w:rPr>
          <w:tab/>
        </w:r>
        <w:r w:rsidRPr="00346304">
          <w:rPr>
            <w:noProof w:val="0"/>
            <w:webHidden/>
          </w:rPr>
          <w:fldChar w:fldCharType="begin"/>
        </w:r>
        <w:r w:rsidRPr="00346304">
          <w:rPr>
            <w:noProof w:val="0"/>
            <w:webHidden/>
          </w:rPr>
          <w:instrText xml:space="preserve"> PAGEREF _Toc461616762 \h </w:instrText>
        </w:r>
        <w:r w:rsidRPr="00346304">
          <w:rPr>
            <w:noProof w:val="0"/>
            <w:webHidden/>
          </w:rPr>
        </w:r>
        <w:r w:rsidRPr="00346304">
          <w:rPr>
            <w:noProof w:val="0"/>
            <w:webHidden/>
          </w:rPr>
          <w:fldChar w:fldCharType="separate"/>
        </w:r>
        <w:r w:rsidRPr="00346304">
          <w:rPr>
            <w:noProof w:val="0"/>
            <w:webHidden/>
          </w:rPr>
          <w:t>32</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3" w:history="1">
        <w:r w:rsidRPr="00346304">
          <w:rPr>
            <w:rStyle w:val="Hyperlink"/>
            <w:noProof w:val="0"/>
            <w:highlight w:val="yellow"/>
          </w:rPr>
          <w:t>Tabella 2. Piano di comunicazione della valutazione</w:t>
        </w:r>
        <w:r w:rsidRPr="00346304">
          <w:rPr>
            <w:noProof w:val="0"/>
            <w:webHidden/>
          </w:rPr>
          <w:tab/>
        </w:r>
        <w:r w:rsidRPr="00346304">
          <w:rPr>
            <w:noProof w:val="0"/>
            <w:webHidden/>
          </w:rPr>
          <w:fldChar w:fldCharType="begin"/>
        </w:r>
        <w:r w:rsidRPr="00346304">
          <w:rPr>
            <w:noProof w:val="0"/>
            <w:webHidden/>
          </w:rPr>
          <w:instrText xml:space="preserve"> PAGEREF _Toc461616763 \h </w:instrText>
        </w:r>
        <w:r w:rsidRPr="00346304">
          <w:rPr>
            <w:noProof w:val="0"/>
            <w:webHidden/>
          </w:rPr>
        </w:r>
        <w:r w:rsidRPr="00346304">
          <w:rPr>
            <w:noProof w:val="0"/>
            <w:webHidden/>
          </w:rPr>
          <w:fldChar w:fldCharType="separate"/>
        </w:r>
        <w:r w:rsidRPr="00346304">
          <w:rPr>
            <w:noProof w:val="0"/>
            <w:webHidden/>
          </w:rPr>
          <w:t>40</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4" w:history="1">
        <w:r w:rsidRPr="00346304">
          <w:rPr>
            <w:rStyle w:val="Hyperlink"/>
            <w:noProof w:val="0"/>
            <w:highlight w:val="yellow"/>
          </w:rPr>
          <w:t>Tabella 3. Potenziamento delle capacità in materia di valutazione: le risorse umane</w:t>
        </w:r>
        <w:r w:rsidRPr="00346304">
          <w:rPr>
            <w:noProof w:val="0"/>
            <w:webHidden/>
          </w:rPr>
          <w:tab/>
        </w:r>
        <w:r w:rsidRPr="00346304">
          <w:rPr>
            <w:noProof w:val="0"/>
            <w:webHidden/>
          </w:rPr>
          <w:fldChar w:fldCharType="begin"/>
        </w:r>
        <w:r w:rsidRPr="00346304">
          <w:rPr>
            <w:noProof w:val="0"/>
            <w:webHidden/>
          </w:rPr>
          <w:instrText xml:space="preserve"> PAGEREF _Toc461616764 \h </w:instrText>
        </w:r>
        <w:r w:rsidRPr="00346304">
          <w:rPr>
            <w:noProof w:val="0"/>
            <w:webHidden/>
          </w:rPr>
        </w:r>
        <w:r w:rsidRPr="00346304">
          <w:rPr>
            <w:noProof w:val="0"/>
            <w:webHidden/>
          </w:rPr>
          <w:fldChar w:fldCharType="separate"/>
        </w:r>
        <w:r w:rsidRPr="00346304">
          <w:rPr>
            <w:noProof w:val="0"/>
            <w:webHidden/>
          </w:rPr>
          <w:t>41</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5" w:history="1">
        <w:r w:rsidRPr="00346304">
          <w:rPr>
            <w:rStyle w:val="Hyperlink"/>
            <w:noProof w:val="0"/>
            <w:highlight w:val="yellow"/>
          </w:rPr>
          <w:t>Tabella 4. Responsabilità delle parti interessate nella pianificazione della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_Toc461616765 \h </w:instrText>
        </w:r>
        <w:r w:rsidRPr="00346304">
          <w:rPr>
            <w:noProof w:val="0"/>
            <w:webHidden/>
          </w:rPr>
        </w:r>
        <w:r w:rsidRPr="00346304">
          <w:rPr>
            <w:noProof w:val="0"/>
            <w:webHidden/>
          </w:rPr>
          <w:fldChar w:fldCharType="separate"/>
        </w:r>
        <w:r w:rsidRPr="00346304">
          <w:rPr>
            <w:noProof w:val="0"/>
            <w:webHidden/>
          </w:rPr>
          <w:t>42</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6" w:history="1">
        <w:r w:rsidRPr="00346304">
          <w:rPr>
            <w:rStyle w:val="Hyperlink"/>
            <w:noProof w:val="0"/>
            <w:highlight w:val="yellow"/>
          </w:rPr>
          <w:t>Tabella 5. Gerarchia degli effetti attesi e degli obiettivi della RRN</w:t>
        </w:r>
        <w:r w:rsidRPr="00346304">
          <w:rPr>
            <w:noProof w:val="0"/>
            <w:webHidden/>
          </w:rPr>
          <w:tab/>
        </w:r>
        <w:r w:rsidRPr="00346304">
          <w:rPr>
            <w:noProof w:val="0"/>
            <w:webHidden/>
          </w:rPr>
          <w:fldChar w:fldCharType="begin"/>
        </w:r>
        <w:r w:rsidRPr="00346304">
          <w:rPr>
            <w:noProof w:val="0"/>
            <w:webHidden/>
          </w:rPr>
          <w:instrText xml:space="preserve"> PAGEREF _Toc461616766 \h </w:instrText>
        </w:r>
        <w:r w:rsidRPr="00346304">
          <w:rPr>
            <w:noProof w:val="0"/>
            <w:webHidden/>
          </w:rPr>
        </w:r>
        <w:r w:rsidRPr="00346304">
          <w:rPr>
            <w:noProof w:val="0"/>
            <w:webHidden/>
          </w:rPr>
          <w:fldChar w:fldCharType="separate"/>
        </w:r>
        <w:r w:rsidRPr="00346304">
          <w:rPr>
            <w:noProof w:val="0"/>
            <w:webHidden/>
          </w:rPr>
          <w:t>48</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7" w:history="1">
        <w:r w:rsidRPr="00346304">
          <w:rPr>
            <w:rStyle w:val="Hyperlink"/>
            <w:noProof w:val="0"/>
            <w:highlight w:val="yellow"/>
          </w:rPr>
          <w:t>Tabella 6. Collegamenti tra gli obiettivi e le domande di valutazione (esempio)</w:t>
        </w:r>
        <w:r w:rsidRPr="00346304">
          <w:rPr>
            <w:noProof w:val="0"/>
            <w:webHidden/>
          </w:rPr>
          <w:tab/>
        </w:r>
        <w:r w:rsidRPr="00346304">
          <w:rPr>
            <w:noProof w:val="0"/>
            <w:webHidden/>
          </w:rPr>
          <w:fldChar w:fldCharType="begin"/>
        </w:r>
        <w:r w:rsidRPr="00346304">
          <w:rPr>
            <w:noProof w:val="0"/>
            <w:webHidden/>
          </w:rPr>
          <w:instrText xml:space="preserve"> PAGEREF _Toc461616767 \h </w:instrText>
        </w:r>
        <w:r w:rsidRPr="00346304">
          <w:rPr>
            <w:noProof w:val="0"/>
            <w:webHidden/>
          </w:rPr>
        </w:r>
        <w:r w:rsidRPr="00346304">
          <w:rPr>
            <w:noProof w:val="0"/>
            <w:webHidden/>
          </w:rPr>
          <w:fldChar w:fldCharType="separate"/>
        </w:r>
        <w:r w:rsidRPr="00346304">
          <w:rPr>
            <w:noProof w:val="0"/>
            <w:webHidden/>
          </w:rPr>
          <w:t>52</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8" w:history="1">
        <w:r w:rsidRPr="00346304">
          <w:rPr>
            <w:rStyle w:val="Hyperlink"/>
            <w:noProof w:val="0"/>
            <w:highlight w:val="yellow"/>
          </w:rPr>
          <w:t>Tabella 7. Esempio di collegamento tra obiettivi relativi alla RRN, domande di valutazione e indicatori</w:t>
        </w:r>
        <w:r w:rsidRPr="00346304">
          <w:rPr>
            <w:noProof w:val="0"/>
            <w:webHidden/>
          </w:rPr>
          <w:tab/>
        </w:r>
        <w:r w:rsidRPr="00346304">
          <w:rPr>
            <w:noProof w:val="0"/>
            <w:webHidden/>
          </w:rPr>
          <w:fldChar w:fldCharType="begin"/>
        </w:r>
        <w:r w:rsidRPr="00346304">
          <w:rPr>
            <w:noProof w:val="0"/>
            <w:webHidden/>
          </w:rPr>
          <w:instrText xml:space="preserve"> PAGEREF _Toc461616768 \h </w:instrText>
        </w:r>
        <w:r w:rsidRPr="00346304">
          <w:rPr>
            <w:noProof w:val="0"/>
            <w:webHidden/>
          </w:rPr>
        </w:r>
        <w:r w:rsidRPr="00346304">
          <w:rPr>
            <w:noProof w:val="0"/>
            <w:webHidden/>
          </w:rPr>
          <w:fldChar w:fldCharType="separate"/>
        </w:r>
        <w:r w:rsidRPr="00346304">
          <w:rPr>
            <w:noProof w:val="0"/>
            <w:webHidden/>
          </w:rPr>
          <w:t>55</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69" w:history="1">
        <w:r w:rsidRPr="00346304">
          <w:rPr>
            <w:rStyle w:val="Hyperlink"/>
            <w:noProof w:val="0"/>
            <w:highlight w:val="yellow"/>
          </w:rPr>
          <w:t>Tabella 8. Esempio di elementi di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_Toc461616769 \h </w:instrText>
        </w:r>
        <w:r w:rsidRPr="00346304">
          <w:rPr>
            <w:noProof w:val="0"/>
            <w:webHidden/>
          </w:rPr>
        </w:r>
        <w:r w:rsidRPr="00346304">
          <w:rPr>
            <w:noProof w:val="0"/>
            <w:webHidden/>
          </w:rPr>
          <w:fldChar w:fldCharType="separate"/>
        </w:r>
        <w:r w:rsidRPr="00346304">
          <w:rPr>
            <w:noProof w:val="0"/>
            <w:webHidden/>
          </w:rPr>
          <w:t>56</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0" w:history="1">
        <w:r w:rsidRPr="00346304">
          <w:rPr>
            <w:rStyle w:val="Hyperlink"/>
            <w:noProof w:val="0"/>
            <w:highlight w:val="yellow"/>
          </w:rPr>
          <w:t>Tabella 9. Matrice relativa al seguito della valutazione</w:t>
        </w:r>
        <w:r w:rsidRPr="00346304">
          <w:rPr>
            <w:noProof w:val="0"/>
            <w:webHidden/>
          </w:rPr>
          <w:tab/>
        </w:r>
        <w:r w:rsidRPr="00346304">
          <w:rPr>
            <w:noProof w:val="0"/>
            <w:webHidden/>
          </w:rPr>
          <w:fldChar w:fldCharType="begin"/>
        </w:r>
        <w:r w:rsidRPr="00346304">
          <w:rPr>
            <w:noProof w:val="0"/>
            <w:webHidden/>
          </w:rPr>
          <w:instrText xml:space="preserve"> PAGEREF _Toc461616770 \h </w:instrText>
        </w:r>
        <w:r w:rsidRPr="00346304">
          <w:rPr>
            <w:noProof w:val="0"/>
            <w:webHidden/>
          </w:rPr>
        </w:r>
        <w:r w:rsidRPr="00346304">
          <w:rPr>
            <w:noProof w:val="0"/>
            <w:webHidden/>
          </w:rPr>
          <w:fldChar w:fldCharType="separate"/>
        </w:r>
        <w:r w:rsidRPr="00346304">
          <w:rPr>
            <w:noProof w:val="0"/>
            <w:webHidden/>
          </w:rPr>
          <w:t>65</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1" w:history="1">
        <w:r w:rsidRPr="00346304">
          <w:rPr>
            <w:rStyle w:val="Hyperlink"/>
            <w:noProof w:val="0"/>
            <w:highlight w:val="yellow"/>
          </w:rPr>
          <w:t>Tabella 10. Responsabilità delle parti interessate nella comunicazione e nel dare seguito in merito ai risultati della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_Toc461616771 \h </w:instrText>
        </w:r>
        <w:r w:rsidRPr="00346304">
          <w:rPr>
            <w:noProof w:val="0"/>
            <w:webHidden/>
          </w:rPr>
        </w:r>
        <w:r w:rsidRPr="00346304">
          <w:rPr>
            <w:noProof w:val="0"/>
            <w:webHidden/>
          </w:rPr>
          <w:fldChar w:fldCharType="separate"/>
        </w:r>
        <w:r w:rsidRPr="00346304">
          <w:rPr>
            <w:noProof w:val="0"/>
            <w:webHidden/>
          </w:rPr>
          <w:t>66</w:t>
        </w:r>
        <w:r w:rsidRPr="00346304">
          <w:rPr>
            <w:noProof w:val="0"/>
            <w:webHidden/>
          </w:rPr>
          <w:fldChar w:fldCharType="end"/>
        </w:r>
      </w:hyperlink>
    </w:p>
    <w:p w:rsidR="00675B1D" w:rsidRPr="00346304" w:rsidRDefault="00675B1D">
      <w:pPr>
        <w:pStyle w:val="TOC1"/>
        <w:rPr>
          <w:noProof w:val="0"/>
        </w:rPr>
      </w:pPr>
      <w:r w:rsidRPr="00346304">
        <w:rPr>
          <w:rFonts w:cs="Arial"/>
          <w:noProof w:val="0"/>
          <w:color w:val="576C88" w:themeColor="text2" w:themeTint="D9"/>
          <w:szCs w:val="22"/>
        </w:rPr>
        <w:fldChar w:fldCharType="end"/>
      </w:r>
      <w:r w:rsidRPr="00346304">
        <w:rPr>
          <w:rFonts w:cs="Arial"/>
          <w:noProof w:val="0"/>
          <w:color w:val="576C88" w:themeColor="text2" w:themeTint="D9"/>
          <w:szCs w:val="22"/>
        </w:rPr>
        <w:fldChar w:fldCharType="begin"/>
      </w:r>
      <w:r w:rsidRPr="00346304">
        <w:rPr>
          <w:rFonts w:cs="Arial"/>
          <w:noProof w:val="0"/>
          <w:color w:val="576C88" w:themeColor="text2" w:themeTint="D9"/>
        </w:rPr>
        <w:instrText xml:space="preserve"> TOC \h \z \t "H_Heading_figures;1" </w:instrText>
      </w:r>
      <w:r w:rsidRPr="00346304">
        <w:rPr>
          <w:rFonts w:cs="Arial"/>
          <w:noProof w:val="0"/>
          <w:color w:val="576C88" w:themeColor="text2" w:themeTint="D9"/>
          <w:szCs w:val="22"/>
        </w:rPr>
        <w:fldChar w:fldCharType="separate"/>
      </w:r>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2" w:history="1">
        <w:r w:rsidRPr="00346304">
          <w:rPr>
            <w:rStyle w:val="Hyperlink"/>
            <w:noProof w:val="0"/>
            <w:highlight w:val="yellow"/>
          </w:rPr>
          <w:t>Figura 1. Struttura della governance delle reti rurali dell'UE</w:t>
        </w:r>
        <w:r w:rsidRPr="00346304">
          <w:rPr>
            <w:noProof w:val="0"/>
            <w:webHidden/>
          </w:rPr>
          <w:tab/>
        </w:r>
        <w:r w:rsidRPr="00346304">
          <w:rPr>
            <w:noProof w:val="0"/>
            <w:webHidden/>
          </w:rPr>
          <w:fldChar w:fldCharType="begin"/>
        </w:r>
        <w:r w:rsidRPr="00346304">
          <w:rPr>
            <w:noProof w:val="0"/>
            <w:webHidden/>
          </w:rPr>
          <w:instrText xml:space="preserve"> PAGEREF _Toc461616772 \h </w:instrText>
        </w:r>
        <w:r w:rsidRPr="00346304">
          <w:rPr>
            <w:noProof w:val="0"/>
            <w:webHidden/>
          </w:rPr>
        </w:r>
        <w:r w:rsidRPr="00346304">
          <w:rPr>
            <w:noProof w:val="0"/>
            <w:webHidden/>
          </w:rPr>
          <w:fldChar w:fldCharType="separate"/>
        </w:r>
        <w:r w:rsidRPr="00346304">
          <w:rPr>
            <w:noProof w:val="0"/>
            <w:webHidden/>
          </w:rPr>
          <w:t>16</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3" w:history="1">
        <w:r w:rsidRPr="00346304">
          <w:rPr>
            <w:rStyle w:val="Hyperlink"/>
            <w:noProof w:val="0"/>
            <w:highlight w:val="yellow"/>
          </w:rPr>
          <w:t>Figura 2. Architettura di RRN</w:t>
        </w:r>
        <w:r w:rsidRPr="00346304">
          <w:rPr>
            <w:noProof w:val="0"/>
            <w:webHidden/>
          </w:rPr>
          <w:tab/>
        </w:r>
        <w:r w:rsidRPr="00346304">
          <w:rPr>
            <w:noProof w:val="0"/>
            <w:webHidden/>
          </w:rPr>
          <w:fldChar w:fldCharType="begin"/>
        </w:r>
        <w:r w:rsidRPr="00346304">
          <w:rPr>
            <w:noProof w:val="0"/>
            <w:webHidden/>
          </w:rPr>
          <w:instrText xml:space="preserve"> PAGEREF _Toc461616773 \h </w:instrText>
        </w:r>
        <w:r w:rsidRPr="00346304">
          <w:rPr>
            <w:noProof w:val="0"/>
            <w:webHidden/>
          </w:rPr>
        </w:r>
        <w:r w:rsidRPr="00346304">
          <w:rPr>
            <w:noProof w:val="0"/>
            <w:webHidden/>
          </w:rPr>
          <w:fldChar w:fldCharType="separate"/>
        </w:r>
        <w:r w:rsidRPr="00346304">
          <w:rPr>
            <w:noProof w:val="0"/>
            <w:webHidden/>
          </w:rPr>
          <w:t>17</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4" w:history="1">
        <w:r w:rsidRPr="00346304">
          <w:rPr>
            <w:rStyle w:val="Hyperlink"/>
            <w:noProof w:val="0"/>
            <w:highlight w:val="yellow"/>
          </w:rPr>
          <w:t>Figura 3. Confronti tra autovalutazione e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_Toc461616774 \h </w:instrText>
        </w:r>
        <w:r w:rsidRPr="00346304">
          <w:rPr>
            <w:noProof w:val="0"/>
            <w:webHidden/>
          </w:rPr>
        </w:r>
        <w:r w:rsidRPr="00346304">
          <w:rPr>
            <w:noProof w:val="0"/>
            <w:webHidden/>
          </w:rPr>
          <w:fldChar w:fldCharType="separate"/>
        </w:r>
        <w:r w:rsidRPr="00346304">
          <w:rPr>
            <w:noProof w:val="0"/>
            <w:webHidden/>
          </w:rPr>
          <w:t>20</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5" w:history="1">
        <w:r w:rsidRPr="00346304">
          <w:rPr>
            <w:rStyle w:val="Hyperlink"/>
            <w:noProof w:val="0"/>
            <w:highlight w:val="yellow"/>
          </w:rPr>
          <w:t>Figura 4. Calendario della rendicontazione delle valutazioni delle RRN</w:t>
        </w:r>
        <w:r w:rsidRPr="00346304">
          <w:rPr>
            <w:noProof w:val="0"/>
            <w:webHidden/>
          </w:rPr>
          <w:tab/>
        </w:r>
        <w:r w:rsidRPr="00346304">
          <w:rPr>
            <w:noProof w:val="0"/>
            <w:webHidden/>
          </w:rPr>
          <w:fldChar w:fldCharType="begin"/>
        </w:r>
        <w:r w:rsidRPr="00346304">
          <w:rPr>
            <w:noProof w:val="0"/>
            <w:webHidden/>
          </w:rPr>
          <w:instrText xml:space="preserve"> PAGEREF _Toc461616775 \h </w:instrText>
        </w:r>
        <w:r w:rsidRPr="00346304">
          <w:rPr>
            <w:noProof w:val="0"/>
            <w:webHidden/>
          </w:rPr>
        </w:r>
        <w:r w:rsidRPr="00346304">
          <w:rPr>
            <w:noProof w:val="0"/>
            <w:webHidden/>
          </w:rPr>
          <w:fldChar w:fldCharType="separate"/>
        </w:r>
        <w:r w:rsidRPr="00346304">
          <w:rPr>
            <w:noProof w:val="0"/>
            <w:webHidden/>
          </w:rPr>
          <w:t>21</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6" w:history="1">
        <w:r w:rsidRPr="00346304">
          <w:rPr>
            <w:rStyle w:val="Hyperlink"/>
            <w:noProof w:val="0"/>
            <w:highlight w:val="yellow"/>
          </w:rPr>
          <w:t>Figura 5. Aspetti specifici della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_Toc461616776 \h </w:instrText>
        </w:r>
        <w:r w:rsidRPr="00346304">
          <w:rPr>
            <w:noProof w:val="0"/>
            <w:webHidden/>
          </w:rPr>
        </w:r>
        <w:r w:rsidRPr="00346304">
          <w:rPr>
            <w:noProof w:val="0"/>
            <w:webHidden/>
          </w:rPr>
          <w:fldChar w:fldCharType="separate"/>
        </w:r>
        <w:r w:rsidRPr="00346304">
          <w:rPr>
            <w:noProof w:val="0"/>
            <w:webHidden/>
          </w:rPr>
          <w:t>23</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7" w:history="1">
        <w:r w:rsidRPr="00346304">
          <w:rPr>
            <w:rStyle w:val="Hyperlink"/>
            <w:noProof w:val="0"/>
            <w:highlight w:val="yellow"/>
          </w:rPr>
          <w:t>Figura 6. Coerenza verticale e orizzontale tra gli obiettivi e gli effetti della RRN</w:t>
        </w:r>
        <w:r w:rsidRPr="00346304">
          <w:rPr>
            <w:noProof w:val="0"/>
            <w:webHidden/>
          </w:rPr>
          <w:tab/>
        </w:r>
        <w:r w:rsidRPr="00346304">
          <w:rPr>
            <w:noProof w:val="0"/>
            <w:webHidden/>
          </w:rPr>
          <w:fldChar w:fldCharType="begin"/>
        </w:r>
        <w:r w:rsidRPr="00346304">
          <w:rPr>
            <w:noProof w:val="0"/>
            <w:webHidden/>
          </w:rPr>
          <w:instrText xml:space="preserve"> PAGEREF _Toc461616777 \h </w:instrText>
        </w:r>
        <w:r w:rsidRPr="00346304">
          <w:rPr>
            <w:noProof w:val="0"/>
            <w:webHidden/>
          </w:rPr>
        </w:r>
        <w:r w:rsidRPr="00346304">
          <w:rPr>
            <w:noProof w:val="0"/>
            <w:webHidden/>
          </w:rPr>
          <w:fldChar w:fldCharType="separate"/>
        </w:r>
        <w:r w:rsidRPr="00346304">
          <w:rPr>
            <w:noProof w:val="0"/>
            <w:webHidden/>
          </w:rPr>
          <w:t>25</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8" w:history="1">
        <w:r w:rsidRPr="00346304">
          <w:rPr>
            <w:rStyle w:val="Hyperlink"/>
            <w:noProof w:val="0"/>
            <w:highlight w:val="yellow"/>
          </w:rPr>
          <w:t>Figura 7. Effetti della RRN e loro contributo ai prodotti, ai risultati e agli impatti del PSR</w:t>
        </w:r>
        <w:r w:rsidRPr="00346304">
          <w:rPr>
            <w:noProof w:val="0"/>
            <w:webHidden/>
          </w:rPr>
          <w:tab/>
        </w:r>
        <w:r w:rsidRPr="00346304">
          <w:rPr>
            <w:noProof w:val="0"/>
            <w:webHidden/>
          </w:rPr>
          <w:fldChar w:fldCharType="begin"/>
        </w:r>
        <w:r w:rsidRPr="00346304">
          <w:rPr>
            <w:noProof w:val="0"/>
            <w:webHidden/>
          </w:rPr>
          <w:instrText xml:space="preserve"> PAGEREF _Toc461616778 \h </w:instrText>
        </w:r>
        <w:r w:rsidRPr="00346304">
          <w:rPr>
            <w:noProof w:val="0"/>
            <w:webHidden/>
          </w:rPr>
        </w:r>
        <w:r w:rsidRPr="00346304">
          <w:rPr>
            <w:noProof w:val="0"/>
            <w:webHidden/>
          </w:rPr>
          <w:fldChar w:fldCharType="separate"/>
        </w:r>
        <w:r w:rsidRPr="00346304">
          <w:rPr>
            <w:noProof w:val="0"/>
            <w:webHidden/>
          </w:rPr>
          <w:t>28</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79" w:history="1">
        <w:r w:rsidRPr="00346304">
          <w:rPr>
            <w:rStyle w:val="Hyperlink"/>
            <w:noProof w:val="0"/>
            <w:highlight w:val="yellow"/>
          </w:rPr>
          <w:t>Figura 8. Contributo della RRN a livello nazionale, di PSR e di obiettivi dell'UE</w:t>
        </w:r>
        <w:r w:rsidRPr="00346304">
          <w:rPr>
            <w:noProof w:val="0"/>
            <w:webHidden/>
          </w:rPr>
          <w:tab/>
        </w:r>
        <w:r w:rsidRPr="00346304">
          <w:rPr>
            <w:noProof w:val="0"/>
            <w:webHidden/>
          </w:rPr>
          <w:fldChar w:fldCharType="begin"/>
        </w:r>
        <w:r w:rsidRPr="00346304">
          <w:rPr>
            <w:noProof w:val="0"/>
            <w:webHidden/>
          </w:rPr>
          <w:instrText xml:space="preserve"> PAGEREF _Toc461616779 \h </w:instrText>
        </w:r>
        <w:r w:rsidRPr="00346304">
          <w:rPr>
            <w:noProof w:val="0"/>
            <w:webHidden/>
          </w:rPr>
        </w:r>
        <w:r w:rsidRPr="00346304">
          <w:rPr>
            <w:noProof w:val="0"/>
            <w:webHidden/>
          </w:rPr>
          <w:fldChar w:fldCharType="separate"/>
        </w:r>
        <w:r w:rsidRPr="00346304">
          <w:rPr>
            <w:noProof w:val="0"/>
            <w:webHidden/>
          </w:rPr>
          <w:t>28</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0" w:history="1">
        <w:r w:rsidRPr="00346304">
          <w:rPr>
            <w:rStyle w:val="Hyperlink"/>
            <w:noProof w:val="0"/>
            <w:highlight w:val="yellow"/>
          </w:rPr>
          <w:t>Figura 9. Panoramica degli elementi del CMES per le RRN da completare con elementi della RRN specifici del programma</w:t>
        </w:r>
        <w:r w:rsidRPr="00346304">
          <w:rPr>
            <w:noProof w:val="0"/>
            <w:webHidden/>
          </w:rPr>
          <w:tab/>
        </w:r>
        <w:r w:rsidRPr="00346304">
          <w:rPr>
            <w:noProof w:val="0"/>
            <w:webHidden/>
          </w:rPr>
          <w:fldChar w:fldCharType="begin"/>
        </w:r>
        <w:r w:rsidRPr="00346304">
          <w:rPr>
            <w:noProof w:val="0"/>
            <w:webHidden/>
          </w:rPr>
          <w:instrText xml:space="preserve"> PAGEREF _Toc461616780 \h </w:instrText>
        </w:r>
        <w:r w:rsidRPr="00346304">
          <w:rPr>
            <w:noProof w:val="0"/>
            <w:webHidden/>
          </w:rPr>
        </w:r>
        <w:r w:rsidRPr="00346304">
          <w:rPr>
            <w:noProof w:val="0"/>
            <w:webHidden/>
          </w:rPr>
          <w:fldChar w:fldCharType="separate"/>
        </w:r>
        <w:r w:rsidRPr="00346304">
          <w:rPr>
            <w:noProof w:val="0"/>
            <w:webHidden/>
          </w:rPr>
          <w:t>31</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1" w:history="1">
        <w:r w:rsidRPr="00346304">
          <w:rPr>
            <w:rStyle w:val="Hyperlink"/>
            <w:noProof w:val="0"/>
            <w:highlight w:val="yellow"/>
          </w:rPr>
          <w:t>Figura 10. Passaggi nella valutazione delle RRN</w:t>
        </w:r>
        <w:r w:rsidRPr="00346304">
          <w:rPr>
            <w:noProof w:val="0"/>
            <w:webHidden/>
          </w:rPr>
          <w:tab/>
        </w:r>
        <w:r w:rsidRPr="00346304">
          <w:rPr>
            <w:noProof w:val="0"/>
            <w:webHidden/>
          </w:rPr>
          <w:fldChar w:fldCharType="begin"/>
        </w:r>
        <w:r w:rsidRPr="00346304">
          <w:rPr>
            <w:noProof w:val="0"/>
            <w:webHidden/>
          </w:rPr>
          <w:instrText xml:space="preserve"> PAGEREF _Toc461616781 \h </w:instrText>
        </w:r>
        <w:r w:rsidRPr="00346304">
          <w:rPr>
            <w:noProof w:val="0"/>
            <w:webHidden/>
          </w:rPr>
        </w:r>
        <w:r w:rsidRPr="00346304">
          <w:rPr>
            <w:noProof w:val="0"/>
            <w:webHidden/>
          </w:rPr>
          <w:fldChar w:fldCharType="separate"/>
        </w:r>
        <w:r w:rsidRPr="00346304">
          <w:rPr>
            <w:noProof w:val="0"/>
            <w:webHidden/>
          </w:rPr>
          <w:t>37</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2" w:history="1">
        <w:r w:rsidRPr="00346304">
          <w:rPr>
            <w:rStyle w:val="Hyperlink"/>
            <w:noProof w:val="0"/>
            <w:highlight w:val="yellow"/>
          </w:rPr>
          <w:t>Figura 11. Possibili collegamenti tra gli obiettivi comuni e i gruppi di azioni della RRN</w:t>
        </w:r>
        <w:r w:rsidRPr="00346304">
          <w:rPr>
            <w:noProof w:val="0"/>
            <w:webHidden/>
          </w:rPr>
          <w:tab/>
        </w:r>
        <w:r w:rsidRPr="00346304">
          <w:rPr>
            <w:noProof w:val="0"/>
            <w:webHidden/>
          </w:rPr>
          <w:fldChar w:fldCharType="begin"/>
        </w:r>
        <w:r w:rsidRPr="00346304">
          <w:rPr>
            <w:noProof w:val="0"/>
            <w:webHidden/>
          </w:rPr>
          <w:instrText xml:space="preserve"> PAGEREF _Toc461616782 \h </w:instrText>
        </w:r>
        <w:r w:rsidRPr="00346304">
          <w:rPr>
            <w:noProof w:val="0"/>
            <w:webHidden/>
          </w:rPr>
        </w:r>
        <w:r w:rsidRPr="00346304">
          <w:rPr>
            <w:noProof w:val="0"/>
            <w:webHidden/>
          </w:rPr>
          <w:fldChar w:fldCharType="separate"/>
        </w:r>
        <w:r w:rsidRPr="00346304">
          <w:rPr>
            <w:noProof w:val="0"/>
            <w:webHidden/>
          </w:rPr>
          <w:t>45</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3" w:history="1">
        <w:r w:rsidRPr="00346304">
          <w:rPr>
            <w:rStyle w:val="Hyperlink"/>
            <w:noProof w:val="0"/>
            <w:highlight w:val="yellow"/>
          </w:rPr>
          <w:t>Figura 12. Collegare obiettivi relativi alla RRN comuni e specifici del programma, gruppi di azioni, e prodotti, risultati e impatti attesi</w:t>
        </w:r>
        <w:r w:rsidRPr="00346304">
          <w:rPr>
            <w:noProof w:val="0"/>
            <w:webHidden/>
          </w:rPr>
          <w:tab/>
        </w:r>
        <w:r w:rsidRPr="00346304">
          <w:rPr>
            <w:noProof w:val="0"/>
            <w:webHidden/>
          </w:rPr>
          <w:fldChar w:fldCharType="begin"/>
        </w:r>
        <w:r w:rsidRPr="00346304">
          <w:rPr>
            <w:noProof w:val="0"/>
            <w:webHidden/>
          </w:rPr>
          <w:instrText xml:space="preserve"> PAGEREF _Toc461616783 \h </w:instrText>
        </w:r>
        <w:r w:rsidRPr="00346304">
          <w:rPr>
            <w:noProof w:val="0"/>
            <w:webHidden/>
          </w:rPr>
        </w:r>
        <w:r w:rsidRPr="00346304">
          <w:rPr>
            <w:noProof w:val="0"/>
            <w:webHidden/>
          </w:rPr>
          <w:fldChar w:fldCharType="separate"/>
        </w:r>
        <w:r w:rsidRPr="00346304">
          <w:rPr>
            <w:noProof w:val="0"/>
            <w:webHidden/>
          </w:rPr>
          <w:t>48</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4" w:history="1">
        <w:r w:rsidRPr="00346304">
          <w:rPr>
            <w:rStyle w:val="Hyperlink"/>
            <w:noProof w:val="0"/>
            <w:highlight w:val="yellow"/>
          </w:rPr>
          <w:t>Figura 13. Coerenza tra domande di valutazione, criteri di giudizio e indicatori</w:t>
        </w:r>
        <w:r w:rsidRPr="00346304">
          <w:rPr>
            <w:noProof w:val="0"/>
            <w:webHidden/>
          </w:rPr>
          <w:tab/>
        </w:r>
        <w:r w:rsidRPr="00346304">
          <w:rPr>
            <w:noProof w:val="0"/>
            <w:webHidden/>
          </w:rPr>
          <w:fldChar w:fldCharType="begin"/>
        </w:r>
        <w:r w:rsidRPr="00346304">
          <w:rPr>
            <w:noProof w:val="0"/>
            <w:webHidden/>
          </w:rPr>
          <w:instrText xml:space="preserve"> PAGEREF _Toc461616784 \h </w:instrText>
        </w:r>
        <w:r w:rsidRPr="00346304">
          <w:rPr>
            <w:noProof w:val="0"/>
            <w:webHidden/>
          </w:rPr>
        </w:r>
        <w:r w:rsidRPr="00346304">
          <w:rPr>
            <w:noProof w:val="0"/>
            <w:webHidden/>
          </w:rPr>
          <w:fldChar w:fldCharType="separate"/>
        </w:r>
        <w:r w:rsidRPr="00346304">
          <w:rPr>
            <w:noProof w:val="0"/>
            <w:webHidden/>
          </w:rPr>
          <w:t>53</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5" w:history="1">
        <w:r w:rsidRPr="00346304">
          <w:rPr>
            <w:rStyle w:val="Hyperlink"/>
            <w:noProof w:val="0"/>
            <w:highlight w:val="yellow"/>
          </w:rPr>
          <w:t>Figura 14. Coerenza tra logica di intervento della RRN ed elementi di valutazione</w:t>
        </w:r>
        <w:r w:rsidRPr="00346304">
          <w:rPr>
            <w:noProof w:val="0"/>
            <w:webHidden/>
          </w:rPr>
          <w:tab/>
        </w:r>
        <w:r w:rsidRPr="00346304">
          <w:rPr>
            <w:noProof w:val="0"/>
            <w:webHidden/>
          </w:rPr>
          <w:fldChar w:fldCharType="begin"/>
        </w:r>
        <w:r w:rsidRPr="00346304">
          <w:rPr>
            <w:noProof w:val="0"/>
            <w:webHidden/>
          </w:rPr>
          <w:instrText xml:space="preserve"> PAGEREF _Toc461616785 \h </w:instrText>
        </w:r>
        <w:r w:rsidRPr="00346304">
          <w:rPr>
            <w:noProof w:val="0"/>
            <w:webHidden/>
          </w:rPr>
        </w:r>
        <w:r w:rsidRPr="00346304">
          <w:rPr>
            <w:noProof w:val="0"/>
            <w:webHidden/>
          </w:rPr>
          <w:fldChar w:fldCharType="separate"/>
        </w:r>
        <w:r w:rsidRPr="00346304">
          <w:rPr>
            <w:noProof w:val="0"/>
            <w:webHidden/>
          </w:rPr>
          <w:t>57</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6" w:history="1">
        <w:r w:rsidRPr="00346304">
          <w:rPr>
            <w:rStyle w:val="Hyperlink"/>
            <w:noProof w:val="0"/>
            <w:highlight w:val="yellow"/>
          </w:rPr>
          <w:t>Figura 15. Responsabilità delle parti interessate nell'ambito della preparazione della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_Toc461616786 \h </w:instrText>
        </w:r>
        <w:r w:rsidRPr="00346304">
          <w:rPr>
            <w:noProof w:val="0"/>
            <w:webHidden/>
          </w:rPr>
        </w:r>
        <w:r w:rsidRPr="00346304">
          <w:rPr>
            <w:noProof w:val="0"/>
            <w:webHidden/>
          </w:rPr>
          <w:fldChar w:fldCharType="separate"/>
        </w:r>
        <w:r w:rsidRPr="00346304">
          <w:rPr>
            <w:noProof w:val="0"/>
            <w:webHidden/>
          </w:rPr>
          <w:t>61</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auto"/>
          <w:sz w:val="22"/>
          <w:szCs w:val="22"/>
          <w:lang w:eastAsia="zh-CN" w:bidi="ar-SA"/>
        </w:rPr>
      </w:pPr>
      <w:hyperlink w:anchor="_Toc461616787" w:history="1">
        <w:r w:rsidRPr="00346304">
          <w:rPr>
            <w:rStyle w:val="Hyperlink"/>
            <w:noProof w:val="0"/>
            <w:highlight w:val="yellow"/>
          </w:rPr>
          <w:t>Figura 16. Responsabilità delle parti interessate nell'attuazione della valutazione della RRN</w:t>
        </w:r>
        <w:r w:rsidRPr="00346304">
          <w:rPr>
            <w:noProof w:val="0"/>
            <w:webHidden/>
          </w:rPr>
          <w:tab/>
        </w:r>
        <w:r w:rsidRPr="00346304">
          <w:rPr>
            <w:noProof w:val="0"/>
            <w:webHidden/>
          </w:rPr>
          <w:fldChar w:fldCharType="begin"/>
        </w:r>
        <w:r w:rsidRPr="00346304">
          <w:rPr>
            <w:noProof w:val="0"/>
            <w:webHidden/>
          </w:rPr>
          <w:instrText xml:space="preserve"> PAGEREF _Toc461616787 \h </w:instrText>
        </w:r>
        <w:r w:rsidRPr="00346304">
          <w:rPr>
            <w:noProof w:val="0"/>
            <w:webHidden/>
          </w:rPr>
        </w:r>
        <w:r w:rsidRPr="00346304">
          <w:rPr>
            <w:noProof w:val="0"/>
            <w:webHidden/>
          </w:rPr>
          <w:fldChar w:fldCharType="separate"/>
        </w:r>
        <w:r w:rsidRPr="00346304">
          <w:rPr>
            <w:noProof w:val="0"/>
            <w:webHidden/>
          </w:rPr>
          <w:t>64</w:t>
        </w:r>
        <w:r w:rsidRPr="00346304">
          <w:rPr>
            <w:noProof w:val="0"/>
            <w:webHidden/>
          </w:rPr>
          <w:fldChar w:fldCharType="end"/>
        </w:r>
      </w:hyperlink>
    </w:p>
    <w:p w:rsidR="00675B1D" w:rsidRPr="00346304" w:rsidRDefault="00675B1D">
      <w:pPr>
        <w:pStyle w:val="TOC1"/>
        <w:rPr>
          <w:rFonts w:asciiTheme="minorHAnsi" w:eastAsiaTheme="minorEastAsia" w:hAnsiTheme="minorHAnsi" w:cstheme="minorBidi"/>
          <w:noProof w:val="0"/>
          <w:color w:val="576C88" w:themeColor="text2" w:themeTint="D9"/>
          <w:sz w:val="22"/>
          <w:szCs w:val="22"/>
        </w:rPr>
      </w:pPr>
      <w:r w:rsidRPr="00346304">
        <w:rPr>
          <w:rFonts w:cs="Arial"/>
          <w:noProof w:val="0"/>
          <w:color w:val="576C88" w:themeColor="text2" w:themeTint="D9"/>
          <w:szCs w:val="22"/>
        </w:rPr>
        <w:fldChar w:fldCharType="end"/>
      </w:r>
    </w:p>
    <w:p w:rsidR="00675B1D" w:rsidRPr="00346304" w:rsidRDefault="00675B1D">
      <w:pPr>
        <w:pStyle w:val="TOC2"/>
        <w:rPr>
          <w:rFonts w:asciiTheme="minorHAnsi" w:eastAsiaTheme="minorEastAsia" w:hAnsiTheme="minorHAnsi" w:cstheme="minorBidi"/>
          <w:noProof w:val="0"/>
          <w:color w:val="auto"/>
          <w:sz w:val="22"/>
          <w:lang w:eastAsia="zh-CN" w:bidi="ar-SA"/>
        </w:rPr>
      </w:pPr>
      <w:r w:rsidRPr="00346304">
        <w:rPr>
          <w:rFonts w:cs="Arial"/>
          <w:noProof w:val="0"/>
          <w:color w:val="576C88" w:themeColor="text2" w:themeTint="D9"/>
        </w:rPr>
        <w:fldChar w:fldCharType="begin"/>
      </w:r>
      <w:r w:rsidRPr="00346304">
        <w:rPr>
          <w:rFonts w:cs="Arial"/>
          <w:noProof w:val="0"/>
          <w:color w:val="576C88" w:themeColor="text2" w:themeTint="D9"/>
        </w:rPr>
        <w:instrText xml:space="preserve"> TOC \h \z \t "Überschrift 1;1;Überschrift 2;2;Überschrift 3;3;H_Heading_boxes;2" </w:instrText>
      </w:r>
      <w:r w:rsidRPr="00346304">
        <w:rPr>
          <w:rFonts w:cs="Arial"/>
          <w:noProof w:val="0"/>
          <w:color w:val="576C88" w:themeColor="text2" w:themeTint="D9"/>
        </w:rPr>
        <w:fldChar w:fldCharType="separate"/>
      </w:r>
      <w:hyperlink w:anchor="_Toc461616673" w:history="1">
        <w:r w:rsidRPr="00346304">
          <w:rPr>
            <w:rStyle w:val="Hyperlink"/>
            <w:noProof w:val="0"/>
            <w:highlight w:val="yellow"/>
          </w:rPr>
          <w:t>Box 1. Il gruppo direttivo di valutazione come strumento per la gestione del processo di valutazione</w:t>
        </w:r>
        <w:r w:rsidRPr="00346304">
          <w:rPr>
            <w:noProof w:val="0"/>
            <w:webHidden/>
          </w:rPr>
          <w:tab/>
        </w:r>
        <w:r w:rsidRPr="00346304">
          <w:rPr>
            <w:noProof w:val="0"/>
            <w:webHidden/>
          </w:rPr>
          <w:fldChar w:fldCharType="begin"/>
        </w:r>
        <w:r w:rsidRPr="00346304">
          <w:rPr>
            <w:noProof w:val="0"/>
            <w:webHidden/>
          </w:rPr>
          <w:instrText xml:space="preserve"> PAGEREF _Toc461616673 \h </w:instrText>
        </w:r>
        <w:r w:rsidRPr="00346304">
          <w:rPr>
            <w:noProof w:val="0"/>
            <w:webHidden/>
          </w:rPr>
        </w:r>
        <w:r w:rsidRPr="00346304">
          <w:rPr>
            <w:noProof w:val="0"/>
            <w:webHidden/>
          </w:rPr>
          <w:fldChar w:fldCharType="separate"/>
        </w:r>
        <w:r w:rsidRPr="00346304">
          <w:rPr>
            <w:noProof w:val="0"/>
            <w:webHidden/>
          </w:rPr>
          <w:t>35</w:t>
        </w:r>
        <w:r w:rsidRPr="00346304">
          <w:rPr>
            <w:noProof w:val="0"/>
            <w:webHidden/>
          </w:rPr>
          <w:fldChar w:fldCharType="end"/>
        </w:r>
      </w:hyperlink>
    </w:p>
    <w:p w:rsidR="00675B1D" w:rsidRPr="00346304" w:rsidRDefault="00675B1D">
      <w:pPr>
        <w:pStyle w:val="TOC2"/>
        <w:rPr>
          <w:rFonts w:asciiTheme="minorHAnsi" w:eastAsiaTheme="minorEastAsia" w:hAnsiTheme="minorHAnsi" w:cstheme="minorBidi"/>
          <w:noProof w:val="0"/>
          <w:color w:val="auto"/>
          <w:sz w:val="22"/>
          <w:lang w:eastAsia="zh-CN" w:bidi="ar-SA"/>
        </w:rPr>
      </w:pPr>
      <w:hyperlink w:anchor="_Toc461616674" w:history="1">
        <w:r w:rsidRPr="00346304">
          <w:rPr>
            <w:rStyle w:val="Hyperlink"/>
            <w:noProof w:val="0"/>
            <w:highlight w:val="yellow"/>
          </w:rPr>
          <w:t>Box 2. Mandato di valutazione</w:t>
        </w:r>
        <w:r w:rsidRPr="00346304">
          <w:rPr>
            <w:noProof w:val="0"/>
            <w:webHidden/>
          </w:rPr>
          <w:tab/>
        </w:r>
        <w:r w:rsidRPr="00346304">
          <w:rPr>
            <w:noProof w:val="0"/>
            <w:webHidden/>
          </w:rPr>
          <w:fldChar w:fldCharType="begin"/>
        </w:r>
        <w:r w:rsidRPr="00346304">
          <w:rPr>
            <w:noProof w:val="0"/>
            <w:webHidden/>
          </w:rPr>
          <w:instrText xml:space="preserve"> PAGEREF _Toc461616674 \h </w:instrText>
        </w:r>
        <w:r w:rsidRPr="00346304">
          <w:rPr>
            <w:noProof w:val="0"/>
            <w:webHidden/>
          </w:rPr>
        </w:r>
        <w:r w:rsidRPr="00346304">
          <w:rPr>
            <w:noProof w:val="0"/>
            <w:webHidden/>
          </w:rPr>
          <w:fldChar w:fldCharType="separate"/>
        </w:r>
        <w:r w:rsidRPr="00346304">
          <w:rPr>
            <w:noProof w:val="0"/>
            <w:webHidden/>
          </w:rPr>
          <w:t>60</w:t>
        </w:r>
        <w:r w:rsidRPr="00346304">
          <w:rPr>
            <w:noProof w:val="0"/>
            <w:webHidden/>
          </w:rPr>
          <w:fldChar w:fldCharType="end"/>
        </w:r>
      </w:hyperlink>
    </w:p>
    <w:p w:rsidR="00675B1D" w:rsidRPr="00346304" w:rsidRDefault="00675B1D">
      <w:pPr>
        <w:pStyle w:val="HStandard"/>
        <w:tabs>
          <w:tab w:val="right" w:leader="dot" w:pos="8742"/>
        </w:tabs>
        <w:rPr>
          <w:rFonts w:asciiTheme="minorHAnsi" w:eastAsiaTheme="minorEastAsia" w:hAnsiTheme="minorHAnsi" w:cstheme="minorBidi"/>
          <w:sz w:val="22"/>
        </w:rPr>
        <w:sectPr w:rsidR="00675B1D" w:rsidRPr="00346304"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346304">
        <w:fldChar w:fldCharType="end"/>
      </w:r>
    </w:p>
    <w:p w:rsidR="00675B1D" w:rsidRPr="00346304" w:rsidRDefault="00675B1D" w:rsidP="005A6A10">
      <w:pPr>
        <w:pStyle w:val="HStandard"/>
        <w:tabs>
          <w:tab w:val="right" w:leader="dot" w:pos="8742"/>
        </w:tabs>
        <w:rPr>
          <w:b/>
          <w:color w:val="E7E6E6" w:themeColor="background2"/>
        </w:rPr>
      </w:pPr>
      <w:r w:rsidRPr="00346304">
        <w:lastRenderedPageBreak/>
        <w:br w:type="page"/>
      </w:r>
    </w:p>
    <w:p w:rsidR="00675B1D" w:rsidRPr="00A147C7" w:rsidRDefault="00675B1D" w:rsidP="005A6A10">
      <w:pPr>
        <w:pStyle w:val="HStandard"/>
        <w:tabs>
          <w:tab w:val="right" w:leader="dot" w:pos="8742"/>
        </w:tabs>
        <w:rPr>
          <w:b/>
          <w:color w:val="E7E6E6" w:themeColor="background2"/>
          <w:lang w:val="en-GB"/>
        </w:rPr>
      </w:pPr>
      <w:r w:rsidRPr="00A147C7">
        <w:rPr>
          <w:b/>
          <w:color w:val="E7E6E6" w:themeColor="background2"/>
          <w:lang w:val="en-GB"/>
        </w:rPr>
        <w:lastRenderedPageBreak/>
        <w:t>ACRONYM LIST</w:t>
      </w:r>
    </w:p>
    <w:p w:rsidR="00675B1D" w:rsidRPr="00A147C7" w:rsidRDefault="00675B1D" w:rsidP="00AE6F26">
      <w:pPr>
        <w:pStyle w:val="HStandard"/>
        <w:rPr>
          <w:lang w:val="en-GB"/>
        </w:rPr>
      </w:pPr>
      <w:r w:rsidRPr="00A147C7">
        <w:rPr>
          <w:lang w:val="en-GB"/>
        </w:rPr>
        <w:t>AIR</w:t>
      </w:r>
      <w:r w:rsidRPr="00A147C7">
        <w:rPr>
          <w:lang w:val="en-GB"/>
        </w:rPr>
        <w:tab/>
      </w:r>
      <w:r w:rsidRPr="00A147C7">
        <w:rPr>
          <w:lang w:val="en-GB"/>
        </w:rPr>
        <w:tab/>
      </w:r>
      <w:r w:rsidRPr="00A147C7">
        <w:rPr>
          <w:lang w:val="en-GB"/>
        </w:rPr>
        <w:tab/>
        <w:t>Annual Implementation Report</w:t>
      </w:r>
    </w:p>
    <w:p w:rsidR="00675B1D" w:rsidRPr="00A147C7" w:rsidRDefault="00675B1D" w:rsidP="00AE6F26">
      <w:pPr>
        <w:pStyle w:val="HStandard"/>
        <w:rPr>
          <w:lang w:val="en-GB"/>
        </w:rPr>
      </w:pPr>
      <w:r w:rsidRPr="00A147C7">
        <w:rPr>
          <w:lang w:val="en-GB"/>
        </w:rPr>
        <w:t>AWU</w:t>
      </w:r>
      <w:r w:rsidRPr="00A147C7">
        <w:rPr>
          <w:lang w:val="en-GB"/>
        </w:rPr>
        <w:tab/>
      </w:r>
      <w:r w:rsidRPr="00A147C7">
        <w:rPr>
          <w:lang w:val="en-GB"/>
        </w:rPr>
        <w:tab/>
        <w:t>Annual Work Units</w:t>
      </w:r>
    </w:p>
    <w:p w:rsidR="00675B1D" w:rsidRPr="00A147C7" w:rsidRDefault="00675B1D" w:rsidP="00AE6F26">
      <w:pPr>
        <w:pStyle w:val="HStandard"/>
        <w:rPr>
          <w:lang w:val="en-GB"/>
        </w:rPr>
      </w:pPr>
      <w:r w:rsidRPr="00A147C7">
        <w:rPr>
          <w:lang w:val="en-GB"/>
        </w:rPr>
        <w:t>CAP</w:t>
      </w:r>
      <w:r w:rsidRPr="00A147C7">
        <w:rPr>
          <w:lang w:val="en-GB"/>
        </w:rPr>
        <w:tab/>
      </w:r>
      <w:r w:rsidRPr="00A147C7">
        <w:rPr>
          <w:lang w:val="en-GB"/>
        </w:rPr>
        <w:tab/>
        <w:t xml:space="preserve">Common Agricultural Policy </w:t>
      </w:r>
    </w:p>
    <w:p w:rsidR="00675B1D" w:rsidRPr="00A147C7" w:rsidRDefault="00675B1D" w:rsidP="00AE6F26">
      <w:pPr>
        <w:pStyle w:val="HStandard"/>
        <w:rPr>
          <w:lang w:val="en-GB"/>
        </w:rPr>
      </w:pPr>
      <w:r w:rsidRPr="00A147C7">
        <w:rPr>
          <w:lang w:val="en-GB"/>
        </w:rPr>
        <w:t>CCI</w:t>
      </w:r>
      <w:r w:rsidRPr="00A147C7">
        <w:rPr>
          <w:lang w:val="en-GB"/>
        </w:rPr>
        <w:tab/>
      </w:r>
      <w:r w:rsidRPr="00A147C7">
        <w:rPr>
          <w:lang w:val="en-GB"/>
        </w:rPr>
        <w:tab/>
        <w:t>Common Context Indicators</w:t>
      </w:r>
    </w:p>
    <w:p w:rsidR="00675B1D" w:rsidRPr="00A147C7" w:rsidRDefault="00675B1D" w:rsidP="00AE6F26">
      <w:pPr>
        <w:pStyle w:val="HStandard"/>
        <w:rPr>
          <w:lang w:val="en-GB"/>
        </w:rPr>
      </w:pPr>
      <w:r w:rsidRPr="00A147C7">
        <w:rPr>
          <w:lang w:val="en-GB"/>
        </w:rPr>
        <w:t>CEQ</w:t>
      </w:r>
      <w:r w:rsidRPr="00A147C7">
        <w:rPr>
          <w:lang w:val="en-GB"/>
        </w:rPr>
        <w:tab/>
      </w:r>
      <w:r w:rsidRPr="00A147C7">
        <w:rPr>
          <w:lang w:val="en-GB"/>
        </w:rPr>
        <w:tab/>
        <w:t>Common Evaluation Questions</w:t>
      </w:r>
    </w:p>
    <w:p w:rsidR="00675B1D" w:rsidRPr="00A147C7" w:rsidRDefault="00675B1D" w:rsidP="00AE6F26">
      <w:pPr>
        <w:pStyle w:val="HStandard"/>
        <w:rPr>
          <w:lang w:val="en-GB"/>
        </w:rPr>
      </w:pPr>
      <w:r w:rsidRPr="00A147C7">
        <w:rPr>
          <w:lang w:val="en-GB"/>
        </w:rPr>
        <w:t>CLLD</w:t>
      </w:r>
      <w:r w:rsidRPr="00A147C7">
        <w:rPr>
          <w:lang w:val="en-GB"/>
        </w:rPr>
        <w:tab/>
      </w:r>
      <w:r w:rsidRPr="00A147C7">
        <w:rPr>
          <w:lang w:val="en-GB"/>
        </w:rPr>
        <w:tab/>
        <w:t>Community-Led Local Development</w:t>
      </w:r>
    </w:p>
    <w:p w:rsidR="00675B1D" w:rsidRPr="00A147C7" w:rsidRDefault="00675B1D" w:rsidP="00AE6F26">
      <w:pPr>
        <w:pStyle w:val="HStandard"/>
        <w:rPr>
          <w:lang w:val="en-GB"/>
        </w:rPr>
      </w:pPr>
      <w:r w:rsidRPr="00A147C7">
        <w:rPr>
          <w:lang w:val="en-GB"/>
        </w:rPr>
        <w:t xml:space="preserve">CMES </w:t>
      </w:r>
      <w:r w:rsidRPr="00A147C7">
        <w:rPr>
          <w:lang w:val="en-GB"/>
        </w:rPr>
        <w:tab/>
      </w:r>
      <w:r w:rsidRPr="00A147C7">
        <w:rPr>
          <w:lang w:val="en-GB"/>
        </w:rPr>
        <w:tab/>
        <w:t>Common Monitoring and Evaluation System</w:t>
      </w:r>
    </w:p>
    <w:p w:rsidR="00675B1D" w:rsidRPr="00A147C7" w:rsidRDefault="00675B1D" w:rsidP="00AE6F26">
      <w:pPr>
        <w:pStyle w:val="HStandard"/>
        <w:rPr>
          <w:lang w:val="en-GB"/>
        </w:rPr>
      </w:pPr>
      <w:r w:rsidRPr="00A147C7">
        <w:rPr>
          <w:lang w:val="en-GB"/>
        </w:rPr>
        <w:t xml:space="preserve">CO </w:t>
      </w:r>
      <w:r w:rsidRPr="00A147C7">
        <w:rPr>
          <w:lang w:val="en-GB"/>
        </w:rPr>
        <w:tab/>
      </w:r>
      <w:r w:rsidRPr="00A147C7">
        <w:rPr>
          <w:lang w:val="en-GB"/>
        </w:rPr>
        <w:tab/>
        <w:t>Common objective</w:t>
      </w:r>
    </w:p>
    <w:p w:rsidR="00675B1D" w:rsidRPr="00A147C7" w:rsidRDefault="00675B1D" w:rsidP="00AE6F26">
      <w:pPr>
        <w:pStyle w:val="HStandard"/>
        <w:rPr>
          <w:lang w:val="en-GB"/>
        </w:rPr>
      </w:pPr>
      <w:r w:rsidRPr="00A147C7">
        <w:rPr>
          <w:lang w:val="en-GB"/>
        </w:rPr>
        <w:t>DG AGRI</w:t>
      </w:r>
      <w:r w:rsidRPr="00A147C7">
        <w:rPr>
          <w:lang w:val="en-GB"/>
        </w:rPr>
        <w:tab/>
        <w:t>Directorate-General for Agriculture and Rural Development</w:t>
      </w:r>
    </w:p>
    <w:p w:rsidR="00675B1D" w:rsidRPr="00A147C7" w:rsidRDefault="00675B1D" w:rsidP="00AE6F26">
      <w:pPr>
        <w:pStyle w:val="HStandard"/>
        <w:rPr>
          <w:lang w:val="en-GB"/>
        </w:rPr>
      </w:pPr>
      <w:r w:rsidRPr="00A147C7">
        <w:rPr>
          <w:lang w:val="en-GB"/>
        </w:rPr>
        <w:t>EARDF</w:t>
      </w:r>
      <w:r w:rsidRPr="00A147C7">
        <w:rPr>
          <w:lang w:val="en-GB"/>
        </w:rPr>
        <w:tab/>
      </w:r>
      <w:r w:rsidRPr="00A147C7">
        <w:rPr>
          <w:lang w:val="en-GB"/>
        </w:rPr>
        <w:tab/>
        <w:t>European Agricultural Fund for Rural Development</w:t>
      </w:r>
    </w:p>
    <w:p w:rsidR="00675B1D" w:rsidRPr="00A147C7" w:rsidRDefault="00675B1D" w:rsidP="00AE6F26">
      <w:pPr>
        <w:pStyle w:val="HStandard"/>
        <w:rPr>
          <w:lang w:val="en-GB"/>
        </w:rPr>
      </w:pPr>
      <w:r w:rsidRPr="00A147C7">
        <w:rPr>
          <w:lang w:val="en-GB"/>
        </w:rPr>
        <w:t>EIP</w:t>
      </w:r>
      <w:r w:rsidRPr="00A147C7">
        <w:rPr>
          <w:lang w:val="en-GB"/>
        </w:rPr>
        <w:tab/>
      </w:r>
      <w:r w:rsidRPr="00A147C7">
        <w:rPr>
          <w:lang w:val="en-GB"/>
        </w:rPr>
        <w:tab/>
      </w:r>
      <w:r w:rsidRPr="00A147C7">
        <w:rPr>
          <w:lang w:val="en-GB"/>
        </w:rPr>
        <w:tab/>
        <w:t>European Innovation Partnership</w:t>
      </w:r>
    </w:p>
    <w:p w:rsidR="00675B1D" w:rsidRPr="00A147C7" w:rsidRDefault="00675B1D" w:rsidP="00AE6F26">
      <w:pPr>
        <w:pStyle w:val="HStandard"/>
        <w:rPr>
          <w:lang w:val="en-GB"/>
        </w:rPr>
      </w:pPr>
      <w:r w:rsidRPr="00A147C7">
        <w:rPr>
          <w:lang w:val="en-GB"/>
        </w:rPr>
        <w:t>ENRD</w:t>
      </w:r>
      <w:r w:rsidRPr="00A147C7">
        <w:rPr>
          <w:lang w:val="en-GB"/>
        </w:rPr>
        <w:tab/>
      </w:r>
      <w:r w:rsidRPr="00A147C7">
        <w:rPr>
          <w:lang w:val="en-GB"/>
        </w:rPr>
        <w:tab/>
        <w:t>European Network for Rural Development</w:t>
      </w:r>
    </w:p>
    <w:p w:rsidR="00675B1D" w:rsidRPr="00A147C7" w:rsidRDefault="00675B1D" w:rsidP="00AE6F26">
      <w:pPr>
        <w:pStyle w:val="HStandard"/>
        <w:rPr>
          <w:lang w:val="fr-BE"/>
        </w:rPr>
      </w:pPr>
      <w:r w:rsidRPr="00A147C7">
        <w:rPr>
          <w:lang w:val="fr-BE"/>
        </w:rPr>
        <w:t>EQ</w:t>
      </w:r>
      <w:r w:rsidRPr="00A147C7">
        <w:rPr>
          <w:lang w:val="fr-BE"/>
        </w:rPr>
        <w:tab/>
      </w:r>
      <w:r w:rsidRPr="00A147C7">
        <w:rPr>
          <w:lang w:val="fr-BE"/>
        </w:rPr>
        <w:tab/>
      </w:r>
      <w:r w:rsidRPr="00A147C7">
        <w:rPr>
          <w:lang w:val="fr-BE"/>
        </w:rPr>
        <w:tab/>
        <w:t>Evaluation Question</w:t>
      </w:r>
    </w:p>
    <w:p w:rsidR="00675B1D" w:rsidRPr="00A147C7" w:rsidRDefault="00675B1D" w:rsidP="00AE6F26">
      <w:pPr>
        <w:pStyle w:val="HStandard"/>
        <w:rPr>
          <w:lang w:val="fr-BE"/>
        </w:rPr>
      </w:pPr>
      <w:r w:rsidRPr="00A147C7">
        <w:rPr>
          <w:lang w:val="fr-BE"/>
        </w:rPr>
        <w:t>EP</w:t>
      </w:r>
      <w:r w:rsidRPr="00A147C7">
        <w:rPr>
          <w:lang w:val="fr-BE"/>
        </w:rPr>
        <w:tab/>
      </w:r>
      <w:r w:rsidRPr="00A147C7">
        <w:rPr>
          <w:lang w:val="fr-BE"/>
        </w:rPr>
        <w:tab/>
      </w:r>
      <w:r w:rsidRPr="00A147C7">
        <w:rPr>
          <w:lang w:val="fr-BE"/>
        </w:rPr>
        <w:tab/>
        <w:t>Evaluation Plan</w:t>
      </w:r>
    </w:p>
    <w:p w:rsidR="00675B1D" w:rsidRPr="00A147C7" w:rsidRDefault="00675B1D" w:rsidP="00AE6F26">
      <w:pPr>
        <w:pStyle w:val="HStandard"/>
        <w:rPr>
          <w:lang w:val="en-GB"/>
        </w:rPr>
      </w:pPr>
      <w:r w:rsidRPr="00A147C7">
        <w:rPr>
          <w:lang w:val="en-GB"/>
        </w:rPr>
        <w:t>ERDF</w:t>
      </w:r>
      <w:r w:rsidRPr="00A147C7">
        <w:rPr>
          <w:lang w:val="en-GB"/>
        </w:rPr>
        <w:tab/>
      </w:r>
      <w:r w:rsidRPr="00A147C7">
        <w:rPr>
          <w:lang w:val="en-GB"/>
        </w:rPr>
        <w:tab/>
        <w:t>European Regional Development Fund</w:t>
      </w:r>
    </w:p>
    <w:p w:rsidR="00675B1D" w:rsidRPr="00A147C7" w:rsidRDefault="00675B1D" w:rsidP="00AE6F26">
      <w:pPr>
        <w:pStyle w:val="HStandard"/>
        <w:rPr>
          <w:lang w:val="en-GB"/>
        </w:rPr>
      </w:pPr>
      <w:r w:rsidRPr="00A147C7">
        <w:rPr>
          <w:lang w:val="en-GB"/>
        </w:rPr>
        <w:t>ESI</w:t>
      </w:r>
      <w:r w:rsidRPr="00A147C7">
        <w:rPr>
          <w:lang w:val="en-GB"/>
        </w:rPr>
        <w:tab/>
      </w:r>
      <w:r w:rsidRPr="00A147C7">
        <w:rPr>
          <w:lang w:val="en-GB"/>
        </w:rPr>
        <w:tab/>
      </w:r>
      <w:r w:rsidRPr="00A147C7">
        <w:rPr>
          <w:lang w:val="en-GB"/>
        </w:rPr>
        <w:tab/>
        <w:t>European Structural and Investment</w:t>
      </w:r>
    </w:p>
    <w:p w:rsidR="00675B1D" w:rsidRPr="00A147C7" w:rsidRDefault="00675B1D" w:rsidP="00AE6F26">
      <w:pPr>
        <w:pStyle w:val="HStandard"/>
        <w:rPr>
          <w:lang w:val="en-GB"/>
        </w:rPr>
      </w:pPr>
      <w:r w:rsidRPr="00A147C7">
        <w:rPr>
          <w:lang w:val="en-GB"/>
        </w:rPr>
        <w:t>EU</w:t>
      </w:r>
      <w:r w:rsidRPr="00A147C7">
        <w:rPr>
          <w:lang w:val="en-GB"/>
        </w:rPr>
        <w:tab/>
      </w:r>
      <w:r w:rsidRPr="00A147C7">
        <w:rPr>
          <w:lang w:val="en-GB"/>
        </w:rPr>
        <w:tab/>
      </w:r>
      <w:r w:rsidRPr="00A147C7">
        <w:rPr>
          <w:lang w:val="en-GB"/>
        </w:rPr>
        <w:tab/>
        <w:t>European Union</w:t>
      </w:r>
    </w:p>
    <w:p w:rsidR="00675B1D" w:rsidRPr="00A147C7" w:rsidRDefault="00675B1D" w:rsidP="00AE6F26">
      <w:pPr>
        <w:pStyle w:val="HStandard"/>
        <w:rPr>
          <w:lang w:val="en-GB"/>
        </w:rPr>
      </w:pPr>
      <w:r w:rsidRPr="00A147C7">
        <w:rPr>
          <w:lang w:val="en-GB"/>
        </w:rPr>
        <w:t>FA</w:t>
      </w:r>
      <w:r w:rsidRPr="00A147C7">
        <w:rPr>
          <w:lang w:val="en-GB"/>
        </w:rPr>
        <w:tab/>
      </w:r>
      <w:r w:rsidRPr="00A147C7">
        <w:rPr>
          <w:lang w:val="en-GB"/>
        </w:rPr>
        <w:tab/>
      </w:r>
      <w:r w:rsidRPr="00A147C7">
        <w:rPr>
          <w:lang w:val="en-GB"/>
        </w:rPr>
        <w:tab/>
        <w:t>Focus Area</w:t>
      </w:r>
    </w:p>
    <w:p w:rsidR="00675B1D" w:rsidRPr="00A147C7" w:rsidRDefault="00675B1D" w:rsidP="00AE6F26">
      <w:pPr>
        <w:pStyle w:val="HStandard"/>
        <w:rPr>
          <w:lang w:val="en-GB"/>
        </w:rPr>
      </w:pPr>
      <w:r w:rsidRPr="00A147C7">
        <w:rPr>
          <w:lang w:val="en-GB"/>
        </w:rPr>
        <w:t>FAO</w:t>
      </w:r>
      <w:r w:rsidRPr="00A147C7">
        <w:rPr>
          <w:lang w:val="en-GB"/>
        </w:rPr>
        <w:tab/>
      </w:r>
      <w:r w:rsidRPr="00A147C7">
        <w:rPr>
          <w:lang w:val="en-GB"/>
        </w:rPr>
        <w:tab/>
      </w:r>
      <w:hyperlink r:id="rId16">
        <w:r w:rsidRPr="00A147C7">
          <w:rPr>
            <w:lang w:val="en-GB"/>
          </w:rPr>
          <w:t>Food and Agriculture Organization</w:t>
        </w:r>
      </w:hyperlink>
    </w:p>
    <w:p w:rsidR="00675B1D" w:rsidRPr="00A147C7" w:rsidRDefault="00675B1D" w:rsidP="00AE6F26">
      <w:pPr>
        <w:pStyle w:val="HStandard"/>
        <w:rPr>
          <w:lang w:val="en-GB"/>
        </w:rPr>
      </w:pPr>
      <w:r w:rsidRPr="00A147C7">
        <w:rPr>
          <w:lang w:val="en-GB"/>
        </w:rPr>
        <w:t>GIS</w:t>
      </w:r>
      <w:r w:rsidRPr="00A147C7">
        <w:rPr>
          <w:lang w:val="en-GB"/>
        </w:rPr>
        <w:tab/>
      </w:r>
      <w:r w:rsidRPr="00A147C7">
        <w:rPr>
          <w:lang w:val="en-GB"/>
        </w:rPr>
        <w:tab/>
      </w:r>
      <w:hyperlink r:id="rId17">
        <w:r w:rsidRPr="00A147C7">
          <w:rPr>
            <w:lang w:val="en-GB"/>
          </w:rPr>
          <w:t>Geographic information system</w:t>
        </w:r>
      </w:hyperlink>
    </w:p>
    <w:p w:rsidR="00675B1D" w:rsidRPr="00A147C7" w:rsidRDefault="00675B1D" w:rsidP="00AE6F26">
      <w:pPr>
        <w:pStyle w:val="HStandard"/>
        <w:rPr>
          <w:lang w:val="de-DE"/>
        </w:rPr>
      </w:pPr>
      <w:r w:rsidRPr="00A147C7">
        <w:rPr>
          <w:lang w:val="de-DE"/>
        </w:rPr>
        <w:t>GIZ</w:t>
      </w:r>
      <w:r w:rsidRPr="00A147C7">
        <w:rPr>
          <w:lang w:val="de-DE"/>
        </w:rPr>
        <w:tab/>
      </w:r>
      <w:r w:rsidRPr="00A147C7">
        <w:rPr>
          <w:lang w:val="de-DE"/>
        </w:rPr>
        <w:tab/>
      </w:r>
      <w:r w:rsidRPr="00A147C7">
        <w:rPr>
          <w:lang w:val="de-DE"/>
        </w:rPr>
        <w:tab/>
        <w:t>Gesellschaft für Internationale Zusammenarbeit</w:t>
      </w:r>
    </w:p>
    <w:p w:rsidR="00675B1D" w:rsidRPr="00A147C7" w:rsidRDefault="00675B1D" w:rsidP="00AE6F26">
      <w:pPr>
        <w:pStyle w:val="HStandard"/>
        <w:rPr>
          <w:lang w:val="de-DE"/>
        </w:rPr>
      </w:pPr>
      <w:r w:rsidRPr="00A147C7">
        <w:rPr>
          <w:lang w:val="de-DE"/>
        </w:rPr>
        <w:t>IL</w:t>
      </w:r>
      <w:r w:rsidRPr="00A147C7">
        <w:rPr>
          <w:lang w:val="de-DE"/>
        </w:rPr>
        <w:tab/>
      </w:r>
      <w:r w:rsidRPr="00A147C7">
        <w:rPr>
          <w:lang w:val="de-DE"/>
        </w:rPr>
        <w:tab/>
      </w:r>
      <w:r w:rsidRPr="00A147C7">
        <w:rPr>
          <w:lang w:val="de-DE"/>
        </w:rPr>
        <w:tab/>
        <w:t>Intervention Logic</w:t>
      </w:r>
    </w:p>
    <w:p w:rsidR="00675B1D" w:rsidRPr="00A147C7" w:rsidRDefault="00675B1D" w:rsidP="00AE6F26">
      <w:pPr>
        <w:pStyle w:val="HStandard"/>
        <w:rPr>
          <w:lang w:val="en-GB"/>
        </w:rPr>
      </w:pPr>
      <w:r w:rsidRPr="00A147C7">
        <w:rPr>
          <w:lang w:val="en-GB"/>
        </w:rPr>
        <w:t>JC</w:t>
      </w:r>
      <w:r w:rsidRPr="00A147C7">
        <w:rPr>
          <w:lang w:val="en-GB"/>
        </w:rPr>
        <w:tab/>
      </w:r>
      <w:r w:rsidRPr="00A147C7">
        <w:rPr>
          <w:lang w:val="en-GB"/>
        </w:rPr>
        <w:tab/>
      </w:r>
      <w:r w:rsidRPr="00A147C7">
        <w:rPr>
          <w:lang w:val="en-GB"/>
        </w:rPr>
        <w:tab/>
        <w:t>Judgement Criteria</w:t>
      </w:r>
    </w:p>
    <w:p w:rsidR="00675B1D" w:rsidRPr="00A147C7" w:rsidRDefault="00675B1D" w:rsidP="00AE6F26">
      <w:pPr>
        <w:pStyle w:val="HStandard"/>
        <w:rPr>
          <w:lang w:val="en-GB"/>
        </w:rPr>
      </w:pPr>
      <w:r w:rsidRPr="00A147C7">
        <w:rPr>
          <w:lang w:val="en-GB"/>
        </w:rPr>
        <w:t>LAG</w:t>
      </w:r>
      <w:r w:rsidRPr="00A147C7">
        <w:rPr>
          <w:lang w:val="en-GB"/>
        </w:rPr>
        <w:tab/>
      </w:r>
      <w:r w:rsidRPr="00A147C7">
        <w:rPr>
          <w:lang w:val="en-GB"/>
        </w:rPr>
        <w:tab/>
        <w:t>Local Action Group</w:t>
      </w:r>
    </w:p>
    <w:p w:rsidR="00675B1D" w:rsidRPr="00A147C7" w:rsidRDefault="00675B1D" w:rsidP="00AE6F26">
      <w:pPr>
        <w:pStyle w:val="HStandard"/>
        <w:rPr>
          <w:lang w:val="fr-BE"/>
        </w:rPr>
      </w:pPr>
      <w:r w:rsidRPr="00A147C7">
        <w:rPr>
          <w:lang w:val="fr-BE"/>
        </w:rPr>
        <w:t>LEADER</w:t>
      </w:r>
      <w:r w:rsidRPr="00A147C7">
        <w:rPr>
          <w:lang w:val="fr-BE"/>
        </w:rPr>
        <w:tab/>
        <w:t>Liaison Entre Actions de Développement de l'Économie Rurale</w:t>
      </w:r>
    </w:p>
    <w:p w:rsidR="00675B1D" w:rsidRPr="00A147C7" w:rsidRDefault="00675B1D" w:rsidP="00AE6F26">
      <w:pPr>
        <w:pStyle w:val="HStandard"/>
        <w:rPr>
          <w:lang w:val="en-GB"/>
        </w:rPr>
      </w:pPr>
      <w:r w:rsidRPr="00A147C7">
        <w:rPr>
          <w:lang w:val="en-GB"/>
        </w:rPr>
        <w:t>MA</w:t>
      </w:r>
      <w:r w:rsidRPr="00A147C7">
        <w:rPr>
          <w:lang w:val="en-GB"/>
        </w:rPr>
        <w:tab/>
      </w:r>
      <w:r w:rsidRPr="00A147C7">
        <w:rPr>
          <w:lang w:val="en-GB"/>
        </w:rPr>
        <w:tab/>
      </w:r>
      <w:r w:rsidRPr="00A147C7">
        <w:rPr>
          <w:lang w:val="en-GB"/>
        </w:rPr>
        <w:tab/>
        <w:t>Managing Authority</w:t>
      </w:r>
    </w:p>
    <w:p w:rsidR="00675B1D" w:rsidRPr="00A147C7" w:rsidRDefault="00675B1D" w:rsidP="00AE6F26">
      <w:pPr>
        <w:pStyle w:val="HStandard"/>
        <w:rPr>
          <w:lang w:val="en-GB"/>
        </w:rPr>
      </w:pPr>
      <w:r w:rsidRPr="00A147C7">
        <w:rPr>
          <w:lang w:val="en-GB"/>
        </w:rPr>
        <w:t>MAPP</w:t>
      </w:r>
      <w:r w:rsidRPr="00A147C7">
        <w:rPr>
          <w:lang w:val="en-GB"/>
        </w:rPr>
        <w:tab/>
      </w:r>
      <w:r w:rsidRPr="00A147C7">
        <w:rPr>
          <w:lang w:val="en-GB"/>
        </w:rPr>
        <w:tab/>
        <w:t>Method for Impact Assessment of Programmes and Project</w:t>
      </w:r>
    </w:p>
    <w:p w:rsidR="00675B1D" w:rsidRPr="00A147C7" w:rsidRDefault="00675B1D" w:rsidP="00AE6F26">
      <w:pPr>
        <w:pStyle w:val="HStandard"/>
        <w:rPr>
          <w:lang w:val="en-GB"/>
        </w:rPr>
      </w:pPr>
      <w:r w:rsidRPr="00A147C7">
        <w:rPr>
          <w:lang w:val="en-GB"/>
        </w:rPr>
        <w:t>MS</w:t>
      </w:r>
      <w:r w:rsidRPr="00A147C7">
        <w:rPr>
          <w:lang w:val="en-GB"/>
        </w:rPr>
        <w:tab/>
      </w:r>
      <w:r w:rsidRPr="00A147C7">
        <w:rPr>
          <w:lang w:val="en-GB"/>
        </w:rPr>
        <w:tab/>
      </w:r>
      <w:r w:rsidRPr="00A147C7">
        <w:rPr>
          <w:lang w:val="en-GB"/>
        </w:rPr>
        <w:tab/>
        <w:t>Member State</w:t>
      </w:r>
    </w:p>
    <w:p w:rsidR="00675B1D" w:rsidRPr="00A147C7" w:rsidRDefault="00675B1D" w:rsidP="00AE6F26">
      <w:pPr>
        <w:pStyle w:val="HStandard"/>
        <w:rPr>
          <w:lang w:val="en-GB"/>
        </w:rPr>
      </w:pPr>
      <w:r w:rsidRPr="00A147C7">
        <w:rPr>
          <w:lang w:val="en-GB"/>
        </w:rPr>
        <w:t>NGO</w:t>
      </w:r>
      <w:r w:rsidRPr="00A147C7">
        <w:rPr>
          <w:lang w:val="en-GB"/>
        </w:rPr>
        <w:tab/>
      </w:r>
      <w:r w:rsidRPr="00A147C7">
        <w:rPr>
          <w:lang w:val="en-GB"/>
        </w:rPr>
        <w:tab/>
        <w:t>Non-governmental organization</w:t>
      </w:r>
    </w:p>
    <w:p w:rsidR="00675B1D" w:rsidRPr="00A147C7" w:rsidRDefault="00675B1D" w:rsidP="00AE6F26">
      <w:pPr>
        <w:pStyle w:val="HStandard"/>
        <w:rPr>
          <w:lang w:val="en-GB"/>
        </w:rPr>
      </w:pPr>
      <w:r w:rsidRPr="00A147C7">
        <w:rPr>
          <w:lang w:val="en-GB"/>
        </w:rPr>
        <w:t>NRN</w:t>
      </w:r>
      <w:r w:rsidRPr="00A147C7">
        <w:rPr>
          <w:lang w:val="en-GB"/>
        </w:rPr>
        <w:tab/>
      </w:r>
      <w:r w:rsidRPr="00A147C7">
        <w:rPr>
          <w:lang w:val="en-GB"/>
        </w:rPr>
        <w:tab/>
        <w:t>National Rural Network</w:t>
      </w:r>
    </w:p>
    <w:p w:rsidR="00675B1D" w:rsidRPr="00A147C7" w:rsidRDefault="00675B1D" w:rsidP="00AE6F26">
      <w:pPr>
        <w:pStyle w:val="HStandard"/>
        <w:rPr>
          <w:lang w:val="en-GB"/>
        </w:rPr>
      </w:pPr>
      <w:r w:rsidRPr="00A147C7">
        <w:rPr>
          <w:lang w:val="en-GB"/>
        </w:rPr>
        <w:t>NRNP</w:t>
      </w:r>
      <w:r w:rsidRPr="00A147C7">
        <w:rPr>
          <w:lang w:val="en-GB"/>
        </w:rPr>
        <w:tab/>
      </w:r>
      <w:r w:rsidRPr="00A147C7">
        <w:rPr>
          <w:lang w:val="en-GB"/>
        </w:rPr>
        <w:tab/>
        <w:t>National Rural Network Programme</w:t>
      </w:r>
    </w:p>
    <w:p w:rsidR="00675B1D" w:rsidRPr="00A147C7" w:rsidRDefault="00675B1D" w:rsidP="00AE6F26">
      <w:pPr>
        <w:pStyle w:val="HStandard"/>
        <w:rPr>
          <w:lang w:val="en-GB"/>
        </w:rPr>
      </w:pPr>
      <w:r w:rsidRPr="00A147C7">
        <w:rPr>
          <w:lang w:val="en-GB"/>
        </w:rPr>
        <w:t>NSU</w:t>
      </w:r>
      <w:r w:rsidRPr="00A147C7">
        <w:rPr>
          <w:lang w:val="en-GB"/>
        </w:rPr>
        <w:tab/>
      </w:r>
      <w:r w:rsidRPr="00A147C7">
        <w:rPr>
          <w:lang w:val="en-GB"/>
        </w:rPr>
        <w:tab/>
        <w:t>Network Support Unit</w:t>
      </w:r>
    </w:p>
    <w:p w:rsidR="00675B1D" w:rsidRPr="00A147C7" w:rsidRDefault="00675B1D" w:rsidP="00AE6F26">
      <w:pPr>
        <w:pStyle w:val="HStandard"/>
        <w:rPr>
          <w:lang w:val="en-GB"/>
        </w:rPr>
      </w:pPr>
      <w:r w:rsidRPr="00A147C7">
        <w:rPr>
          <w:lang w:val="en-GB"/>
        </w:rPr>
        <w:t>O</w:t>
      </w:r>
      <w:r w:rsidRPr="00A147C7">
        <w:rPr>
          <w:lang w:val="en-GB"/>
        </w:rPr>
        <w:tab/>
      </w:r>
      <w:r w:rsidRPr="00A147C7">
        <w:rPr>
          <w:lang w:val="en-GB"/>
        </w:rPr>
        <w:tab/>
      </w:r>
      <w:r w:rsidRPr="00A147C7">
        <w:rPr>
          <w:lang w:val="en-GB"/>
        </w:rPr>
        <w:tab/>
        <w:t>Output indicators</w:t>
      </w:r>
    </w:p>
    <w:p w:rsidR="00675B1D" w:rsidRPr="00A147C7" w:rsidRDefault="00675B1D" w:rsidP="00AE6F26">
      <w:pPr>
        <w:pStyle w:val="HStandard"/>
        <w:rPr>
          <w:lang w:val="en-GB"/>
        </w:rPr>
      </w:pPr>
      <w:r w:rsidRPr="00A147C7">
        <w:rPr>
          <w:lang w:val="en-GB"/>
        </w:rPr>
        <w:lastRenderedPageBreak/>
        <w:t>OP</w:t>
      </w:r>
      <w:r w:rsidRPr="00A147C7">
        <w:rPr>
          <w:lang w:val="en-GB"/>
        </w:rPr>
        <w:tab/>
      </w:r>
      <w:r w:rsidRPr="00A147C7">
        <w:rPr>
          <w:lang w:val="en-GB"/>
        </w:rPr>
        <w:tab/>
      </w:r>
      <w:r w:rsidRPr="00A147C7">
        <w:rPr>
          <w:lang w:val="en-GB"/>
        </w:rPr>
        <w:tab/>
        <w:t>Operational Programme</w:t>
      </w:r>
    </w:p>
    <w:p w:rsidR="00675B1D" w:rsidRPr="00A147C7" w:rsidRDefault="00675B1D" w:rsidP="00AE6F26">
      <w:pPr>
        <w:pStyle w:val="HStandard"/>
        <w:rPr>
          <w:lang w:val="en-GB"/>
        </w:rPr>
      </w:pPr>
      <w:r w:rsidRPr="00A147C7">
        <w:rPr>
          <w:lang w:val="en-GB"/>
        </w:rPr>
        <w:t>PA</w:t>
      </w:r>
      <w:r w:rsidRPr="00A147C7">
        <w:rPr>
          <w:lang w:val="en-GB"/>
        </w:rPr>
        <w:tab/>
      </w:r>
      <w:r w:rsidRPr="00A147C7">
        <w:rPr>
          <w:lang w:val="en-GB"/>
        </w:rPr>
        <w:tab/>
      </w:r>
      <w:r w:rsidRPr="00A147C7">
        <w:rPr>
          <w:lang w:val="en-GB"/>
        </w:rPr>
        <w:tab/>
        <w:t>Paying Agency</w:t>
      </w:r>
    </w:p>
    <w:p w:rsidR="00675B1D" w:rsidRPr="00A147C7" w:rsidRDefault="00675B1D" w:rsidP="00AE6F26">
      <w:pPr>
        <w:pStyle w:val="HStandard"/>
        <w:rPr>
          <w:lang w:val="en-GB"/>
        </w:rPr>
      </w:pPr>
      <w:r w:rsidRPr="00A147C7">
        <w:rPr>
          <w:lang w:val="en-GB"/>
        </w:rPr>
        <w:t>PSEQ</w:t>
      </w:r>
      <w:r w:rsidRPr="00A147C7">
        <w:rPr>
          <w:lang w:val="en-GB"/>
        </w:rPr>
        <w:tab/>
      </w:r>
      <w:r w:rsidRPr="00A147C7">
        <w:rPr>
          <w:lang w:val="en-GB"/>
        </w:rPr>
        <w:tab/>
        <w:t>Programme Specific Evaluation Question</w:t>
      </w:r>
    </w:p>
    <w:p w:rsidR="00675B1D" w:rsidRPr="00A147C7" w:rsidRDefault="00675B1D" w:rsidP="00AE6F26">
      <w:pPr>
        <w:pStyle w:val="HStandard"/>
        <w:rPr>
          <w:lang w:val="en-GB"/>
        </w:rPr>
      </w:pPr>
      <w:r w:rsidRPr="00A147C7">
        <w:rPr>
          <w:lang w:val="en-GB"/>
        </w:rPr>
        <w:t xml:space="preserve">PSI </w:t>
      </w:r>
      <w:r w:rsidRPr="00A147C7">
        <w:rPr>
          <w:lang w:val="en-GB"/>
        </w:rPr>
        <w:tab/>
      </w:r>
      <w:r w:rsidRPr="00A147C7">
        <w:rPr>
          <w:lang w:val="en-GB"/>
        </w:rPr>
        <w:tab/>
        <w:t>Programme specific impacts</w:t>
      </w:r>
    </w:p>
    <w:p w:rsidR="00675B1D" w:rsidRPr="00A147C7" w:rsidRDefault="00675B1D" w:rsidP="00AE6F26">
      <w:pPr>
        <w:pStyle w:val="HStandard"/>
        <w:rPr>
          <w:lang w:val="en-GB"/>
        </w:rPr>
      </w:pPr>
      <w:r w:rsidRPr="00A147C7">
        <w:rPr>
          <w:lang w:val="en-GB"/>
        </w:rPr>
        <w:t xml:space="preserve">PSO </w:t>
      </w:r>
      <w:r w:rsidRPr="00A147C7">
        <w:rPr>
          <w:lang w:val="en-GB"/>
        </w:rPr>
        <w:tab/>
      </w:r>
      <w:r w:rsidRPr="00A147C7">
        <w:rPr>
          <w:lang w:val="en-GB"/>
        </w:rPr>
        <w:tab/>
        <w:t>Programme specific objective</w:t>
      </w:r>
    </w:p>
    <w:p w:rsidR="00675B1D" w:rsidRPr="00A147C7" w:rsidRDefault="00675B1D" w:rsidP="00AE6F26">
      <w:pPr>
        <w:pStyle w:val="HStandard"/>
        <w:rPr>
          <w:lang w:val="en-GB"/>
        </w:rPr>
      </w:pPr>
      <w:r w:rsidRPr="00A147C7">
        <w:rPr>
          <w:lang w:val="en-GB"/>
        </w:rPr>
        <w:t xml:space="preserve">PSR </w:t>
      </w:r>
      <w:r w:rsidRPr="00A147C7">
        <w:rPr>
          <w:lang w:val="en-GB"/>
        </w:rPr>
        <w:tab/>
      </w:r>
      <w:r w:rsidRPr="00A147C7">
        <w:rPr>
          <w:lang w:val="en-GB"/>
        </w:rPr>
        <w:tab/>
        <w:t>Programme specific result</w:t>
      </w:r>
    </w:p>
    <w:p w:rsidR="00675B1D" w:rsidRPr="00A147C7" w:rsidRDefault="00675B1D" w:rsidP="00AE6F26">
      <w:pPr>
        <w:pStyle w:val="HStandard"/>
        <w:rPr>
          <w:lang w:val="en-GB"/>
        </w:rPr>
      </w:pPr>
      <w:r w:rsidRPr="00A147C7">
        <w:rPr>
          <w:lang w:val="en-GB"/>
        </w:rPr>
        <w:t>R</w:t>
      </w:r>
      <w:r w:rsidRPr="00A147C7">
        <w:rPr>
          <w:lang w:val="en-GB"/>
        </w:rPr>
        <w:tab/>
      </w:r>
      <w:r w:rsidRPr="00A147C7">
        <w:rPr>
          <w:lang w:val="en-GB"/>
        </w:rPr>
        <w:tab/>
      </w:r>
      <w:r w:rsidRPr="00A147C7">
        <w:rPr>
          <w:lang w:val="en-GB"/>
        </w:rPr>
        <w:tab/>
        <w:t>Result indicators</w:t>
      </w:r>
    </w:p>
    <w:p w:rsidR="00675B1D" w:rsidRPr="00A147C7" w:rsidRDefault="00675B1D" w:rsidP="00AE6F26">
      <w:pPr>
        <w:pStyle w:val="HStandard"/>
        <w:rPr>
          <w:lang w:val="en-GB"/>
        </w:rPr>
      </w:pPr>
      <w:r w:rsidRPr="00A147C7">
        <w:rPr>
          <w:lang w:val="en-GB"/>
        </w:rPr>
        <w:t xml:space="preserve">RACER </w:t>
      </w:r>
      <w:r w:rsidRPr="00A147C7">
        <w:rPr>
          <w:lang w:val="en-GB"/>
        </w:rPr>
        <w:tab/>
        <w:t>Relevant, Accepted, Credible, Easy, Robust</w:t>
      </w:r>
    </w:p>
    <w:p w:rsidR="00675B1D" w:rsidRPr="00A147C7" w:rsidRDefault="00675B1D" w:rsidP="00AE6F26">
      <w:pPr>
        <w:pStyle w:val="HStandard"/>
        <w:rPr>
          <w:lang w:val="en-GB"/>
        </w:rPr>
      </w:pPr>
      <w:r w:rsidRPr="00A147C7">
        <w:rPr>
          <w:lang w:val="en-GB"/>
        </w:rPr>
        <w:t>RD</w:t>
      </w:r>
      <w:r w:rsidRPr="00A147C7">
        <w:rPr>
          <w:lang w:val="en-GB"/>
        </w:rPr>
        <w:tab/>
      </w:r>
      <w:r w:rsidRPr="00A147C7">
        <w:rPr>
          <w:lang w:val="en-GB"/>
        </w:rPr>
        <w:tab/>
      </w:r>
      <w:r w:rsidRPr="00A147C7">
        <w:rPr>
          <w:lang w:val="en-GB"/>
        </w:rPr>
        <w:tab/>
        <w:t>Rural Development</w:t>
      </w:r>
    </w:p>
    <w:p w:rsidR="00675B1D" w:rsidRPr="00A147C7" w:rsidRDefault="00675B1D" w:rsidP="00AE6F26">
      <w:pPr>
        <w:pStyle w:val="HStandard"/>
        <w:rPr>
          <w:lang w:val="en-GB"/>
        </w:rPr>
      </w:pPr>
      <w:r w:rsidRPr="00A147C7">
        <w:rPr>
          <w:lang w:val="en-GB"/>
        </w:rPr>
        <w:t>RDP</w:t>
      </w:r>
      <w:r w:rsidRPr="00A147C7">
        <w:rPr>
          <w:lang w:val="en-GB"/>
        </w:rPr>
        <w:tab/>
      </w:r>
      <w:r w:rsidRPr="00A147C7">
        <w:rPr>
          <w:lang w:val="en-GB"/>
        </w:rPr>
        <w:tab/>
        <w:t>Rural Development Programme</w:t>
      </w:r>
    </w:p>
    <w:p w:rsidR="00675B1D" w:rsidRPr="00A147C7" w:rsidRDefault="00675B1D" w:rsidP="00AE6F26">
      <w:pPr>
        <w:pStyle w:val="HStandard"/>
        <w:rPr>
          <w:b/>
          <w:lang w:val="en-GB"/>
        </w:rPr>
      </w:pPr>
      <w:r w:rsidRPr="00A147C7">
        <w:rPr>
          <w:lang w:val="en-GB"/>
        </w:rPr>
        <w:t>SFC</w:t>
      </w:r>
      <w:r w:rsidRPr="00A147C7">
        <w:rPr>
          <w:lang w:val="en-GB"/>
        </w:rPr>
        <w:tab/>
      </w:r>
      <w:r w:rsidRPr="00A147C7">
        <w:rPr>
          <w:lang w:val="en-GB"/>
        </w:rPr>
        <w:tab/>
        <w:t>Shared Fund Management Common System</w:t>
      </w:r>
    </w:p>
    <w:p w:rsidR="00675B1D" w:rsidRPr="00A147C7" w:rsidRDefault="00675B1D" w:rsidP="00AE6F26">
      <w:pPr>
        <w:pStyle w:val="HStandard"/>
        <w:rPr>
          <w:lang w:val="en-GB"/>
        </w:rPr>
      </w:pPr>
      <w:r w:rsidRPr="00A147C7">
        <w:rPr>
          <w:lang w:val="en-GB"/>
        </w:rPr>
        <w:t xml:space="preserve">SMART </w:t>
      </w:r>
      <w:r w:rsidRPr="00A147C7">
        <w:rPr>
          <w:lang w:val="en-GB"/>
        </w:rPr>
        <w:tab/>
        <w:t xml:space="preserve">Specific, Measurable, Achievable, Relevant, Time dependent </w:t>
      </w:r>
    </w:p>
    <w:p w:rsidR="00675B1D" w:rsidRPr="00A147C7" w:rsidRDefault="00675B1D" w:rsidP="00AE6F26">
      <w:pPr>
        <w:pStyle w:val="HStandard"/>
        <w:rPr>
          <w:lang w:val="en-GB"/>
        </w:rPr>
      </w:pPr>
      <w:r w:rsidRPr="00A147C7">
        <w:rPr>
          <w:lang w:val="en-GB"/>
        </w:rPr>
        <w:t>SME</w:t>
      </w:r>
      <w:r w:rsidRPr="00A147C7">
        <w:rPr>
          <w:lang w:val="en-GB"/>
        </w:rPr>
        <w:tab/>
      </w:r>
      <w:r w:rsidRPr="00A147C7">
        <w:rPr>
          <w:lang w:val="en-GB"/>
        </w:rPr>
        <w:tab/>
        <w:t>Small and Medium Enterprise</w:t>
      </w:r>
    </w:p>
    <w:p w:rsidR="00675B1D" w:rsidRPr="00A147C7" w:rsidRDefault="00675B1D" w:rsidP="00AE6F26">
      <w:pPr>
        <w:pStyle w:val="HStandard"/>
        <w:rPr>
          <w:lang w:val="en-GB"/>
        </w:rPr>
      </w:pPr>
      <w:r w:rsidRPr="00A147C7">
        <w:rPr>
          <w:lang w:val="en-GB"/>
        </w:rPr>
        <w:t>SG</w:t>
      </w:r>
      <w:r w:rsidRPr="00A147C7">
        <w:rPr>
          <w:lang w:val="en-GB"/>
        </w:rPr>
        <w:tab/>
      </w:r>
      <w:r w:rsidRPr="00A147C7">
        <w:rPr>
          <w:lang w:val="en-GB"/>
        </w:rPr>
        <w:tab/>
      </w:r>
      <w:r w:rsidRPr="00A147C7">
        <w:rPr>
          <w:lang w:val="en-GB"/>
        </w:rPr>
        <w:tab/>
        <w:t>Steering Group</w:t>
      </w:r>
    </w:p>
    <w:p w:rsidR="00675B1D" w:rsidRPr="00A147C7" w:rsidRDefault="00675B1D" w:rsidP="00AE6F26">
      <w:pPr>
        <w:pStyle w:val="HStandard"/>
        <w:rPr>
          <w:lang w:val="en-GB"/>
        </w:rPr>
      </w:pPr>
      <w:r w:rsidRPr="00A147C7">
        <w:rPr>
          <w:lang w:val="en-GB"/>
        </w:rPr>
        <w:t>SNA</w:t>
      </w:r>
      <w:r w:rsidRPr="00A147C7">
        <w:rPr>
          <w:lang w:val="en-GB"/>
        </w:rPr>
        <w:tab/>
      </w:r>
      <w:r w:rsidRPr="00A147C7">
        <w:rPr>
          <w:lang w:val="en-GB"/>
        </w:rPr>
        <w:tab/>
        <w:t xml:space="preserve">Social Network Analysis </w:t>
      </w:r>
    </w:p>
    <w:p w:rsidR="00675B1D" w:rsidRPr="00A147C7" w:rsidRDefault="00675B1D" w:rsidP="00AE6F26">
      <w:pPr>
        <w:pStyle w:val="HStandard"/>
        <w:rPr>
          <w:lang w:val="en-GB"/>
        </w:rPr>
      </w:pPr>
      <w:r w:rsidRPr="00A147C7">
        <w:rPr>
          <w:lang w:val="en-GB"/>
        </w:rPr>
        <w:t>SWOT</w:t>
      </w:r>
      <w:r w:rsidRPr="00A147C7">
        <w:rPr>
          <w:lang w:val="en-GB"/>
        </w:rPr>
        <w:tab/>
      </w:r>
      <w:r w:rsidRPr="00A147C7">
        <w:rPr>
          <w:lang w:val="en-GB"/>
        </w:rPr>
        <w:tab/>
        <w:t>Strengths, Weaknesses, Opportunities, Threats</w:t>
      </w:r>
    </w:p>
    <w:p w:rsidR="00675B1D" w:rsidRPr="00A147C7" w:rsidRDefault="00675B1D" w:rsidP="00AE6F26">
      <w:pPr>
        <w:pStyle w:val="HStandard"/>
        <w:rPr>
          <w:lang w:val="en-GB"/>
        </w:rPr>
      </w:pPr>
      <w:r w:rsidRPr="00A147C7">
        <w:rPr>
          <w:lang w:val="en-GB"/>
        </w:rPr>
        <w:t>TA</w:t>
      </w:r>
      <w:r w:rsidRPr="00A147C7">
        <w:rPr>
          <w:lang w:val="en-GB"/>
        </w:rPr>
        <w:tab/>
      </w:r>
      <w:r w:rsidRPr="00A147C7">
        <w:rPr>
          <w:lang w:val="en-GB"/>
        </w:rPr>
        <w:tab/>
      </w:r>
      <w:r w:rsidRPr="00A147C7">
        <w:rPr>
          <w:lang w:val="en-GB"/>
        </w:rPr>
        <w:tab/>
        <w:t>Technical Assistance</w:t>
      </w:r>
    </w:p>
    <w:p w:rsidR="00675B1D" w:rsidRPr="00A147C7" w:rsidRDefault="00675B1D" w:rsidP="00AE6F26">
      <w:pPr>
        <w:pStyle w:val="HStandard"/>
        <w:rPr>
          <w:lang w:val="en-GB"/>
        </w:rPr>
      </w:pPr>
      <w:r w:rsidRPr="00A147C7">
        <w:rPr>
          <w:lang w:val="en-GB"/>
        </w:rPr>
        <w:t>ToR</w:t>
      </w:r>
      <w:r w:rsidRPr="00A147C7">
        <w:rPr>
          <w:lang w:val="en-GB"/>
        </w:rPr>
        <w:tab/>
      </w:r>
      <w:r w:rsidRPr="00A147C7">
        <w:rPr>
          <w:lang w:val="en-GB"/>
        </w:rPr>
        <w:tab/>
        <w:t>Terms of Reference</w:t>
      </w:r>
    </w:p>
    <w:p w:rsidR="00675B1D" w:rsidRPr="00346304" w:rsidRDefault="00675B1D" w:rsidP="00AE6F26">
      <w:pPr>
        <w:pStyle w:val="HStandard"/>
      </w:pPr>
      <w:r w:rsidRPr="00346304">
        <w:t>WD</w:t>
      </w:r>
      <w:r w:rsidRPr="00346304">
        <w:tab/>
      </w:r>
      <w:r w:rsidRPr="00346304">
        <w:tab/>
      </w:r>
      <w:r w:rsidRPr="00346304">
        <w:tab/>
        <w:t>Working Document</w:t>
      </w:r>
    </w:p>
    <w:p w:rsidR="00675B1D" w:rsidRPr="00346304" w:rsidRDefault="00675B1D" w:rsidP="005A6A10">
      <w:pPr>
        <w:pStyle w:val="HStandard"/>
        <w:tabs>
          <w:tab w:val="right" w:leader="dot" w:pos="8742"/>
        </w:tabs>
        <w:rPr>
          <w:b/>
          <w:color w:val="E7E6E6" w:themeColor="background2"/>
        </w:rPr>
      </w:pPr>
    </w:p>
    <w:p w:rsidR="00675B1D" w:rsidRPr="00346304" w:rsidRDefault="00675B1D" w:rsidP="00CB62A4">
      <w:pPr>
        <w:pStyle w:val="HHeading1"/>
        <w:rPr>
          <w:rFonts w:cs="Arial"/>
          <w:highlight w:val="yellow"/>
        </w:rPr>
      </w:pPr>
      <w:bookmarkStart w:id="0" w:name="_Toc453079745"/>
      <w:bookmarkStart w:id="1" w:name="_Toc461616629"/>
      <w:r w:rsidRPr="00346304">
        <w:rPr>
          <w:caps w:val="0"/>
          <w:highlight w:val="yellow"/>
        </w:rPr>
        <w:lastRenderedPageBreak/>
        <w:t>INTRODUZIONE</w:t>
      </w:r>
      <w:bookmarkEnd w:id="0"/>
      <w:bookmarkEnd w:id="1"/>
    </w:p>
    <w:p w:rsidR="00675B1D" w:rsidRPr="00346304" w:rsidRDefault="00675B1D" w:rsidP="00680DA9">
      <w:pPr>
        <w:pStyle w:val="HHeading2"/>
        <w:rPr>
          <w:highlight w:val="yellow"/>
        </w:rPr>
      </w:pPr>
      <w:bookmarkStart w:id="2" w:name="_Toc453079746"/>
      <w:bookmarkStart w:id="3" w:name="_Toc461616630"/>
      <w:r w:rsidRPr="00346304">
        <w:rPr>
          <w:highlight w:val="yellow"/>
        </w:rPr>
        <w:t>Linee guida per la valutazione delle reti rurali nazionali</w:t>
      </w:r>
      <w:bookmarkEnd w:id="2"/>
      <w:bookmarkEnd w:id="3"/>
    </w:p>
    <w:p w:rsidR="00675B1D" w:rsidRPr="00346304" w:rsidRDefault="00675B1D" w:rsidP="00923616">
      <w:pPr>
        <w:pStyle w:val="HStandard"/>
        <w:rPr>
          <w:highlight w:val="yellow"/>
        </w:rPr>
      </w:pPr>
      <w:bookmarkStart w:id="4" w:name="_Toc358900244"/>
      <w:r w:rsidRPr="00346304">
        <w:rPr>
          <w:b/>
          <w:highlight w:val="yellow"/>
        </w:rPr>
        <w:t>Reti rurali nazionali</w:t>
      </w:r>
      <w:r w:rsidRPr="00346304">
        <w:rPr>
          <w:highlight w:val="yellow"/>
        </w:rPr>
        <w:t xml:space="preserve"> (RRN), amministrazioni e organizzazioni di gruppo attive nello sviluppo rurale. Le RRN sono state introdotte per la prima volta nella politica di sviluppo rurale dell'UE 2007-2013 e sono state riprese nel periodo di programmazione 2014-2020. </w:t>
      </w:r>
    </w:p>
    <w:p w:rsidR="00675B1D" w:rsidRPr="00346304" w:rsidRDefault="00675B1D" w:rsidP="00AE5EAE">
      <w:pPr>
        <w:pStyle w:val="HStandard"/>
        <w:rPr>
          <w:highlight w:val="yellow"/>
        </w:rPr>
      </w:pPr>
      <w:r w:rsidRPr="00346304">
        <w:rPr>
          <w:highlight w:val="yellow"/>
        </w:rPr>
        <w:t>Le RRN possono operare come un intervento specifico all'interno di un singolo programma di sviluppo rurale (PSR) finanziato dall'assistenza tecnica oppure essere stabilite come un programma autonomo con un bilancio indipendente</w:t>
      </w:r>
      <w:r w:rsidRPr="00346304">
        <w:rPr>
          <w:rStyle w:val="FootnoteReference"/>
          <w:highlight w:val="yellow"/>
        </w:rPr>
        <w:footnoteReference w:id="1"/>
      </w:r>
      <w:r w:rsidRPr="00346304">
        <w:rPr>
          <w:highlight w:val="yellow"/>
        </w:rPr>
        <w:t xml:space="preserve"> (programma di rete rurale nazionale – PRRN)</w:t>
      </w:r>
      <w:r w:rsidRPr="00346304">
        <w:rPr>
          <w:rStyle w:val="FootnoteReference"/>
          <w:highlight w:val="yellow"/>
        </w:rPr>
        <w:footnoteReference w:id="2"/>
      </w:r>
      <w:r w:rsidRPr="00346304">
        <w:rPr>
          <w:highlight w:val="yellow"/>
        </w:rPr>
        <w:t xml:space="preserve">. Nel periodo di programmazione 2014-2020 la maggior parte delle RRN sono istituite come parte di un PSR, con l'eccezione di Francia, Germania e Italia che hanno scelto di istituire dei PRRN. </w:t>
      </w:r>
    </w:p>
    <w:p w:rsidR="00675B1D" w:rsidRPr="00346304" w:rsidRDefault="00675B1D" w:rsidP="00923616">
      <w:pPr>
        <w:pStyle w:val="HStandard"/>
        <w:rPr>
          <w:highlight w:val="yellow"/>
        </w:rPr>
      </w:pPr>
      <w:r w:rsidRPr="00346304">
        <w:rPr>
          <w:b/>
          <w:highlight w:val="yellow"/>
        </w:rPr>
        <w:t>Le RRN sono oggetto di monitoraggio e valutazione</w:t>
      </w:r>
      <w:r w:rsidRPr="00346304">
        <w:rPr>
          <w:highlight w:val="yellow"/>
        </w:rPr>
        <w:t>, in modo analogo a quello dell'ultimo periodo di programmazione. Le realizzazioni, i risultati e gli impatti delle RRN devono essere valutati al fine di migliorare la qualità, l'efficacia e l'efficienza delle operazioni delle RRN</w:t>
      </w:r>
      <w:r w:rsidRPr="00346304">
        <w:rPr>
          <w:rStyle w:val="FootnoteReference"/>
          <w:highlight w:val="yellow"/>
        </w:rPr>
        <w:footnoteReference w:id="3"/>
      </w:r>
      <w:r w:rsidRPr="00346304">
        <w:rPr>
          <w:highlight w:val="yellow"/>
        </w:rPr>
        <w:t>. La valutazione delle RRN dovrebbe comprendere anche gli effetti della RRN negli ambiti del capitale umano e sociale, ad esempio più ampio collegamento in rete a livello rurale e una migliore governance nelle zone rurali.</w:t>
      </w:r>
    </w:p>
    <w:p w:rsidR="00675B1D" w:rsidRPr="00346304" w:rsidRDefault="00675B1D" w:rsidP="00923616">
      <w:pPr>
        <w:pStyle w:val="HStandard"/>
        <w:rPr>
          <w:highlight w:val="yellow"/>
        </w:rPr>
      </w:pPr>
      <w:r w:rsidRPr="00346304">
        <w:rPr>
          <w:b/>
          <w:highlight w:val="yellow"/>
        </w:rPr>
        <w:t>Il piano di valutazione</w:t>
      </w:r>
      <w:r w:rsidRPr="00346304">
        <w:rPr>
          <w:highlight w:val="yellow"/>
        </w:rPr>
        <w:t xml:space="preserve"> del PSR</w:t>
      </w:r>
      <w:r w:rsidRPr="00346304">
        <w:rPr>
          <w:rStyle w:val="FootnoteReference"/>
          <w:highlight w:val="yellow"/>
        </w:rPr>
        <w:footnoteReference w:id="4"/>
      </w:r>
      <w:r w:rsidRPr="00346304">
        <w:rPr>
          <w:highlight w:val="yellow"/>
        </w:rPr>
        <w:t xml:space="preserve">, una componente obbligatoria nel periodo 2014-2020, specifica le attività di valutazione previste per la RRN. I PRRN hanno piani di valutazione propri. </w:t>
      </w:r>
    </w:p>
    <w:p w:rsidR="00675B1D" w:rsidRPr="00346304" w:rsidRDefault="00675B1D" w:rsidP="006D3475">
      <w:pPr>
        <w:pStyle w:val="HHeading5"/>
        <w:rPr>
          <w:highlight w:val="yellow"/>
        </w:rPr>
      </w:pPr>
      <w:r w:rsidRPr="00346304">
        <w:rPr>
          <w:highlight w:val="yellow"/>
        </w:rPr>
        <w:t xml:space="preserve">Perché esiste la necessità di linee guida per la valutazione delle RRN? </w:t>
      </w:r>
    </w:p>
    <w:p w:rsidR="00675B1D" w:rsidRPr="00346304" w:rsidRDefault="00675B1D" w:rsidP="00923616">
      <w:pPr>
        <w:pStyle w:val="HStandard"/>
        <w:rPr>
          <w:highlight w:val="yellow"/>
        </w:rPr>
      </w:pPr>
      <w:r w:rsidRPr="00346304">
        <w:rPr>
          <w:b/>
          <w:highlight w:val="yellow"/>
        </w:rPr>
        <w:t>L'esperienza con la valutazione delle RRN nell'ultimo periodo di programmazione</w:t>
      </w:r>
      <w:r w:rsidRPr="00346304">
        <w:rPr>
          <w:highlight w:val="yellow"/>
        </w:rPr>
        <w:t xml:space="preserve"> ha dimostrato che molti valutatori intermedi si sono concentrati ancora sui prodotti nel valutare le realizzazioni delle RRN e, quindi, sono rimasti al livello di monitoraggio. Alcune valutazioni avanzate hanno valutato il contributo della RRN agli obiettivi del PSR (efficacia) e, in una certa misura, il valore aggiunto delle attività della RRN. Tuttavia, nel corso di queste esperienze di valutazione sono state affrontate diverse sfide, dovute principalmente a limitazioni negli orientamenti e nella capacità delle parti interessate coinvolte.</w:t>
      </w:r>
    </w:p>
    <w:p w:rsidR="00675B1D" w:rsidRPr="00346304" w:rsidRDefault="00675B1D" w:rsidP="00923616">
      <w:pPr>
        <w:pStyle w:val="HStandard"/>
        <w:rPr>
          <w:highlight w:val="yellow"/>
        </w:rPr>
      </w:pPr>
      <w:r w:rsidRPr="00346304">
        <w:rPr>
          <w:b/>
          <w:highlight w:val="yellow"/>
        </w:rPr>
        <w:t>L'analisi delle valutazioni delle RRN ha dimostrato che è necessario un sostegno,</w:t>
      </w:r>
      <w:r w:rsidRPr="00346304">
        <w:rPr>
          <w:highlight w:val="yellow"/>
        </w:rPr>
        <w:t xml:space="preserve"> in particolare per quanto riguarda la creazione di una logica di intervento coerente, la definizione di indicatori appropriati specifici dei programmi (in particolare a livello di risultato e di impatto), questioni concettuali nella valutazione dei risultati/degli impatti della rete rurale, effetti su un collegamento in rete più ampio, nonché il valore aggiunto. </w:t>
      </w:r>
    </w:p>
    <w:p w:rsidR="00675B1D" w:rsidRPr="00346304" w:rsidRDefault="00675B1D" w:rsidP="00923616">
      <w:pPr>
        <w:pStyle w:val="HStandard"/>
        <w:rPr>
          <w:highlight w:val="yellow"/>
        </w:rPr>
      </w:pPr>
      <w:r w:rsidRPr="00346304">
        <w:rPr>
          <w:b/>
          <w:highlight w:val="yellow"/>
        </w:rPr>
        <w:t xml:space="preserve">Le sfide relative alla valutazione delle RRN </w:t>
      </w:r>
      <w:r w:rsidRPr="00346304">
        <w:rPr>
          <w:highlight w:val="yellow"/>
        </w:rPr>
        <w:t xml:space="preserve">sono state affrontate nelle linee guida per la valutazione ex post dei PSR 2007-2013. Tali linee guida e le esperienze esistenti possono essere utilizzate per la valutazione ex post della RRN, che deve essere realizzata entro la fine del 2016 (come parte della valutazione del PSR o a livello indipendente). I risultati della valutazione ex post della RRN possono servire come termine di riferimento per la valutazione della RRN nel 2017. </w:t>
      </w:r>
    </w:p>
    <w:p w:rsidR="00675B1D" w:rsidRPr="00346304" w:rsidRDefault="00675B1D" w:rsidP="00A75DD3">
      <w:pPr>
        <w:pStyle w:val="HStandard"/>
        <w:rPr>
          <w:highlight w:val="yellow"/>
        </w:rPr>
      </w:pPr>
      <w:r w:rsidRPr="00346304">
        <w:rPr>
          <w:b/>
          <w:highlight w:val="yellow"/>
        </w:rPr>
        <w:t>Il nuovo quadro giuridico e il sistema comune di monitoraggio e valutazione (CMES) nel periodo 2014-2020 forniscono più elementi comuni</w:t>
      </w:r>
      <w:r w:rsidRPr="00346304">
        <w:rPr>
          <w:highlight w:val="yellow"/>
        </w:rPr>
        <w:t xml:space="preserve"> per costruire la logica di intervento relativa alle RRN e il sistema di monitoraggio e valutazione delle RRN. </w:t>
      </w:r>
      <w:r w:rsidRPr="00346304">
        <w:rPr>
          <w:b/>
          <w:highlight w:val="yellow"/>
        </w:rPr>
        <w:t xml:space="preserve">Questi elementi comprendono gli obiettivi comuni </w:t>
      </w:r>
      <w:r w:rsidRPr="00346304">
        <w:rPr>
          <w:b/>
          <w:highlight w:val="yellow"/>
        </w:rPr>
        <w:lastRenderedPageBreak/>
        <w:t>delle RRN, i gruppi di azioni comuni, il questionario valutativo comune</w:t>
      </w:r>
      <w:r w:rsidRPr="00346304">
        <w:rPr>
          <w:rStyle w:val="FootnoteReference"/>
          <w:b/>
          <w:highlight w:val="yellow"/>
        </w:rPr>
        <w:footnoteReference w:id="5"/>
      </w:r>
      <w:r w:rsidRPr="00346304">
        <w:rPr>
          <w:b/>
          <w:highlight w:val="yellow"/>
        </w:rPr>
        <w:t xml:space="preserve"> e tre indicatori comuni di prodotto</w:t>
      </w:r>
      <w:r w:rsidRPr="00346304">
        <w:rPr>
          <w:rStyle w:val="FootnoteReference"/>
          <w:highlight w:val="yellow"/>
        </w:rPr>
        <w:footnoteReference w:id="6"/>
      </w:r>
      <w:r>
        <w:rPr>
          <w:highlight w:val="yellow"/>
        </w:rPr>
        <w:t>.</w:t>
      </w:r>
      <w:r w:rsidRPr="00346304">
        <w:rPr>
          <w:highlight w:val="yellow"/>
        </w:rPr>
        <w:t xml:space="preserve"> </w:t>
      </w:r>
    </w:p>
    <w:p w:rsidR="00675B1D" w:rsidRPr="00346304" w:rsidRDefault="00675B1D" w:rsidP="00923616">
      <w:pPr>
        <w:pStyle w:val="HStandard"/>
        <w:rPr>
          <w:highlight w:val="yellow"/>
        </w:rPr>
      </w:pPr>
      <w:r w:rsidRPr="00346304">
        <w:rPr>
          <w:b/>
          <w:highlight w:val="yellow"/>
        </w:rPr>
        <w:t>Gli Stati membri dovrebbero sviluppare ulteriormente gli elementi di valutazione comuni previsti nel CMES al fine di consentire corrette valutazione delle loro RRN.</w:t>
      </w:r>
      <w:r w:rsidRPr="00346304">
        <w:rPr>
          <w:highlight w:val="yellow"/>
        </w:rPr>
        <w:t xml:space="preserve"> Sebbene gli elementi comuni rappresentino la base per la valutazione delle RRN, è necessario completarli con obiettivi e gruppi di azioni specifici dei programmi. Inoltre, gli Stati membri dovrebbero sviluppare indicatori di prodotto specifico RRN, istituire domande di valutazione specifiche dei programmi e sviluppare i rispettivi indicatori di risultato e di impatto per misurare le realizzazioni delle RRN. Questo approccio è persino più importante, nel momento in cui le unità di supporto nazionali decidono di effettuare valutazioni indipendenti delle RRN.</w:t>
      </w:r>
    </w:p>
    <w:p w:rsidR="00675B1D" w:rsidRPr="00346304" w:rsidRDefault="00675B1D" w:rsidP="003E7D43">
      <w:pPr>
        <w:pStyle w:val="HHeading5"/>
        <w:rPr>
          <w:highlight w:val="yellow"/>
        </w:rPr>
      </w:pPr>
      <w:r w:rsidRPr="00346304">
        <w:rPr>
          <w:highlight w:val="yellow"/>
        </w:rPr>
        <w:t>Come e da chi sono state sviluppate le presenti linee guida?</w:t>
      </w:r>
    </w:p>
    <w:p w:rsidR="00675B1D" w:rsidRPr="00346304" w:rsidRDefault="00675B1D" w:rsidP="00923616">
      <w:pPr>
        <w:pStyle w:val="HStandard"/>
        <w:rPr>
          <w:highlight w:val="yellow"/>
        </w:rPr>
      </w:pPr>
      <w:r w:rsidRPr="00346304">
        <w:rPr>
          <w:b/>
          <w:highlight w:val="yellow"/>
        </w:rPr>
        <w:t>L'Helpdesk europeo della valutazione per lo sviluppo rurale ha istituito un gruppo di lavoro tematico</w:t>
      </w:r>
      <w:r w:rsidRPr="00346304">
        <w:rPr>
          <w:highlight w:val="yellow"/>
        </w:rPr>
        <w:t xml:space="preserve"> al fine di fornire alle parti interessate della valutazione delle RRN un sostegno specifico nel condurre le operazioni necessarie per la preparazione e lo svolgimento della valutazione delle RRN. Il risultato fornito da questo gruppo di lavoro tematico è costituito dalle linee guida presentate in questo documento. Le presenti linee guida servono a integrare le linee guida di valutazione esistenti</w:t>
      </w:r>
      <w:r w:rsidRPr="00346304">
        <w:rPr>
          <w:rStyle w:val="FootnoteReference"/>
          <w:highlight w:val="yellow"/>
        </w:rPr>
        <w:footnoteReference w:id="7"/>
      </w:r>
      <w:r w:rsidRPr="00346304">
        <w:rPr>
          <w:highlight w:val="yellow"/>
        </w:rPr>
        <w:t xml:space="preserve"> per il periodo di programmazione 2014-2020 e sono del tutto allineate alle stesse. </w:t>
      </w:r>
    </w:p>
    <w:p w:rsidR="00675B1D" w:rsidRPr="00346304" w:rsidRDefault="00675B1D" w:rsidP="003E7D43">
      <w:pPr>
        <w:pStyle w:val="HStandard"/>
        <w:rPr>
          <w:highlight w:val="yellow"/>
        </w:rPr>
      </w:pPr>
      <w:r w:rsidRPr="00346304">
        <w:rPr>
          <w:b/>
          <w:highlight w:val="yellow"/>
        </w:rPr>
        <w:t>Le linee guida per la valutazione delle reti rurali nazionali 2014-2020 sono state redatte da un gruppo di esperti di valutazione</w:t>
      </w:r>
      <w:r w:rsidRPr="00346304">
        <w:rPr>
          <w:highlight w:val="yellow"/>
        </w:rPr>
        <w:t xml:space="preserve"> appartenenti all'Helpdesk europeo della valutazione per lo sviluppo rurale (Sari Rannanpää, Marili Parissaki, Robert Lukesch, Magda Porta, Jela Tvrdonova e Hannes Wimmer). I rappresentanti della DG Agricoltura e sviluppo rurale hanno assicurato la coerenza delle linee guida con il quadro politico europeo. I rappresentanti degli Stati membri hanno commentato sul testo di massima e sui progetti delle linee guida nel corso della 7</w:t>
      </w:r>
      <w:r w:rsidRPr="00346304">
        <w:rPr>
          <w:highlight w:val="yellow"/>
          <w:vertAlign w:val="superscript"/>
        </w:rPr>
        <w:t>a</w:t>
      </w:r>
      <w:r w:rsidRPr="00346304">
        <w:rPr>
          <w:highlight w:val="yellow"/>
        </w:rPr>
        <w:t xml:space="preserve"> e 8</w:t>
      </w:r>
      <w:r w:rsidRPr="00346304">
        <w:rPr>
          <w:highlight w:val="yellow"/>
          <w:vertAlign w:val="superscript"/>
        </w:rPr>
        <w:t>a</w:t>
      </w:r>
      <w:r w:rsidRPr="00346304">
        <w:rPr>
          <w:highlight w:val="yellow"/>
        </w:rPr>
        <w:t xml:space="preserve"> riunione del gruppo di esperti sul monitoraggio e sulla valutazione della PAC e durante la riunione della cassa di risonanza</w:t>
      </w:r>
      <w:r w:rsidRPr="00346304">
        <w:rPr>
          <w:rStyle w:val="FootnoteReference"/>
          <w:highlight w:val="yellow"/>
        </w:rPr>
        <w:footnoteReference w:id="8"/>
      </w:r>
      <w:r w:rsidRPr="00346304">
        <w:rPr>
          <w:highlight w:val="yellow"/>
        </w:rPr>
        <w:t xml:space="preserve">. Inoltre, sono state ricevute e integrate osservazioni scritte. I membri della rete rurale nazionale, nonché del punto di contatto RESR hanno dovuto affrontare aspetti importanti nel corso di diversi incontri con le reti rurali nazionali e hanno fornito input importanti per la messa a punto dei contenuti. </w:t>
      </w:r>
    </w:p>
    <w:p w:rsidR="00675B1D" w:rsidRPr="00346304" w:rsidRDefault="00675B1D" w:rsidP="00923616">
      <w:pPr>
        <w:pStyle w:val="HStandard"/>
        <w:rPr>
          <w:highlight w:val="yellow"/>
        </w:rPr>
      </w:pPr>
      <w:r w:rsidRPr="00346304">
        <w:rPr>
          <w:highlight w:val="yellow"/>
        </w:rPr>
        <w:t>Le presenti linee guida intendono sostenere le parti interessate negli Stati membri nello sviluppo della logica di intervento RRN nonché nella valutazione dell'efficacia e dell'efficienza degli interventi RRN e del valore aggiunto delle RRN per tutto il periodo di programmazione.</w:t>
      </w:r>
    </w:p>
    <w:p w:rsidR="00675B1D" w:rsidRPr="00346304" w:rsidRDefault="00675B1D" w:rsidP="006D3475">
      <w:pPr>
        <w:pStyle w:val="HHeading5"/>
        <w:rPr>
          <w:highlight w:val="yellow"/>
        </w:rPr>
      </w:pPr>
      <w:r w:rsidRPr="00346304">
        <w:rPr>
          <w:highlight w:val="yellow"/>
        </w:rPr>
        <w:t>Qual è il gruppo destinatario delle presenti linee guida?</w:t>
      </w:r>
    </w:p>
    <w:p w:rsidR="00675B1D" w:rsidRPr="00346304" w:rsidRDefault="00675B1D" w:rsidP="00923616">
      <w:pPr>
        <w:pStyle w:val="HStandard"/>
        <w:rPr>
          <w:highlight w:val="yellow"/>
        </w:rPr>
      </w:pPr>
      <w:bookmarkStart w:id="5" w:name="_Toc358900248"/>
      <w:bookmarkEnd w:id="4"/>
      <w:r w:rsidRPr="00346304">
        <w:rPr>
          <w:highlight w:val="yellow"/>
        </w:rPr>
        <w:t>Le linee guida per la valutazione delle RRN sono state redatte per diversi gruppi di parti interessate nell'ambito dello sviluppo rurale:</w:t>
      </w:r>
    </w:p>
    <w:p w:rsidR="00675B1D" w:rsidRPr="00346304" w:rsidRDefault="00675B1D" w:rsidP="008A261C">
      <w:pPr>
        <w:pStyle w:val="Hlistbullet"/>
        <w:rPr>
          <w:highlight w:val="yellow"/>
        </w:rPr>
      </w:pPr>
      <w:r w:rsidRPr="00346304">
        <w:rPr>
          <w:b/>
          <w:highlight w:val="yellow"/>
        </w:rPr>
        <w:t>i rappresentanti delle autorità di gestione</w:t>
      </w:r>
      <w:r w:rsidRPr="00346304">
        <w:rPr>
          <w:highlight w:val="yellow"/>
        </w:rPr>
        <w:t xml:space="preserve"> vi troveranno informazioni sullo scopo e sulla portata della valutazione RRN, tra cui un elenco di riferimenti giuridici, che devono essere soddisfatti dagli Stati membri/dalle regioni. Inoltre, vi troveranno strumenti pratici e di orientamento che li aiuteranno lungo tutto il processo di gestione, coordinamento e direzione della valutazione RRN, nonché nell'ambito della diffusione dei risultati delle valutazioni;</w:t>
      </w:r>
    </w:p>
    <w:p w:rsidR="00675B1D" w:rsidRPr="00346304" w:rsidRDefault="00675B1D" w:rsidP="008A261C">
      <w:pPr>
        <w:pStyle w:val="Hlistbullet"/>
        <w:rPr>
          <w:highlight w:val="yellow"/>
        </w:rPr>
      </w:pPr>
      <w:r w:rsidRPr="00346304">
        <w:rPr>
          <w:b/>
          <w:highlight w:val="yellow"/>
        </w:rPr>
        <w:lastRenderedPageBreak/>
        <w:t>i valutatori</w:t>
      </w:r>
      <w:r w:rsidRPr="00346304">
        <w:rPr>
          <w:highlight w:val="yellow"/>
        </w:rPr>
        <w:t xml:space="preserve"> vi troveranno ulteriori spiegazioni dei testi giuridici e della logica che sta alla base dei requisiti, con l'obiettivo di creare una comprensione comune del compito da svolgere. Le linee guida chiariscono inoltre il ruolo e lo sviluppo degli indicatori e delle domande di valutazione, e propongono metodi e strategie di valutazione per la raccolta di prove al fine di condurre la valutazione degli effetti delle reti; </w:t>
      </w:r>
    </w:p>
    <w:p w:rsidR="00675B1D" w:rsidRPr="00346304" w:rsidRDefault="00675B1D" w:rsidP="008A261C">
      <w:pPr>
        <w:pStyle w:val="Hlistbullet"/>
        <w:rPr>
          <w:highlight w:val="yellow"/>
        </w:rPr>
      </w:pPr>
      <w:r w:rsidRPr="00346304">
        <w:rPr>
          <w:b/>
          <w:highlight w:val="yellow"/>
        </w:rPr>
        <w:t>gli attori coinvolti nella gestione della RRN</w:t>
      </w:r>
      <w:r w:rsidRPr="00346304">
        <w:rPr>
          <w:highlight w:val="yellow"/>
        </w:rPr>
        <w:t>, come ad esempio le unità di sostegno alla rete, gli organismi pagatori, gli organismi di attuazione, il comitato di monitoraggio, gli organismi di coordinamento e i membri della rete (GAL, autorità di gestione regionali nel caso di PRRN e beneficiari) possono utilizzare le linee guida come una fonte di informazioni, quando contribuiscono alla valutazione attraverso la raccolta di dati/informazioni;</w:t>
      </w:r>
    </w:p>
    <w:p w:rsidR="00675B1D" w:rsidRPr="00346304" w:rsidRDefault="00675B1D" w:rsidP="008A261C">
      <w:pPr>
        <w:pStyle w:val="Hlistbullet"/>
        <w:rPr>
          <w:highlight w:val="yellow"/>
        </w:rPr>
      </w:pPr>
      <w:r w:rsidRPr="00346304">
        <w:rPr>
          <w:b/>
          <w:highlight w:val="yellow"/>
        </w:rPr>
        <w:t>i funzionari della DG Agricoltura e sviluppo rurale</w:t>
      </w:r>
      <w:r w:rsidRPr="00346304">
        <w:rPr>
          <w:highlight w:val="yellow"/>
        </w:rPr>
        <w:t xml:space="preserve"> che gestiscono i PSR e PRRN, per i quali potrebbe essere utile avere un punto di riferimento che riassume la comprensione comune delle finalità e dei compiti della valutazione della rete;</w:t>
      </w:r>
    </w:p>
    <w:p w:rsidR="00675B1D" w:rsidRPr="00346304" w:rsidRDefault="00675B1D" w:rsidP="008A261C">
      <w:pPr>
        <w:pStyle w:val="Hlistbullet2"/>
        <w:rPr>
          <w:highlight w:val="yellow"/>
        </w:rPr>
      </w:pPr>
      <w:r w:rsidRPr="00346304">
        <w:rPr>
          <w:b/>
          <w:highlight w:val="yellow"/>
        </w:rPr>
        <w:t>altre parti interessate</w:t>
      </w:r>
      <w:r w:rsidRPr="00346304">
        <w:rPr>
          <w:highlight w:val="yellow"/>
        </w:rPr>
        <w:t xml:space="preserve"> che potrebbero essere interessate alla valutazione delle reti rurali dell'UE. </w:t>
      </w:r>
    </w:p>
    <w:p w:rsidR="00675B1D" w:rsidRPr="00346304" w:rsidRDefault="00675B1D" w:rsidP="006D3475">
      <w:pPr>
        <w:pStyle w:val="HHeading5"/>
        <w:rPr>
          <w:highlight w:val="yellow"/>
        </w:rPr>
      </w:pPr>
      <w:r w:rsidRPr="00346304">
        <w:rPr>
          <w:highlight w:val="yellow"/>
        </w:rPr>
        <w:t>Come sono strutturate le linee guida per le valutazioni delle RRN?</w:t>
      </w:r>
    </w:p>
    <w:bookmarkEnd w:id="5"/>
    <w:p w:rsidR="00675B1D" w:rsidRPr="00346304" w:rsidRDefault="00675B1D" w:rsidP="00923616">
      <w:pPr>
        <w:pStyle w:val="HStandard"/>
        <w:rPr>
          <w:highlight w:val="yellow"/>
        </w:rPr>
      </w:pPr>
      <w:r w:rsidRPr="00346304">
        <w:rPr>
          <w:highlight w:val="yellow"/>
        </w:rPr>
        <w:t xml:space="preserve">Le linee guida sulla valutazione delle RRN sono state strutturate in tre parti e sono collegate attraverso collegamenti incrociati presenti nel testo. </w:t>
      </w:r>
    </w:p>
    <w:p w:rsidR="00675B1D" w:rsidRPr="00346304" w:rsidRDefault="00675B1D" w:rsidP="003722C4">
      <w:pPr>
        <w:pStyle w:val="HStandard"/>
        <w:rPr>
          <w:highlight w:val="yellow"/>
        </w:rPr>
      </w:pPr>
      <w:r w:rsidRPr="00346304">
        <w:rPr>
          <w:highlight w:val="yellow"/>
        </w:rPr>
        <w:t xml:space="preserve">La </w:t>
      </w:r>
      <w:r w:rsidRPr="00346304">
        <w:rPr>
          <w:b/>
          <w:color w:val="E7E6E6" w:themeColor="background2"/>
          <w:highlight w:val="yellow"/>
        </w:rPr>
        <w:t xml:space="preserve">PARTE I </w:t>
      </w:r>
      <w:r w:rsidRPr="00346304">
        <w:rPr>
          <w:highlight w:val="yellow"/>
        </w:rPr>
        <w:t>tratta principalmente delle autorità di gestione e dell'unità di sostegno alla rete, in qualità di committenti della valutazione delle RRN, ma anche di altre parti interessate coinvolte nella pianificazione e preparazione alla valutazione delle RRN. Spiega i ruoli e le responsabilità di tutte le parti interessate che sono o potrebbero essere coinvolte nella valutazione delle RRN. Inoltre, delinea i passaggi cruciali nella valutazione delle RRN, come la pianificazione, la preparazione, oltre all'esecuzione della valutazione delle RRN e alla diffusione, alla comunicazione e al seguito relativi ai risultati della valutazione delle RRN.</w:t>
      </w:r>
    </w:p>
    <w:p w:rsidR="00675B1D" w:rsidRPr="00346304" w:rsidRDefault="00675B1D" w:rsidP="00923616">
      <w:pPr>
        <w:pStyle w:val="HStandard"/>
        <w:rPr>
          <w:highlight w:val="yellow"/>
        </w:rPr>
      </w:pPr>
      <w:r w:rsidRPr="00346304">
        <w:rPr>
          <w:highlight w:val="yellow"/>
        </w:rPr>
        <w:t xml:space="preserve">La </w:t>
      </w:r>
      <w:r w:rsidRPr="00346304">
        <w:rPr>
          <w:b/>
          <w:color w:val="E7E6E6" w:themeColor="background2"/>
          <w:highlight w:val="yellow"/>
        </w:rPr>
        <w:t>PARTE II</w:t>
      </w:r>
      <w:r w:rsidRPr="00346304">
        <w:rPr>
          <w:color w:val="E7E6E6" w:themeColor="background2"/>
          <w:highlight w:val="yellow"/>
        </w:rPr>
        <w:t xml:space="preserve"> </w:t>
      </w:r>
      <w:r w:rsidRPr="00346304">
        <w:rPr>
          <w:highlight w:val="yellow"/>
        </w:rPr>
        <w:t>fornisce orientamenti in merito a due opzioni di valutazione delle RRN: 1)</w:t>
      </w:r>
      <w:r>
        <w:rPr>
          <w:highlight w:val="yellow"/>
        </w:rPr>
        <w:t> </w:t>
      </w:r>
      <w:r w:rsidRPr="00346304">
        <w:rPr>
          <w:highlight w:val="yellow"/>
        </w:rPr>
        <w:t>la valutazione della RRN come parte dell'assistenza tecnica nell'ambito del PSR; 2)</w:t>
      </w:r>
      <w:r>
        <w:rPr>
          <w:highlight w:val="yellow"/>
        </w:rPr>
        <w:t> </w:t>
      </w:r>
      <w:r w:rsidRPr="00346304">
        <w:rPr>
          <w:highlight w:val="yellow"/>
        </w:rPr>
        <w:t>la valutazione indipendente (</w:t>
      </w:r>
      <w:r w:rsidRPr="00346304">
        <w:rPr>
          <w:i/>
          <w:highlight w:val="yellow"/>
        </w:rPr>
        <w:t>stand-alone</w:t>
      </w:r>
      <w:r w:rsidRPr="00346304">
        <w:rPr>
          <w:highlight w:val="yellow"/>
        </w:rPr>
        <w:t xml:space="preserve">), che comprende la valutazione di un programma di RRN (PRRN) o la valutazione indipendente della RRN anche se è parte di un PSR (come tema di valutazione autonomo). Contiene informazioni sulla strutturazione, sull'osservazione, sull'analisi e sul giudizio nell'ambito della valutazione delle RRN, nonché sugli specifici passaggi che dovrebbero essere trattati durante il processo di valutazione. </w:t>
      </w:r>
    </w:p>
    <w:p w:rsidR="00675B1D" w:rsidRPr="00346304" w:rsidRDefault="00675B1D" w:rsidP="00923616">
      <w:pPr>
        <w:pStyle w:val="HStandard"/>
        <w:rPr>
          <w:highlight w:val="yellow"/>
        </w:rPr>
      </w:pPr>
      <w:r w:rsidRPr="00346304">
        <w:rPr>
          <w:highlight w:val="yellow"/>
        </w:rPr>
        <w:t xml:space="preserve">La </w:t>
      </w:r>
      <w:r w:rsidRPr="00346304">
        <w:rPr>
          <w:b/>
          <w:color w:val="E7E6E6" w:themeColor="background2"/>
          <w:highlight w:val="yellow"/>
        </w:rPr>
        <w:t>PARTE III</w:t>
      </w:r>
      <w:r w:rsidRPr="00346304">
        <w:rPr>
          <w:color w:val="E7E6E6" w:themeColor="background2"/>
          <w:highlight w:val="yellow"/>
        </w:rPr>
        <w:t xml:space="preserve"> </w:t>
      </w:r>
      <w:r w:rsidRPr="00346304">
        <w:rPr>
          <w:highlight w:val="yellow"/>
        </w:rPr>
        <w:t xml:space="preserve">(Kit di strumenti) include un modello indicativo per il capitolato d'oneri per la valutazione delle RRN durante il periodo di programmazione, nonché esempi delle catene di prodotto-risultato-impatto. </w:t>
      </w:r>
    </w:p>
    <w:p w:rsidR="00675B1D" w:rsidRPr="00346304" w:rsidRDefault="00675B1D" w:rsidP="00680DA9">
      <w:pPr>
        <w:pStyle w:val="HHeading2"/>
        <w:rPr>
          <w:highlight w:val="yellow"/>
        </w:rPr>
      </w:pPr>
      <w:bookmarkStart w:id="6" w:name="_Toc453079747"/>
      <w:bookmarkStart w:id="7" w:name="_Toc461616631"/>
      <w:r w:rsidRPr="00346304">
        <w:rPr>
          <w:highlight w:val="yellow"/>
        </w:rPr>
        <w:t>Le reti e la creazione di reti nella politica di sviluppo rurale dell'UE</w:t>
      </w:r>
      <w:bookmarkEnd w:id="6"/>
      <w:bookmarkEnd w:id="7"/>
      <w:r w:rsidRPr="00346304">
        <w:rPr>
          <w:highlight w:val="yellow"/>
        </w:rPr>
        <w:t xml:space="preserve"> </w:t>
      </w:r>
    </w:p>
    <w:p w:rsidR="00675B1D" w:rsidRPr="00346304" w:rsidRDefault="00675B1D" w:rsidP="00923616">
      <w:pPr>
        <w:pStyle w:val="HStandard"/>
        <w:rPr>
          <w:highlight w:val="yellow"/>
        </w:rPr>
      </w:pPr>
      <w:r w:rsidRPr="00346304">
        <w:rPr>
          <w:b/>
          <w:highlight w:val="yellow"/>
        </w:rPr>
        <w:t>L'Unione europea ha riconosciuto l'importanza della creazione di reti nelle zone rurali.</w:t>
      </w:r>
      <w:r w:rsidRPr="00346304">
        <w:rPr>
          <w:highlight w:val="yellow"/>
        </w:rPr>
        <w:t xml:space="preserve"> Nel 2007, le reti e la creazione di reti sono state introdotte tra le parti interessate dello sviluppo rurale come strumento per sostenere l'attuazione della politica di sviluppo rurale dell'UE. Le esperienze positive con le reti rurali nazionali e con la Rete europea per lo sviluppo rurale nel periodo di programmazione 2007</w:t>
      </w:r>
      <w:r>
        <w:rPr>
          <w:highlight w:val="yellow"/>
        </w:rPr>
        <w:noBreakHyphen/>
      </w:r>
      <w:r w:rsidRPr="00346304">
        <w:rPr>
          <w:highlight w:val="yellow"/>
        </w:rPr>
        <w:t>2013 hanno portato a un maggiore sostegno a favore della creazione di reti nel 2014-2020, coinvolgendo un maggior numero di parti interessate e facilitando un maggior numero di attività a livello di Stato membro e di UE. Inoltre, la creazione di reti è diventata uno strumento fondamentale per promuovere l'innovazione in tutte le politiche dell'UE.</w:t>
      </w:r>
    </w:p>
    <w:p w:rsidR="00675B1D" w:rsidRPr="00346304" w:rsidRDefault="00675B1D" w:rsidP="00923616">
      <w:pPr>
        <w:pStyle w:val="HStandard"/>
        <w:rPr>
          <w:highlight w:val="yellow"/>
        </w:rPr>
      </w:pPr>
      <w:r w:rsidRPr="00346304">
        <w:rPr>
          <w:b/>
          <w:highlight w:val="yellow"/>
        </w:rPr>
        <w:t>Le reti e la creazione di reti hanno sempre rappresentato un potente strumento per l'apprendimento e per migliorare il benessere nelle zone rurali.</w:t>
      </w:r>
      <w:r w:rsidRPr="00346304">
        <w:rPr>
          <w:highlight w:val="yellow"/>
        </w:rPr>
        <w:t xml:space="preserve"> Le reti hanno contribuito a generare e moltiplicare nuovo capitale sociale, come ad esempio un senso di condivisione, che ha comportato </w:t>
      </w:r>
      <w:r w:rsidRPr="00346304">
        <w:rPr>
          <w:highlight w:val="yellow"/>
        </w:rPr>
        <w:lastRenderedPageBreak/>
        <w:t xml:space="preserve">un cambiamento di comportamento, uno sviluppo di capacità comuni, nuove conoscenze e competenze, la produzione e lo scambio di prodotti e servizi, la promozione dell'innovazione e il miglioramento della fiducia tra i membri della rete. </w:t>
      </w:r>
    </w:p>
    <w:p w:rsidR="00675B1D" w:rsidRPr="00346304" w:rsidRDefault="00675B1D" w:rsidP="006D3475">
      <w:pPr>
        <w:pStyle w:val="HHeading5"/>
        <w:rPr>
          <w:highlight w:val="yellow"/>
        </w:rPr>
      </w:pPr>
      <w:r w:rsidRPr="00346304">
        <w:rPr>
          <w:highlight w:val="yellow"/>
        </w:rPr>
        <w:t>Definizione di reti</w:t>
      </w:r>
    </w:p>
    <w:p w:rsidR="00675B1D" w:rsidRPr="00346304" w:rsidRDefault="00675B1D" w:rsidP="00923616">
      <w:pPr>
        <w:pStyle w:val="HStandard"/>
        <w:rPr>
          <w:highlight w:val="yellow"/>
        </w:rPr>
      </w:pPr>
      <w:r w:rsidRPr="00346304">
        <w:rPr>
          <w:b/>
          <w:highlight w:val="yellow"/>
        </w:rPr>
        <w:t>È di vitale importanza definire cosa si intende per rete</w:t>
      </w:r>
      <w:r w:rsidRPr="00346304">
        <w:rPr>
          <w:highlight w:val="yellow"/>
        </w:rPr>
        <w:t xml:space="preserve"> quando si utilizzano le reti come strumento per sostenere l'attuazione della politica di sviluppo rurale e quando si valuta se una rete abbia adempiuto al suo scopo e ai suoi obiettivi. Nella letteratura scientifica, una rete è definita come una «rete di interazioni», che si compone di un insieme di attori quali organizzazioni, gruppi o individui (nodi) e delle relazioni e connessioni che esistono tra questi attori (collegamenti)</w:t>
      </w:r>
      <w:r w:rsidRPr="00346304">
        <w:rPr>
          <w:rStyle w:val="FootnoteReference"/>
          <w:highlight w:val="yellow"/>
        </w:rPr>
        <w:footnoteReference w:id="9"/>
      </w:r>
      <w:r w:rsidRPr="00346304">
        <w:rPr>
          <w:highlight w:val="yellow"/>
        </w:rPr>
        <w:t>.</w:t>
      </w:r>
    </w:p>
    <w:p w:rsidR="00675B1D" w:rsidRPr="00346304" w:rsidRDefault="00675B1D" w:rsidP="00923616">
      <w:pPr>
        <w:pStyle w:val="HStandard"/>
        <w:rPr>
          <w:highlight w:val="yellow"/>
        </w:rPr>
      </w:pPr>
      <w:r w:rsidRPr="00346304">
        <w:rPr>
          <w:highlight w:val="yellow"/>
        </w:rPr>
        <w:t>Una rete può essere informale o formale</w:t>
      </w:r>
      <w:r w:rsidRPr="00346304">
        <w:rPr>
          <w:rStyle w:val="FootnoteReference"/>
          <w:highlight w:val="yellow"/>
        </w:rPr>
        <w:footnoteReference w:id="10"/>
      </w:r>
      <w:r w:rsidRPr="00346304">
        <w:rPr>
          <w:highlight w:val="yellow"/>
        </w:rPr>
        <w:t xml:space="preserve">: </w:t>
      </w:r>
    </w:p>
    <w:p w:rsidR="00675B1D" w:rsidRPr="00346304" w:rsidRDefault="00675B1D" w:rsidP="005368DC">
      <w:pPr>
        <w:pStyle w:val="Hlistbullet2"/>
        <w:rPr>
          <w:color w:val="262626"/>
          <w:highlight w:val="yellow"/>
        </w:rPr>
      </w:pPr>
      <w:r w:rsidRPr="00346304">
        <w:rPr>
          <w:highlight w:val="yellow"/>
        </w:rPr>
        <w:t xml:space="preserve">le </w:t>
      </w:r>
      <w:r w:rsidRPr="00346304">
        <w:rPr>
          <w:b/>
          <w:highlight w:val="yellow"/>
        </w:rPr>
        <w:t>reti informali</w:t>
      </w:r>
      <w:r w:rsidRPr="00346304">
        <w:rPr>
          <w:highlight w:val="yellow"/>
        </w:rPr>
        <w:t xml:space="preserve"> tendono a operare dal basso verso l'alto, a essere create da singoli individui e basate sull'interesse comune. Di solito crescono naturalmente, senza risorse predefinite o norme operative (ad eccezione di norme sociali che potrebbero applicarsi), ed esistono grazie al valore aggiunto atteso dai membri della rete nel loro perseguimento di un obiettivo comune (ad esempio, un gruppo di agricoltori con l'obiettivo di ottenere un migliore accesso al mercato);</w:t>
      </w:r>
      <w:r w:rsidRPr="00346304">
        <w:rPr>
          <w:color w:val="262626"/>
          <w:highlight w:val="yellow"/>
        </w:rPr>
        <w:t xml:space="preserve"> </w:t>
      </w:r>
    </w:p>
    <w:p w:rsidR="00675B1D" w:rsidRPr="00346304" w:rsidRDefault="00675B1D" w:rsidP="00923616">
      <w:pPr>
        <w:pStyle w:val="Hlistbullet2"/>
        <w:rPr>
          <w:highlight w:val="yellow"/>
        </w:rPr>
      </w:pPr>
      <w:r w:rsidRPr="00346304">
        <w:rPr>
          <w:highlight w:val="yellow"/>
        </w:rPr>
        <w:t xml:space="preserve">le </w:t>
      </w:r>
      <w:r w:rsidRPr="00346304">
        <w:rPr>
          <w:b/>
          <w:highlight w:val="yellow"/>
        </w:rPr>
        <w:t>reti formali</w:t>
      </w:r>
      <w:r w:rsidRPr="00346304">
        <w:rPr>
          <w:highlight w:val="yellow"/>
        </w:rPr>
        <w:t xml:space="preserve"> di solito hanno uno scopo, risorse e norme operative esplicitamente definiti. Le reti formali possono avere strutture dall'alto verso il basso definite e/o imposte da un'autorità (ad esempio come nel caso delle reti politiche</w:t>
      </w:r>
      <w:r w:rsidRPr="00346304">
        <w:rPr>
          <w:rStyle w:val="FootnoteReference"/>
          <w:highlight w:val="yellow"/>
        </w:rPr>
        <w:footnoteReference w:id="11"/>
      </w:r>
      <w:r w:rsidRPr="00346304">
        <w:rPr>
          <w:highlight w:val="yellow"/>
        </w:rPr>
        <w:t>), oppure possono essere sviluppate con una struttura dal basso verso l'alto e formalizzate attraverso la registrazione e il riconoscimento formale da parte di un'autorità competente (ad esempio, da parte di ministeri, enti statali, ecc.).</w:t>
      </w:r>
    </w:p>
    <w:p w:rsidR="00675B1D" w:rsidRPr="00346304" w:rsidRDefault="00675B1D" w:rsidP="00624AFC">
      <w:pPr>
        <w:pStyle w:val="HHeading5"/>
        <w:rPr>
          <w:highlight w:val="yellow"/>
        </w:rPr>
      </w:pPr>
      <w:r w:rsidRPr="00346304">
        <w:rPr>
          <w:highlight w:val="yellow"/>
        </w:rPr>
        <w:t>Reti rurali dell'UE</w:t>
      </w:r>
    </w:p>
    <w:p w:rsidR="00675B1D" w:rsidRPr="00346304" w:rsidRDefault="00675B1D" w:rsidP="00923616">
      <w:pPr>
        <w:pStyle w:val="HStandard"/>
        <w:rPr>
          <w:highlight w:val="yellow"/>
        </w:rPr>
      </w:pPr>
      <w:r w:rsidRPr="00346304">
        <w:rPr>
          <w:highlight w:val="yellow"/>
        </w:rPr>
        <w:t>Le reti rurali dell'UE rappresentano una combinazione di entrambe le reti, formali e informali. Sono formalmente istituite da autorità e operano nel contesto rurale. In linea con gli obiettivi della politica dell'UE, le reti rurali dell'UE contribuiscono allo sviluppo delle zone rurali.</w:t>
      </w:r>
    </w:p>
    <w:p w:rsidR="00675B1D" w:rsidRPr="00346304" w:rsidRDefault="00675B1D" w:rsidP="005368DC">
      <w:pPr>
        <w:pStyle w:val="Hlistbullet2"/>
        <w:rPr>
          <w:highlight w:val="yellow"/>
        </w:rPr>
      </w:pPr>
      <w:r w:rsidRPr="00346304">
        <w:rPr>
          <w:highlight w:val="yellow"/>
        </w:rPr>
        <w:t xml:space="preserve">La </w:t>
      </w:r>
      <w:r w:rsidRPr="00346304">
        <w:rPr>
          <w:b/>
          <w:highlight w:val="yellow"/>
        </w:rPr>
        <w:t>Rete europea per lo sviluppo rurale</w:t>
      </w:r>
      <w:r w:rsidRPr="00346304">
        <w:rPr>
          <w:highlight w:val="yellow"/>
        </w:rPr>
        <w:t xml:space="preserve"> (RESR) è stata istituita dal quadro giuridico</w:t>
      </w:r>
      <w:r w:rsidRPr="00346304">
        <w:rPr>
          <w:rStyle w:val="FootnoteReference"/>
          <w:highlight w:val="yellow"/>
        </w:rPr>
        <w:footnoteReference w:id="12"/>
      </w:r>
      <w:r w:rsidRPr="00346304">
        <w:rPr>
          <w:highlight w:val="yellow"/>
        </w:rPr>
        <w:t xml:space="preserve"> «con la funzione di collegare tra loro reti, organizzazioni e amministrazioni nazionali operanti nel campo dello sviluppo rurale a livello dell'Unione». </w:t>
      </w:r>
    </w:p>
    <w:p w:rsidR="00675B1D" w:rsidRPr="00346304" w:rsidRDefault="00675B1D" w:rsidP="005368DC">
      <w:pPr>
        <w:pStyle w:val="Hlistbullet2"/>
        <w:rPr>
          <w:highlight w:val="yellow"/>
        </w:rPr>
      </w:pPr>
      <w:r w:rsidRPr="00346304">
        <w:rPr>
          <w:b/>
          <w:highlight w:val="yellow"/>
        </w:rPr>
        <w:t>Le reti nazionali rurali</w:t>
      </w:r>
      <w:r w:rsidRPr="00346304">
        <w:rPr>
          <w:highlight w:val="yellow"/>
        </w:rPr>
        <w:t xml:space="preserve"> sono ulteriormente definite come reti che «riuniscono le organizzazioni e amministrazioni impegnate nello sviluppo rurale»</w:t>
      </w:r>
      <w:r w:rsidRPr="00346304">
        <w:rPr>
          <w:rStyle w:val="FootnoteReference"/>
          <w:highlight w:val="yellow"/>
        </w:rPr>
        <w:footnoteReference w:id="13"/>
      </w:r>
      <w:r w:rsidRPr="00346304">
        <w:rPr>
          <w:highlight w:val="yellow"/>
        </w:rPr>
        <w:t xml:space="preserve"> all'interno degli Stati membri. </w:t>
      </w:r>
    </w:p>
    <w:p w:rsidR="00675B1D" w:rsidRPr="00346304" w:rsidRDefault="00675B1D" w:rsidP="005368DC">
      <w:pPr>
        <w:pStyle w:val="Hlistbullet2"/>
        <w:rPr>
          <w:highlight w:val="yellow"/>
        </w:rPr>
      </w:pPr>
      <w:r w:rsidRPr="00346304">
        <w:rPr>
          <w:highlight w:val="yellow"/>
        </w:rPr>
        <w:t xml:space="preserve">Il </w:t>
      </w:r>
      <w:r w:rsidRPr="00346304">
        <w:rPr>
          <w:b/>
          <w:highlight w:val="yellow"/>
        </w:rPr>
        <w:t>partenariato europeo per l'innovazione (PEI) per la produttività agricola e la sostenibilità</w:t>
      </w:r>
      <w:r w:rsidRPr="00346304">
        <w:rPr>
          <w:highlight w:val="yellow"/>
        </w:rPr>
        <w:t xml:space="preserve"> – la «rete PEI-AGRI» è una nuova rete</w:t>
      </w:r>
      <w:r w:rsidRPr="00346304">
        <w:rPr>
          <w:rStyle w:val="FootnoteReference"/>
          <w:highlight w:val="yellow"/>
        </w:rPr>
        <w:footnoteReference w:id="14"/>
      </w:r>
      <w:r w:rsidRPr="00346304">
        <w:rPr>
          <w:highlight w:val="yellow"/>
        </w:rPr>
        <w:t xml:space="preserve"> introdotta nel periodo di programmazione 2014-2020 per sostenere la creazione di reti tra i «gruppi operativi, i servizi di consulenza e i ricercatori» al fine di promuovere l'innovazione nella realizzazione pratica della politica di sviluppo rurale. </w:t>
      </w:r>
    </w:p>
    <w:p w:rsidR="00675B1D" w:rsidRPr="00346304" w:rsidRDefault="00675B1D" w:rsidP="00923616">
      <w:pPr>
        <w:pStyle w:val="HStandard"/>
        <w:rPr>
          <w:highlight w:val="yellow"/>
        </w:rPr>
      </w:pPr>
      <w:r w:rsidRPr="00346304">
        <w:rPr>
          <w:highlight w:val="yellow"/>
        </w:rPr>
        <w:t xml:space="preserve">Le reti rurali dell'UE collegano anche numerose reti informali di diversa natura, come ad esempio organizzazioni volontarie di agricoltori, GAL e rispettive associazioni, ONG rurali, istituti di istruzione e ricerca, raggruppamenti di imprese, ecc. Queste reti informali collegano i beneficiari all'attuazione pratica della politica di sviluppo rurale e forniscono la possibilità di un'opportunità di scambio di informazioni a livello di UE, PSR e locale. Le reti informali facilitano lo sviluppo delle potenzialità esistenti per raggiungere gli obiettivi di sviluppo rurale e delle RRN. </w:t>
      </w:r>
    </w:p>
    <w:p w:rsidR="00675B1D" w:rsidRPr="00346304" w:rsidRDefault="00675B1D" w:rsidP="00923616">
      <w:pPr>
        <w:pStyle w:val="HStandard"/>
        <w:rPr>
          <w:highlight w:val="yellow"/>
        </w:rPr>
      </w:pPr>
      <w:r w:rsidRPr="00346304">
        <w:rPr>
          <w:highlight w:val="yellow"/>
        </w:rPr>
        <w:lastRenderedPageBreak/>
        <w:t>Le reti rurali formali possono anche avere alcune caratteristiche informali, ad esempio per quanto riguarda la governance o le interazioni tra le parti interessate.</w:t>
      </w:r>
    </w:p>
    <w:p w:rsidR="00675B1D" w:rsidRPr="00346304" w:rsidRDefault="00675B1D" w:rsidP="006D3475">
      <w:pPr>
        <w:pStyle w:val="HHeading5"/>
        <w:rPr>
          <w:highlight w:val="yellow"/>
        </w:rPr>
      </w:pPr>
      <w:r w:rsidRPr="00346304">
        <w:rPr>
          <w:highlight w:val="yellow"/>
        </w:rPr>
        <w:t>Struttura delle reti</w:t>
      </w:r>
    </w:p>
    <w:p w:rsidR="00675B1D" w:rsidRPr="00346304" w:rsidRDefault="00675B1D" w:rsidP="00923616">
      <w:pPr>
        <w:pStyle w:val="HStandard"/>
        <w:rPr>
          <w:highlight w:val="yellow"/>
        </w:rPr>
      </w:pPr>
      <w:r w:rsidRPr="00346304">
        <w:rPr>
          <w:b/>
          <w:highlight w:val="yellow"/>
        </w:rPr>
        <w:t>La struttura delle reti condiziona pesantemente la natura del collegamento in rete tra i suoi membri.</w:t>
      </w:r>
      <w:r w:rsidRPr="00346304">
        <w:rPr>
          <w:highlight w:val="yellow"/>
        </w:rPr>
        <w:t xml:space="preserve"> Può essere centralizzata o decentralizzata</w:t>
      </w:r>
      <w:r w:rsidRPr="00346304">
        <w:rPr>
          <w:rStyle w:val="FootnoteReference"/>
          <w:highlight w:val="yellow"/>
        </w:rPr>
        <w:footnoteReference w:id="15"/>
      </w:r>
      <w:r w:rsidRPr="00346304">
        <w:rPr>
          <w:highlight w:val="yellow"/>
        </w:rPr>
        <w:t xml:space="preserve">. Le reti centralizzate presentano un nodo centrale, che comunica ai suoi membri separatamente. Le reti decentrate sono caratterizzate da molteplici connessioni tra i membri. </w:t>
      </w:r>
    </w:p>
    <w:p w:rsidR="00675B1D" w:rsidRPr="00346304" w:rsidRDefault="00675B1D" w:rsidP="00923616">
      <w:pPr>
        <w:pStyle w:val="HStandard"/>
        <w:rPr>
          <w:highlight w:val="yellow"/>
        </w:rPr>
      </w:pPr>
      <w:r w:rsidRPr="00346304">
        <w:rPr>
          <w:highlight w:val="yellow"/>
        </w:rPr>
        <w:t xml:space="preserve">Le reti rurali dell'UE tendono ad avere una struttura centralizzata in quanto sono costruite intorno a unità di sostegno alla rete che fungono da nodo centrale e che ricevono incarico dalla parte committente, nel caso di specie la DG AGRI. Ciò nonostante dovrebbero incoraggiare una comunicazione più decentrata tra i loro membri, così come verso l'esterno, raggiungendo altri gruppi di parti interessate. </w:t>
      </w:r>
    </w:p>
    <w:p w:rsidR="00675B1D" w:rsidRPr="00346304" w:rsidRDefault="00675B1D" w:rsidP="00923616">
      <w:pPr>
        <w:pStyle w:val="HStandard"/>
        <w:rPr>
          <w:highlight w:val="yellow"/>
        </w:rPr>
      </w:pPr>
      <w:r w:rsidRPr="00346304">
        <w:rPr>
          <w:highlight w:val="yellow"/>
        </w:rPr>
        <w:t xml:space="preserve">La </w:t>
      </w:r>
      <w:r w:rsidRPr="00346304">
        <w:rPr>
          <w:b/>
          <w:highlight w:val="yellow"/>
        </w:rPr>
        <w:t>struttura della RESR</w:t>
      </w:r>
      <w:r w:rsidRPr="00346304">
        <w:rPr>
          <w:highlight w:val="yellow"/>
        </w:rPr>
        <w:t xml:space="preserve"> ha due unità di sostegno con funzioni distinte: </w:t>
      </w:r>
    </w:p>
    <w:p w:rsidR="00675B1D" w:rsidRPr="00346304" w:rsidRDefault="00675B1D" w:rsidP="005368DC">
      <w:pPr>
        <w:pStyle w:val="Hlistbullet2"/>
        <w:rPr>
          <w:highlight w:val="yellow"/>
        </w:rPr>
      </w:pPr>
      <w:r w:rsidRPr="00346304">
        <w:rPr>
          <w:highlight w:val="yellow"/>
        </w:rPr>
        <w:t xml:space="preserve">Il </w:t>
      </w:r>
      <w:r w:rsidRPr="00346304">
        <w:rPr>
          <w:b/>
          <w:highlight w:val="yellow"/>
        </w:rPr>
        <w:t>punto di contatto RESR</w:t>
      </w:r>
      <w:r w:rsidRPr="00346304">
        <w:rPr>
          <w:highlight w:val="yellow"/>
        </w:rPr>
        <w:t xml:space="preserve"> sostiene la DG AGRI nella gestione della RESR e fornisce un punto di riferimento per le attività della RESR. Sostiene la creazione di reti e la cooperazione tra le parti interessate dello sviluppo rurale a livello europeo e nazionale, e garantisce la comunicazione con e tra le stesse; inoltre, a livello nazionale, intraprende un'analisi tematica e organizza vari eventi di networking. </w:t>
      </w:r>
    </w:p>
    <w:p w:rsidR="00675B1D" w:rsidRPr="00346304" w:rsidRDefault="00675B1D" w:rsidP="006D3475">
      <w:pPr>
        <w:pStyle w:val="Hlistbullet2"/>
        <w:rPr>
          <w:highlight w:val="yellow"/>
        </w:rPr>
      </w:pPr>
      <w:r w:rsidRPr="00346304">
        <w:rPr>
          <w:highlight w:val="yellow"/>
        </w:rPr>
        <w:t>L'</w:t>
      </w:r>
      <w:r w:rsidRPr="00346304">
        <w:rPr>
          <w:b/>
          <w:highlight w:val="yellow"/>
        </w:rPr>
        <w:t xml:space="preserve">Helpdesk della valutazione della RESR </w:t>
      </w:r>
      <w:r w:rsidRPr="00346304">
        <w:rPr>
          <w:highlight w:val="yellow"/>
        </w:rPr>
        <w:t>ha la responsabilità di sostenere la DG AGRI, gli Stati membri e le parti interessate della valutazione nel soddisfare gli obiettivi del sistema di monitoraggio e valutazione comune per lo sviluppo rurale.</w:t>
      </w:r>
    </w:p>
    <w:p w:rsidR="00675B1D" w:rsidRPr="00346304" w:rsidRDefault="00675B1D" w:rsidP="00923616">
      <w:pPr>
        <w:pStyle w:val="HStandard"/>
        <w:rPr>
          <w:highlight w:val="yellow"/>
        </w:rPr>
      </w:pPr>
      <w:r w:rsidRPr="00346304">
        <w:rPr>
          <w:highlight w:val="yellow"/>
        </w:rPr>
        <w:t xml:space="preserve">La </w:t>
      </w:r>
      <w:r w:rsidRPr="00346304">
        <w:rPr>
          <w:b/>
          <w:highlight w:val="yellow"/>
        </w:rPr>
        <w:t>struttura della rete PEI-AGRI</w:t>
      </w:r>
      <w:r w:rsidRPr="00346304">
        <w:rPr>
          <w:highlight w:val="yellow"/>
        </w:rPr>
        <w:t xml:space="preserve"> presenta una unità di sostegno: il </w:t>
      </w:r>
      <w:r w:rsidRPr="00346304">
        <w:rPr>
          <w:b/>
          <w:highlight w:val="yellow"/>
        </w:rPr>
        <w:t>punto di servizio PEI-AGRI</w:t>
      </w:r>
      <w:r w:rsidRPr="00346304">
        <w:rPr>
          <w:highlight w:val="yellow"/>
        </w:rPr>
        <w:t>. Quest'ultima agisce da mediatrice all'interno della rete, migliorando la comunicazione e la cooperazione tra tutti coloro che hanno interesse a innovare l'agricoltura: agricoltori, ricercatori, consulenti, imprese, gruppi ambientalisti, gruppi di interesse di consumatori e altre ONG.</w:t>
      </w:r>
    </w:p>
    <w:p w:rsidR="00675B1D" w:rsidRPr="00346304" w:rsidRDefault="00675B1D" w:rsidP="00917E9C">
      <w:pPr>
        <w:pStyle w:val="HHeadingfigures"/>
        <w:keepNext/>
        <w:ind w:left="0"/>
        <w:rPr>
          <w:highlight w:val="yellow"/>
        </w:rPr>
      </w:pPr>
      <w:bookmarkStart w:id="8" w:name="_Toc445465116"/>
      <w:bookmarkStart w:id="9" w:name="_Toc451781920"/>
      <w:bookmarkStart w:id="10" w:name="_Toc461616772"/>
      <w:r w:rsidRPr="00346304">
        <w:rPr>
          <w:highlight w:val="yellow"/>
        </w:rPr>
        <w:lastRenderedPageBreak/>
        <w:t>Struttura della governance delle reti rurali dell'UE</w:t>
      </w:r>
      <w:bookmarkEnd w:id="8"/>
      <w:bookmarkEnd w:id="9"/>
      <w:bookmarkEnd w:id="10"/>
    </w:p>
    <w:p w:rsidR="00675B1D" w:rsidRPr="00346304" w:rsidRDefault="00675B1D" w:rsidP="00CB52DC">
      <w:pPr>
        <w:jc w:val="center"/>
        <w:rPr>
          <w:highlight w:val="yellow"/>
        </w:rPr>
      </w:pPr>
      <w:r w:rsidRPr="00346304">
        <w:rPr>
          <w:noProof/>
          <w:lang w:eastAsia="en-GB"/>
        </w:rPr>
        <w:drawing>
          <wp:inline distT="0" distB="0" distL="0" distR="0" wp14:anchorId="14EC2634" wp14:editId="428244E0">
            <wp:extent cx="6004384" cy="3846277"/>
            <wp:effectExtent l="0" t="0" r="0" b="190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1.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04384" cy="3846277"/>
                    </a:xfrm>
                    <a:prstGeom prst="rect">
                      <a:avLst/>
                    </a:prstGeom>
                  </pic:spPr>
                </pic:pic>
              </a:graphicData>
            </a:graphic>
          </wp:inline>
        </w:drawing>
      </w:r>
    </w:p>
    <w:p w:rsidR="00675B1D" w:rsidRPr="00346304" w:rsidRDefault="00675B1D" w:rsidP="00CB52DC">
      <w:pPr>
        <w:pStyle w:val="HSource"/>
        <w:rPr>
          <w:highlight w:val="yellow"/>
        </w:rPr>
      </w:pPr>
      <w:r w:rsidRPr="00346304">
        <w:rPr>
          <w:highlight w:val="yellow"/>
        </w:rPr>
        <w:t>Fonte: Helpdesk europeo della valutazione per lo sviluppo rurale 2016</w:t>
      </w:r>
    </w:p>
    <w:p w:rsidR="00675B1D" w:rsidRPr="00346304" w:rsidRDefault="00675B1D" w:rsidP="00315513">
      <w:pPr>
        <w:pStyle w:val="HHeading5"/>
        <w:rPr>
          <w:highlight w:val="yellow"/>
        </w:rPr>
      </w:pPr>
      <w:r w:rsidRPr="00346304">
        <w:rPr>
          <w:highlight w:val="yellow"/>
        </w:rPr>
        <w:t>Come vengono modellate le RRN?</w:t>
      </w:r>
    </w:p>
    <w:p w:rsidR="00675B1D" w:rsidRPr="00346304" w:rsidRDefault="00675B1D" w:rsidP="00315513">
      <w:pPr>
        <w:pStyle w:val="HStandard"/>
        <w:jc w:val="left"/>
        <w:rPr>
          <w:highlight w:val="yellow"/>
        </w:rPr>
      </w:pPr>
      <w:r w:rsidRPr="00346304">
        <w:rPr>
          <w:highlight w:val="yellow"/>
        </w:rPr>
        <w:t>Le RRN sono costituite da tre principali sottosistemi costitutivi:</w:t>
      </w:r>
    </w:p>
    <w:p w:rsidR="00675B1D" w:rsidRPr="00346304" w:rsidRDefault="00675B1D" w:rsidP="00892664">
      <w:pPr>
        <w:pStyle w:val="ListParagraph"/>
        <w:numPr>
          <w:ilvl w:val="1"/>
          <w:numId w:val="13"/>
        </w:numPr>
        <w:spacing w:after="200" w:line="276" w:lineRule="auto"/>
        <w:jc w:val="both"/>
        <w:rPr>
          <w:rFonts w:ascii="Arial" w:hAnsi="Arial" w:cs="Arial"/>
          <w:sz w:val="20"/>
          <w:szCs w:val="20"/>
          <w:highlight w:val="yellow"/>
        </w:rPr>
      </w:pPr>
      <w:r w:rsidRPr="00346304">
        <w:rPr>
          <w:rFonts w:ascii="Arial" w:hAnsi="Arial"/>
          <w:b/>
          <w:sz w:val="20"/>
          <w:highlight w:val="yellow"/>
        </w:rPr>
        <w:t>la parte committente</w:t>
      </w:r>
      <w:r w:rsidRPr="00346304">
        <w:rPr>
          <w:rFonts w:ascii="Arial" w:hAnsi="Arial"/>
          <w:sz w:val="20"/>
          <w:highlight w:val="yellow"/>
        </w:rPr>
        <w:t xml:space="preserve"> è la parte interessata che istituisce e promuove la RRN. Dà incarico alle unità di sostegno alla rete (in-house, per delega o mediante aggiudicazione) di creare e sostenere la rete. La parte committente può essere una singola </w:t>
      </w:r>
      <w:r w:rsidRPr="00346304">
        <w:rPr>
          <w:rFonts w:ascii="Arial" w:hAnsi="Arial"/>
          <w:b/>
          <w:sz w:val="20"/>
          <w:highlight w:val="yellow"/>
        </w:rPr>
        <w:t>organizzazione</w:t>
      </w:r>
      <w:r w:rsidRPr="00346304">
        <w:rPr>
          <w:rFonts w:ascii="Arial" w:hAnsi="Arial"/>
          <w:sz w:val="20"/>
          <w:highlight w:val="yellow"/>
        </w:rPr>
        <w:t xml:space="preserve"> (di frequente l'</w:t>
      </w:r>
      <w:r w:rsidRPr="00346304">
        <w:rPr>
          <w:rFonts w:ascii="Arial" w:hAnsi="Arial"/>
          <w:b/>
          <w:sz w:val="20"/>
          <w:highlight w:val="yellow"/>
        </w:rPr>
        <w:t xml:space="preserve">autorità di gestione </w:t>
      </w:r>
      <w:r>
        <w:rPr>
          <w:rFonts w:ascii="Arial" w:hAnsi="Arial"/>
          <w:b/>
          <w:sz w:val="20"/>
          <w:highlight w:val="yellow"/>
        </w:rPr>
        <w:t>–</w:t>
      </w:r>
      <w:r w:rsidRPr="00346304">
        <w:rPr>
          <w:rFonts w:ascii="Arial" w:hAnsi="Arial"/>
          <w:b/>
          <w:sz w:val="20"/>
          <w:highlight w:val="yellow"/>
        </w:rPr>
        <w:t xml:space="preserve"> AG</w:t>
      </w:r>
      <w:r w:rsidRPr="00346304">
        <w:rPr>
          <w:rFonts w:ascii="Arial" w:hAnsi="Arial"/>
          <w:sz w:val="20"/>
          <w:highlight w:val="yellow"/>
        </w:rPr>
        <w:t xml:space="preserve">) oppure un </w:t>
      </w:r>
      <w:r w:rsidRPr="00346304">
        <w:rPr>
          <w:rFonts w:ascii="Arial" w:hAnsi="Arial"/>
          <w:b/>
          <w:sz w:val="20"/>
          <w:highlight w:val="yellow"/>
        </w:rPr>
        <w:t>sistema di cooperazione</w:t>
      </w:r>
      <w:r w:rsidRPr="00346304">
        <w:rPr>
          <w:rFonts w:ascii="Arial" w:hAnsi="Arial"/>
          <w:sz w:val="20"/>
          <w:highlight w:val="yellow"/>
        </w:rPr>
        <w:t xml:space="preserve"> che coinvolge diverse istituzioni (governative e della società civile);</w:t>
      </w:r>
    </w:p>
    <w:p w:rsidR="00675B1D" w:rsidRPr="00346304" w:rsidRDefault="00675B1D" w:rsidP="00892664">
      <w:pPr>
        <w:pStyle w:val="ListParagraph"/>
        <w:numPr>
          <w:ilvl w:val="1"/>
          <w:numId w:val="13"/>
        </w:numPr>
        <w:spacing w:after="200" w:line="276" w:lineRule="auto"/>
        <w:jc w:val="both"/>
        <w:rPr>
          <w:rFonts w:ascii="Arial" w:hAnsi="Arial" w:cs="Arial"/>
          <w:sz w:val="20"/>
          <w:szCs w:val="20"/>
          <w:highlight w:val="yellow"/>
        </w:rPr>
      </w:pPr>
      <w:r w:rsidRPr="00346304">
        <w:rPr>
          <w:rFonts w:ascii="Arial" w:hAnsi="Arial"/>
          <w:sz w:val="20"/>
          <w:highlight w:val="yellow"/>
        </w:rPr>
        <w:t>l'</w:t>
      </w:r>
      <w:r w:rsidRPr="00346304">
        <w:rPr>
          <w:rFonts w:ascii="Arial" w:hAnsi="Arial"/>
          <w:b/>
          <w:sz w:val="20"/>
          <w:highlight w:val="yellow"/>
        </w:rPr>
        <w:t>unità di sostegno alla rete</w:t>
      </w:r>
      <w:r w:rsidRPr="00346304">
        <w:rPr>
          <w:rFonts w:ascii="Arial" w:hAnsi="Arial"/>
          <w:sz w:val="20"/>
          <w:highlight w:val="yellow"/>
        </w:rPr>
        <w:t xml:space="preserve"> (USR), a prescindere dall'essere incorporata nell'autorità di gestione o dall'aver ricevuto un incarico esterno, è un </w:t>
      </w:r>
      <w:r w:rsidRPr="00346304">
        <w:rPr>
          <w:rFonts w:ascii="Arial" w:hAnsi="Arial"/>
          <w:b/>
          <w:sz w:val="20"/>
          <w:highlight w:val="yellow"/>
        </w:rPr>
        <w:t>organizzazione</w:t>
      </w:r>
      <w:r w:rsidRPr="00346304">
        <w:rPr>
          <w:rFonts w:ascii="Arial" w:hAnsi="Arial"/>
          <w:sz w:val="20"/>
          <w:highlight w:val="yellow"/>
        </w:rPr>
        <w:t xml:space="preserve"> con il compito di creare e sostenere la RRN. Si tratta tipicamente del nodo centrale della RRN. L'unità di sostegno alla rete comunica con i membri della rete, facilita lo scambio tematico e analitico e condivide informazioni pertinenti. L'unità di sostegno alla rete, inoltre, prepara e tiene corsi di formazione per i GAL, sostiene progetti di cooperazione, favorisce attività in rete destinate ai consulenti e servizi a sostegno dell'innovazione, consente la condivisione e la diffusione delle corrispondenti risultanze del monitoraggio e della valutazione dei PSR, e partecipa/contribuisce alle attività della RESR</w:t>
      </w:r>
      <w:r w:rsidRPr="00346304">
        <w:rPr>
          <w:rStyle w:val="FootnoteReference"/>
          <w:highlight w:val="yellow"/>
        </w:rPr>
        <w:footnoteReference w:id="16"/>
      </w:r>
      <w:r w:rsidRPr="00346304">
        <w:rPr>
          <w:rFonts w:ascii="Arial" w:hAnsi="Arial"/>
          <w:sz w:val="20"/>
          <w:highlight w:val="yellow"/>
        </w:rPr>
        <w:t xml:space="preserve">; </w:t>
      </w:r>
    </w:p>
    <w:p w:rsidR="00675B1D" w:rsidRPr="00346304" w:rsidRDefault="00675B1D" w:rsidP="00892664">
      <w:pPr>
        <w:pStyle w:val="ListParagraph"/>
        <w:numPr>
          <w:ilvl w:val="1"/>
          <w:numId w:val="13"/>
        </w:numPr>
        <w:spacing w:after="200" w:line="276" w:lineRule="auto"/>
        <w:jc w:val="both"/>
        <w:rPr>
          <w:rFonts w:ascii="Arial" w:hAnsi="Arial" w:cs="Arial"/>
          <w:sz w:val="20"/>
          <w:szCs w:val="20"/>
          <w:highlight w:val="yellow"/>
        </w:rPr>
      </w:pPr>
      <w:r w:rsidRPr="00346304">
        <w:rPr>
          <w:rFonts w:ascii="Arial" w:hAnsi="Arial"/>
          <w:sz w:val="20"/>
          <w:highlight w:val="yellow"/>
        </w:rPr>
        <w:t xml:space="preserve">la </w:t>
      </w:r>
      <w:r w:rsidRPr="00346304">
        <w:rPr>
          <w:rFonts w:ascii="Arial" w:hAnsi="Arial"/>
          <w:b/>
          <w:sz w:val="20"/>
          <w:highlight w:val="yellow"/>
        </w:rPr>
        <w:t>RRN</w:t>
      </w:r>
      <w:r w:rsidRPr="00346304">
        <w:rPr>
          <w:rFonts w:ascii="Arial" w:hAnsi="Arial"/>
          <w:sz w:val="20"/>
          <w:highlight w:val="yellow"/>
        </w:rPr>
        <w:t xml:space="preserve"> è una</w:t>
      </w:r>
      <w:r w:rsidRPr="00346304">
        <w:rPr>
          <w:rFonts w:ascii="Arial" w:hAnsi="Arial"/>
          <w:b/>
          <w:sz w:val="20"/>
          <w:highlight w:val="yellow"/>
        </w:rPr>
        <w:t xml:space="preserve"> rete</w:t>
      </w:r>
      <w:r w:rsidRPr="00346304">
        <w:rPr>
          <w:rFonts w:ascii="Arial" w:hAnsi="Arial"/>
          <w:sz w:val="20"/>
          <w:highlight w:val="yellow"/>
        </w:rPr>
        <w:t xml:space="preserve"> i cui confini sono confusi per definizione, è costituita da tutti gli attori coinvolti nel corso delle attività della RRN, direttamente o almeno potenzialmente, come contributori o utenti, o entrambi. In linea di principio, la RRN include anche gli attori di cui ai punti a. e b.</w:t>
      </w:r>
    </w:p>
    <w:p w:rsidR="00675B1D" w:rsidRPr="00346304" w:rsidRDefault="00675B1D" w:rsidP="00315513">
      <w:pPr>
        <w:pStyle w:val="HStandard"/>
        <w:jc w:val="left"/>
        <w:rPr>
          <w:highlight w:val="yellow"/>
        </w:rPr>
      </w:pPr>
      <w:r w:rsidRPr="00346304">
        <w:rPr>
          <w:highlight w:val="yellow"/>
        </w:rPr>
        <w:t>Lo schema che segue mostra un esempio di una tipica architettura di RRN:</w:t>
      </w:r>
    </w:p>
    <w:p w:rsidR="00675B1D" w:rsidRPr="00346304" w:rsidRDefault="00675B1D" w:rsidP="00917E9C">
      <w:pPr>
        <w:pStyle w:val="HHeadingfigures"/>
        <w:keepNext/>
        <w:ind w:left="0"/>
        <w:rPr>
          <w:highlight w:val="yellow"/>
        </w:rPr>
      </w:pPr>
      <w:bookmarkStart w:id="11" w:name="_Toc445465117"/>
      <w:bookmarkStart w:id="12" w:name="_Toc451781921"/>
      <w:bookmarkStart w:id="13" w:name="_Toc461616773"/>
      <w:r w:rsidRPr="00346304">
        <w:rPr>
          <w:highlight w:val="yellow"/>
        </w:rPr>
        <w:lastRenderedPageBreak/>
        <w:t>Architettura di RRN</w:t>
      </w:r>
      <w:bookmarkEnd w:id="11"/>
      <w:bookmarkEnd w:id="12"/>
      <w:bookmarkEnd w:id="13"/>
    </w:p>
    <w:p w:rsidR="00675B1D" w:rsidRPr="00346304" w:rsidRDefault="00675B1D" w:rsidP="008A261C">
      <w:pPr>
        <w:jc w:val="center"/>
        <w:rPr>
          <w:highlight w:val="yellow"/>
        </w:rPr>
      </w:pPr>
      <w:r w:rsidRPr="00346304">
        <w:rPr>
          <w:noProof/>
          <w:lang w:eastAsia="en-GB"/>
        </w:rPr>
        <w:drawing>
          <wp:inline distT="0" distB="0" distL="0" distR="0" wp14:anchorId="1A9910C1" wp14:editId="7D248B9C">
            <wp:extent cx="5731510" cy="4260850"/>
            <wp:effectExtent l="0" t="0" r="2540" b="635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2.em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260850"/>
                    </a:xfrm>
                    <a:prstGeom prst="rect">
                      <a:avLst/>
                    </a:prstGeom>
                  </pic:spPr>
                </pic:pic>
              </a:graphicData>
            </a:graphic>
          </wp:inline>
        </w:drawing>
      </w:r>
    </w:p>
    <w:p w:rsidR="00675B1D" w:rsidRPr="00346304" w:rsidRDefault="00675B1D" w:rsidP="00315513">
      <w:pPr>
        <w:pStyle w:val="HSource"/>
        <w:rPr>
          <w:rFonts w:cs="Arial"/>
          <w:highlight w:val="yellow"/>
        </w:rPr>
      </w:pPr>
      <w:r w:rsidRPr="00346304">
        <w:rPr>
          <w:highlight w:val="yellow"/>
        </w:rPr>
        <w:t>Fonte: Helpdesk europeo della valutazione per lo sviluppo rurale 2016</w:t>
      </w:r>
    </w:p>
    <w:p w:rsidR="00675B1D" w:rsidRPr="00346304" w:rsidRDefault="00675B1D" w:rsidP="00315513">
      <w:pPr>
        <w:pStyle w:val="HStandard"/>
        <w:rPr>
          <w:highlight w:val="yellow"/>
        </w:rPr>
      </w:pPr>
      <w:r w:rsidRPr="00346304">
        <w:rPr>
          <w:highlight w:val="yellow"/>
        </w:rPr>
        <w:t xml:space="preserve">Gli attori compresi nel </w:t>
      </w:r>
      <w:r w:rsidRPr="00346304">
        <w:rPr>
          <w:b/>
          <w:highlight w:val="yellow"/>
        </w:rPr>
        <w:t>campo principale</w:t>
      </w:r>
      <w:r w:rsidRPr="00346304">
        <w:rPr>
          <w:highlight w:val="yellow"/>
        </w:rPr>
        <w:t xml:space="preserve"> collaborano tra loro con frequenza regolare. Possono essere considerati come un sistema di cooperazione. La parte committente (AG </w:t>
      </w:r>
      <w:r>
        <w:rPr>
          <w:highlight w:val="yellow"/>
        </w:rPr>
        <w:t>–</w:t>
      </w:r>
      <w:r w:rsidRPr="00346304">
        <w:rPr>
          <w:highlight w:val="yellow"/>
        </w:rPr>
        <w:t xml:space="preserve"> autorità di gestione) è simboleggiata dal grande rettangolo verde. I piccoli rettangoli verdi rappresentano altre istituzioni con responsabilità specifiche in materia di supervisione dell'unità di sostegno alla rete (USR). La USR (b) è rappresentata da un cerchio arancione; nel nostro caso, supponiamo che un consorzio esterno sia stato incaricato di gestire l'USR. I partner del consorzio sono simboleggiati da quadrati arancioni con spessi contorni color arancio. Ulteriori attori chiave (rombi arancioni con contorni rossi) sono coinvolti nel campo principale (ad esempio nell'ambito di un comitato di monitoraggio o come fornitori di conoscenza su base regolare). In linea con il quadro giuridico, il partenariato è costituito</w:t>
      </w:r>
      <w:r w:rsidRPr="00917E9C">
        <w:rPr>
          <w:rStyle w:val="FootnoteReference"/>
          <w:highlight w:val="yellow"/>
        </w:rPr>
        <w:footnoteReference w:id="17"/>
      </w:r>
      <w:r w:rsidRPr="00346304">
        <w:rPr>
          <w:highlight w:val="yellow"/>
        </w:rPr>
        <w:t xml:space="preserve"> da «pubblica autorità competente», «parti economiche e sociali» e «organismi che rappresentano la società civile» ed è rappresentato nel campo principale</w:t>
      </w:r>
      <w:r w:rsidRPr="00346304">
        <w:rPr>
          <w:rStyle w:val="FootnoteReference"/>
          <w:highlight w:val="yellow"/>
        </w:rPr>
        <w:footnoteReference w:id="18"/>
      </w:r>
      <w:r>
        <w:rPr>
          <w:highlight w:val="yellow"/>
        </w:rPr>
        <w:t>.</w:t>
      </w:r>
    </w:p>
    <w:p w:rsidR="00675B1D" w:rsidRPr="00346304" w:rsidRDefault="00675B1D" w:rsidP="008A261C">
      <w:pPr>
        <w:pStyle w:val="HStandard"/>
        <w:rPr>
          <w:highlight w:val="yellow"/>
        </w:rPr>
      </w:pPr>
      <w:r w:rsidRPr="00346304">
        <w:rPr>
          <w:highlight w:val="yellow"/>
        </w:rPr>
        <w:t xml:space="preserve">Il </w:t>
      </w:r>
      <w:r w:rsidRPr="00346304">
        <w:rPr>
          <w:b/>
          <w:highlight w:val="yellow"/>
        </w:rPr>
        <w:t>secondo campo,</w:t>
      </w:r>
      <w:r w:rsidRPr="00346304">
        <w:rPr>
          <w:highlight w:val="yellow"/>
        </w:rPr>
        <w:t xml:space="preserve"> delimitato da una linea tratteggiata, comprende gli attori rurali che sono tra i principali clienti o contributori dei servizi dell'unità di sostegno alla rete, quali GAL, servizi di consulenza, istituti di istruzione, università, ecc. </w:t>
      </w:r>
    </w:p>
    <w:p w:rsidR="00675B1D" w:rsidRPr="00346304" w:rsidRDefault="00675B1D" w:rsidP="008A261C">
      <w:pPr>
        <w:pStyle w:val="HStandard"/>
        <w:rPr>
          <w:highlight w:val="yellow"/>
        </w:rPr>
      </w:pPr>
      <w:r w:rsidRPr="00346304">
        <w:rPr>
          <w:highlight w:val="yellow"/>
        </w:rPr>
        <w:t xml:space="preserve">Più verso l'esterno, nel </w:t>
      </w:r>
      <w:r w:rsidRPr="00346304">
        <w:rPr>
          <w:b/>
          <w:highlight w:val="yellow"/>
        </w:rPr>
        <w:t>terzo campo,</w:t>
      </w:r>
      <w:r w:rsidRPr="00346304">
        <w:rPr>
          <w:highlight w:val="yellow"/>
        </w:rPr>
        <w:t xml:space="preserve"> vi sono gli attori meno coinvolti, limitati a temi distinti e ad alcune occasioni come ad esempio i workshop informativi. </w:t>
      </w:r>
    </w:p>
    <w:p w:rsidR="00675B1D" w:rsidRPr="00346304" w:rsidRDefault="00675B1D" w:rsidP="008A261C">
      <w:pPr>
        <w:pStyle w:val="HStandard"/>
        <w:rPr>
          <w:highlight w:val="yellow"/>
        </w:rPr>
      </w:pPr>
      <w:r w:rsidRPr="00346304">
        <w:rPr>
          <w:highlight w:val="yellow"/>
        </w:rPr>
        <w:lastRenderedPageBreak/>
        <w:t xml:space="preserve">Il </w:t>
      </w:r>
      <w:r w:rsidRPr="00346304">
        <w:rPr>
          <w:b/>
          <w:highlight w:val="yellow"/>
        </w:rPr>
        <w:t>campo più esterno in assoluto</w:t>
      </w:r>
      <w:r w:rsidRPr="00346304">
        <w:rPr>
          <w:highlight w:val="yellow"/>
        </w:rPr>
        <w:t xml:space="preserve"> indica gli attori che sono più o meno passivi, ma che vengono mantenuti tra gli attori principali in qualità di potenziali contributori o utenti delle attività di rete. </w:t>
      </w:r>
    </w:p>
    <w:p w:rsidR="00675B1D" w:rsidRPr="00346304" w:rsidRDefault="00675B1D" w:rsidP="00917E9C">
      <w:pPr>
        <w:pStyle w:val="HStandard"/>
        <w:rPr>
          <w:highlight w:val="yellow"/>
        </w:rPr>
      </w:pPr>
      <w:r w:rsidRPr="00346304">
        <w:rPr>
          <w:highlight w:val="yellow"/>
        </w:rPr>
        <w:t>Tutti gli attori e il campo nel suo complesso rappresentano l'intera RRN (c). Questi attori sono reciprocamente interconnessi in molti modi, anche se questo non è mostrato nella figura per motivi di chiarezza.</w:t>
      </w:r>
    </w:p>
    <w:p w:rsidR="00675B1D" w:rsidRPr="00346304" w:rsidRDefault="00675B1D" w:rsidP="00F14A86">
      <w:pPr>
        <w:pStyle w:val="HStandard"/>
        <w:rPr>
          <w:highlight w:val="yellow"/>
        </w:rPr>
      </w:pPr>
      <w:r w:rsidRPr="00346304">
        <w:rPr>
          <w:highlight w:val="yellow"/>
        </w:rPr>
        <w:t>A prescindere dall'architettura generale della RRN sopra descritta, ciascuna RRN può sviluppare una propria definizione e tracciare una mappa della sua architettura, ad esempio utilizzando metodi di analisi</w:t>
      </w:r>
      <w:r w:rsidRPr="00346304">
        <w:rPr>
          <w:rStyle w:val="FootnoteReference"/>
          <w:highlight w:val="yellow"/>
        </w:rPr>
        <w:footnoteReference w:id="19"/>
      </w:r>
      <w:r w:rsidRPr="00346304">
        <w:rPr>
          <w:highlight w:val="yellow"/>
        </w:rPr>
        <w:t xml:space="preserve"> delle parti interessate. In realtà, l'architettura della RRN potrebbe presentare situazioni diverse da uno Stato membro all'altro</w:t>
      </w:r>
      <w:r w:rsidRPr="00346304">
        <w:rPr>
          <w:rStyle w:val="FootnoteReference"/>
          <w:highlight w:val="yellow"/>
        </w:rPr>
        <w:footnoteReference w:id="20"/>
      </w:r>
      <w:r w:rsidRPr="00346304">
        <w:rPr>
          <w:highlight w:val="yellow"/>
        </w:rPr>
        <w:t xml:space="preserve">. Ad esempio, l'unità di sostegno alla rete potrebbe aver incaricato dei nodi regionali al fine di meglio raggiungere i membri della RRN. In alcune RRN l'appartenenza è più ristretta, in altre è più aperta.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B57DA2">
        <w:trPr>
          <w:trHeight w:val="330"/>
        </w:trPr>
        <w:tc>
          <w:tcPr>
            <w:tcW w:w="9016" w:type="dxa"/>
            <w:shd w:val="clear" w:color="auto" w:fill="F5F4F4" w:themeFill="background2" w:themeFillTint="66"/>
          </w:tcPr>
          <w:p w:rsidR="00675B1D" w:rsidRPr="00346304" w:rsidRDefault="00675B1D" w:rsidP="00B57DA2">
            <w:pPr>
              <w:pStyle w:val="HStandard"/>
              <w:jc w:val="left"/>
              <w:rPr>
                <w:b/>
                <w:highlight w:val="yellow"/>
              </w:rPr>
            </w:pPr>
            <w:r w:rsidRPr="00346304">
              <w:rPr>
                <w:b/>
                <w:highlight w:val="yellow"/>
              </w:rPr>
              <w:t>Comprendere la definizione e la struttura della singola rete è importante per la valutazione delle RRN</w:t>
            </w:r>
          </w:p>
        </w:tc>
      </w:tr>
    </w:tbl>
    <w:p w:rsidR="00675B1D" w:rsidRPr="00346304" w:rsidRDefault="00675B1D" w:rsidP="00680DA9">
      <w:pPr>
        <w:pStyle w:val="HHeading2"/>
        <w:rPr>
          <w:highlight w:val="yellow"/>
        </w:rPr>
      </w:pPr>
      <w:bookmarkStart w:id="14" w:name="_Toc453079748"/>
      <w:bookmarkStart w:id="15" w:name="_Toc461616632"/>
      <w:r w:rsidRPr="00346304">
        <w:rPr>
          <w:highlight w:val="yellow"/>
        </w:rPr>
        <w:t>Perché e come si valutano le RRN?</w:t>
      </w:r>
      <w:bookmarkEnd w:id="14"/>
      <w:bookmarkEnd w:id="15"/>
    </w:p>
    <w:p w:rsidR="00675B1D" w:rsidRPr="00346304" w:rsidRDefault="00675B1D" w:rsidP="006D3475">
      <w:pPr>
        <w:pStyle w:val="HHeading5"/>
        <w:rPr>
          <w:highlight w:val="yellow"/>
        </w:rPr>
      </w:pPr>
      <w:r w:rsidRPr="00346304">
        <w:rPr>
          <w:highlight w:val="yellow"/>
        </w:rPr>
        <w:t>Lo scopo della valutazione delle RRN</w:t>
      </w:r>
    </w:p>
    <w:p w:rsidR="00675B1D" w:rsidRPr="00346304" w:rsidRDefault="00675B1D" w:rsidP="00923616">
      <w:pPr>
        <w:pStyle w:val="HStandard"/>
        <w:rPr>
          <w:highlight w:val="yellow"/>
        </w:rPr>
      </w:pPr>
      <w:r w:rsidRPr="00346304">
        <w:rPr>
          <w:b/>
          <w:highlight w:val="yellow"/>
        </w:rPr>
        <w:t>Le RRN sono una delle componenti chiave della politica di sviluppo rurale dell'UE.</w:t>
      </w:r>
      <w:r w:rsidRPr="00346304">
        <w:rPr>
          <w:highlight w:val="yellow"/>
        </w:rPr>
        <w:t xml:space="preserve"> In quanto tali, sono oggetto di valutazione nel corso del periodo di programmazione</w:t>
      </w:r>
      <w:r w:rsidRPr="00346304">
        <w:rPr>
          <w:rStyle w:val="FootnoteReference"/>
          <w:highlight w:val="yellow"/>
        </w:rPr>
        <w:footnoteReference w:id="21"/>
      </w:r>
      <w:r w:rsidRPr="00346304">
        <w:rPr>
          <w:highlight w:val="yellow"/>
        </w:rPr>
        <w:t xml:space="preserve">. </w:t>
      </w:r>
    </w:p>
    <w:p w:rsidR="00675B1D" w:rsidRPr="00346304" w:rsidRDefault="00675B1D" w:rsidP="005F73EB">
      <w:pPr>
        <w:pStyle w:val="HStandard"/>
        <w:rPr>
          <w:highlight w:val="yellow"/>
        </w:rPr>
      </w:pPr>
      <w:r w:rsidRPr="00346304">
        <w:rPr>
          <w:highlight w:val="yellow"/>
        </w:rPr>
        <w:t>Gli atti giuridici</w:t>
      </w:r>
      <w:r w:rsidRPr="00346304">
        <w:rPr>
          <w:rStyle w:val="FootnoteReference"/>
          <w:highlight w:val="yellow"/>
        </w:rPr>
        <w:footnoteReference w:id="22"/>
      </w:r>
      <w:r w:rsidRPr="00346304">
        <w:rPr>
          <w:highlight w:val="yellow"/>
        </w:rPr>
        <w:t xml:space="preserve"> definiscono obiettivi strategici specifici che le RRN devono rispettare per contribuire all'attuazione della politica di sviluppo rurale dell'Unione europea: </w:t>
      </w:r>
    </w:p>
    <w:p w:rsidR="00675B1D" w:rsidRPr="00346304" w:rsidRDefault="00675B1D" w:rsidP="00923616">
      <w:pPr>
        <w:pStyle w:val="Hlistabc"/>
        <w:rPr>
          <w:highlight w:val="yellow"/>
        </w:rPr>
      </w:pPr>
      <w:r w:rsidRPr="00346304">
        <w:rPr>
          <w:highlight w:val="yellow"/>
        </w:rPr>
        <w:t xml:space="preserve">stimolare la partecipazione delle parti interessate all'attuazione dello sviluppo rurale; </w:t>
      </w:r>
    </w:p>
    <w:p w:rsidR="00675B1D" w:rsidRPr="00346304" w:rsidRDefault="00675B1D" w:rsidP="00923616">
      <w:pPr>
        <w:pStyle w:val="Hlistabc"/>
        <w:rPr>
          <w:highlight w:val="yellow"/>
        </w:rPr>
      </w:pPr>
      <w:r w:rsidRPr="00346304">
        <w:rPr>
          <w:highlight w:val="yellow"/>
        </w:rPr>
        <w:t xml:space="preserve">migliorare la qualità dell'attuazione dei programmi di sviluppo rurale; </w:t>
      </w:r>
    </w:p>
    <w:p w:rsidR="00675B1D" w:rsidRPr="00346304" w:rsidRDefault="00675B1D" w:rsidP="00923616">
      <w:pPr>
        <w:pStyle w:val="Hlistabc"/>
        <w:rPr>
          <w:highlight w:val="yellow"/>
        </w:rPr>
      </w:pPr>
      <w:r w:rsidRPr="00346304">
        <w:rPr>
          <w:highlight w:val="yellow"/>
        </w:rPr>
        <w:t xml:space="preserve">informare il pubblico e i potenziali beneficiari sulla politica di sviluppo rurale e su eventuali possibilità di finanziamento; e </w:t>
      </w:r>
    </w:p>
    <w:p w:rsidR="00675B1D" w:rsidRPr="00346304" w:rsidRDefault="00675B1D" w:rsidP="00FF5B4F">
      <w:pPr>
        <w:pStyle w:val="Hlistabc2"/>
        <w:rPr>
          <w:highlight w:val="yellow"/>
        </w:rPr>
      </w:pPr>
      <w:r w:rsidRPr="00346304">
        <w:rPr>
          <w:highlight w:val="yellow"/>
        </w:rPr>
        <w:t xml:space="preserve">promuovere l'innovazione nel settore agricolo, nella produzione alimentare, nella silvicoltura e nelle zone rurali. </w:t>
      </w:r>
    </w:p>
    <w:p w:rsidR="00675B1D" w:rsidRPr="00346304" w:rsidRDefault="00675B1D" w:rsidP="00923616">
      <w:pPr>
        <w:pStyle w:val="HStandard"/>
        <w:rPr>
          <w:highlight w:val="yellow"/>
        </w:rPr>
      </w:pPr>
      <w:r w:rsidRPr="00346304">
        <w:rPr>
          <w:b/>
          <w:highlight w:val="yellow"/>
        </w:rPr>
        <w:t>La valutazione permette di valutare il conseguimento degli obiettivi</w:t>
      </w:r>
      <w:r w:rsidRPr="00346304">
        <w:rPr>
          <w:highlight w:val="yellow"/>
        </w:rPr>
        <w:t xml:space="preserve"> attraverso i risultati, gli impatti e il valore aggiunto</w:t>
      </w:r>
      <w:r w:rsidRPr="00346304">
        <w:rPr>
          <w:rStyle w:val="FootnoteReference"/>
          <w:highlight w:val="yellow"/>
        </w:rPr>
        <w:footnoteReference w:id="23"/>
      </w:r>
      <w:r w:rsidRPr="00346304">
        <w:rPr>
          <w:highlight w:val="yellow"/>
        </w:rPr>
        <w:t xml:space="preserve"> delle attività della RRN. Ciò contribuisce a migliorare la progettazione, la qualità e l'attuazione delle attività di rete e aiuta a giustificare e legittimare i fondi spesi. La valutazione aumenta la trasparenza e l'assunzione di responsabilità degli interventi della RRN dimostrando alle parti interessate e ai contribuenti come è stato speso il denaro. </w:t>
      </w:r>
    </w:p>
    <w:p w:rsidR="00675B1D" w:rsidRPr="00346304" w:rsidRDefault="00675B1D" w:rsidP="006D3475">
      <w:pPr>
        <w:pStyle w:val="HHeading5"/>
        <w:rPr>
          <w:highlight w:val="yellow"/>
        </w:rPr>
      </w:pPr>
      <w:r w:rsidRPr="00346304">
        <w:rPr>
          <w:highlight w:val="yellow"/>
        </w:rPr>
        <w:t xml:space="preserve">Forme di valutazione delle RRN </w:t>
      </w:r>
    </w:p>
    <w:p w:rsidR="00675B1D" w:rsidRPr="00346304" w:rsidRDefault="00675B1D" w:rsidP="00115611">
      <w:pPr>
        <w:pStyle w:val="HStandard"/>
        <w:rPr>
          <w:highlight w:val="yellow"/>
        </w:rPr>
      </w:pPr>
      <w:r w:rsidRPr="00346304">
        <w:rPr>
          <w:b/>
          <w:highlight w:val="yellow"/>
        </w:rPr>
        <w:t>La valutazione delle RRN può assumere forme diverse.</w:t>
      </w:r>
      <w:r w:rsidRPr="00346304">
        <w:rPr>
          <w:highlight w:val="yellow"/>
        </w:rPr>
        <w:t xml:space="preserve"> Negli Stati membri in cui la RRN non costituisce un programma distinto, essa è più comunemente valutata come parte del PSR e valutata solo in via opzionale tramite una valutazione indipendente distinta. Per contro, il PRRN, come qualsiasi altro programma, deve essere sempre valutato attraverso una valutazione indipendente distinta. </w:t>
      </w:r>
    </w:p>
    <w:p w:rsidR="00675B1D" w:rsidRPr="00346304" w:rsidRDefault="00675B1D" w:rsidP="00FF5B4F">
      <w:pPr>
        <w:pStyle w:val="HStandard"/>
        <w:rPr>
          <w:highlight w:val="yellow"/>
        </w:rPr>
      </w:pPr>
      <w:r w:rsidRPr="00346304">
        <w:rPr>
          <w:b/>
          <w:highlight w:val="yellow"/>
        </w:rPr>
        <w:lastRenderedPageBreak/>
        <w:t>Le valutazioni delle RRN possono anche costituire parte di valutazioni tematiche</w:t>
      </w:r>
      <w:r w:rsidRPr="00346304">
        <w:rPr>
          <w:highlight w:val="yellow"/>
        </w:rPr>
        <w:t xml:space="preserve"> su diversi temi. Ad esempio, la valutazione tematica sull'innovazione potrebbe includere la valutazione del contributo delle attività di RRN al sostegno di partenariati per l'innovazione mediante il trasferimento di approcci innovativi, la diffusione di progetti innovativi sostenuti attraverso misure PSR, ecc. Ciò può includere anche la collaborazione della RRN con la rete PEI-AGRI.</w:t>
      </w:r>
    </w:p>
    <w:p w:rsidR="00675B1D" w:rsidRPr="00346304" w:rsidRDefault="00675B1D" w:rsidP="00E02C8A">
      <w:pPr>
        <w:pStyle w:val="HStandard"/>
        <w:rPr>
          <w:rFonts w:ascii="Helvetica" w:hAnsi="Helvetica" w:cs="Helvetica"/>
          <w:color w:val="auto"/>
          <w:highlight w:val="yellow"/>
        </w:rPr>
      </w:pPr>
      <w:r w:rsidRPr="00346304">
        <w:rPr>
          <w:highlight w:val="yellow"/>
        </w:rPr>
        <w:t xml:space="preserve">Inoltre, la RRN può anche scegliere di effettuare un'autovalutazione dei risultati, degli impatti e delle realizzazioni degli obiettivi della rete. </w:t>
      </w:r>
    </w:p>
    <w:p w:rsidR="00675B1D" w:rsidRPr="00346304" w:rsidRDefault="00675B1D" w:rsidP="00FF5B4F">
      <w:pPr>
        <w:pStyle w:val="HStandard"/>
        <w:rPr>
          <w:highlight w:val="yellow"/>
        </w:rPr>
      </w:pPr>
      <w:r w:rsidRPr="00346304">
        <w:rPr>
          <w:highlight w:val="yellow"/>
        </w:rPr>
        <w:t>Oltre ai requisiti giuridici, la forma scelta della valutazione della RRN dipenderà dall'interesse specifico dell'autorità di gestione e dell'unità di sostegno alla rete, e dal bilancio stanziato per la valutazione.</w:t>
      </w:r>
    </w:p>
    <w:p w:rsidR="00675B1D" w:rsidRPr="00346304" w:rsidRDefault="00675B1D" w:rsidP="006D3475">
      <w:pPr>
        <w:pStyle w:val="HHeading5"/>
        <w:rPr>
          <w:highlight w:val="yellow"/>
        </w:rPr>
      </w:pPr>
      <w:r w:rsidRPr="00346304">
        <w:rPr>
          <w:highlight w:val="yellow"/>
        </w:rPr>
        <w:t>Autovalutazione della RRN</w:t>
      </w:r>
    </w:p>
    <w:p w:rsidR="00675B1D" w:rsidRPr="00346304" w:rsidRDefault="00675B1D" w:rsidP="00FF5B4F">
      <w:pPr>
        <w:pStyle w:val="HStandard"/>
        <w:rPr>
          <w:highlight w:val="yellow"/>
        </w:rPr>
      </w:pPr>
      <w:r w:rsidRPr="00346304">
        <w:rPr>
          <w:b/>
          <w:highlight w:val="yellow"/>
        </w:rPr>
        <w:t xml:space="preserve">L'autovalutazione è un processo svolto dalla RRN stessa </w:t>
      </w:r>
      <w:r w:rsidRPr="00346304">
        <w:rPr>
          <w:highlight w:val="yellow"/>
        </w:rPr>
        <w:t xml:space="preserve">che genera di conseguenza un parere interno in merito alle attività e alle prestazioni della RRN. Questo aiuta gli attori coinvolti a comprendere se le loro attività contribuiscano o meno efficacemente alla realizzazione degli obiettivi della rete. La valutazione esterna, al contrario, offre un punto di vista esterno indipendente con analoghe finalità. La valutazione esterna trae inoltre apprendimenti per migliorare la progettazione, gli interventi e l'attuazione delle RRN. </w:t>
      </w:r>
    </w:p>
    <w:p w:rsidR="00675B1D" w:rsidRPr="00346304" w:rsidRDefault="00675B1D" w:rsidP="00EC0781">
      <w:pPr>
        <w:pStyle w:val="HStandard"/>
        <w:rPr>
          <w:highlight w:val="yellow"/>
        </w:rPr>
      </w:pPr>
      <w:r w:rsidRPr="00346304">
        <w:rPr>
          <w:b/>
          <w:highlight w:val="yellow"/>
        </w:rPr>
        <w:t>L'autovalutazione può e dovrebbe essere interconnessa con la valutazione della RRN</w:t>
      </w:r>
      <w:r w:rsidRPr="00346304">
        <w:rPr>
          <w:highlight w:val="yellow"/>
        </w:rPr>
        <w:t xml:space="preserve"> al fine di garantire che le prove raccolte possano essere utilizzate come una delle possibili fonti di informazione quando si valutano l'efficienza, l'efficacia, i risultati e gli impatti della RRN stessa. Collegamenti e complementarità ben definite tra l'autovalutazione delle RRN e la valutazione della RRN contribuiscono a ridurre i costi di entrambi gli esercizi. Tuttavia, ciò richiede che diversi attori si coordinino e collaborino tra loro: l'USR/RRN, l'autorità di gestione del programma e il valutatore (</w:t>
      </w:r>
      <w:r w:rsidRPr="00346304">
        <w:rPr>
          <w:highlight w:val="yellow"/>
        </w:rPr>
        <w:fldChar w:fldCharType="begin" w:fldLock="1"/>
      </w:r>
      <w:r w:rsidRPr="00346304">
        <w:rPr>
          <w:highlight w:val="yellow"/>
        </w:rPr>
        <w:instrText xml:space="preserve"> REF _Ref451784251 \r \h  \* MERGEFORMAT </w:instrText>
      </w:r>
      <w:r w:rsidRPr="00346304">
        <w:rPr>
          <w:highlight w:val="yellow"/>
        </w:rPr>
      </w:r>
      <w:r w:rsidRPr="00346304">
        <w:rPr>
          <w:highlight w:val="yellow"/>
        </w:rPr>
        <w:fldChar w:fldCharType="separate"/>
      </w:r>
      <w:r w:rsidRPr="00346304">
        <w:rPr>
          <w:highlight w:val="yellow"/>
        </w:rPr>
        <w:t>Figura 3</w:t>
      </w:r>
      <w:r w:rsidRPr="00346304">
        <w:rPr>
          <w:highlight w:val="yellow"/>
        </w:rPr>
        <w:fldChar w:fldCharType="end"/>
      </w:r>
      <w:r w:rsidRPr="00346304">
        <w:rPr>
          <w:highlight w:val="yellow"/>
        </w:rPr>
        <w:t>).</w:t>
      </w:r>
    </w:p>
    <w:p w:rsidR="00675B1D" w:rsidRPr="00346304" w:rsidRDefault="00675B1D">
      <w:pPr>
        <w:spacing w:after="0" w:line="240" w:lineRule="auto"/>
        <w:rPr>
          <w:rFonts w:cs="Arial"/>
          <w:b/>
          <w:color w:val="576C88" w:themeColor="text2" w:themeTint="D9"/>
          <w:sz w:val="16"/>
          <w:szCs w:val="20"/>
          <w:highlight w:val="yellow"/>
        </w:rPr>
      </w:pPr>
      <w:bookmarkStart w:id="16" w:name="_Toc390439646"/>
      <w:bookmarkStart w:id="17" w:name="_Ref434411589"/>
      <w:bookmarkStart w:id="18" w:name="_Ref435789100"/>
      <w:bookmarkStart w:id="19" w:name="_Toc436383141"/>
      <w:bookmarkStart w:id="20" w:name="_Toc445465118"/>
      <w:bookmarkStart w:id="21" w:name="_Toc451781922"/>
      <w:bookmarkStart w:id="22" w:name="_Ref451784251"/>
      <w:bookmarkStart w:id="23" w:name="_Ref451784253"/>
      <w:bookmarkStart w:id="24" w:name="_Ref451784254"/>
    </w:p>
    <w:p w:rsidR="00675B1D" w:rsidRPr="00346304" w:rsidRDefault="00675B1D" w:rsidP="00917E9C">
      <w:pPr>
        <w:pStyle w:val="HHeadingfigures"/>
        <w:keepNext/>
        <w:ind w:left="0"/>
        <w:rPr>
          <w:highlight w:val="yellow"/>
        </w:rPr>
      </w:pPr>
      <w:bookmarkStart w:id="25" w:name="_Toc461616774"/>
      <w:r w:rsidRPr="00346304">
        <w:rPr>
          <w:highlight w:val="yellow"/>
        </w:rPr>
        <w:t>Confronti tra autovalutazione e valutazione della RRN</w:t>
      </w:r>
      <w:bookmarkEnd w:id="16"/>
      <w:bookmarkEnd w:id="17"/>
      <w:bookmarkEnd w:id="18"/>
      <w:bookmarkEnd w:id="19"/>
      <w:bookmarkEnd w:id="20"/>
      <w:bookmarkEnd w:id="21"/>
      <w:bookmarkEnd w:id="22"/>
      <w:bookmarkEnd w:id="23"/>
      <w:bookmarkEnd w:id="24"/>
      <w:bookmarkEnd w:id="25"/>
    </w:p>
    <w:p w:rsidR="00675B1D" w:rsidRPr="00346304" w:rsidRDefault="00675B1D" w:rsidP="00240358">
      <w:pPr>
        <w:pStyle w:val="HStandard"/>
        <w:jc w:val="center"/>
        <w:rPr>
          <w:highlight w:val="yellow"/>
        </w:rPr>
      </w:pPr>
      <w:r w:rsidRPr="00A147C7">
        <w:rPr>
          <w:noProof/>
          <w:lang w:val="en-GB" w:eastAsia="en-GB" w:bidi="ar-SA"/>
        </w:rPr>
        <w:drawing>
          <wp:inline distT="0" distB="0" distL="0" distR="0" wp14:anchorId="5E2046A5" wp14:editId="17430B13">
            <wp:extent cx="5731510" cy="3683821"/>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683821"/>
                    </a:xfrm>
                    <a:prstGeom prst="rect">
                      <a:avLst/>
                    </a:prstGeom>
                    <a:noFill/>
                    <a:ln>
                      <a:noFill/>
                    </a:ln>
                  </pic:spPr>
                </pic:pic>
              </a:graphicData>
            </a:graphic>
          </wp:inline>
        </w:drawing>
      </w:r>
    </w:p>
    <w:p w:rsidR="00675B1D" w:rsidRPr="00346304" w:rsidRDefault="00675B1D" w:rsidP="00C71F5E">
      <w:pPr>
        <w:pStyle w:val="HSource"/>
        <w:rPr>
          <w:rFonts w:cs="Arial"/>
          <w:highlight w:val="yellow"/>
        </w:rPr>
      </w:pPr>
      <w:bookmarkStart w:id="26" w:name="_Toc260776799"/>
      <w:bookmarkStart w:id="27" w:name="_Toc262890482"/>
      <w:bookmarkStart w:id="28" w:name="_Toc263960909"/>
      <w:bookmarkStart w:id="29" w:name="_Toc264576620"/>
      <w:bookmarkStart w:id="30" w:name="_Toc267576419"/>
      <w:bookmarkStart w:id="31" w:name="_Toc267576747"/>
      <w:r w:rsidRPr="00346304">
        <w:rPr>
          <w:highlight w:val="yellow"/>
        </w:rPr>
        <w:t>Fonte: Helpdesk europeo della valutazione per lo sviluppo rurale 2016</w:t>
      </w:r>
    </w:p>
    <w:bookmarkEnd w:id="26"/>
    <w:bookmarkEnd w:id="27"/>
    <w:bookmarkEnd w:id="28"/>
    <w:bookmarkEnd w:id="29"/>
    <w:bookmarkEnd w:id="30"/>
    <w:bookmarkEnd w:id="31"/>
    <w:p w:rsidR="00675B1D" w:rsidRPr="00346304" w:rsidRDefault="00675B1D" w:rsidP="00FF5B4F">
      <w:pPr>
        <w:pStyle w:val="HStandard"/>
        <w:rPr>
          <w:highlight w:val="yellow"/>
        </w:rPr>
      </w:pPr>
      <w:r w:rsidRPr="00346304">
        <w:rPr>
          <w:highlight w:val="yellow"/>
        </w:rPr>
        <w:lastRenderedPageBreak/>
        <w:t xml:space="preserve">Al fine di utilizzare l'autovalutazione come un efficace strumento di apprendimento e autoriflessione, gli attori possono voler includere l'autovalutazione della RRN nel loro piano di azione o nel piano di sviluppo delle capacità. Una pianificazione lungimirante delle attività di autovalutazione viene idealmente avviata in una fase iniziale dell'attuazione della RRN. </w:t>
      </w:r>
    </w:p>
    <w:p w:rsidR="00675B1D" w:rsidRPr="00346304" w:rsidRDefault="00675B1D" w:rsidP="009D73B8">
      <w:pPr>
        <w:pStyle w:val="HStandard"/>
        <w:rPr>
          <w:highlight w:val="yellow"/>
        </w:rPr>
      </w:pPr>
      <w:r w:rsidRPr="00346304">
        <w:rPr>
          <w:highlight w:val="yellow"/>
        </w:rPr>
        <w:t xml:space="preserve">L'autovalutazione è spesso organizzata come un ciclo continuo di attività che coinvolgono periodicamente attori diversi in diversi momenti nel tempo. In genere si utilizzano metodi qualitativi per raccogliere prove, come ad esempio: </w:t>
      </w:r>
    </w:p>
    <w:p w:rsidR="00675B1D" w:rsidRPr="00346304" w:rsidRDefault="00675B1D" w:rsidP="009D73B8">
      <w:pPr>
        <w:pStyle w:val="Hlistbullet"/>
        <w:rPr>
          <w:highlight w:val="yellow"/>
        </w:rPr>
      </w:pPr>
      <w:r w:rsidRPr="00346304">
        <w:rPr>
          <w:highlight w:val="yellow"/>
        </w:rPr>
        <w:t xml:space="preserve">riunioni delle parti interessate; </w:t>
      </w:r>
    </w:p>
    <w:p w:rsidR="00675B1D" w:rsidRPr="00346304" w:rsidRDefault="00675B1D" w:rsidP="009D73B8">
      <w:pPr>
        <w:pStyle w:val="Hlistbullet"/>
        <w:rPr>
          <w:highlight w:val="yellow"/>
        </w:rPr>
      </w:pPr>
      <w:r w:rsidRPr="00346304">
        <w:rPr>
          <w:highlight w:val="yellow"/>
        </w:rPr>
        <w:t xml:space="preserve">gruppi civici e comitati di cittadini; </w:t>
      </w:r>
    </w:p>
    <w:p w:rsidR="00675B1D" w:rsidRPr="00346304" w:rsidRDefault="00675B1D" w:rsidP="009D73B8">
      <w:pPr>
        <w:pStyle w:val="Hlistbullet"/>
        <w:rPr>
          <w:highlight w:val="yellow"/>
        </w:rPr>
      </w:pPr>
      <w:r w:rsidRPr="00346304">
        <w:rPr>
          <w:highlight w:val="yellow"/>
        </w:rPr>
        <w:t xml:space="preserve">gruppi specifici di discussione; </w:t>
      </w:r>
    </w:p>
    <w:p w:rsidR="00675B1D" w:rsidRPr="00346304" w:rsidRDefault="00675B1D" w:rsidP="009D73B8">
      <w:pPr>
        <w:pStyle w:val="Hlistbullet"/>
        <w:rPr>
          <w:highlight w:val="yellow"/>
        </w:rPr>
      </w:pPr>
      <w:r w:rsidRPr="00346304">
        <w:rPr>
          <w:highlight w:val="yellow"/>
        </w:rPr>
        <w:t xml:space="preserve">lo «spazio aperto»; </w:t>
      </w:r>
    </w:p>
    <w:p w:rsidR="00675B1D" w:rsidRPr="00346304" w:rsidRDefault="00675B1D" w:rsidP="009D73B8">
      <w:pPr>
        <w:pStyle w:val="Hlistbullet"/>
        <w:rPr>
          <w:highlight w:val="yellow"/>
        </w:rPr>
      </w:pPr>
      <w:r w:rsidRPr="00346304">
        <w:rPr>
          <w:highlight w:val="yellow"/>
        </w:rPr>
        <w:t>fogli di riscontro relativi alle attività;</w:t>
      </w:r>
    </w:p>
    <w:p w:rsidR="00675B1D" w:rsidRPr="00346304" w:rsidRDefault="00675B1D" w:rsidP="009D73B8">
      <w:pPr>
        <w:pStyle w:val="Hlistbullet2"/>
        <w:rPr>
          <w:highlight w:val="yellow"/>
        </w:rPr>
      </w:pPr>
      <w:r w:rsidRPr="00346304">
        <w:rPr>
          <w:highlight w:val="yellow"/>
        </w:rPr>
        <w:t xml:space="preserve">valutazioni dei fabbisogni tramite indagini, ecc. </w:t>
      </w:r>
    </w:p>
    <w:p w:rsidR="00675B1D" w:rsidRPr="00346304" w:rsidRDefault="00675B1D" w:rsidP="009D73B8">
      <w:pPr>
        <w:pStyle w:val="HStandard"/>
        <w:rPr>
          <w:highlight w:val="yellow"/>
        </w:rPr>
      </w:pPr>
      <w:r w:rsidRPr="00346304">
        <w:rPr>
          <w:highlight w:val="yellow"/>
        </w:rPr>
        <w:t>È importante scegliere e adattare una metodologia che è stata specificamente sviluppata e testata per la valutazione delle reti</w:t>
      </w:r>
      <w:r w:rsidRPr="00346304">
        <w:rPr>
          <w:rStyle w:val="FootnoteReference"/>
          <w:highlight w:val="yellow"/>
        </w:rPr>
        <w:footnoteReference w:id="24"/>
      </w:r>
      <w:r w:rsidRPr="00346304">
        <w:rPr>
          <w:highlight w:val="yellow"/>
        </w:rPr>
        <w:t xml:space="preserve">. Si devono allocare risorse sufficienti e tempo all'autovalutazione, e i suoi risultati devono alimentare il piano di azione e le operazioni della RRN. </w:t>
      </w:r>
    </w:p>
    <w:p w:rsidR="00675B1D" w:rsidRPr="00346304" w:rsidRDefault="00675B1D" w:rsidP="003A1D3C">
      <w:pPr>
        <w:pStyle w:val="HStandard"/>
        <w:rPr>
          <w:highlight w:val="yellow"/>
        </w:rPr>
      </w:pPr>
      <w:r w:rsidRPr="00346304">
        <w:rPr>
          <w:highlight w:val="yellow"/>
        </w:rPr>
        <w:t>Ulteriori informazioni sugli strumenti e sui metodi di autovalutazione sono disponibili sul sito web della RESR</w:t>
      </w:r>
      <w:r w:rsidRPr="00346304">
        <w:rPr>
          <w:rStyle w:val="FootnoteReference"/>
          <w:highlight w:val="yellow"/>
        </w:rPr>
        <w:footnoteReference w:id="25"/>
      </w:r>
      <w:r w:rsidRPr="00346304">
        <w:rPr>
          <w:highlight w:val="yellow"/>
        </w:rPr>
        <w:t xml:space="preserve">. </w:t>
      </w:r>
    </w:p>
    <w:p w:rsidR="00675B1D" w:rsidRPr="00346304" w:rsidRDefault="00675B1D" w:rsidP="00680DA9">
      <w:pPr>
        <w:pStyle w:val="HHeading2"/>
        <w:rPr>
          <w:highlight w:val="yellow"/>
        </w:rPr>
      </w:pPr>
      <w:bookmarkStart w:id="32" w:name="_Toc453079749"/>
      <w:bookmarkStart w:id="33" w:name="_Toc461616633"/>
      <w:r w:rsidRPr="00346304">
        <w:rPr>
          <w:highlight w:val="yellow"/>
        </w:rPr>
        <w:t>Requisiti della valutazione delle RRN nella politica di sviluppo rurale dell'UE</w:t>
      </w:r>
      <w:bookmarkEnd w:id="32"/>
      <w:bookmarkEnd w:id="33"/>
    </w:p>
    <w:p w:rsidR="00675B1D" w:rsidRPr="00346304" w:rsidRDefault="00675B1D" w:rsidP="00680DA9">
      <w:pPr>
        <w:pStyle w:val="HHeading3"/>
        <w:rPr>
          <w:highlight w:val="yellow"/>
        </w:rPr>
      </w:pPr>
      <w:bookmarkStart w:id="34" w:name="_Toc453079750"/>
      <w:bookmarkStart w:id="35" w:name="_Toc461616634"/>
      <w:r w:rsidRPr="00346304">
        <w:rPr>
          <w:highlight w:val="yellow"/>
        </w:rPr>
        <w:t>Calendario dei requisiti giuridici per la valutazione e la rendicontazione</w:t>
      </w:r>
      <w:bookmarkEnd w:id="34"/>
      <w:bookmarkEnd w:id="35"/>
    </w:p>
    <w:p w:rsidR="00675B1D" w:rsidRPr="00346304" w:rsidRDefault="00675B1D" w:rsidP="00923616">
      <w:pPr>
        <w:pStyle w:val="HStandard"/>
        <w:rPr>
          <w:highlight w:val="yellow"/>
        </w:rPr>
      </w:pPr>
      <w:r w:rsidRPr="00346304">
        <w:rPr>
          <w:b/>
          <w:highlight w:val="yellow"/>
        </w:rPr>
        <w:t>Il quadro giuridico dell'UE</w:t>
      </w:r>
      <w:r w:rsidRPr="00346304">
        <w:rPr>
          <w:rStyle w:val="FootnoteReference"/>
          <w:highlight w:val="yellow"/>
        </w:rPr>
        <w:footnoteReference w:id="26"/>
      </w:r>
      <w:r w:rsidRPr="00346304">
        <w:rPr>
          <w:b/>
          <w:highlight w:val="yellow"/>
        </w:rPr>
        <w:t xml:space="preserve"> impone che le RRN siano valutate:</w:t>
      </w:r>
      <w:r w:rsidRPr="00346304">
        <w:rPr>
          <w:highlight w:val="yellow"/>
        </w:rPr>
        <w:t xml:space="preserve"> come parte della valutazione del PSR per le RRN incluse nel programma oppure tramite valutazioni separate nel caso di PRRN. Informazioni in merito a tali valutazioni devono essere comunicate durante l'intero periodo di programmazione.</w:t>
      </w:r>
    </w:p>
    <w:p w:rsidR="00675B1D" w:rsidRPr="00346304" w:rsidRDefault="00675B1D" w:rsidP="00D21174">
      <w:pPr>
        <w:pStyle w:val="HHeadingfigures"/>
        <w:ind w:left="0"/>
        <w:rPr>
          <w:highlight w:val="yellow"/>
        </w:rPr>
      </w:pPr>
      <w:bookmarkStart w:id="36" w:name="_Toc445465119"/>
      <w:bookmarkStart w:id="37" w:name="_Toc451781923"/>
      <w:bookmarkStart w:id="38" w:name="_Toc461616775"/>
      <w:r w:rsidRPr="00346304">
        <w:rPr>
          <w:highlight w:val="yellow"/>
        </w:rPr>
        <w:t>Calendario della rendicontazione delle valutazioni delle RRN</w:t>
      </w:r>
      <w:bookmarkEnd w:id="36"/>
      <w:bookmarkEnd w:id="37"/>
      <w:bookmarkEnd w:id="38"/>
      <w:r w:rsidRPr="00346304">
        <w:rPr>
          <w:highlight w:val="yellow"/>
        </w:rPr>
        <w:t xml:space="preserve"> </w:t>
      </w:r>
    </w:p>
    <w:p w:rsidR="00675B1D" w:rsidRPr="00346304" w:rsidRDefault="00675B1D" w:rsidP="008F4DBD">
      <w:pPr>
        <w:pStyle w:val="HStandard"/>
        <w:rPr>
          <w:highlight w:val="yellow"/>
        </w:rPr>
      </w:pPr>
      <w:r w:rsidRPr="00346304">
        <w:rPr>
          <w:noProof/>
          <w:lang w:val="en-GB" w:eastAsia="en-GB" w:bidi="ar-SA"/>
        </w:rPr>
        <w:drawing>
          <wp:inline distT="0" distB="0" distL="0" distR="0" wp14:anchorId="1E038D76" wp14:editId="0956ADDB">
            <wp:extent cx="5731510" cy="1551305"/>
            <wp:effectExtent l="0" t="0" r="254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4.em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1551305"/>
                    </a:xfrm>
                    <a:prstGeom prst="rect">
                      <a:avLst/>
                    </a:prstGeom>
                  </pic:spPr>
                </pic:pic>
              </a:graphicData>
            </a:graphic>
          </wp:inline>
        </w:drawing>
      </w:r>
    </w:p>
    <w:p w:rsidR="00675B1D" w:rsidRPr="00346304" w:rsidRDefault="00675B1D" w:rsidP="008F4DBD">
      <w:pPr>
        <w:pStyle w:val="HSource"/>
        <w:rPr>
          <w:highlight w:val="yellow"/>
        </w:rPr>
      </w:pPr>
      <w:r w:rsidRPr="00346304">
        <w:rPr>
          <w:highlight w:val="yellow"/>
        </w:rPr>
        <w:t>Fonte: Helpdesk europeo della valutazione per lo sviluppo rurale, 2016</w:t>
      </w:r>
    </w:p>
    <w:p w:rsidR="00675B1D" w:rsidRPr="00346304" w:rsidRDefault="00675B1D" w:rsidP="006D3475">
      <w:pPr>
        <w:pStyle w:val="HHeading5"/>
        <w:rPr>
          <w:highlight w:val="yellow"/>
        </w:rPr>
      </w:pPr>
      <w:r w:rsidRPr="00346304">
        <w:rPr>
          <w:highlight w:val="yellow"/>
        </w:rPr>
        <w:lastRenderedPageBreak/>
        <w:t>Rendicontazione in merito alla valutazione della RRN(/del PRRN) nelle relazioni annuali sull’attuazione</w:t>
      </w:r>
    </w:p>
    <w:p w:rsidR="00675B1D" w:rsidRPr="00346304" w:rsidRDefault="00675B1D" w:rsidP="00923616">
      <w:pPr>
        <w:pStyle w:val="HStandard"/>
        <w:rPr>
          <w:highlight w:val="yellow"/>
        </w:rPr>
      </w:pPr>
      <w:r w:rsidRPr="00346304">
        <w:rPr>
          <w:highlight w:val="yellow"/>
        </w:rPr>
        <w:t>Ogni relazione annuale sull'attuazione (PSR e PRRN) deve contenere informazioni in merito ai progressi nell’attuazione del piano di valutazione</w:t>
      </w:r>
      <w:r w:rsidRPr="00346304">
        <w:rPr>
          <w:rStyle w:val="FootnoteReference"/>
          <w:highlight w:val="yellow"/>
        </w:rPr>
        <w:footnoteReference w:id="27"/>
      </w:r>
      <w:r w:rsidRPr="00346304">
        <w:rPr>
          <w:highlight w:val="yellow"/>
        </w:rPr>
        <w:t xml:space="preserve">, ivi comprese informazioni in merito alle attività di valutazione svolte, un elenco e una sintesi delle valutazioni completate, nonché in merito alle attività di comunicazione e di seguito relative ai risultati e alle risultanze emersi dalla valutazione. Per le RRN costituite nell'ambito del PSR, la rendicontazione si concentrerà su ciò che è stato realizzato nell'anno considerato, rispetto alla valutazione della RRN (ad esempio, le specifiche attività di valutazione della RRN, la comunicazione in merito alle risultanze della valutazione e il seguito); per i PRRN si devono invece riportare ogni anno tutti gli elementi elencati. </w:t>
      </w:r>
    </w:p>
    <w:p w:rsidR="00675B1D" w:rsidRPr="00346304" w:rsidRDefault="00675B1D" w:rsidP="006D3475">
      <w:pPr>
        <w:pStyle w:val="HHeading5"/>
        <w:rPr>
          <w:highlight w:val="yellow"/>
        </w:rPr>
      </w:pPr>
      <w:r w:rsidRPr="00346304">
        <w:rPr>
          <w:highlight w:val="yellow"/>
        </w:rPr>
        <w:t>Rendicontazione in merito alla valutazione (del programma) della RRN nelle relazioni annuali sull’attuazione 2017 e 2019</w:t>
      </w:r>
    </w:p>
    <w:p w:rsidR="00675B1D" w:rsidRPr="00346304" w:rsidRDefault="00675B1D" w:rsidP="00A75DD3">
      <w:pPr>
        <w:pStyle w:val="HStandard"/>
        <w:rPr>
          <w:highlight w:val="yellow"/>
        </w:rPr>
      </w:pPr>
      <w:r w:rsidRPr="00346304">
        <w:rPr>
          <w:highlight w:val="yellow"/>
        </w:rPr>
        <w:t>Le relazioni annuali sull’attuazione integrate da presentare nel 2017 e nel 2019 dovranno contenere informazioni in merito ai progressi e alla quantificazione delle realizzazioni rispetto agli obiettivi del programma</w:t>
      </w:r>
      <w:r w:rsidRPr="00346304">
        <w:rPr>
          <w:rStyle w:val="FootnoteReference"/>
          <w:highlight w:val="yellow"/>
        </w:rPr>
        <w:footnoteReference w:id="28"/>
      </w:r>
      <w:r w:rsidRPr="00346304">
        <w:rPr>
          <w:highlight w:val="yellow"/>
        </w:rPr>
        <w:t>. In relazione alla valutazione della RRN, si deve rispondere alla domanda del questionario valutativo comune: «In che misura la RRN ha contribuito al conseguimento degli obiettivi di cui all’articolo 54, paragrafo 2, del regolamento (UE) n. 1305/2013?» già nel 2017 per le RRN che sono parte di un PSR e per i PRRN</w:t>
      </w:r>
      <w:r w:rsidRPr="00346304">
        <w:rPr>
          <w:rStyle w:val="FootnoteReference"/>
          <w:highlight w:val="yellow"/>
        </w:rPr>
        <w:footnoteReference w:id="29"/>
      </w:r>
      <w:r w:rsidRPr="00346304">
        <w:rPr>
          <w:highlight w:val="yellow"/>
        </w:rPr>
        <w:t xml:space="preserve">, utilizzando gli indicatori comuni di prodotto. </w:t>
      </w:r>
    </w:p>
    <w:p w:rsidR="00675B1D" w:rsidRPr="00346304" w:rsidRDefault="00675B1D" w:rsidP="00745022">
      <w:pPr>
        <w:pStyle w:val="HStandard"/>
        <w:rPr>
          <w:highlight w:val="yellow"/>
        </w:rPr>
      </w:pPr>
      <w:r w:rsidRPr="00346304">
        <w:rPr>
          <w:highlight w:val="yellow"/>
        </w:rPr>
        <w:t xml:space="preserve">Le relazioni annuali sull’attuazione presentate nel 2017 e nel 2019 dovrebbero fornire </w:t>
      </w:r>
      <w:r w:rsidRPr="00346304">
        <w:rPr>
          <w:b/>
          <w:highlight w:val="yellow"/>
        </w:rPr>
        <w:t>informazioni sull'uso di tutti gli elementi specifici del programma relativi alla RRN</w:t>
      </w:r>
      <w:r w:rsidRPr="00346304">
        <w:rPr>
          <w:highlight w:val="yellow"/>
        </w:rPr>
        <w:t xml:space="preserve"> e, se possibile, informare sui risultati della valutazione degli </w:t>
      </w:r>
      <w:r w:rsidRPr="00346304">
        <w:rPr>
          <w:b/>
          <w:highlight w:val="yellow"/>
        </w:rPr>
        <w:t>indicatori relativi alla RRN specifici del programma</w:t>
      </w:r>
      <w:r w:rsidRPr="00346304">
        <w:rPr>
          <w:highlight w:val="yellow"/>
        </w:rPr>
        <w:t xml:space="preserve"> e sulle risposte alle </w:t>
      </w:r>
      <w:r w:rsidRPr="00346304">
        <w:rPr>
          <w:b/>
          <w:highlight w:val="yellow"/>
        </w:rPr>
        <w:t>domande di valutazione specifiche del programma relative alle RRN</w:t>
      </w:r>
      <w:r w:rsidRPr="00346304">
        <w:rPr>
          <w:highlight w:val="yellow"/>
        </w:rPr>
        <w:t xml:space="preserve">. </w:t>
      </w:r>
    </w:p>
    <w:p w:rsidR="00675B1D" w:rsidRPr="00346304" w:rsidRDefault="00675B1D" w:rsidP="006D3475">
      <w:pPr>
        <w:pStyle w:val="HHeading5"/>
        <w:rPr>
          <w:highlight w:val="yellow"/>
        </w:rPr>
      </w:pPr>
      <w:r w:rsidRPr="00346304">
        <w:rPr>
          <w:highlight w:val="yellow"/>
        </w:rPr>
        <w:t>Rendicontazione sulla valutazione della RRN (/del PRRN) nella relazione sui progressi realizzati nell'attuazione dell'accordo di partenariato</w:t>
      </w:r>
    </w:p>
    <w:p w:rsidR="00675B1D" w:rsidRPr="00346304" w:rsidRDefault="00675B1D" w:rsidP="00923616">
      <w:pPr>
        <w:pStyle w:val="HStandard"/>
        <w:rPr>
          <w:highlight w:val="yellow"/>
        </w:rPr>
      </w:pPr>
      <w:r w:rsidRPr="00346304">
        <w:rPr>
          <w:highlight w:val="yellow"/>
        </w:rPr>
        <w:t>Gli Stati membri devono presentare alla Commissione una relazione sui progressi realizzati nell'attuazione dell'accordo di partenariato entro il 31 agosto del 2017 e del 2019</w:t>
      </w:r>
      <w:r w:rsidRPr="00346304">
        <w:rPr>
          <w:rStyle w:val="FootnoteReference"/>
          <w:highlight w:val="yellow"/>
        </w:rPr>
        <w:footnoteReference w:id="30"/>
      </w:r>
      <w:r w:rsidRPr="00346304">
        <w:rPr>
          <w:highlight w:val="yellow"/>
        </w:rPr>
        <w:t>. Tali relazioni forniscono informazioni sulle risultanze della valutazione relativa alla RRN qualora quest'ultima abbia incluso aspetti che devono essere segnalati</w:t>
      </w:r>
      <w:r w:rsidRPr="00346304">
        <w:rPr>
          <w:rStyle w:val="FootnoteReference"/>
          <w:highlight w:val="yellow"/>
        </w:rPr>
        <w:footnoteReference w:id="31"/>
      </w:r>
      <w:r w:rsidRPr="00346304">
        <w:rPr>
          <w:highlight w:val="yellow"/>
        </w:rPr>
        <w:t xml:space="preserve"> nella relazione sui progressi realizzati, come ad esempio il ruolo dei partner, le azioni intraprese per rafforzare la capacità delle autorità degli Stati membri e dei beneficiari di amministrare e utilizzare i fondi SIE, nonché le azioni adottate e i risultati conseguiti nell'ottica della riduzione degli oneri amministrativi a carico dei beneficiari. </w:t>
      </w:r>
    </w:p>
    <w:p w:rsidR="00675B1D" w:rsidRPr="00346304" w:rsidRDefault="00675B1D" w:rsidP="006D3475">
      <w:pPr>
        <w:pStyle w:val="HHeading5"/>
        <w:rPr>
          <w:highlight w:val="yellow"/>
        </w:rPr>
      </w:pPr>
      <w:r w:rsidRPr="00346304">
        <w:rPr>
          <w:highlight w:val="yellow"/>
        </w:rPr>
        <w:t>Rendicontazione in merito alla valutazione della RRN (/del PRNN) nella valutazione ex post</w:t>
      </w:r>
    </w:p>
    <w:p w:rsidR="00675B1D" w:rsidRPr="00346304" w:rsidRDefault="00675B1D" w:rsidP="00A75DD3">
      <w:pPr>
        <w:pStyle w:val="HStandard"/>
        <w:rPr>
          <w:highlight w:val="yellow"/>
        </w:rPr>
      </w:pPr>
      <w:r w:rsidRPr="00346304">
        <w:rPr>
          <w:highlight w:val="yellow"/>
        </w:rPr>
        <w:t>In modo similare alle relazioni annuali sull’attuazione integrata, la valutazione ex post, da presentare entro il 31 dicembre 2024</w:t>
      </w:r>
      <w:r w:rsidRPr="00346304">
        <w:rPr>
          <w:rStyle w:val="FootnoteReference"/>
          <w:highlight w:val="yellow"/>
        </w:rPr>
        <w:footnoteReference w:id="32"/>
      </w:r>
      <w:r w:rsidRPr="00346304">
        <w:rPr>
          <w:highlight w:val="yellow"/>
        </w:rPr>
        <w:t>, deve contenere la risposta al questionario valutativo comune</w:t>
      </w:r>
      <w:r w:rsidRPr="00346304">
        <w:rPr>
          <w:rStyle w:val="FootnoteReference"/>
          <w:highlight w:val="yellow"/>
        </w:rPr>
        <w:footnoteReference w:id="33"/>
      </w:r>
      <w:r w:rsidRPr="00346304">
        <w:rPr>
          <w:highlight w:val="yellow"/>
        </w:rPr>
        <w:t xml:space="preserve"> relativo alle RRN, utilizzando gli indicatori comuni di prodotto. Nel caso in cui il programma contenga questionari valutativi e indicatori relativi alla RRN specifici del programma (ad esempio indicatori di risultato e di impatto relativi alla RRN), devono essere fornite informazioni sulla loro valutazione, nonché le risposte ai questionari valutativi specifici del programma.</w:t>
      </w:r>
    </w:p>
    <w:p w:rsidR="00675B1D" w:rsidRPr="00346304" w:rsidRDefault="00675B1D" w:rsidP="00680DA9">
      <w:pPr>
        <w:pStyle w:val="HHeading3"/>
        <w:rPr>
          <w:highlight w:val="yellow"/>
        </w:rPr>
      </w:pPr>
      <w:bookmarkStart w:id="39" w:name="_Toc453079751"/>
      <w:bookmarkStart w:id="40" w:name="_Toc461616635"/>
      <w:r w:rsidRPr="00346304">
        <w:rPr>
          <w:highlight w:val="yellow"/>
        </w:rPr>
        <w:lastRenderedPageBreak/>
        <w:t>Oggetto della valutazione della RRN: che cosa si deve valutare?</w:t>
      </w:r>
      <w:bookmarkEnd w:id="39"/>
      <w:bookmarkEnd w:id="40"/>
    </w:p>
    <w:p w:rsidR="00675B1D" w:rsidRPr="00346304" w:rsidRDefault="00675B1D" w:rsidP="00240358">
      <w:pPr>
        <w:pStyle w:val="HStandard"/>
        <w:rPr>
          <w:highlight w:val="yellow"/>
        </w:rPr>
      </w:pPr>
      <w:r w:rsidRPr="00346304">
        <w:rPr>
          <w:highlight w:val="yellow"/>
        </w:rPr>
        <w:t xml:space="preserve">La RRN è istituita per realizzare </w:t>
      </w:r>
      <w:r w:rsidRPr="00346304">
        <w:rPr>
          <w:b/>
          <w:highlight w:val="yellow"/>
        </w:rPr>
        <w:t>obiettivi correlati alla RNN</w:t>
      </w:r>
      <w:r w:rsidRPr="00346304">
        <w:rPr>
          <w:highlight w:val="yellow"/>
        </w:rPr>
        <w:t xml:space="preserve"> e per contribuire a </w:t>
      </w:r>
      <w:r w:rsidRPr="00346304">
        <w:rPr>
          <w:b/>
          <w:highlight w:val="yellow"/>
        </w:rPr>
        <w:t>obiettivi più ampi di politica rurale dell'UE</w:t>
      </w:r>
      <w:r w:rsidRPr="00346304">
        <w:rPr>
          <w:highlight w:val="yellow"/>
        </w:rPr>
        <w:t xml:space="preserve">. Tali obiettivi affrontano le priorità della politica di sviluppo rurale e le esigenze delle zone rurali (rilevanza). </w:t>
      </w:r>
    </w:p>
    <w:p w:rsidR="00675B1D" w:rsidRPr="00346304" w:rsidRDefault="00675B1D" w:rsidP="00240358">
      <w:pPr>
        <w:pStyle w:val="HStandard"/>
        <w:rPr>
          <w:highlight w:val="yellow"/>
        </w:rPr>
      </w:pPr>
      <w:r w:rsidRPr="00346304">
        <w:rPr>
          <w:highlight w:val="yellow"/>
        </w:rPr>
        <w:t xml:space="preserve">Per </w:t>
      </w:r>
      <w:r w:rsidRPr="00346304">
        <w:rPr>
          <w:b/>
          <w:highlight w:val="yellow"/>
        </w:rPr>
        <w:t>realizzare/contribuire</w:t>
      </w:r>
      <w:r w:rsidRPr="00346304">
        <w:rPr>
          <w:highlight w:val="yellow"/>
        </w:rPr>
        <w:t xml:space="preserve"> agli obiettivi di cui sopra, la RRN deve fornire prodotti utilizzando gli input, attraverso l'attuazione di diversi gruppi di azioni. Tali prodotti devono di conseguenza generare </w:t>
      </w:r>
      <w:r w:rsidRPr="00346304">
        <w:rPr>
          <w:b/>
          <w:highlight w:val="yellow"/>
        </w:rPr>
        <w:t>risultati e impatti</w:t>
      </w:r>
      <w:r w:rsidRPr="00346304">
        <w:rPr>
          <w:highlight w:val="yellow"/>
        </w:rPr>
        <w:t xml:space="preserve"> della RRN in modo </w:t>
      </w:r>
      <w:r w:rsidRPr="00346304">
        <w:rPr>
          <w:b/>
          <w:highlight w:val="yellow"/>
        </w:rPr>
        <w:t xml:space="preserve">efficiente </w:t>
      </w:r>
      <w:r w:rsidRPr="00346304">
        <w:rPr>
          <w:highlight w:val="yellow"/>
        </w:rPr>
        <w:t>e permettere l'</w:t>
      </w:r>
      <w:r w:rsidRPr="00346304">
        <w:rPr>
          <w:b/>
          <w:highlight w:val="yellow"/>
        </w:rPr>
        <w:t>effettiva</w:t>
      </w:r>
      <w:r w:rsidRPr="00346304">
        <w:rPr>
          <w:highlight w:val="yellow"/>
        </w:rPr>
        <w:t xml:space="preserve"> realizzazione degli obiettivi della RRN, nonché contribuire agli obiettivi della politica di sviluppo rurale dell'UE. </w:t>
      </w:r>
    </w:p>
    <w:p w:rsidR="00675B1D" w:rsidRPr="00346304" w:rsidRDefault="00675B1D" w:rsidP="00240358">
      <w:pPr>
        <w:pStyle w:val="HStandard"/>
        <w:rPr>
          <w:highlight w:val="yellow"/>
        </w:rPr>
      </w:pPr>
      <w:r w:rsidRPr="00346304">
        <w:rPr>
          <w:b/>
          <w:highlight w:val="yellow"/>
        </w:rPr>
        <w:t>Gli obiettivi, le attività, i prodotti, i risultati e gli impatti della RRN sono i capisaldi della logica di intervento della RRN.</w:t>
      </w:r>
      <w:r w:rsidRPr="00346304">
        <w:rPr>
          <w:highlight w:val="yellow"/>
        </w:rPr>
        <w:t xml:space="preserve"> La coerenza, rilevanza, efficacia ed efficienza interne ed esterne della logica di intervento della RRN costituiscono la condizione primordiale di base per la positiva attuazione della RRN lungo l'intero periodo di programmazione e, allo stesso tempo, rappresentano il fulcro della valutazione della RRN. </w:t>
      </w:r>
    </w:p>
    <w:p w:rsidR="00675B1D" w:rsidRPr="00346304" w:rsidRDefault="00675B1D" w:rsidP="00D21174">
      <w:pPr>
        <w:pStyle w:val="HHeadingfigures"/>
        <w:ind w:left="0"/>
        <w:rPr>
          <w:highlight w:val="yellow"/>
        </w:rPr>
      </w:pPr>
      <w:r w:rsidRPr="00346304">
        <w:br w:type="column"/>
      </w:r>
      <w:bookmarkStart w:id="41" w:name="_Toc451781924"/>
      <w:bookmarkStart w:id="42" w:name="_Ref451784361"/>
      <w:bookmarkStart w:id="43" w:name="_Ref451784678"/>
      <w:bookmarkStart w:id="44" w:name="_Ref451784699"/>
      <w:bookmarkStart w:id="45" w:name="_Toc461616776"/>
      <w:r w:rsidRPr="00346304">
        <w:rPr>
          <w:highlight w:val="yellow"/>
        </w:rPr>
        <w:lastRenderedPageBreak/>
        <w:t>Aspetti specifici della valutazione delle RRN</w:t>
      </w:r>
      <w:bookmarkEnd w:id="41"/>
      <w:bookmarkEnd w:id="42"/>
      <w:bookmarkEnd w:id="43"/>
      <w:bookmarkEnd w:id="44"/>
      <w:bookmarkEnd w:id="45"/>
    </w:p>
    <w:p w:rsidR="00675B1D" w:rsidRPr="00346304" w:rsidRDefault="00675B1D" w:rsidP="003C20E8">
      <w:pPr>
        <w:pStyle w:val="HStandard"/>
        <w:jc w:val="center"/>
        <w:rPr>
          <w:highlight w:val="yellow"/>
        </w:rPr>
      </w:pPr>
      <w:r w:rsidRPr="00A147C7">
        <w:rPr>
          <w:noProof/>
          <w:lang w:val="en-GB" w:eastAsia="en-GB" w:bidi="ar-SA"/>
        </w:rPr>
        <w:drawing>
          <wp:inline distT="0" distB="0" distL="0" distR="0" wp14:anchorId="71555C00" wp14:editId="72B75100">
            <wp:extent cx="5731510" cy="395932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959329"/>
                    </a:xfrm>
                    <a:prstGeom prst="rect">
                      <a:avLst/>
                    </a:prstGeom>
                    <a:noFill/>
                    <a:ln>
                      <a:noFill/>
                    </a:ln>
                  </pic:spPr>
                </pic:pic>
              </a:graphicData>
            </a:graphic>
          </wp:inline>
        </w:drawing>
      </w:r>
    </w:p>
    <w:p w:rsidR="00675B1D" w:rsidRPr="00346304" w:rsidRDefault="00675B1D" w:rsidP="003C20E8">
      <w:pPr>
        <w:pStyle w:val="HSource"/>
        <w:rPr>
          <w:highlight w:val="yellow"/>
        </w:rPr>
      </w:pPr>
      <w:r w:rsidRPr="00346304">
        <w:rPr>
          <w:highlight w:val="yellow"/>
        </w:rPr>
        <w:t>Fonte: Helpdesk europeo della valutazione per lo sviluppo rurale 2016</w:t>
      </w:r>
    </w:p>
    <w:p w:rsidR="00675B1D" w:rsidRPr="00346304" w:rsidRDefault="00675B1D" w:rsidP="00240358">
      <w:pPr>
        <w:pStyle w:val="HStandard"/>
        <w:rPr>
          <w:highlight w:val="yellow"/>
        </w:rPr>
      </w:pPr>
      <w:r w:rsidRPr="00346304">
        <w:rPr>
          <w:highlight w:val="yellow"/>
        </w:rPr>
        <w:t xml:space="preserve">Il testo che segue spiega gli aspetti specifici della valutazione della RRN in modo più dettagliato. </w:t>
      </w:r>
    </w:p>
    <w:p w:rsidR="00675B1D" w:rsidRPr="00346304" w:rsidRDefault="00675B1D" w:rsidP="00403F21">
      <w:pPr>
        <w:pStyle w:val="HHeading5"/>
        <w:rPr>
          <w:highlight w:val="yellow"/>
        </w:rPr>
      </w:pPr>
      <w:r w:rsidRPr="00346304">
        <w:rPr>
          <w:highlight w:val="yellow"/>
        </w:rPr>
        <w:t xml:space="preserve">Coerenza interna e rilevanza della logica di intervento delle RRN </w:t>
      </w:r>
    </w:p>
    <w:p w:rsidR="00675B1D" w:rsidRPr="00346304" w:rsidRDefault="00675B1D" w:rsidP="00403F21">
      <w:pPr>
        <w:pStyle w:val="HHeading5"/>
        <w:rPr>
          <w:highlight w:val="yellow"/>
        </w:rPr>
      </w:pPr>
      <w:r w:rsidRPr="00346304">
        <w:rPr>
          <w:color w:val="auto"/>
          <w:highlight w:val="yellow"/>
        </w:rPr>
        <w:t xml:space="preserve">Obiettivi delle RRN </w:t>
      </w:r>
    </w:p>
    <w:p w:rsidR="00675B1D" w:rsidRPr="00346304" w:rsidRDefault="00675B1D" w:rsidP="00403F21">
      <w:pPr>
        <w:pStyle w:val="HStandard"/>
        <w:rPr>
          <w:highlight w:val="yellow"/>
        </w:rPr>
      </w:pPr>
      <w:r w:rsidRPr="00346304">
        <w:rPr>
          <w:highlight w:val="yellow"/>
        </w:rPr>
        <w:t>La costruzione della logica di intervento della RRN (/del PRRN) inizia con gli obiettivi della RRN. Il quadro giuridico definisce quattro obiettivi comuni per le RRN, che sono proposti nella gerarchia degli obiettivi delle RRN come obiettivi generali della RRN stessa.</w:t>
      </w:r>
    </w:p>
    <w:p w:rsidR="00675B1D" w:rsidRPr="00346304" w:rsidRDefault="00675B1D" w:rsidP="00403F21">
      <w:pPr>
        <w:pStyle w:val="HStandard"/>
        <w:rPr>
          <w:highlight w:val="yellow"/>
        </w:rPr>
      </w:pPr>
      <w:r w:rsidRPr="00346304">
        <w:rPr>
          <w:b/>
          <w:highlight w:val="yellow"/>
        </w:rPr>
        <w:t>A livello di UE</w:t>
      </w:r>
      <w:r w:rsidRPr="00346304">
        <w:rPr>
          <w:highlight w:val="yellow"/>
        </w:rPr>
        <w:t xml:space="preserve"> sono stati definiti i seguenti </w:t>
      </w:r>
      <w:r w:rsidRPr="00346304">
        <w:rPr>
          <w:b/>
          <w:highlight w:val="yellow"/>
        </w:rPr>
        <w:t>obiettivi strategici</w:t>
      </w:r>
      <w:r w:rsidRPr="00346304">
        <w:rPr>
          <w:highlight w:val="yellow"/>
        </w:rPr>
        <w:t xml:space="preserve"> in relazione alle RRN</w:t>
      </w:r>
      <w:r w:rsidRPr="00346304">
        <w:rPr>
          <w:rStyle w:val="FootnoteReference"/>
          <w:highlight w:val="yellow"/>
        </w:rPr>
        <w:footnoteReference w:id="34"/>
      </w:r>
      <w:r w:rsidRPr="00346304">
        <w:rPr>
          <w:highlight w:val="yellow"/>
        </w:rPr>
        <w:t xml:space="preserve">: </w:t>
      </w:r>
    </w:p>
    <w:p w:rsidR="00675B1D" w:rsidRPr="00346304" w:rsidRDefault="00675B1D" w:rsidP="00403F21">
      <w:pPr>
        <w:pStyle w:val="Hlistbullet"/>
        <w:rPr>
          <w:highlight w:val="yellow"/>
        </w:rPr>
      </w:pPr>
      <w:r w:rsidRPr="00346304">
        <w:rPr>
          <w:highlight w:val="yellow"/>
        </w:rPr>
        <w:t xml:space="preserve">stimolare la partecipazione delle parti interessate all'attuazione dello sviluppo rurale; </w:t>
      </w:r>
    </w:p>
    <w:p w:rsidR="00675B1D" w:rsidRPr="00346304" w:rsidRDefault="00675B1D" w:rsidP="00403F21">
      <w:pPr>
        <w:pStyle w:val="Hlistbullet"/>
        <w:rPr>
          <w:highlight w:val="yellow"/>
        </w:rPr>
      </w:pPr>
      <w:r w:rsidRPr="00346304">
        <w:rPr>
          <w:highlight w:val="yellow"/>
        </w:rPr>
        <w:t xml:space="preserve">migliorare la qualità dell'attuazione dei programmi di sviluppo rurale; </w:t>
      </w:r>
    </w:p>
    <w:p w:rsidR="00675B1D" w:rsidRPr="00346304" w:rsidRDefault="00675B1D" w:rsidP="00403F21">
      <w:pPr>
        <w:pStyle w:val="Hlistbullet"/>
        <w:rPr>
          <w:highlight w:val="yellow"/>
        </w:rPr>
      </w:pPr>
      <w:r w:rsidRPr="00346304">
        <w:rPr>
          <w:highlight w:val="yellow"/>
        </w:rPr>
        <w:t xml:space="preserve">informare il pubblico e i potenziali beneficiari sulla politica di sviluppo rurale e su eventuali possibilità di finanziamento; </w:t>
      </w:r>
    </w:p>
    <w:p w:rsidR="00675B1D" w:rsidRPr="00346304" w:rsidRDefault="00675B1D" w:rsidP="00403F21">
      <w:pPr>
        <w:pStyle w:val="Hlistbullet2"/>
        <w:rPr>
          <w:highlight w:val="yellow"/>
        </w:rPr>
      </w:pPr>
      <w:r w:rsidRPr="00346304">
        <w:rPr>
          <w:highlight w:val="yellow"/>
        </w:rPr>
        <w:t>promuovere l'innovazione nel settore agricolo, nella produzione alimentare, nella silvicoltura e nelle zone rurali.</w:t>
      </w:r>
    </w:p>
    <w:p w:rsidR="00675B1D" w:rsidRPr="00346304" w:rsidRDefault="00675B1D" w:rsidP="00403F21">
      <w:pPr>
        <w:pStyle w:val="HStandard"/>
        <w:rPr>
          <w:highlight w:val="yellow"/>
        </w:rPr>
      </w:pPr>
      <w:r w:rsidRPr="00346304">
        <w:rPr>
          <w:highlight w:val="yellow"/>
        </w:rPr>
        <w:t>Le parti interessate delle RRN possono altresì definire obiettivi della RRN specifici del programma qualora l'analisi SWOT del programma e la valutazione delle esigenze abbiano individuato esigenze specifiche che devono essere affrontate dalle reti rurali. Gli obiettivi della RRN specifici del programma possono essere definiti a ogni livello della gerarchia degli obiettivi della RRN</w:t>
      </w:r>
      <w:r w:rsidRPr="00346304">
        <w:rPr>
          <w:rStyle w:val="FootnoteReference"/>
          <w:highlight w:val="yellow"/>
        </w:rPr>
        <w:footnoteReference w:id="35"/>
      </w:r>
      <w:r w:rsidRPr="00346304">
        <w:rPr>
          <w:highlight w:val="yellow"/>
        </w:rPr>
        <w:t xml:space="preserve">. </w:t>
      </w:r>
    </w:p>
    <w:p w:rsidR="00675B1D" w:rsidRPr="00346304" w:rsidRDefault="00675B1D" w:rsidP="00403F21">
      <w:pPr>
        <w:pStyle w:val="HStandard"/>
        <w:rPr>
          <w:highlight w:val="yellow"/>
        </w:rPr>
      </w:pPr>
      <w:r w:rsidRPr="00346304">
        <w:rPr>
          <w:highlight w:val="yellow"/>
        </w:rPr>
        <w:lastRenderedPageBreak/>
        <w:t xml:space="preserve">Esistono tre livelli nella gerarchia degli obiettivi della RRN: </w:t>
      </w:r>
    </w:p>
    <w:p w:rsidR="00675B1D" w:rsidRPr="00346304" w:rsidRDefault="00675B1D" w:rsidP="0088579D">
      <w:pPr>
        <w:pStyle w:val="Hlistbullet"/>
        <w:rPr>
          <w:highlight w:val="yellow"/>
        </w:rPr>
      </w:pPr>
      <w:r w:rsidRPr="00346304">
        <w:rPr>
          <w:b/>
          <w:highlight w:val="yellow"/>
        </w:rPr>
        <w:t>obiettivi RRN generali</w:t>
      </w:r>
      <w:r w:rsidRPr="00346304">
        <w:rPr>
          <w:highlight w:val="yellow"/>
        </w:rPr>
        <w:t xml:space="preserve"> (collegati agli impatti della RRN nella logica di intervento della RRN): </w:t>
      </w:r>
    </w:p>
    <w:p w:rsidR="00675B1D" w:rsidRPr="00346304" w:rsidRDefault="00675B1D" w:rsidP="00892664">
      <w:pPr>
        <w:pStyle w:val="HStandard"/>
        <w:numPr>
          <w:ilvl w:val="1"/>
          <w:numId w:val="14"/>
        </w:numPr>
        <w:ind w:left="1442"/>
        <w:rPr>
          <w:highlight w:val="yellow"/>
        </w:rPr>
      </w:pPr>
      <w:r w:rsidRPr="00346304">
        <w:rPr>
          <w:highlight w:val="yellow"/>
        </w:rPr>
        <w:t xml:space="preserve">quattro obiettivi comuni delle RRN, che sono radicati nel quadro giuridico e legati agli obiettivi della politica dell'UE di cui sopra; </w:t>
      </w:r>
    </w:p>
    <w:p w:rsidR="00675B1D" w:rsidRPr="00346304" w:rsidRDefault="00675B1D" w:rsidP="00892664">
      <w:pPr>
        <w:pStyle w:val="HStandard"/>
        <w:numPr>
          <w:ilvl w:val="1"/>
          <w:numId w:val="14"/>
        </w:numPr>
        <w:ind w:left="1442"/>
        <w:rPr>
          <w:highlight w:val="yellow"/>
        </w:rPr>
      </w:pPr>
      <w:r w:rsidRPr="00346304">
        <w:rPr>
          <w:highlight w:val="yellow"/>
        </w:rPr>
        <w:t>gli obiettivi generali definiti presso lo Stato membro, specifici del programma;</w:t>
      </w:r>
    </w:p>
    <w:p w:rsidR="00675B1D" w:rsidRPr="00346304" w:rsidRDefault="00675B1D" w:rsidP="008C47A9">
      <w:pPr>
        <w:pStyle w:val="Hlistbullet"/>
        <w:rPr>
          <w:highlight w:val="yellow"/>
        </w:rPr>
      </w:pPr>
      <w:r w:rsidRPr="00346304">
        <w:rPr>
          <w:b/>
          <w:highlight w:val="yellow"/>
        </w:rPr>
        <w:t>obiettivi RRN specifici</w:t>
      </w:r>
      <w:r w:rsidRPr="00346304">
        <w:rPr>
          <w:highlight w:val="yellow"/>
        </w:rPr>
        <w:t xml:space="preserve"> definiti presso lo Stato membro come specifici del programma (collegati ai risultati della RRN nella logica di intervento della RRN), che specificano ulteriormente gli obiettivi generali;</w:t>
      </w:r>
    </w:p>
    <w:p w:rsidR="00675B1D" w:rsidRPr="00346304" w:rsidRDefault="00675B1D" w:rsidP="008C47A9">
      <w:pPr>
        <w:pStyle w:val="Hlistbullet2"/>
        <w:rPr>
          <w:highlight w:val="yellow"/>
        </w:rPr>
      </w:pPr>
      <w:r w:rsidRPr="00346304">
        <w:rPr>
          <w:b/>
          <w:highlight w:val="yellow"/>
        </w:rPr>
        <w:t>obiettivi operativi</w:t>
      </w:r>
      <w:r w:rsidRPr="00346304">
        <w:rPr>
          <w:highlight w:val="yellow"/>
        </w:rPr>
        <w:t xml:space="preserve"> definiti come specifici del programma (collegati ai prodotti della RRN risultanti dal piano di azione della RRN) e legati ai gruppi di azioni comuni e specifici del programma. </w:t>
      </w:r>
    </w:p>
    <w:p w:rsidR="00675B1D" w:rsidRPr="00346304" w:rsidRDefault="00675B1D" w:rsidP="00403F21">
      <w:pPr>
        <w:pStyle w:val="HStandard"/>
        <w:rPr>
          <w:highlight w:val="yellow"/>
        </w:rPr>
      </w:pPr>
      <w:r w:rsidRPr="00346304">
        <w:rPr>
          <w:highlight w:val="yellow"/>
        </w:rPr>
        <w:t xml:space="preserve">Gli obiettivi generali, specifici e operativi della RRN dovrebbero essere definiti come </w:t>
      </w:r>
      <w:r w:rsidRPr="00346304">
        <w:rPr>
          <w:b/>
          <w:highlight w:val="yellow"/>
        </w:rPr>
        <w:t>rilevanti</w:t>
      </w:r>
      <w:r w:rsidRPr="00346304">
        <w:rPr>
          <w:highlight w:val="yellow"/>
        </w:rPr>
        <w:t xml:space="preserve"> nell'affrontare le esigenze specifiche della zona interessata dal programma, nonché rispettare appieno la </w:t>
      </w:r>
      <w:r w:rsidRPr="00346304">
        <w:rPr>
          <w:b/>
          <w:highlight w:val="yellow"/>
        </w:rPr>
        <w:t>coerenza verticale</w:t>
      </w:r>
      <w:r w:rsidRPr="00346304">
        <w:rPr>
          <w:highlight w:val="yellow"/>
        </w:rPr>
        <w:t xml:space="preserve">. Questo significa che la realizzazione degli obiettivi operativi deve contribuire a quella degli obiettivi specifici, la quale, a sua volta, deve contribuire alla realizzazione degli obiettivi generali. </w:t>
      </w:r>
    </w:p>
    <w:p w:rsidR="00675B1D" w:rsidRPr="00346304" w:rsidRDefault="00675B1D" w:rsidP="00403F21">
      <w:pPr>
        <w:pStyle w:val="HHeading5"/>
        <w:rPr>
          <w:color w:val="auto"/>
          <w:highlight w:val="yellow"/>
        </w:rPr>
      </w:pPr>
      <w:r w:rsidRPr="00346304">
        <w:rPr>
          <w:color w:val="auto"/>
          <w:highlight w:val="yellow"/>
        </w:rPr>
        <w:t>Effetti RRN (risultati e impatti)</w:t>
      </w:r>
    </w:p>
    <w:p w:rsidR="00675B1D" w:rsidRPr="00346304" w:rsidRDefault="00675B1D" w:rsidP="00403F21">
      <w:pPr>
        <w:pStyle w:val="HStandard"/>
        <w:rPr>
          <w:highlight w:val="yellow"/>
        </w:rPr>
      </w:pPr>
      <w:r w:rsidRPr="00346304">
        <w:rPr>
          <w:highlight w:val="yellow"/>
        </w:rPr>
        <w:t>La RRN interviene attraverso le attività del piano di azione della RRN oppure, nel caso di PRRN, tramite le operazioni attuate. Il quadro giuridico</w:t>
      </w:r>
      <w:r w:rsidRPr="00346304">
        <w:rPr>
          <w:rStyle w:val="FootnoteReference"/>
          <w:highlight w:val="yellow"/>
        </w:rPr>
        <w:footnoteReference w:id="36"/>
      </w:r>
      <w:r w:rsidRPr="00346304">
        <w:rPr>
          <w:highlight w:val="yellow"/>
        </w:rPr>
        <w:t xml:space="preserve"> definisce un gruppo comune di azioni, che può essere integrato con più azioni specifiche del programma, progettate negli Stati membri. Sebbene nella scheda di orientamento per la definizione e il funzionamento delle reti rurali nazionali di cui all'Allegato 1 si definiscano i collegamenti tra i gruppi comuni di azioni delle RRN e gli obiettivi comuni delle RRN, le parti interessate negli Stati membri possono definire i loro collegamenti tra gli obiettivi della RRN e le attività contenute nella logica di intervento specifica della RRN. </w:t>
      </w:r>
    </w:p>
    <w:p w:rsidR="00675B1D" w:rsidRPr="00346304" w:rsidRDefault="00675B1D" w:rsidP="00403F21">
      <w:pPr>
        <w:pStyle w:val="HStandard"/>
        <w:rPr>
          <w:b/>
          <w:highlight w:val="yellow"/>
        </w:rPr>
      </w:pPr>
      <w:r w:rsidRPr="00346304">
        <w:rPr>
          <w:highlight w:val="yellow"/>
        </w:rPr>
        <w:t>Le attività della RRN generano i prodotti che, di conseguenza, generano effetti sotto forma di risultati e impatti della RRN.</w:t>
      </w:r>
      <w:r w:rsidRPr="00346304">
        <w:rPr>
          <w:b/>
          <w:highlight w:val="yellow"/>
        </w:rPr>
        <w:t xml:space="preserve"> </w:t>
      </w:r>
      <w:r w:rsidRPr="00346304">
        <w:rPr>
          <w:highlight w:val="yellow"/>
        </w:rPr>
        <w:t xml:space="preserve">Ogni livello della gerarchia di obiettivi della RRN dovrebbe essere </w:t>
      </w:r>
      <w:r w:rsidRPr="00346304">
        <w:rPr>
          <w:b/>
          <w:highlight w:val="yellow"/>
        </w:rPr>
        <w:t>coerente orizzontalmente</w:t>
      </w:r>
      <w:r w:rsidRPr="00346304">
        <w:rPr>
          <w:highlight w:val="yellow"/>
        </w:rPr>
        <w:t xml:space="preserve"> con il suo livello di effetti attesi:</w:t>
      </w:r>
    </w:p>
    <w:p w:rsidR="00675B1D" w:rsidRPr="00346304" w:rsidRDefault="00675B1D" w:rsidP="008C47A9">
      <w:pPr>
        <w:pStyle w:val="Hlistbullet"/>
        <w:rPr>
          <w:highlight w:val="yellow"/>
        </w:rPr>
      </w:pPr>
      <w:r w:rsidRPr="00346304">
        <w:rPr>
          <w:highlight w:val="yellow"/>
        </w:rPr>
        <w:t>obiettivi operativi con prodotti attesi;</w:t>
      </w:r>
    </w:p>
    <w:p w:rsidR="00675B1D" w:rsidRPr="00346304" w:rsidRDefault="00675B1D" w:rsidP="008C47A9">
      <w:pPr>
        <w:pStyle w:val="Hlistbullet"/>
        <w:rPr>
          <w:highlight w:val="yellow"/>
        </w:rPr>
      </w:pPr>
      <w:r w:rsidRPr="00346304">
        <w:rPr>
          <w:highlight w:val="yellow"/>
        </w:rPr>
        <w:t>obiettivi specifici con risultati attesi;</w:t>
      </w:r>
    </w:p>
    <w:p w:rsidR="00675B1D" w:rsidRPr="00346304" w:rsidRDefault="00675B1D" w:rsidP="008C47A9">
      <w:pPr>
        <w:pStyle w:val="Hlistbullet"/>
        <w:rPr>
          <w:highlight w:val="yellow"/>
        </w:rPr>
      </w:pPr>
      <w:r w:rsidRPr="00346304">
        <w:rPr>
          <w:highlight w:val="yellow"/>
        </w:rPr>
        <w:t xml:space="preserve">obiettivi generali con impatti attesi. </w:t>
      </w:r>
    </w:p>
    <w:p w:rsidR="00675B1D" w:rsidRPr="00346304" w:rsidRDefault="00675B1D" w:rsidP="00403F21">
      <w:pPr>
        <w:pStyle w:val="HStandard"/>
        <w:ind w:firstLine="1"/>
        <w:rPr>
          <w:highlight w:val="yellow"/>
        </w:rPr>
      </w:pPr>
      <w:r w:rsidRPr="00346304">
        <w:rPr>
          <w:highlight w:val="yellow"/>
        </w:rPr>
        <w:t xml:space="preserve">Questa situazione può essere illustrata tramite la figura che segue: </w:t>
      </w:r>
    </w:p>
    <w:p w:rsidR="00675B1D" w:rsidRPr="00346304" w:rsidRDefault="00675B1D" w:rsidP="00D21174">
      <w:pPr>
        <w:pStyle w:val="HHeadingfigures"/>
        <w:ind w:left="0"/>
        <w:rPr>
          <w:highlight w:val="yellow"/>
        </w:rPr>
      </w:pPr>
      <w:bookmarkStart w:id="46" w:name="_Toc445465120"/>
      <w:r w:rsidRPr="00346304">
        <w:br w:type="column"/>
      </w:r>
      <w:bookmarkStart w:id="47" w:name="_Toc451781925"/>
      <w:bookmarkStart w:id="48" w:name="_Ref451784505"/>
      <w:bookmarkStart w:id="49" w:name="_Ref451784593"/>
      <w:bookmarkStart w:id="50" w:name="_Ref451784688"/>
      <w:bookmarkStart w:id="51" w:name="_Toc461616777"/>
      <w:r w:rsidRPr="00346304">
        <w:rPr>
          <w:highlight w:val="yellow"/>
        </w:rPr>
        <w:lastRenderedPageBreak/>
        <w:t>Coerenza verticale e orizzontale tra gli obiettivi e gli effetti della RRN</w:t>
      </w:r>
      <w:bookmarkEnd w:id="46"/>
      <w:bookmarkEnd w:id="47"/>
      <w:bookmarkEnd w:id="48"/>
      <w:bookmarkEnd w:id="49"/>
      <w:bookmarkEnd w:id="50"/>
      <w:bookmarkEnd w:id="51"/>
    </w:p>
    <w:p w:rsidR="00675B1D" w:rsidRPr="00346304" w:rsidRDefault="00675B1D" w:rsidP="008C47A9">
      <w:pPr>
        <w:pStyle w:val="HStandard"/>
        <w:ind w:firstLine="1"/>
        <w:jc w:val="center"/>
        <w:rPr>
          <w:highlight w:val="yellow"/>
        </w:rPr>
      </w:pPr>
      <w:r w:rsidRPr="00346304">
        <w:rPr>
          <w:noProof/>
          <w:lang w:val="en-GB" w:eastAsia="en-GB" w:bidi="ar-SA"/>
        </w:rPr>
        <w:drawing>
          <wp:inline distT="0" distB="0" distL="0" distR="0" wp14:anchorId="06646668" wp14:editId="54B955AF">
            <wp:extent cx="5731510" cy="5732145"/>
            <wp:effectExtent l="0" t="0" r="254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6.em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5732145"/>
                    </a:xfrm>
                    <a:prstGeom prst="rect">
                      <a:avLst/>
                    </a:prstGeom>
                  </pic:spPr>
                </pic:pic>
              </a:graphicData>
            </a:graphic>
          </wp:inline>
        </w:drawing>
      </w:r>
    </w:p>
    <w:p w:rsidR="00675B1D" w:rsidRPr="00346304" w:rsidRDefault="00675B1D" w:rsidP="00403F21">
      <w:pPr>
        <w:pStyle w:val="HSource"/>
        <w:rPr>
          <w:rFonts w:cs="Arial"/>
          <w:highlight w:val="yellow"/>
        </w:rPr>
      </w:pPr>
      <w:r w:rsidRPr="00346304">
        <w:rPr>
          <w:highlight w:val="yellow"/>
        </w:rPr>
        <w:t>Fonte: Helpdesk europeo della valutazione per lo sviluppo rurale 2016</w:t>
      </w:r>
    </w:p>
    <w:p w:rsidR="00675B1D" w:rsidRPr="00346304" w:rsidRDefault="00675B1D" w:rsidP="00403F21">
      <w:pPr>
        <w:pStyle w:val="HStandard"/>
        <w:rPr>
          <w:highlight w:val="yellow"/>
        </w:rPr>
      </w:pPr>
      <w:r w:rsidRPr="00346304">
        <w:rPr>
          <w:highlight w:val="yellow"/>
        </w:rPr>
        <w:t xml:space="preserve">Gli effetti della RRN possono essere descritti come segue: </w:t>
      </w:r>
    </w:p>
    <w:p w:rsidR="00675B1D" w:rsidRPr="00346304" w:rsidRDefault="00675B1D" w:rsidP="005368DC">
      <w:pPr>
        <w:pStyle w:val="Hlistbullet2"/>
        <w:rPr>
          <w:highlight w:val="yellow"/>
        </w:rPr>
      </w:pPr>
      <w:r w:rsidRPr="00346304">
        <w:rPr>
          <w:highlight w:val="yellow"/>
        </w:rPr>
        <w:t xml:space="preserve">i </w:t>
      </w:r>
      <w:r w:rsidRPr="00346304">
        <w:rPr>
          <w:b/>
          <w:highlight w:val="yellow"/>
        </w:rPr>
        <w:t>risultati della RRN</w:t>
      </w:r>
      <w:r w:rsidRPr="00346304">
        <w:rPr>
          <w:highlight w:val="yellow"/>
        </w:rPr>
        <w:t xml:space="preserve"> sono collegati orizzontalmente agli obiettivi specifici della RRN definiti come specifici del programma e formulati dalle parti interessate della RRN come parte della logica di intervento della RRN. I risultati attesi sono generati dai prodotti del piano di azione/dalle attività della RRN all'interno del gruppo dei membri della RRN nel breve termine e sono collegati a cambiamenti nel comportamento, nella mentalità delle persone, nelle competenze, nelle capacità, ecc. I risultati della RRN contribuiscono ai prodotti del PSR (cfr. </w:t>
      </w:r>
      <w:r w:rsidRPr="00346304">
        <w:rPr>
          <w:highlight w:val="yellow"/>
        </w:rPr>
        <w:fldChar w:fldCharType="begin" w:fldLock="1"/>
      </w:r>
      <w:r w:rsidRPr="00346304">
        <w:rPr>
          <w:highlight w:val="yellow"/>
        </w:rPr>
        <w:instrText xml:space="preserve"> REF _Ref451784361 \r \h  \* MERGEFORMAT </w:instrText>
      </w:r>
      <w:r w:rsidRPr="00346304">
        <w:rPr>
          <w:highlight w:val="yellow"/>
        </w:rPr>
      </w:r>
      <w:r w:rsidRPr="00346304">
        <w:rPr>
          <w:highlight w:val="yellow"/>
        </w:rPr>
        <w:fldChar w:fldCharType="separate"/>
      </w:r>
      <w:r w:rsidRPr="00346304">
        <w:rPr>
          <w:highlight w:val="yellow"/>
        </w:rPr>
        <w:t>Figura 5</w:t>
      </w:r>
      <w:r w:rsidRPr="00346304">
        <w:rPr>
          <w:highlight w:val="yellow"/>
        </w:rPr>
        <w:fldChar w:fldCharType="end"/>
      </w:r>
      <w:r w:rsidRPr="00346304">
        <w:rPr>
          <w:highlight w:val="yellow"/>
        </w:rPr>
        <w:t xml:space="preserve">). Ad esempio, se nel piano di azione della RRN numerose attività sono focalizzate sul trasferimento di pratiche innovative a sostegno della biodiversità, si può prevedere che la consapevolezza in termini di innovazione tra i membri e i beneficiari della RRN aumenterà; </w:t>
      </w:r>
    </w:p>
    <w:p w:rsidR="00675B1D" w:rsidRPr="00346304" w:rsidRDefault="00675B1D" w:rsidP="005368DC">
      <w:pPr>
        <w:pStyle w:val="Hlistbullet2"/>
        <w:rPr>
          <w:highlight w:val="yellow"/>
        </w:rPr>
      </w:pPr>
      <w:r w:rsidRPr="00346304">
        <w:rPr>
          <w:highlight w:val="yellow"/>
        </w:rPr>
        <w:t xml:space="preserve">gli </w:t>
      </w:r>
      <w:r w:rsidRPr="00346304">
        <w:rPr>
          <w:b/>
          <w:highlight w:val="yellow"/>
        </w:rPr>
        <w:t>impatti della RRN</w:t>
      </w:r>
      <w:r w:rsidRPr="00346304">
        <w:rPr>
          <w:highlight w:val="yellow"/>
        </w:rPr>
        <w:t xml:space="preserve"> sono gli effetti della RRN su varie parti interessate nel territorio coinvolto dal PSR. Gli impatti attesi sono legati a obiettivi generali della RRN e sono generati dai risultati della RRN nel lungo periodo. Gli impatti della RRN contribuiscono ai risultati del PSR e possono essere osservati non solo nell'ambito dello sviluppo rurale, ma riguardano anche gli ambiti del capitale umano e di quello sociale. Ad esempio, attraverso azioni innovative della RRN gli </w:t>
      </w:r>
      <w:r w:rsidRPr="00346304">
        <w:rPr>
          <w:highlight w:val="yellow"/>
        </w:rPr>
        <w:lastRenderedPageBreak/>
        <w:t xml:space="preserve">agricoltori potrebbero ridurre le emissioni di ammoniaca. Inoltre, attraverso le attività della RRN si potrebbe migliorare il coinvolgimento delle parti interessate nello sviluppo rurale e la comunicazione nelle zone rurali (cfr. </w:t>
      </w:r>
      <w:r w:rsidRPr="00346304">
        <w:rPr>
          <w:highlight w:val="yellow"/>
        </w:rPr>
        <w:fldChar w:fldCharType="begin" w:fldLock="1"/>
      </w:r>
      <w:r w:rsidRPr="00346304">
        <w:rPr>
          <w:highlight w:val="yellow"/>
        </w:rPr>
        <w:instrText xml:space="preserve"> REF _Ref451784376 \r \h  \* MERGEFORMAT </w:instrText>
      </w:r>
      <w:r w:rsidRPr="00346304">
        <w:rPr>
          <w:highlight w:val="yellow"/>
        </w:rPr>
      </w:r>
      <w:r w:rsidRPr="00346304">
        <w:rPr>
          <w:highlight w:val="yellow"/>
        </w:rPr>
        <w:fldChar w:fldCharType="separate"/>
      </w:r>
      <w:r w:rsidRPr="00346304">
        <w:rPr>
          <w:highlight w:val="yellow"/>
        </w:rPr>
        <w:t>Figura 7</w:t>
      </w:r>
      <w:r w:rsidRPr="00346304">
        <w:rPr>
          <w:highlight w:val="yellow"/>
        </w:rPr>
        <w:fldChar w:fldCharType="end"/>
      </w:r>
      <w:r w:rsidRPr="00346304">
        <w:rPr>
          <w:highlight w:val="yellow"/>
        </w:rPr>
        <w:t>).</w:t>
      </w:r>
    </w:p>
    <w:p w:rsidR="00675B1D" w:rsidRPr="00346304" w:rsidRDefault="00675B1D" w:rsidP="008C47A9">
      <w:pPr>
        <w:pStyle w:val="HStandard"/>
        <w:rPr>
          <w:highlight w:val="yellow"/>
        </w:rPr>
      </w:pPr>
      <w:r w:rsidRPr="00346304">
        <w:rPr>
          <w:color w:val="auto"/>
          <w:highlight w:val="yellow"/>
        </w:rPr>
        <w:t xml:space="preserve">Gli impatti della RRN negli ambiti del capitale umano e di quello sociale (spesso definiti come «valore aggiunto» delle reti) rappresentano uno spettro molto ampio di vari tipi di benefici nell'ambito di vari gruppi di parti interessate che possono essere o non essere membri e beneficiari della RRN. </w:t>
      </w:r>
      <w:r w:rsidRPr="00346304">
        <w:rPr>
          <w:rFonts w:eastAsiaTheme="minorHAnsi"/>
          <w:highlight w:val="yellow"/>
        </w:rPr>
        <w:t>Gli impatti relativi al capitale umano e a quel</w:t>
      </w:r>
      <w:r w:rsidRPr="00346304">
        <w:rPr>
          <w:color w:val="auto"/>
          <w:highlight w:val="yellow"/>
        </w:rPr>
        <w:t>lo s</w:t>
      </w:r>
      <w:r w:rsidRPr="00346304">
        <w:rPr>
          <w:rFonts w:eastAsiaTheme="minorHAnsi"/>
          <w:highlight w:val="yellow"/>
        </w:rPr>
        <w:t xml:space="preserve">ociale sono concepiti a diversi livelli: </w:t>
      </w:r>
    </w:p>
    <w:p w:rsidR="00675B1D" w:rsidRPr="00346304" w:rsidRDefault="00675B1D" w:rsidP="00D866BD">
      <w:pPr>
        <w:pStyle w:val="Hlistbullet2"/>
        <w:rPr>
          <w:highlight w:val="yellow"/>
        </w:rPr>
      </w:pPr>
      <w:r w:rsidRPr="00346304">
        <w:rPr>
          <w:highlight w:val="yellow"/>
        </w:rPr>
        <w:t xml:space="preserve">a </w:t>
      </w:r>
      <w:r w:rsidRPr="00346304">
        <w:rPr>
          <w:b/>
          <w:highlight w:val="yellow"/>
        </w:rPr>
        <w:t>livello individuale</w:t>
      </w:r>
      <w:r w:rsidRPr="00346304">
        <w:rPr>
          <w:highlight w:val="yellow"/>
        </w:rPr>
        <w:t>, le persone coinvolte o che beneficiano delle attività di messa in rete potrebbero cambiare il loro comportamento oppure rafforzare le loro capacità di realizzare azioni innovative. Esse migliorano la loro capacità di anticipare e rispondere alle sfide, di acquisire un senso di imprenditorialità e serendipità. Apprendono inoltre a padroneggiare le nuove tecnologie, a fonderle con i tesori della conoscenza implicita instillata dalle tradizioni locali e delle conoscenze e capacità acquisite dai loro contesti di istruzione e professionali. Ciò incrementa altresì la loro potenzialità nel cooperare e nel gestire sapientemente relazioni e interazioni in un contesto di crescente diversità;</w:t>
      </w:r>
    </w:p>
    <w:p w:rsidR="00675B1D" w:rsidRPr="00346304" w:rsidRDefault="00675B1D" w:rsidP="008C47A9">
      <w:pPr>
        <w:pStyle w:val="Hlistbullet2"/>
        <w:rPr>
          <w:highlight w:val="yellow"/>
        </w:rPr>
      </w:pPr>
      <w:r w:rsidRPr="00346304">
        <w:rPr>
          <w:highlight w:val="yellow"/>
        </w:rPr>
        <w:t xml:space="preserve">a livello </w:t>
      </w:r>
      <w:r w:rsidRPr="00346304">
        <w:rPr>
          <w:b/>
          <w:highlight w:val="yellow"/>
        </w:rPr>
        <w:t>aziendale</w:t>
      </w:r>
      <w:r w:rsidRPr="00346304">
        <w:rPr>
          <w:highlight w:val="yellow"/>
        </w:rPr>
        <w:t xml:space="preserve">, le imprese promuovono le capacità individuali, una cultura della cooperazione all'interno dell'azienda e tra aziende, in un ambiente complesso in cui la cooperazione e la concorrenza si intrecciano in molteplici modi. Si presuppone che le imprese adottino nuove forme di business e abbraccino il valore del lavoro di qualità e dei prodotti; </w:t>
      </w:r>
    </w:p>
    <w:p w:rsidR="00675B1D" w:rsidRPr="00346304" w:rsidRDefault="00675B1D" w:rsidP="008C47A9">
      <w:pPr>
        <w:pStyle w:val="Hlistbullet2"/>
        <w:rPr>
          <w:highlight w:val="yellow"/>
        </w:rPr>
      </w:pPr>
      <w:r w:rsidRPr="00346304">
        <w:rPr>
          <w:highlight w:val="yellow"/>
        </w:rPr>
        <w:t xml:space="preserve">le </w:t>
      </w:r>
      <w:r w:rsidRPr="00346304">
        <w:rPr>
          <w:b/>
          <w:highlight w:val="yellow"/>
        </w:rPr>
        <w:t>organizzazioni della società civile</w:t>
      </w:r>
      <w:r w:rsidRPr="00346304">
        <w:rPr>
          <w:highlight w:val="yellow"/>
        </w:rPr>
        <w:t xml:space="preserve"> partecipano con regolarità, esprimendo le loro preoccupazioni e apportando le competenze e le capacità che promuovono attraverso le loro azioni, rappresentando interessi che sono facilmente trascurati nei giochi globali di ricchezza e potere;</w:t>
      </w:r>
    </w:p>
    <w:p w:rsidR="00675B1D" w:rsidRPr="00346304" w:rsidRDefault="00675B1D" w:rsidP="008C47A9">
      <w:pPr>
        <w:pStyle w:val="Hlistbullet2"/>
        <w:rPr>
          <w:highlight w:val="yellow"/>
        </w:rPr>
      </w:pPr>
      <w:r w:rsidRPr="00346304">
        <w:rPr>
          <w:highlight w:val="yellow"/>
        </w:rPr>
        <w:t xml:space="preserve">le </w:t>
      </w:r>
      <w:r w:rsidRPr="00346304">
        <w:rPr>
          <w:b/>
          <w:highlight w:val="yellow"/>
        </w:rPr>
        <w:t xml:space="preserve">istituzioni </w:t>
      </w:r>
      <w:r w:rsidRPr="00346304">
        <w:rPr>
          <w:highlight w:val="yellow"/>
        </w:rPr>
        <w:t>vengono rimodellate secondo il loro scopo e in modo da essere effettivamente al servizio delle persone e delle comunità, garantendo continuità in un mondo di crescente incertezza ma restando pronte ad adattarsi e trasformarsi qualora le circostanze lo richiedano;</w:t>
      </w:r>
    </w:p>
    <w:p w:rsidR="00675B1D" w:rsidRPr="00346304" w:rsidRDefault="00675B1D" w:rsidP="008C47A9">
      <w:pPr>
        <w:pStyle w:val="Hlistbullet2"/>
        <w:rPr>
          <w:highlight w:val="yellow"/>
        </w:rPr>
      </w:pPr>
      <w:r w:rsidRPr="00346304">
        <w:rPr>
          <w:highlight w:val="yellow"/>
        </w:rPr>
        <w:t xml:space="preserve">i </w:t>
      </w:r>
      <w:r w:rsidRPr="00346304">
        <w:rPr>
          <w:b/>
          <w:highlight w:val="yellow"/>
        </w:rPr>
        <w:t>settori sociali ed economici e le comunità locali</w:t>
      </w:r>
      <w:r w:rsidRPr="00346304">
        <w:rPr>
          <w:highlight w:val="yellow"/>
        </w:rPr>
        <w:t xml:space="preserve"> possono essere visti come sistemi di cooperazione che coinvolgono persone, imprese, istituzioni e organizzazioni della società civile. Queste organizzazioni ottengono impulsi nuovi, sperimentano nuove opzioni per innovare, diversificare e diventare precursori di trasformazioni su più ampia scala, al fine di affrontare sfide che non possono essere gestite sfruttando la sola azione locale.</w:t>
      </w:r>
    </w:p>
    <w:p w:rsidR="00675B1D" w:rsidRPr="00346304" w:rsidRDefault="00675B1D" w:rsidP="00403F21">
      <w:pPr>
        <w:rPr>
          <w:rFonts w:cs="Arial"/>
          <w:b/>
          <w:color w:val="E7E6E6" w:themeColor="background2"/>
          <w:sz w:val="20"/>
          <w:szCs w:val="20"/>
          <w:highlight w:val="yellow"/>
        </w:rPr>
      </w:pPr>
      <w:r w:rsidRPr="00346304">
        <w:rPr>
          <w:sz w:val="20"/>
          <w:highlight w:val="yellow"/>
        </w:rPr>
        <w:t>I risultati e gli impatti della RRN possono altresì costituire temi di valutazione a sé stanti (si pensi, ad esempio, alle capacità di creazione di reti).</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6F407B">
        <w:trPr>
          <w:jc w:val="center"/>
        </w:trPr>
        <w:tc>
          <w:tcPr>
            <w:tcW w:w="9016" w:type="dxa"/>
            <w:shd w:val="clear" w:color="auto" w:fill="F5F4F4" w:themeFill="background2" w:themeFillTint="66"/>
          </w:tcPr>
          <w:p w:rsidR="00675B1D" w:rsidRPr="00346304" w:rsidRDefault="00675B1D" w:rsidP="007D1DEB">
            <w:pPr>
              <w:pStyle w:val="HStandard"/>
              <w:rPr>
                <w:b/>
                <w:highlight w:val="yellow"/>
              </w:rPr>
            </w:pPr>
            <w:r w:rsidRPr="00346304">
              <w:rPr>
                <w:b/>
                <w:highlight w:val="yellow"/>
              </w:rPr>
              <w:t xml:space="preserve">La logica di intervento della RRN costituisce la base per la valutazione della RRN ed è progettata per rispondere alle esigenze specifiche della zona interessata dal programma che possono essere affrontate dalle RRN. </w:t>
            </w:r>
          </w:p>
          <w:p w:rsidR="00675B1D" w:rsidRPr="00346304" w:rsidRDefault="00675B1D" w:rsidP="00501EAB">
            <w:pPr>
              <w:pStyle w:val="HStandard"/>
              <w:rPr>
                <w:b/>
                <w:highlight w:val="yellow"/>
              </w:rPr>
            </w:pPr>
            <w:r w:rsidRPr="00346304">
              <w:rPr>
                <w:b/>
                <w:highlight w:val="yellow"/>
              </w:rPr>
              <w:t xml:space="preserve">La logica di intervento della RRN comprende gli obiettivi, le attività e gli effetti attesi della RRN e viene definita rispettando la coerenza verticale e orizzontale. </w:t>
            </w:r>
          </w:p>
          <w:p w:rsidR="00675B1D" w:rsidRPr="00346304" w:rsidRDefault="00675B1D" w:rsidP="007D1DEB">
            <w:pPr>
              <w:pStyle w:val="HStandard"/>
              <w:rPr>
                <w:b/>
                <w:highlight w:val="yellow"/>
              </w:rPr>
            </w:pPr>
            <w:r w:rsidRPr="00346304">
              <w:rPr>
                <w:b/>
                <w:highlight w:val="yellow"/>
              </w:rPr>
              <w:t xml:space="preserve">La logica di intervento dovrebbe rimanere solida durante l'intero periodo di programmazione a meno che le esigenze della zona interessata dal programma non siano significativamente mutate. </w:t>
            </w:r>
          </w:p>
          <w:p w:rsidR="00675B1D" w:rsidRPr="00346304" w:rsidRDefault="00675B1D" w:rsidP="0024775E">
            <w:pPr>
              <w:pStyle w:val="HStandard"/>
              <w:rPr>
                <w:b/>
                <w:color w:val="E7E6E6" w:themeColor="background2"/>
                <w:highlight w:val="yellow"/>
              </w:rPr>
            </w:pPr>
            <w:r w:rsidRPr="00346304">
              <w:rPr>
                <w:b/>
                <w:highlight w:val="yellow"/>
              </w:rPr>
              <w:t>La valutazione della RRN si concentra sulla valutazione della rilevanza, dell'efficacia e dell'efficienza degli interventi della RRN, sulle realizzazioni degli obiettivi della rete e sulla valutazione di risultati e impatti.</w:t>
            </w:r>
          </w:p>
        </w:tc>
      </w:tr>
    </w:tbl>
    <w:p w:rsidR="00675B1D" w:rsidRPr="00346304" w:rsidRDefault="00675B1D" w:rsidP="00403F21">
      <w:pPr>
        <w:pStyle w:val="HHeading5"/>
        <w:rPr>
          <w:highlight w:val="yellow"/>
        </w:rPr>
      </w:pPr>
      <w:r w:rsidRPr="00346304">
        <w:rPr>
          <w:highlight w:val="yellow"/>
        </w:rPr>
        <w:t>Coerenza esterna della logica di intervento delle RRN</w:t>
      </w:r>
    </w:p>
    <w:p w:rsidR="00675B1D" w:rsidRPr="00346304" w:rsidRDefault="00675B1D" w:rsidP="00403F21">
      <w:pPr>
        <w:pStyle w:val="HStandard"/>
        <w:rPr>
          <w:rFonts w:eastAsia="Calibri"/>
          <w:highlight w:val="yellow"/>
        </w:rPr>
      </w:pPr>
      <w:r w:rsidRPr="00346304">
        <w:rPr>
          <w:highlight w:val="yellow"/>
        </w:rPr>
        <w:t xml:space="preserve">Essendo finanziate dal FEASR, lo scopo ultimo delle RRN consiste nel sostenere gli obiettivi della politica di sviluppo rurale dell'UE. Questo include il benessere socio-economico della popolazione </w:t>
      </w:r>
      <w:r w:rsidRPr="00346304">
        <w:rPr>
          <w:highlight w:val="yellow"/>
        </w:rPr>
        <w:lastRenderedPageBreak/>
        <w:t xml:space="preserve">rurale, nonché l'integrità ambientale, culturale ed estetica delle zone rurali, senza dimenticare il contributo delle zone rurali allo sviluppo sostenibile della società nel suo insieme, indipendentemente dai confini. Ciò può essere raggiunto solo se la logica d'intervento della RRN è </w:t>
      </w:r>
      <w:r w:rsidRPr="00346304">
        <w:rPr>
          <w:b/>
          <w:highlight w:val="yellow"/>
        </w:rPr>
        <w:t>esternamente</w:t>
      </w:r>
      <w:r w:rsidRPr="00346304">
        <w:rPr>
          <w:highlight w:val="yellow"/>
        </w:rPr>
        <w:t xml:space="preserve"> </w:t>
      </w:r>
      <w:r w:rsidRPr="00346304">
        <w:rPr>
          <w:b/>
          <w:highlight w:val="yellow"/>
        </w:rPr>
        <w:t xml:space="preserve">coerente </w:t>
      </w:r>
      <w:r w:rsidRPr="00346304">
        <w:rPr>
          <w:highlight w:val="yellow"/>
        </w:rPr>
        <w:t xml:space="preserve">con gli obiettivi della politica di sviluppo rurale. </w:t>
      </w:r>
    </w:p>
    <w:p w:rsidR="00675B1D" w:rsidRPr="00346304" w:rsidRDefault="00675B1D" w:rsidP="00403F21">
      <w:pPr>
        <w:pStyle w:val="HStandard"/>
        <w:rPr>
          <w:rFonts w:eastAsia="Calibri"/>
          <w:highlight w:val="yellow"/>
        </w:rPr>
      </w:pPr>
      <w:r w:rsidRPr="00346304">
        <w:rPr>
          <w:highlight w:val="yellow"/>
        </w:rPr>
        <w:t>La coerenza esterna della logica di intervento della RRN fa sì che la realizzazione dei quattro obiettivi comuni della RRN assicuri anche il contributo della RRN agli obiettivi del PSR (PSR singolo o più PSR, nel caso di un PRRN). Nello stesso modo in cui la RRN contribuisce agli obiettivi del PSR, i risultati prodotti dalla RRN dovrebbero contribuire ai prodotti del PSR e agli impatti della RRN sui risultati del PSR. Oltre a questo, solitamente la RRN ha anche un impatto sull'ambiente sociale nell'ambito del gruppo di beneficiari diretti e indiretti della RRN nonché sui non beneficiari in materia di capitale sociale e umano. Il capitale sociale generato dalle RRN può influenzare anche gli impatti del PSR come illustrato nella figura seguente:</w:t>
      </w:r>
    </w:p>
    <w:p w:rsidR="00675B1D" w:rsidRPr="00346304" w:rsidRDefault="00675B1D" w:rsidP="00D21174">
      <w:pPr>
        <w:pStyle w:val="HHeadingfigures"/>
        <w:ind w:left="0"/>
        <w:rPr>
          <w:highlight w:val="yellow"/>
        </w:rPr>
      </w:pPr>
      <w:bookmarkStart w:id="52" w:name="_Toc445465121"/>
      <w:r w:rsidRPr="00346304">
        <w:br w:type="column"/>
      </w:r>
      <w:bookmarkStart w:id="53" w:name="_Toc451781926"/>
      <w:bookmarkStart w:id="54" w:name="_Ref451784376"/>
      <w:bookmarkStart w:id="55" w:name="_Ref451784562"/>
      <w:bookmarkStart w:id="56" w:name="_Toc461616778"/>
      <w:r w:rsidRPr="00346304">
        <w:rPr>
          <w:highlight w:val="yellow"/>
        </w:rPr>
        <w:lastRenderedPageBreak/>
        <w:t>Effetti della RRN e loro contributo ai prodotti, ai risultati e agli impatti del PSR</w:t>
      </w:r>
      <w:bookmarkEnd w:id="52"/>
      <w:bookmarkEnd w:id="53"/>
      <w:bookmarkEnd w:id="54"/>
      <w:bookmarkEnd w:id="55"/>
      <w:bookmarkEnd w:id="56"/>
    </w:p>
    <w:p w:rsidR="00675B1D" w:rsidRPr="00346304" w:rsidRDefault="00675B1D" w:rsidP="00A82087">
      <w:pPr>
        <w:pStyle w:val="HStandard"/>
        <w:jc w:val="center"/>
        <w:rPr>
          <w:rFonts w:eastAsia="Calibri"/>
          <w:sz w:val="12"/>
          <w:szCs w:val="12"/>
          <w:highlight w:val="yellow"/>
        </w:rPr>
      </w:pPr>
      <w:r w:rsidRPr="00346304">
        <w:rPr>
          <w:noProof/>
          <w:sz w:val="16"/>
          <w:lang w:val="en-GB" w:eastAsia="en-GB" w:bidi="ar-SA"/>
        </w:rPr>
        <w:drawing>
          <wp:inline distT="0" distB="0" distL="0" distR="0" wp14:anchorId="6518F35D" wp14:editId="093D19FE">
            <wp:extent cx="5731510" cy="2835275"/>
            <wp:effectExtent l="0" t="0" r="0" b="317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7.em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2835275"/>
                    </a:xfrm>
                    <a:prstGeom prst="rect">
                      <a:avLst/>
                    </a:prstGeom>
                  </pic:spPr>
                </pic:pic>
              </a:graphicData>
            </a:graphic>
          </wp:inline>
        </w:drawing>
      </w:r>
      <w:r w:rsidRPr="00346304">
        <w:rPr>
          <w:sz w:val="16"/>
          <w:highlight w:val="yellow"/>
        </w:rPr>
        <w:t>Fonte: Helpdesk europeo della valutazione per lo sviluppo rurale 2016</w:t>
      </w:r>
    </w:p>
    <w:p w:rsidR="00675B1D" w:rsidRPr="00346304" w:rsidRDefault="00675B1D" w:rsidP="0031367A">
      <w:pPr>
        <w:pStyle w:val="HStandard"/>
        <w:rPr>
          <w:rFonts w:eastAsia="Calibri"/>
          <w:highlight w:val="yellow"/>
        </w:rPr>
      </w:pPr>
      <w:r w:rsidRPr="00346304">
        <w:rPr>
          <w:highlight w:val="yellow"/>
        </w:rPr>
        <w:t xml:space="preserve">Attraverso i prodotti, i risultati e gli impatti del PSR, la RRN è anche collegata agli obiettivi della politica di sviluppo rurale dell'UE e, di conseguenza, alle priorità e agli obiettivi principali della strategia EU2020 su un altro livello di coerenza esterna. </w:t>
      </w:r>
    </w:p>
    <w:p w:rsidR="00675B1D" w:rsidRPr="00346304" w:rsidRDefault="00675B1D" w:rsidP="0031367A">
      <w:pPr>
        <w:pStyle w:val="HStandard"/>
        <w:rPr>
          <w:rFonts w:eastAsia="Calibri"/>
          <w:highlight w:val="yellow"/>
        </w:rPr>
      </w:pPr>
      <w:r w:rsidRPr="00346304">
        <w:rPr>
          <w:highlight w:val="yellow"/>
        </w:rPr>
        <w:t>La coerenza esterna della RRN con il/i PSR, con gli obiettivi strategici orizzontali e di</w:t>
      </w:r>
      <w:r>
        <w:rPr>
          <w:highlight w:val="yellow"/>
        </w:rPr>
        <w:t xml:space="preserve"> </w:t>
      </w:r>
      <w:r w:rsidRPr="00346304">
        <w:rPr>
          <w:highlight w:val="yellow"/>
        </w:rPr>
        <w:t>sviluppo rurale e con i risultati/gli impatti del</w:t>
      </w:r>
      <w:r>
        <w:rPr>
          <w:highlight w:val="yellow"/>
        </w:rPr>
        <w:t xml:space="preserve"> </w:t>
      </w:r>
      <w:r w:rsidRPr="00346304">
        <w:rPr>
          <w:highlight w:val="yellow"/>
        </w:rPr>
        <w:t xml:space="preserve">PSR è illustrata nella </w:t>
      </w:r>
      <w:r w:rsidRPr="00346304">
        <w:rPr>
          <w:rFonts w:eastAsia="Calibri"/>
          <w:highlight w:val="yellow"/>
        </w:rPr>
        <w:fldChar w:fldCharType="begin" w:fldLock="1"/>
      </w:r>
      <w:r w:rsidRPr="00346304">
        <w:rPr>
          <w:rFonts w:eastAsia="Calibri"/>
          <w:highlight w:val="yellow"/>
        </w:rPr>
        <w:instrText xml:space="preserve"> REF _Ref451784406 \r \h  \* MERGEFORMAT </w:instrText>
      </w:r>
      <w:r w:rsidRPr="00346304">
        <w:rPr>
          <w:rFonts w:eastAsia="Calibri"/>
          <w:highlight w:val="yellow"/>
        </w:rPr>
      </w:r>
      <w:r w:rsidRPr="00346304">
        <w:rPr>
          <w:rFonts w:eastAsia="Calibri"/>
          <w:highlight w:val="yellow"/>
        </w:rPr>
        <w:fldChar w:fldCharType="separate"/>
      </w:r>
      <w:r w:rsidRPr="00346304">
        <w:rPr>
          <w:rFonts w:eastAsia="Calibri"/>
          <w:highlight w:val="yellow"/>
        </w:rPr>
        <w:t>Figura 8</w:t>
      </w:r>
      <w:r w:rsidRPr="00346304">
        <w:rPr>
          <w:rFonts w:eastAsia="Calibri"/>
          <w:highlight w:val="yellow"/>
        </w:rPr>
        <w:fldChar w:fldCharType="end"/>
      </w:r>
      <w:r w:rsidRPr="00346304">
        <w:rPr>
          <w:highlight w:val="yellow"/>
        </w:rPr>
        <w:t xml:space="preserve">. </w:t>
      </w:r>
    </w:p>
    <w:p w:rsidR="00675B1D" w:rsidRPr="00346304" w:rsidRDefault="00675B1D" w:rsidP="00D21174">
      <w:pPr>
        <w:pStyle w:val="HHeadingfigures"/>
        <w:ind w:left="0"/>
        <w:rPr>
          <w:highlight w:val="yellow"/>
        </w:rPr>
      </w:pPr>
      <w:bookmarkStart w:id="57" w:name="_Toc445465122"/>
      <w:bookmarkStart w:id="58" w:name="_Toc451781927"/>
      <w:bookmarkStart w:id="59" w:name="_Ref451784406"/>
      <w:bookmarkStart w:id="60" w:name="_Ref451784429"/>
      <w:bookmarkStart w:id="61" w:name="_Ref451784787"/>
      <w:bookmarkStart w:id="62" w:name="_Toc461616779"/>
      <w:r w:rsidRPr="00346304">
        <w:rPr>
          <w:highlight w:val="yellow"/>
        </w:rPr>
        <w:t>Contributo della RRN a livello nazionale, di PSR e di obiettivi dell'UE</w:t>
      </w:r>
      <w:bookmarkEnd w:id="57"/>
      <w:bookmarkEnd w:id="58"/>
      <w:bookmarkEnd w:id="59"/>
      <w:bookmarkEnd w:id="60"/>
      <w:bookmarkEnd w:id="61"/>
      <w:bookmarkEnd w:id="62"/>
    </w:p>
    <w:p w:rsidR="00675B1D" w:rsidRPr="00346304" w:rsidRDefault="00675B1D" w:rsidP="00F94860">
      <w:pPr>
        <w:pStyle w:val="HStandard"/>
        <w:jc w:val="center"/>
        <w:rPr>
          <w:highlight w:val="yellow"/>
        </w:rPr>
      </w:pPr>
      <w:r w:rsidRPr="00346304">
        <w:rPr>
          <w:noProof/>
          <w:lang w:val="en-GB" w:eastAsia="en-GB" w:bidi="ar-SA"/>
        </w:rPr>
        <w:drawing>
          <wp:inline distT="0" distB="0" distL="0" distR="0" wp14:anchorId="081AEBA3" wp14:editId="0BCE6ED6">
            <wp:extent cx="4950542" cy="3562350"/>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8.em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54356" cy="3565094"/>
                    </a:xfrm>
                    <a:prstGeom prst="rect">
                      <a:avLst/>
                    </a:prstGeom>
                  </pic:spPr>
                </pic:pic>
              </a:graphicData>
            </a:graphic>
          </wp:inline>
        </w:drawing>
      </w:r>
    </w:p>
    <w:p w:rsidR="00675B1D" w:rsidRPr="00346304" w:rsidRDefault="00675B1D" w:rsidP="0031367A">
      <w:pPr>
        <w:pStyle w:val="HSource"/>
        <w:rPr>
          <w:rFonts w:eastAsia="Calibri"/>
          <w:highlight w:val="yellow"/>
        </w:rPr>
      </w:pPr>
      <w:r w:rsidRPr="00346304">
        <w:rPr>
          <w:highlight w:val="yellow"/>
        </w:rPr>
        <w:t>Fonte: Helpdesk europeo della valutazione per lo sviluppo rurale 2016</w:t>
      </w:r>
    </w:p>
    <w:p w:rsidR="00675B1D" w:rsidRPr="00346304" w:rsidRDefault="00675B1D" w:rsidP="0031367A">
      <w:pPr>
        <w:pStyle w:val="HStandard"/>
        <w:rPr>
          <w:rFonts w:eastAsia="Calibri"/>
          <w:highlight w:val="yellow"/>
        </w:rPr>
      </w:pPr>
      <w:r w:rsidRPr="00346304">
        <w:rPr>
          <w:highlight w:val="yellow"/>
        </w:rPr>
        <w:lastRenderedPageBreak/>
        <w:t>Il contributo della RRN a determinati obiettivi strategici può anche costituire temi di valutazione indipendente (ad esempio contributi effettuati dalla RRN al miglioramento della biodiversità, dei cambiamenti climatici, ecc.).</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70CE9">
        <w:tc>
          <w:tcPr>
            <w:tcW w:w="9016" w:type="dxa"/>
            <w:shd w:val="clear" w:color="auto" w:fill="F5F4F4" w:themeFill="background2" w:themeFillTint="66"/>
          </w:tcPr>
          <w:p w:rsidR="00675B1D" w:rsidRPr="00346304" w:rsidRDefault="00675B1D" w:rsidP="00B67AEC">
            <w:pPr>
              <w:pStyle w:val="HStandard"/>
              <w:rPr>
                <w:rFonts w:eastAsia="Calibri"/>
                <w:b/>
                <w:highlight w:val="yellow"/>
              </w:rPr>
            </w:pPr>
            <w:r w:rsidRPr="00346304">
              <w:rPr>
                <w:b/>
                <w:highlight w:val="yellow"/>
              </w:rPr>
              <w:t xml:space="preserve">La coerenza esterna assicura che la logica di intervento della RRN contribuisca sia agli obiettivi del PSR sia agli obiettivi a livello di UE. </w:t>
            </w:r>
          </w:p>
          <w:p w:rsidR="00675B1D" w:rsidRPr="00346304" w:rsidRDefault="00675B1D" w:rsidP="00501EAB">
            <w:pPr>
              <w:pStyle w:val="HStandard"/>
              <w:rPr>
                <w:rFonts w:eastAsia="Calibri"/>
                <w:b/>
                <w:highlight w:val="yellow"/>
              </w:rPr>
            </w:pPr>
            <w:r w:rsidRPr="00346304">
              <w:rPr>
                <w:b/>
                <w:highlight w:val="yellow"/>
              </w:rPr>
              <w:t>La valutazione della coerenza esterna, nonché la valutazione dei contributi della RRN al PSR e agli obiettivi strategici dell'UE è al centro della valutazione della RRN.</w:t>
            </w:r>
          </w:p>
        </w:tc>
      </w:tr>
    </w:tbl>
    <w:p w:rsidR="00675B1D" w:rsidRPr="00346304" w:rsidRDefault="00675B1D" w:rsidP="0031367A">
      <w:pPr>
        <w:pStyle w:val="HHeading5"/>
        <w:rPr>
          <w:highlight w:val="yellow"/>
        </w:rPr>
      </w:pPr>
      <w:r w:rsidRPr="00346304">
        <w:rPr>
          <w:highlight w:val="yellow"/>
        </w:rPr>
        <w:t xml:space="preserve">Efficacia ed efficienza </w:t>
      </w:r>
    </w:p>
    <w:p w:rsidR="00675B1D" w:rsidRPr="00346304" w:rsidRDefault="00675B1D" w:rsidP="0031367A">
      <w:pPr>
        <w:pStyle w:val="HStandard"/>
        <w:rPr>
          <w:highlight w:val="yellow"/>
        </w:rPr>
      </w:pPr>
      <w:r w:rsidRPr="00346304">
        <w:rPr>
          <w:highlight w:val="yellow"/>
        </w:rPr>
        <w:t xml:space="preserve">La valutazione dell'efficacia della RRN esamina la misura in cui gli obiettivi della RRN sono realizzati e la misura in cui la RRN contribuisce alla realizzazione degli obiettivi strategici a livello di PSR e di UE. L'efficienza è esaminata insieme all'efficacia e in questo caso ci si chiede se i fondi pubblici e privati stanziati siano stati spesi in modo significativo al fine di realizzare gli obiettivi strategici (a livello di RRN, PSR e UE) e abbiano generato i prodotti, i risultati e gli impatti attesi.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70CE9">
        <w:tc>
          <w:tcPr>
            <w:tcW w:w="9016" w:type="dxa"/>
            <w:shd w:val="clear" w:color="auto" w:fill="F5F4F4" w:themeFill="background2" w:themeFillTint="66"/>
          </w:tcPr>
          <w:p w:rsidR="00675B1D" w:rsidRPr="00346304" w:rsidRDefault="00675B1D" w:rsidP="004F780F">
            <w:pPr>
              <w:pStyle w:val="HStandard"/>
              <w:rPr>
                <w:b/>
                <w:highlight w:val="yellow"/>
              </w:rPr>
            </w:pPr>
            <w:r w:rsidRPr="00346304">
              <w:rPr>
                <w:b/>
                <w:highlight w:val="yellow"/>
              </w:rPr>
              <w:t xml:space="preserve">La valutazione dell'efficacia esamina la misura in cui gli interventi della RRN sono in grado di realizzare gli obiettivi strategici a livello di RRN, PSR e UE. </w:t>
            </w:r>
          </w:p>
          <w:p w:rsidR="00675B1D" w:rsidRPr="00346304" w:rsidRDefault="00675B1D" w:rsidP="000B2D05">
            <w:pPr>
              <w:pStyle w:val="HStandard"/>
              <w:rPr>
                <w:highlight w:val="yellow"/>
              </w:rPr>
            </w:pPr>
            <w:r w:rsidRPr="00346304">
              <w:rPr>
                <w:b/>
                <w:highlight w:val="yellow"/>
              </w:rPr>
              <w:t xml:space="preserve">La valutazione dell'efficienza esamina i costi sostenuti per realizzare i prodotti, i risultati e gli impatti generati dalla RRN. </w:t>
            </w:r>
          </w:p>
        </w:tc>
      </w:tr>
    </w:tbl>
    <w:p w:rsidR="00675B1D" w:rsidRPr="00346304" w:rsidRDefault="00675B1D" w:rsidP="0031367A">
      <w:pPr>
        <w:pStyle w:val="HHeading5"/>
        <w:rPr>
          <w:highlight w:val="yellow"/>
        </w:rPr>
      </w:pPr>
      <w:r w:rsidRPr="00346304">
        <w:rPr>
          <w:highlight w:val="yellow"/>
        </w:rPr>
        <w:t>Fattori di successo e di fallimento della RRN</w:t>
      </w:r>
    </w:p>
    <w:p w:rsidR="00675B1D" w:rsidRPr="00346304" w:rsidRDefault="00675B1D" w:rsidP="0031367A">
      <w:pPr>
        <w:pStyle w:val="HStandard"/>
        <w:rPr>
          <w:highlight w:val="yellow"/>
        </w:rPr>
      </w:pPr>
      <w:r w:rsidRPr="00346304">
        <w:rPr>
          <w:highlight w:val="yellow"/>
        </w:rPr>
        <w:t xml:space="preserve">Oltre a esaminare i risultati, l'impatto e le realizzazioni della RRN, la valutazione offre l'opportunità di fornire importanti lezioni per migliorare le attività della RRN e facilitare una migliore progettazione delle future RRN attraverso l'osservazione dei fattori che hanno contribuito al successo e al fallimento della rete. </w:t>
      </w:r>
    </w:p>
    <w:p w:rsidR="00675B1D" w:rsidRPr="00346304" w:rsidRDefault="00675B1D" w:rsidP="0031367A">
      <w:pPr>
        <w:pStyle w:val="HStandard"/>
        <w:rPr>
          <w:highlight w:val="yellow"/>
        </w:rPr>
      </w:pPr>
      <w:r w:rsidRPr="00346304">
        <w:rPr>
          <w:highlight w:val="yellow"/>
        </w:rPr>
        <w:t xml:space="preserve">I fattori di successo e di fallimento possono essere interni o esterni. Possono promuovere o indebolire gli effetti delle attività della RRN. I fattori interni possono essere costituiti da questioni collegate all'amministrazione e all'erogazione delle attività della RRN (ad esempio, funzionamento dell'unità di sostegno alla rete). I fattori esterni possono essere la cultura delle attività in rete nelle zone rurali o la mancanza della stessa.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70CE9">
        <w:tc>
          <w:tcPr>
            <w:tcW w:w="9016" w:type="dxa"/>
            <w:shd w:val="clear" w:color="auto" w:fill="F5F4F4" w:themeFill="background2" w:themeFillTint="66"/>
          </w:tcPr>
          <w:p w:rsidR="00675B1D" w:rsidRPr="00346304" w:rsidRDefault="00675B1D" w:rsidP="002658BA">
            <w:pPr>
              <w:pStyle w:val="HStandard"/>
              <w:rPr>
                <w:b/>
                <w:highlight w:val="yellow"/>
              </w:rPr>
            </w:pPr>
            <w:r w:rsidRPr="00346304">
              <w:rPr>
                <w:b/>
                <w:highlight w:val="yellow"/>
              </w:rPr>
              <w:t xml:space="preserve">La valutazione dei fattori di successo e fallimento degli interventi della RRN esamina i fattori interni ed esterni che favoriscono o indeboliscono gli interventi della RRN. Questo esame rappresenta una parte importante della funzione di apprendimento della valutazione delle RRN. </w:t>
            </w:r>
          </w:p>
        </w:tc>
      </w:tr>
    </w:tbl>
    <w:p w:rsidR="00675B1D" w:rsidRPr="00346304" w:rsidRDefault="00675B1D" w:rsidP="00680DA9">
      <w:pPr>
        <w:pStyle w:val="HHeading3"/>
        <w:rPr>
          <w:highlight w:val="yellow"/>
        </w:rPr>
      </w:pPr>
      <w:bookmarkStart w:id="63" w:name="_Toc453079752"/>
      <w:bookmarkStart w:id="64" w:name="_Toc461616636"/>
      <w:r w:rsidRPr="00346304">
        <w:rPr>
          <w:highlight w:val="yellow"/>
        </w:rPr>
        <w:t>Elementi di valutazione delle RRN</w:t>
      </w:r>
      <w:bookmarkEnd w:id="63"/>
      <w:bookmarkEnd w:id="64"/>
    </w:p>
    <w:p w:rsidR="00675B1D" w:rsidRPr="00346304" w:rsidRDefault="00675B1D" w:rsidP="00A27369">
      <w:pPr>
        <w:pStyle w:val="HStandard"/>
        <w:rPr>
          <w:highlight w:val="yellow"/>
        </w:rPr>
      </w:pPr>
      <w:r w:rsidRPr="00346304">
        <w:rPr>
          <w:highlight w:val="yellow"/>
        </w:rPr>
        <w:t xml:space="preserve">Il sistema comune di monitoraggio e valutazione (CMES) stabilisce gli elementi di valutazione comuni che dovrebbero essere utilizzati per la valutazione dei programmi di sviluppo rurale, tra cui le RRN. Gli elementi comuni sono stati progettati dalla Commissione europea, in collaborazione con le parti interessate negli Stati membri, al fine di fornire informazioni essenziali che possono essere aggregate a livello di UE e che siano paragonabili tra i vari PSR. Gli elementi del CMES devono essere integrati con elementi specifici del programma nell'affrontare le specificità della zona interessata dal programma, ivi compresi aspetti legati alle RRN. Gli elementi specifici del programma per le RRN sono progettati dalle autorità di gestione del programma o in collaborazione con le parti interessate della RRN, al fine di cogliere gli aspetti specifici delle RRN. </w:t>
      </w:r>
    </w:p>
    <w:p w:rsidR="00675B1D" w:rsidRPr="00346304" w:rsidRDefault="00675B1D" w:rsidP="00A27369">
      <w:pPr>
        <w:pStyle w:val="HStandard"/>
        <w:rPr>
          <w:highlight w:val="yellow"/>
        </w:rPr>
      </w:pPr>
      <w:r w:rsidRPr="00346304">
        <w:rPr>
          <w:highlight w:val="yellow"/>
        </w:rPr>
        <w:lastRenderedPageBreak/>
        <w:t xml:space="preserve">Gli elementi di valutazione per le RRN includono: </w:t>
      </w:r>
    </w:p>
    <w:p w:rsidR="00675B1D" w:rsidRPr="00346304" w:rsidRDefault="00675B1D" w:rsidP="00A27369">
      <w:pPr>
        <w:pStyle w:val="Hlistbullet"/>
        <w:rPr>
          <w:highlight w:val="yellow"/>
        </w:rPr>
      </w:pPr>
      <w:r w:rsidRPr="00346304">
        <w:rPr>
          <w:b/>
          <w:highlight w:val="yellow"/>
        </w:rPr>
        <w:t>la logica di intervento,</w:t>
      </w:r>
      <w:r w:rsidRPr="00346304">
        <w:rPr>
          <w:highlight w:val="yellow"/>
        </w:rPr>
        <w:t xml:space="preserve"> che illustra i legami tra gli obiettivi della RRN e le azioni del piano di azione della RRN e con i prodotti, i risultati e gli impatti della RRN. I parametri del contesto sono utilizzati per descrivere e analizzare lo specifico contesto nel quale operano le reti;</w:t>
      </w:r>
    </w:p>
    <w:p w:rsidR="00675B1D" w:rsidRPr="00346304" w:rsidRDefault="00675B1D" w:rsidP="00A27369">
      <w:pPr>
        <w:pStyle w:val="Hlistbullet"/>
        <w:rPr>
          <w:highlight w:val="yellow"/>
        </w:rPr>
      </w:pPr>
      <w:r w:rsidRPr="00346304">
        <w:rPr>
          <w:b/>
          <w:highlight w:val="yellow"/>
        </w:rPr>
        <w:t xml:space="preserve">domande di valutazione </w:t>
      </w:r>
      <w:r w:rsidRPr="00346304">
        <w:rPr>
          <w:highlight w:val="yellow"/>
        </w:rPr>
        <w:t>che definiscono gli aspetti specifici della valutazione delle RRN in relazione agli obiettivi strategici comuni e specifici del programma per le RRN al fine di dimostrare i progressi e le realizzazioni e di sostenere la valutazione dei risultati, degli impatti, dell'efficacia, dell'efficienza e della rilevanza degli interventi della politica di sviluppo rurale</w:t>
      </w:r>
      <w:r w:rsidRPr="00346304">
        <w:rPr>
          <w:rStyle w:val="FootnoteReference"/>
          <w:highlight w:val="yellow"/>
        </w:rPr>
        <w:footnoteReference w:id="37"/>
      </w:r>
      <w:r w:rsidRPr="00346304">
        <w:rPr>
          <w:highlight w:val="yellow"/>
        </w:rPr>
        <w:t>;</w:t>
      </w:r>
    </w:p>
    <w:p w:rsidR="00675B1D" w:rsidRPr="00346304" w:rsidRDefault="00675B1D" w:rsidP="00A27369">
      <w:pPr>
        <w:pStyle w:val="Hlistbullet2"/>
        <w:rPr>
          <w:highlight w:val="yellow"/>
        </w:rPr>
      </w:pPr>
      <w:r w:rsidRPr="00346304">
        <w:rPr>
          <w:b/>
          <w:highlight w:val="yellow"/>
        </w:rPr>
        <w:t>indicatori</w:t>
      </w:r>
      <w:r w:rsidRPr="00346304">
        <w:rPr>
          <w:highlight w:val="yellow"/>
        </w:rPr>
        <w:t xml:space="preserve"> per le RRN, utilizzati come mezzo per valutare i risultati e gli impatti della RRN, nonché l'efficienza, l'efficacia e le realizzazioni della RRN e la rilevanza degli interventi della rete.</w:t>
      </w:r>
    </w:p>
    <w:p w:rsidR="00675B1D" w:rsidRPr="00346304" w:rsidRDefault="00675B1D" w:rsidP="00A27369">
      <w:pPr>
        <w:pStyle w:val="HHeading5"/>
        <w:rPr>
          <w:highlight w:val="yellow"/>
        </w:rPr>
      </w:pPr>
      <w:r w:rsidRPr="00346304">
        <w:rPr>
          <w:highlight w:val="yellow"/>
        </w:rPr>
        <w:t>Elementi di valutazione comuni</w:t>
      </w:r>
    </w:p>
    <w:p w:rsidR="00675B1D" w:rsidRPr="00346304" w:rsidRDefault="00675B1D" w:rsidP="00A27369">
      <w:pPr>
        <w:pStyle w:val="HStandard"/>
        <w:rPr>
          <w:highlight w:val="yellow"/>
        </w:rPr>
      </w:pPr>
      <w:r w:rsidRPr="00346304">
        <w:rPr>
          <w:highlight w:val="yellow"/>
        </w:rPr>
        <w:t>Gli elementi di valutazione comuni sono stabiliti dal CMES e rappresentano la base del quadro di monitoraggio e valutazione della RRN:</w:t>
      </w:r>
    </w:p>
    <w:p w:rsidR="00675B1D" w:rsidRPr="00346304" w:rsidRDefault="00675B1D" w:rsidP="00892664">
      <w:pPr>
        <w:pStyle w:val="HStandard"/>
        <w:numPr>
          <w:ilvl w:val="0"/>
          <w:numId w:val="15"/>
        </w:numPr>
        <w:rPr>
          <w:highlight w:val="yellow"/>
        </w:rPr>
      </w:pPr>
      <w:r w:rsidRPr="00346304">
        <w:rPr>
          <w:highlight w:val="yellow"/>
        </w:rPr>
        <w:t xml:space="preserve">i quattro </w:t>
      </w:r>
      <w:r w:rsidRPr="00346304">
        <w:rPr>
          <w:b/>
          <w:highlight w:val="yellow"/>
        </w:rPr>
        <w:t>obiettivi comuni della RRN</w:t>
      </w:r>
      <w:r w:rsidRPr="00346304">
        <w:rPr>
          <w:highlight w:val="yellow"/>
        </w:rPr>
        <w:t xml:space="preserve"> e i sette gruppi di azioni comuni per le RRN che sono enunciati nel regolamento dell'UE in materia di sviluppo rurale</w:t>
      </w:r>
      <w:r w:rsidRPr="00346304">
        <w:rPr>
          <w:rStyle w:val="FootnoteReference"/>
          <w:highlight w:val="yellow"/>
        </w:rPr>
        <w:footnoteReference w:id="38"/>
      </w:r>
      <w:r w:rsidRPr="00346304">
        <w:rPr>
          <w:highlight w:val="yellow"/>
        </w:rPr>
        <w:t xml:space="preserve"> costituiscono la base della logica di intervento delle RRN (cfr. </w:t>
      </w:r>
      <w:r w:rsidRPr="00346304">
        <w:rPr>
          <w:highlight w:val="yellow"/>
        </w:rPr>
        <w:fldChar w:fldCharType="begin" w:fldLock="1"/>
      </w:r>
      <w:r w:rsidRPr="00346304">
        <w:rPr>
          <w:highlight w:val="yellow"/>
        </w:rPr>
        <w:instrText xml:space="preserve"> REF _Ref451784429 \r \h  \* MERGEFORMAT </w:instrText>
      </w:r>
      <w:r w:rsidRPr="00346304">
        <w:rPr>
          <w:highlight w:val="yellow"/>
        </w:rPr>
      </w:r>
      <w:r w:rsidRPr="00346304">
        <w:rPr>
          <w:highlight w:val="yellow"/>
        </w:rPr>
        <w:fldChar w:fldCharType="separate"/>
      </w:r>
      <w:r w:rsidRPr="00346304">
        <w:rPr>
          <w:highlight w:val="yellow"/>
        </w:rPr>
        <w:t>Figura 8</w:t>
      </w:r>
      <w:r w:rsidRPr="00346304">
        <w:rPr>
          <w:highlight w:val="yellow"/>
        </w:rPr>
        <w:fldChar w:fldCharType="end"/>
      </w:r>
      <w:r w:rsidRPr="00346304">
        <w:rPr>
          <w:highlight w:val="yellow"/>
        </w:rPr>
        <w:t xml:space="preserve">); </w:t>
      </w:r>
    </w:p>
    <w:p w:rsidR="00675B1D" w:rsidRPr="00346304" w:rsidRDefault="00675B1D" w:rsidP="00EC0781">
      <w:pPr>
        <w:pStyle w:val="HStandard"/>
        <w:numPr>
          <w:ilvl w:val="0"/>
          <w:numId w:val="15"/>
        </w:numPr>
        <w:rPr>
          <w:highlight w:val="yellow"/>
        </w:rPr>
      </w:pPr>
      <w:r w:rsidRPr="00346304">
        <w:rPr>
          <w:highlight w:val="yellow"/>
        </w:rPr>
        <w:t xml:space="preserve">il </w:t>
      </w:r>
      <w:r w:rsidRPr="00346304">
        <w:rPr>
          <w:b/>
          <w:highlight w:val="yellow"/>
        </w:rPr>
        <w:t>questionario valutativo comune</w:t>
      </w:r>
      <w:r w:rsidRPr="00346304">
        <w:rPr>
          <w:highlight w:val="yellow"/>
        </w:rPr>
        <w:t xml:space="preserve"> per le RRN</w:t>
      </w:r>
      <w:r w:rsidRPr="00346304">
        <w:rPr>
          <w:rStyle w:val="FootnoteReference"/>
          <w:highlight w:val="yellow"/>
        </w:rPr>
        <w:footnoteReference w:id="39"/>
      </w:r>
      <w:r w:rsidRPr="00346304">
        <w:rPr>
          <w:highlight w:val="yellow"/>
        </w:rPr>
        <w:t xml:space="preserve"> (cfr. </w:t>
      </w:r>
      <w:r w:rsidRPr="00346304">
        <w:rPr>
          <w:highlight w:val="yellow"/>
        </w:rPr>
        <w:fldChar w:fldCharType="begin" w:fldLock="1"/>
      </w:r>
      <w:r w:rsidRPr="00346304">
        <w:rPr>
          <w:highlight w:val="yellow"/>
        </w:rPr>
        <w:instrText xml:space="preserve"> REF _Ref451784860 \r \h  \* MERGEFORMAT </w:instrText>
      </w:r>
      <w:r w:rsidRPr="00346304">
        <w:rPr>
          <w:highlight w:val="yellow"/>
        </w:rPr>
      </w:r>
      <w:r w:rsidRPr="00346304">
        <w:rPr>
          <w:highlight w:val="yellow"/>
        </w:rPr>
        <w:fldChar w:fldCharType="separate"/>
      </w:r>
      <w:r w:rsidRPr="00346304">
        <w:rPr>
          <w:highlight w:val="yellow"/>
        </w:rPr>
        <w:t>Tabella 1</w:t>
      </w:r>
      <w:r w:rsidRPr="00346304">
        <w:rPr>
          <w:highlight w:val="yellow"/>
        </w:rPr>
        <w:fldChar w:fldCharType="end"/>
      </w:r>
      <w:r w:rsidRPr="00346304">
        <w:rPr>
          <w:highlight w:val="yellow"/>
        </w:rPr>
        <w:t>) incluso nel CMES e collegato a tutti e quattro gli obiettivi comuni delle RRN</w:t>
      </w:r>
      <w:r w:rsidRPr="00346304">
        <w:rPr>
          <w:rStyle w:val="FootnoteReference"/>
          <w:highlight w:val="yellow"/>
        </w:rPr>
        <w:footnoteReference w:id="40"/>
      </w:r>
      <w:r w:rsidRPr="00346304">
        <w:rPr>
          <w:highlight w:val="yellow"/>
        </w:rPr>
        <w:t xml:space="preserve">, che concentra la valutazione degli effetti della RRN rispetto alla politica di sviluppo rurale dell'Unione europea; </w:t>
      </w:r>
    </w:p>
    <w:p w:rsidR="00675B1D" w:rsidRPr="00346304" w:rsidRDefault="00675B1D" w:rsidP="00A75DD3">
      <w:pPr>
        <w:pStyle w:val="HStandard"/>
        <w:numPr>
          <w:ilvl w:val="0"/>
          <w:numId w:val="15"/>
        </w:numPr>
        <w:rPr>
          <w:highlight w:val="yellow"/>
        </w:rPr>
      </w:pPr>
      <w:r w:rsidRPr="00346304">
        <w:rPr>
          <w:highlight w:val="yellow"/>
        </w:rPr>
        <w:t xml:space="preserve">a livello di UE, sono definiti tre </w:t>
      </w:r>
      <w:r w:rsidRPr="00346304">
        <w:rPr>
          <w:b/>
          <w:highlight w:val="yellow"/>
        </w:rPr>
        <w:t>indicatori comuni di prodotto</w:t>
      </w:r>
      <w:r w:rsidRPr="00346304">
        <w:rPr>
          <w:highlight w:val="yellow"/>
        </w:rPr>
        <w:t xml:space="preserve"> per le RRN</w:t>
      </w:r>
      <w:r w:rsidRPr="00346304">
        <w:rPr>
          <w:rStyle w:val="FootnoteReference"/>
          <w:highlight w:val="yellow"/>
        </w:rPr>
        <w:footnoteReference w:id="41"/>
      </w:r>
      <w:r w:rsidRPr="00346304">
        <w:rPr>
          <w:highlight w:val="yellow"/>
        </w:rPr>
        <w:t xml:space="preserve"> (cfr. </w:t>
      </w:r>
      <w:r w:rsidRPr="00346304">
        <w:rPr>
          <w:highlight w:val="yellow"/>
        </w:rPr>
        <w:fldChar w:fldCharType="begin" w:fldLock="1"/>
      </w:r>
      <w:r w:rsidRPr="00346304">
        <w:rPr>
          <w:highlight w:val="yellow"/>
        </w:rPr>
        <w:instrText xml:space="preserve"> REF _Ref451784441 \r \h  \* MERGEFORMAT </w:instrText>
      </w:r>
      <w:r w:rsidRPr="00346304">
        <w:rPr>
          <w:highlight w:val="yellow"/>
        </w:rPr>
      </w:r>
      <w:r w:rsidRPr="00346304">
        <w:rPr>
          <w:highlight w:val="yellow"/>
        </w:rPr>
        <w:fldChar w:fldCharType="separate"/>
      </w:r>
      <w:r w:rsidRPr="00346304">
        <w:rPr>
          <w:highlight w:val="yellow"/>
        </w:rPr>
        <w:t>Figura 9</w:t>
      </w:r>
      <w:r w:rsidRPr="00346304">
        <w:rPr>
          <w:highlight w:val="yellow"/>
        </w:rPr>
        <w:fldChar w:fldCharType="end"/>
      </w:r>
      <w:r w:rsidRPr="00346304">
        <w:rPr>
          <w:highlight w:val="yellow"/>
        </w:rPr>
        <w:t xml:space="preserve"> e</w:t>
      </w:r>
      <w:r w:rsidRPr="00346304">
        <w:rPr>
          <w:highlight w:val="yellow"/>
        </w:rPr>
        <w:fldChar w:fldCharType="begin" w:fldLock="1"/>
      </w:r>
      <w:r w:rsidRPr="00346304">
        <w:rPr>
          <w:highlight w:val="yellow"/>
        </w:rPr>
        <w:instrText xml:space="preserve"> REF _Ref451784868 \r \h  \* MERGEFORMAT </w:instrText>
      </w:r>
      <w:r w:rsidRPr="00346304">
        <w:rPr>
          <w:highlight w:val="yellow"/>
        </w:rPr>
      </w:r>
      <w:r w:rsidRPr="00346304">
        <w:rPr>
          <w:highlight w:val="yellow"/>
        </w:rPr>
        <w:fldChar w:fldCharType="separate"/>
      </w:r>
      <w:r w:rsidRPr="00346304">
        <w:rPr>
          <w:highlight w:val="yellow"/>
        </w:rPr>
        <w:t xml:space="preserve"> Tabella 1</w:t>
      </w:r>
      <w:r w:rsidRPr="00346304">
        <w:rPr>
          <w:highlight w:val="yellow"/>
        </w:rPr>
        <w:fldChar w:fldCharType="end"/>
      </w:r>
      <w:r w:rsidRPr="00346304">
        <w:rPr>
          <w:highlight w:val="yellow"/>
        </w:rPr>
        <w:t>).</w:t>
      </w:r>
    </w:p>
    <w:p w:rsidR="00675B1D" w:rsidRPr="00346304" w:rsidRDefault="00675B1D" w:rsidP="00A27369">
      <w:pPr>
        <w:pStyle w:val="HHeading5"/>
        <w:rPr>
          <w:highlight w:val="yellow"/>
        </w:rPr>
      </w:pPr>
      <w:r w:rsidRPr="00346304">
        <w:rPr>
          <w:highlight w:val="yellow"/>
        </w:rPr>
        <w:t xml:space="preserve">Indicatori aggiuntivi </w:t>
      </w:r>
    </w:p>
    <w:p w:rsidR="00675B1D" w:rsidRPr="00346304" w:rsidRDefault="00675B1D" w:rsidP="00E67ED6">
      <w:pPr>
        <w:pStyle w:val="HStandard"/>
        <w:rPr>
          <w:highlight w:val="yellow"/>
        </w:rPr>
      </w:pPr>
      <w:r w:rsidRPr="00346304">
        <w:rPr>
          <w:highlight w:val="yellow"/>
        </w:rPr>
        <w:t>Dal momento che gli indicatori comuni di realizzazione non sono sufficienti per rispondere al questionario valutativo comune relativo alla RRN, le parti interessate negli Stati membri dovrebbero sviluppare ulteriori indicatori (di prodotto, di risultato e di impatto). Indicatori aggiuntivi possono essere sviluppati con l'aiuto di una catena di prodotto-risultato-impatto, disponibile nella parte III delle linee guida, nel capitolo 5. Le informazioni aggiuntive proposte nel documento di lavoro «Common evaluation questions for Rural Development Programmes 2014-2020</w:t>
      </w:r>
      <w:r w:rsidRPr="00346304">
        <w:rPr>
          <w:rStyle w:val="FootnoteReference"/>
          <w:highlight w:val="yellow"/>
        </w:rPr>
        <w:footnoteReference w:id="42"/>
      </w:r>
      <w:r w:rsidRPr="00346304">
        <w:rPr>
          <w:rFonts w:ascii="ZWAdobeF" w:hAnsi="ZWAdobeF"/>
          <w:color w:val="auto"/>
          <w:sz w:val="2"/>
          <w:highlight w:val="yellow"/>
        </w:rPr>
        <w:t>»</w:t>
      </w:r>
      <w:r w:rsidRPr="00346304">
        <w:rPr>
          <w:highlight w:val="yellow"/>
        </w:rPr>
        <w:t xml:space="preserve"> [Questionario valutativo comune per programmi di sviluppo rurale 2014-2020] (in inglese) possono essere utilizzate anche come fonte di ispirazione per sviluppare indicatori aggiuntivi. </w:t>
      </w:r>
    </w:p>
    <w:p w:rsidR="00675B1D" w:rsidRPr="00346304" w:rsidRDefault="00675B1D" w:rsidP="00A27369">
      <w:pPr>
        <w:pStyle w:val="HHeading5"/>
        <w:rPr>
          <w:highlight w:val="yellow"/>
        </w:rPr>
      </w:pPr>
      <w:r w:rsidRPr="00346304">
        <w:rPr>
          <w:highlight w:val="yellow"/>
        </w:rPr>
        <w:t xml:space="preserve">Elementi di valutazione specifici dei programmi legati alla RRN </w:t>
      </w:r>
    </w:p>
    <w:p w:rsidR="00675B1D" w:rsidRPr="00346304" w:rsidRDefault="00675B1D" w:rsidP="00A27369">
      <w:pPr>
        <w:pStyle w:val="HStandard"/>
        <w:rPr>
          <w:highlight w:val="yellow"/>
        </w:rPr>
      </w:pPr>
      <w:r w:rsidRPr="00346304">
        <w:rPr>
          <w:highlight w:val="yellow"/>
        </w:rPr>
        <w:t xml:space="preserve">Gli elementi di valutazione specifici dei programmi legati alla RRN sono formulati dall'autorità di gestione del programma oppure dall'autorità di gestione in collaborazione con le parti interessate della RRN negli Stati membri (USR, RRN, valutatori). Questi vanno a completare gli elementi di valutazione comuni a livello di PSR/PRRN durante la finalizzazione della logica di intervento della RRN e la progettazione del sistema di monitoraggio e valutazione legato alle RRN. A tale proposito: </w:t>
      </w:r>
    </w:p>
    <w:p w:rsidR="00675B1D" w:rsidRPr="00346304" w:rsidRDefault="00675B1D" w:rsidP="00A27369">
      <w:pPr>
        <w:pStyle w:val="Hlistbullet"/>
        <w:rPr>
          <w:highlight w:val="yellow"/>
        </w:rPr>
      </w:pPr>
      <w:r w:rsidRPr="00346304">
        <w:rPr>
          <w:highlight w:val="yellow"/>
        </w:rPr>
        <w:t xml:space="preserve">gli </w:t>
      </w:r>
      <w:r w:rsidRPr="00346304">
        <w:rPr>
          <w:b/>
          <w:highlight w:val="yellow"/>
        </w:rPr>
        <w:t>obiettivi specifici del programma</w:t>
      </w:r>
      <w:r w:rsidRPr="00346304">
        <w:rPr>
          <w:highlight w:val="yellow"/>
        </w:rPr>
        <w:t xml:space="preserve"> legati alla RRN vengono formulati nel caso in cui gli obiettivi comuni delle RRN</w:t>
      </w:r>
      <w:r w:rsidRPr="00346304">
        <w:rPr>
          <w:rStyle w:val="FootnoteReference"/>
          <w:highlight w:val="yellow"/>
        </w:rPr>
        <w:footnoteReference w:id="43"/>
      </w:r>
      <w:r w:rsidRPr="00346304">
        <w:rPr>
          <w:highlight w:val="yellow"/>
        </w:rPr>
        <w:t xml:space="preserve"> non siano sufficienti per definire la logica di intervento della RRN; </w:t>
      </w:r>
    </w:p>
    <w:p w:rsidR="00675B1D" w:rsidRPr="00346304" w:rsidRDefault="00675B1D" w:rsidP="00A27369">
      <w:pPr>
        <w:pStyle w:val="Hlistbullet"/>
        <w:rPr>
          <w:highlight w:val="yellow"/>
        </w:rPr>
      </w:pPr>
      <w:r w:rsidRPr="00346304">
        <w:rPr>
          <w:highlight w:val="yellow"/>
        </w:rPr>
        <w:lastRenderedPageBreak/>
        <w:t xml:space="preserve">i </w:t>
      </w:r>
      <w:r w:rsidRPr="00346304">
        <w:rPr>
          <w:b/>
          <w:highlight w:val="yellow"/>
        </w:rPr>
        <w:t>questionari valutativi specifici del programma</w:t>
      </w:r>
      <w:r w:rsidRPr="00346304">
        <w:rPr>
          <w:highlight w:val="yellow"/>
        </w:rPr>
        <w:t xml:space="preserve"> vengono sviluppati quando la realizzazione degli obiettivi strategici comuni non può essere pienamente valutata con l'aiuto del questionario valutativo comune o quando la logica di intervento della RRN contiene obiettivi specifici del programma relativi alla RRN. I questionari valutativi specifici del programma possono anche essere sviluppati nel caso in cui sia necessario sviluppare in modo più approfondito specifici temi di valutazione legati alla RRN (ad esempio prestazioni della rete, ecc.). I questionari valutativi specifici del programma possono essere formulati al momento della progettazione del piano di azione/programma della RRN oppure successivamente, durante la valutazione della RRN. I questionari valutativi specifici del programma dovrebbero essere ulteriormente specificati con criteri per giudicare il successo dell'intervento della RRN (criteri di giudizio) Ad esempio, se la domanda del questionario valutativo specifico del programma chiede «In che misura la RRN ha contribuito a una maggiore attività in rete nelle zone rurali?», è opportuno precisare che cosa si intende con successo nel realizzare una maggiore attività in rete: ad esempio maggiori tipologie di parti interessate coinvolte nella rete;</w:t>
      </w:r>
    </w:p>
    <w:p w:rsidR="00675B1D" w:rsidRPr="00346304" w:rsidRDefault="00675B1D" w:rsidP="00A27369">
      <w:pPr>
        <w:pStyle w:val="Hlistbullet2"/>
        <w:rPr>
          <w:highlight w:val="yellow"/>
        </w:rPr>
      </w:pPr>
      <w:r w:rsidRPr="00346304">
        <w:rPr>
          <w:highlight w:val="yellow"/>
        </w:rPr>
        <w:t xml:space="preserve">gli </w:t>
      </w:r>
      <w:r w:rsidRPr="00346304">
        <w:rPr>
          <w:b/>
          <w:highlight w:val="yellow"/>
        </w:rPr>
        <w:t xml:space="preserve">indicatori specifici del programma </w:t>
      </w:r>
      <w:r w:rsidRPr="00346304">
        <w:rPr>
          <w:highlight w:val="yellow"/>
        </w:rPr>
        <w:t xml:space="preserve">per le RRN sono legati a specifici prodotti, risultati e impatti delle RRN. Gli indicatori specifici del programma vengono progettati per rispondere alle domande di valutazione specifiche del programma. </w:t>
      </w:r>
    </w:p>
    <w:p w:rsidR="00675B1D" w:rsidRPr="00346304" w:rsidRDefault="00675B1D" w:rsidP="00A27369">
      <w:pPr>
        <w:pStyle w:val="HStandard"/>
        <w:rPr>
          <w:highlight w:val="yellow"/>
        </w:rPr>
      </w:pPr>
      <w:r w:rsidRPr="00346304">
        <w:rPr>
          <w:highlight w:val="yellow"/>
        </w:rPr>
        <w:t>La costituzione del quadro di monitoraggio e di valutazione della RRN inizia collegando il questionario valutativo comune e gli indicatori alla logica di intervento della RRN, costituita da obiettivi comuni e specifici del programma, da un lato, e da prodotti, risultati e impatti attesi, dall'altro lato, integrati dagli indicatori e dal questionario valutativo specifico del programma relativi alla RRN. La figura che segue riassume gli elementi di valutazione comuni delle RRN e mostra dove le parti interessate negli Stati membri dovrebbero sviluppare gli elementi specifici del programma della RRN.</w:t>
      </w:r>
    </w:p>
    <w:p w:rsidR="00675B1D" w:rsidRPr="00346304" w:rsidRDefault="00675B1D" w:rsidP="00D21174">
      <w:pPr>
        <w:pStyle w:val="HHeadingfigures"/>
        <w:ind w:left="0"/>
        <w:rPr>
          <w:highlight w:val="yellow"/>
        </w:rPr>
      </w:pPr>
      <w:bookmarkStart w:id="65" w:name="_Toc445465124"/>
      <w:bookmarkStart w:id="66" w:name="_Toc451781928"/>
      <w:bookmarkStart w:id="67" w:name="_Ref451784441"/>
      <w:bookmarkStart w:id="68" w:name="_Ref451784713"/>
      <w:bookmarkStart w:id="69" w:name="_Toc461616780"/>
      <w:r w:rsidRPr="00346304">
        <w:rPr>
          <w:highlight w:val="yellow"/>
        </w:rPr>
        <w:t>Panoramica degli elementi del CMES per le RRN da completare con elementi della RRN specifici del programma</w:t>
      </w:r>
      <w:bookmarkEnd w:id="65"/>
      <w:bookmarkEnd w:id="66"/>
      <w:bookmarkEnd w:id="67"/>
      <w:bookmarkEnd w:id="68"/>
      <w:bookmarkEnd w:id="69"/>
      <w:r w:rsidRPr="00346304">
        <w:rPr>
          <w:highlight w:val="yellow"/>
        </w:rPr>
        <w:t xml:space="preserve"> </w:t>
      </w:r>
    </w:p>
    <w:p w:rsidR="00675B1D" w:rsidRPr="00346304" w:rsidRDefault="00675B1D" w:rsidP="00BD4B16">
      <w:pPr>
        <w:pStyle w:val="HStandard"/>
        <w:jc w:val="center"/>
        <w:rPr>
          <w:highlight w:val="yellow"/>
        </w:rPr>
      </w:pPr>
      <w:r w:rsidRPr="00346304">
        <w:rPr>
          <w:noProof/>
          <w:lang w:val="en-GB" w:eastAsia="en-GB" w:bidi="ar-SA"/>
        </w:rPr>
        <w:drawing>
          <wp:inline distT="0" distB="0" distL="0" distR="0" wp14:anchorId="097EB813" wp14:editId="5D686A72">
            <wp:extent cx="5731510" cy="3325495"/>
            <wp:effectExtent l="0" t="0" r="2540" b="825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9.em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325495"/>
                    </a:xfrm>
                    <a:prstGeom prst="rect">
                      <a:avLst/>
                    </a:prstGeom>
                  </pic:spPr>
                </pic:pic>
              </a:graphicData>
            </a:graphic>
          </wp:inline>
        </w:drawing>
      </w:r>
    </w:p>
    <w:p w:rsidR="00675B1D" w:rsidRPr="00346304" w:rsidRDefault="00675B1D" w:rsidP="004615A0">
      <w:pPr>
        <w:pStyle w:val="HSource"/>
        <w:rPr>
          <w:highlight w:val="yellow"/>
        </w:rPr>
      </w:pPr>
      <w:r w:rsidRPr="00346304">
        <w:rPr>
          <w:highlight w:val="yellow"/>
        </w:rPr>
        <w:t>Fonte: Helpdesk europeo della valutazione per lo sviluppo rurale 2016</w:t>
      </w:r>
    </w:p>
    <w:p w:rsidR="00675B1D" w:rsidRPr="00346304" w:rsidRDefault="00675B1D" w:rsidP="00923616">
      <w:pPr>
        <w:pStyle w:val="HStandard"/>
        <w:rPr>
          <w:highlight w:val="yellow"/>
        </w:rPr>
        <w:sectPr w:rsidR="00675B1D" w:rsidRPr="00346304" w:rsidSect="007C19BE">
          <w:pgSz w:w="11906" w:h="16838" w:code="9"/>
          <w:pgMar w:top="1440" w:right="1440" w:bottom="1440" w:left="1440" w:header="1134" w:footer="1021" w:gutter="0"/>
          <w:cols w:space="708"/>
          <w:titlePg/>
          <w:docGrid w:linePitch="360"/>
        </w:sectPr>
      </w:pPr>
    </w:p>
    <w:p w:rsidR="00675B1D" w:rsidRPr="00346304" w:rsidRDefault="00675B1D" w:rsidP="005E40EA">
      <w:pPr>
        <w:pStyle w:val="HHeadingtables"/>
        <w:ind w:left="0"/>
        <w:rPr>
          <w:highlight w:val="yellow"/>
        </w:rPr>
      </w:pPr>
      <w:bookmarkStart w:id="70" w:name="_Toc436383142"/>
      <w:bookmarkStart w:id="71" w:name="_Toc451781905"/>
      <w:bookmarkStart w:id="72" w:name="_Ref451784860"/>
      <w:bookmarkStart w:id="73" w:name="_Ref451784868"/>
      <w:bookmarkStart w:id="74" w:name="_Toc461616762"/>
      <w:r w:rsidRPr="00346304">
        <w:rPr>
          <w:highlight w:val="yellow"/>
        </w:rPr>
        <w:lastRenderedPageBreak/>
        <w:t xml:space="preserve">Quadro di valutazione comune </w:t>
      </w:r>
      <w:bookmarkEnd w:id="70"/>
      <w:r w:rsidRPr="00346304">
        <w:rPr>
          <w:highlight w:val="yellow"/>
        </w:rPr>
        <w:t>per la RRN</w:t>
      </w:r>
      <w:bookmarkEnd w:id="71"/>
      <w:bookmarkEnd w:id="72"/>
      <w:bookmarkEnd w:id="73"/>
      <w:bookmarkEnd w:id="74"/>
    </w:p>
    <w:tbl>
      <w:tblPr>
        <w:tblW w:w="14648"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792"/>
        <w:gridCol w:w="3402"/>
        <w:gridCol w:w="2084"/>
        <w:gridCol w:w="3283"/>
      </w:tblGrid>
      <w:tr w:rsidR="00675B1D" w:rsidRPr="00346304" w:rsidTr="00D21174">
        <w:trPr>
          <w:trHeight w:val="406"/>
          <w:tblHeader/>
          <w:jc w:val="center"/>
        </w:trPr>
        <w:tc>
          <w:tcPr>
            <w:tcW w:w="3087" w:type="dxa"/>
            <w:shd w:val="clear" w:color="auto" w:fill="E7E6E6" w:themeFill="background2"/>
            <w:vAlign w:val="center"/>
          </w:tcPr>
          <w:p w:rsidR="00675B1D" w:rsidRPr="00346304" w:rsidRDefault="00675B1D" w:rsidP="004615A0">
            <w:pPr>
              <w:pStyle w:val="Htableleftbolt"/>
              <w:jc w:val="center"/>
              <w:rPr>
                <w:color w:val="5B9BD5" w:themeColor="accent1"/>
              </w:rPr>
            </w:pPr>
            <w:r w:rsidRPr="00346304">
              <w:rPr>
                <w:color w:val="5B9BD5" w:themeColor="accent1"/>
              </w:rPr>
              <w:t>OBIETTIVO STRATEGICO</w:t>
            </w:r>
          </w:p>
        </w:tc>
        <w:tc>
          <w:tcPr>
            <w:tcW w:w="2792" w:type="dxa"/>
            <w:shd w:val="clear" w:color="auto" w:fill="E7E6E6" w:themeFill="background2"/>
            <w:vAlign w:val="center"/>
          </w:tcPr>
          <w:p w:rsidR="00675B1D" w:rsidRPr="00346304" w:rsidRDefault="00675B1D" w:rsidP="00917E9C">
            <w:pPr>
              <w:pStyle w:val="Htableleftbolt"/>
              <w:jc w:val="center"/>
              <w:rPr>
                <w:color w:val="5B9BD5" w:themeColor="accent1"/>
              </w:rPr>
            </w:pPr>
            <w:r w:rsidRPr="00346304">
              <w:rPr>
                <w:color w:val="5B9BD5" w:themeColor="accent1"/>
              </w:rPr>
              <w:t>QUESTIONARIO VALUTATIVO COMUNE RELATIVO ALLA RRN</w:t>
            </w:r>
            <w:r w:rsidRPr="00346304">
              <w:rPr>
                <w:rStyle w:val="FootnoteReference"/>
                <w:color w:val="5B9BD5" w:themeColor="accent1"/>
              </w:rPr>
              <w:footnoteReference w:id="44"/>
            </w:r>
          </w:p>
        </w:tc>
        <w:tc>
          <w:tcPr>
            <w:tcW w:w="3402" w:type="dxa"/>
            <w:shd w:val="clear" w:color="auto" w:fill="E7E6E6" w:themeFill="background2"/>
            <w:vAlign w:val="center"/>
          </w:tcPr>
          <w:p w:rsidR="00675B1D" w:rsidRPr="00346304" w:rsidRDefault="00675B1D" w:rsidP="00917E9C">
            <w:pPr>
              <w:pStyle w:val="Htableleftbolt"/>
              <w:jc w:val="center"/>
              <w:rPr>
                <w:color w:val="5B9BD5" w:themeColor="accent1"/>
              </w:rPr>
            </w:pPr>
            <w:r w:rsidRPr="00346304">
              <w:rPr>
                <w:color w:val="5B9BD5" w:themeColor="accent1"/>
              </w:rPr>
              <w:t>CRITERI DI GIUDIZIO</w:t>
            </w:r>
            <w:r w:rsidRPr="00346304">
              <w:rPr>
                <w:rStyle w:val="FootnoteReference"/>
                <w:color w:val="5B9BD5" w:themeColor="accent1"/>
              </w:rPr>
              <w:footnoteReference w:id="45"/>
            </w:r>
          </w:p>
        </w:tc>
        <w:tc>
          <w:tcPr>
            <w:tcW w:w="2084" w:type="dxa"/>
            <w:shd w:val="clear" w:color="auto" w:fill="E7E6E6" w:themeFill="background2"/>
            <w:vAlign w:val="center"/>
          </w:tcPr>
          <w:p w:rsidR="00675B1D" w:rsidRPr="00346304" w:rsidRDefault="00675B1D" w:rsidP="00917E9C">
            <w:pPr>
              <w:pStyle w:val="Htableleftbolt"/>
              <w:jc w:val="center"/>
              <w:rPr>
                <w:color w:val="5B9BD5" w:themeColor="accent1"/>
              </w:rPr>
            </w:pPr>
            <w:r w:rsidRPr="00346304">
              <w:rPr>
                <w:color w:val="5B9BD5" w:themeColor="accent1"/>
              </w:rPr>
              <w:t>INDICATORI COMUNI</w:t>
            </w:r>
            <w:r w:rsidRPr="00346304">
              <w:rPr>
                <w:rStyle w:val="FootnoteReference"/>
                <w:color w:val="5B9BD5" w:themeColor="accent1"/>
              </w:rPr>
              <w:footnoteReference w:id="46"/>
            </w:r>
          </w:p>
        </w:tc>
        <w:tc>
          <w:tcPr>
            <w:tcW w:w="3283" w:type="dxa"/>
            <w:shd w:val="clear" w:color="auto" w:fill="E7E6E6" w:themeFill="background2"/>
            <w:vAlign w:val="center"/>
          </w:tcPr>
          <w:p w:rsidR="00675B1D" w:rsidRPr="00346304" w:rsidRDefault="00675B1D" w:rsidP="00917E9C">
            <w:pPr>
              <w:pStyle w:val="Htableleftbolt"/>
              <w:jc w:val="center"/>
              <w:rPr>
                <w:color w:val="5B9BD5" w:themeColor="accent1"/>
              </w:rPr>
            </w:pPr>
            <w:r w:rsidRPr="00346304">
              <w:rPr>
                <w:color w:val="5B9BD5" w:themeColor="accent1"/>
              </w:rPr>
              <w:t>INFORMAZIONI AGGIUNTIVE</w:t>
            </w:r>
            <w:r w:rsidRPr="00346304">
              <w:rPr>
                <w:rStyle w:val="FootnoteReference"/>
                <w:color w:val="5B9BD5" w:themeColor="accent1"/>
              </w:rPr>
              <w:footnoteReference w:id="47"/>
            </w:r>
          </w:p>
        </w:tc>
      </w:tr>
      <w:tr w:rsidR="00675B1D" w:rsidRPr="00346304" w:rsidTr="00D21174">
        <w:trPr>
          <w:trHeight w:val="129"/>
          <w:jc w:val="center"/>
        </w:trPr>
        <w:tc>
          <w:tcPr>
            <w:tcW w:w="3087" w:type="dxa"/>
            <w:shd w:val="clear" w:color="auto" w:fill="auto"/>
            <w:vAlign w:val="center"/>
          </w:tcPr>
          <w:p w:rsidR="00675B1D" w:rsidRPr="00346304" w:rsidRDefault="00675B1D" w:rsidP="00CA57FC">
            <w:pPr>
              <w:pStyle w:val="Htableleft"/>
              <w:rPr>
                <w:color w:val="576C88" w:themeColor="text2" w:themeTint="D9"/>
                <w:highlight w:val="yellow"/>
              </w:rPr>
            </w:pPr>
            <w:r w:rsidRPr="00346304">
              <w:rPr>
                <w:color w:val="576C88" w:themeColor="text2" w:themeTint="D9"/>
                <w:highlight w:val="yellow"/>
              </w:rPr>
              <w:t>Regolamento (UE) n. 1305/2013, articolo 54, paragrafo 2:</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stimolare la partecipazione delle parti interessate all'attuazione dello sviluppo rurale;</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migliorare la qualità dell'attuazione dei programmi di sviluppo rurale;</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informare il pubblico e i potenziali beneficiari sulla politica di sviluppo rurale e su eventuali possibilità di finanziamento;</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promuovere l'innovazione nel settore agricolo, nella produzione alimentare, nella silvicoltura e nelle zone rurali.</w:t>
            </w:r>
          </w:p>
        </w:tc>
        <w:tc>
          <w:tcPr>
            <w:tcW w:w="2792" w:type="dxa"/>
            <w:shd w:val="clear" w:color="auto" w:fill="auto"/>
            <w:vAlign w:val="center"/>
          </w:tcPr>
          <w:p w:rsidR="00675B1D" w:rsidRPr="00346304" w:rsidRDefault="00675B1D" w:rsidP="00CA57FC">
            <w:pPr>
              <w:pStyle w:val="Htableleft"/>
              <w:rPr>
                <w:color w:val="576C88" w:themeColor="text2" w:themeTint="D9"/>
                <w:highlight w:val="yellow"/>
              </w:rPr>
            </w:pPr>
            <w:r w:rsidRPr="00346304">
              <w:rPr>
                <w:color w:val="576C88" w:themeColor="text2" w:themeTint="D9"/>
                <w:highlight w:val="yellow"/>
              </w:rPr>
              <w:t>In che misura la RRN ha contribuito al conseguimento degli obiettivi di cui all’articolo 54, paragrafo 2, del regolamento (UE) n. 1305/2013?</w:t>
            </w:r>
          </w:p>
        </w:tc>
        <w:tc>
          <w:tcPr>
            <w:tcW w:w="3402" w:type="dxa"/>
            <w:shd w:val="clear" w:color="auto" w:fill="auto"/>
            <w:vAlign w:val="center"/>
          </w:tcPr>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maggior numero e tipologie di parti interessate coinvolte nell'attuazione del PSR grazie alle attività delle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la qualità dell'attuazione del PSR è stata migliorata attraverso le attività della RRN, ad esempio…;</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 xml:space="preserve">migliorata capacità dei beneficiari del PSR; </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migliorata consapevolezza di valutazione;</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gli insegnamenti ottenuti dalle valutazioni vengono presi in considerazione per l'attuazione del programma;</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un maggior numero di beneficiari pubblici e potenziali è a conoscenza della politica di sviluppo rurale e delle opportunità di finanziamento tramite le attività della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l'innovazione nell'agricoltura, nella produzione alimentare, nella silvicoltura e nelle zone rurali è stata promossa dalla RRN.</w:t>
            </w:r>
          </w:p>
        </w:tc>
        <w:tc>
          <w:tcPr>
            <w:tcW w:w="2084" w:type="dxa"/>
            <w:shd w:val="clear" w:color="auto" w:fill="auto"/>
            <w:vAlign w:val="center"/>
          </w:tcPr>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scambi tematici e analitici istituiti con il sostegno della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strumenti di comunicazione della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attività della RESR alle quali ha partecipato la RRN.</w:t>
            </w:r>
          </w:p>
        </w:tc>
        <w:tc>
          <w:tcPr>
            <w:tcW w:w="3283" w:type="dxa"/>
            <w:shd w:val="clear" w:color="auto" w:fill="auto"/>
          </w:tcPr>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parti interessate (per tipologia) che partecipano all'attuazione del PSR grazie alle attività della RRN (includendo anche i GAL);</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modifiche dei PSR basate sulle risultanze delle valutazioni e sulle raccomandazioni provenienti da gruppi di lavoro tematici organizzati dalla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 di progetti implementati del PSR incoraggiati dalle attività (del programma) della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numero di persone che sono state informate in merito alla politica di sviluppo rurale e alle opportunità di finanziamento attraverso gli strumenti di comunicazione della RRN;</w:t>
            </w:r>
          </w:p>
          <w:p w:rsidR="00675B1D" w:rsidRPr="00346304" w:rsidRDefault="00675B1D" w:rsidP="00CA57FC">
            <w:pPr>
              <w:pStyle w:val="Htablebullet"/>
              <w:rPr>
                <w:color w:val="576C88" w:themeColor="text2" w:themeTint="D9"/>
                <w:highlight w:val="yellow"/>
              </w:rPr>
            </w:pPr>
            <w:r w:rsidRPr="00346304">
              <w:rPr>
                <w:color w:val="576C88" w:themeColor="text2" w:themeTint="D9"/>
                <w:highlight w:val="yellow"/>
              </w:rPr>
              <w:t xml:space="preserve">% di progetti innovativi incoraggiati dalla RRN rispetto al numero totale di progetti innovativi sostenuti dal/dai PSR. </w:t>
            </w:r>
          </w:p>
        </w:tc>
      </w:tr>
    </w:tbl>
    <w:p w:rsidR="00675B1D" w:rsidRPr="00346304" w:rsidRDefault="00675B1D" w:rsidP="00923616">
      <w:pPr>
        <w:pStyle w:val="HStandard"/>
        <w:rPr>
          <w:highlight w:val="yellow"/>
        </w:rPr>
        <w:sectPr w:rsidR="00675B1D" w:rsidRPr="0034630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675B1D" w:rsidRPr="00346304" w:rsidRDefault="00675B1D" w:rsidP="00F93622">
      <w:pPr>
        <w:pStyle w:val="HHeading1"/>
        <w:rPr>
          <w:rFonts w:cs="Arial"/>
          <w:highlight w:val="yellow"/>
        </w:rPr>
      </w:pPr>
      <w:bookmarkStart w:id="75" w:name="_Toc453079753"/>
      <w:bookmarkStart w:id="76" w:name="_Toc461616637"/>
      <w:r w:rsidRPr="00346304">
        <w:rPr>
          <w:caps w:val="0"/>
          <w:highlight w:val="yellow"/>
        </w:rPr>
        <w:lastRenderedPageBreak/>
        <w:t>PARTE I - LA GESTIONE DELLA VALUTAZIONE DELLE RRN</w:t>
      </w:r>
      <w:bookmarkEnd w:id="75"/>
      <w:bookmarkEnd w:id="76"/>
    </w:p>
    <w:p w:rsidR="00675B1D" w:rsidRPr="00346304" w:rsidRDefault="00675B1D" w:rsidP="00BF5E8F">
      <w:pPr>
        <w:pStyle w:val="HHeading5"/>
        <w:rPr>
          <w:color w:val="A5A5A5" w:themeColor="accent3"/>
          <w:highlight w:val="yellow"/>
        </w:rPr>
      </w:pPr>
      <w:bookmarkStart w:id="77" w:name="_Toc391484185"/>
      <w:r w:rsidRPr="00346304">
        <w:rPr>
          <w:color w:val="A5A5A5" w:themeColor="accent3"/>
          <w:highlight w:val="yellow"/>
        </w:rPr>
        <w:t>Chi dovrebbe leggere la PARTE I?</w:t>
      </w:r>
    </w:p>
    <w:p w:rsidR="00675B1D" w:rsidRPr="00346304" w:rsidRDefault="00675B1D" w:rsidP="00461BF0">
      <w:pPr>
        <w:pStyle w:val="HStandard"/>
        <w:spacing w:after="0"/>
        <w:rPr>
          <w:highlight w:val="yellow"/>
        </w:rPr>
      </w:pPr>
      <w:r w:rsidRPr="00346304">
        <w:rPr>
          <w:highlight w:val="yellow"/>
        </w:rPr>
        <w:t xml:space="preserve">La </w:t>
      </w:r>
      <w:r w:rsidRPr="00346304">
        <w:rPr>
          <w:b/>
          <w:color w:val="E7E6E6" w:themeColor="background2"/>
          <w:highlight w:val="yellow"/>
        </w:rPr>
        <w:t xml:space="preserve">PARTE I </w:t>
      </w:r>
      <w:r w:rsidRPr="00346304">
        <w:rPr>
          <w:highlight w:val="yellow"/>
        </w:rPr>
        <w:t>si rivolge principalmente alle autorità di gestione e all'unità di sostegno alla rete, in qualità di committenti della valutazione delle RRN, ma anche ad altre parti interessate coinvolte nella pianificazione e preparazione della valutazione delle RRN. Potrebbe essere di particolare interesse anche per i funzionari e gli esperti coinvolti nella redazione del capitolato d'oneri per la valutazione, e per le persone coinvolte nella gestione delle RRN.</w:t>
      </w:r>
    </w:p>
    <w:p w:rsidR="00675B1D" w:rsidRPr="00346304" w:rsidRDefault="00675B1D" w:rsidP="00BF5E8F">
      <w:pPr>
        <w:pStyle w:val="HHeading5"/>
        <w:rPr>
          <w:color w:val="A5A5A5" w:themeColor="accent3"/>
          <w:highlight w:val="yellow"/>
        </w:rPr>
      </w:pPr>
      <w:r w:rsidRPr="00346304">
        <w:rPr>
          <w:color w:val="A5A5A5" w:themeColor="accent3"/>
          <w:highlight w:val="yellow"/>
        </w:rPr>
        <w:t>Come è organizzata la PARTE I?</w:t>
      </w:r>
    </w:p>
    <w:p w:rsidR="00675B1D" w:rsidRPr="00346304" w:rsidRDefault="00675B1D" w:rsidP="00470DEA">
      <w:pPr>
        <w:pStyle w:val="HStandard"/>
        <w:spacing w:after="0"/>
        <w:rPr>
          <w:highlight w:val="yellow"/>
        </w:rPr>
      </w:pPr>
      <w:r w:rsidRPr="00346304">
        <w:rPr>
          <w:highlight w:val="yellow"/>
        </w:rPr>
        <w:t xml:space="preserve">La </w:t>
      </w:r>
      <w:r w:rsidRPr="00346304">
        <w:rPr>
          <w:b/>
          <w:color w:val="E7E6E6" w:themeColor="background2"/>
          <w:highlight w:val="yellow"/>
        </w:rPr>
        <w:t>PARTE I</w:t>
      </w:r>
      <w:r w:rsidRPr="00346304">
        <w:rPr>
          <w:highlight w:val="yellow"/>
        </w:rPr>
        <w:t xml:space="preserve"> spiega i ruoli e le responsabilità di tutte le parti interessate che sono o potrebbero essere coinvolte nella valutazione delle RRN. Inoltre, delinea i passaggi cruciali nella valutazione delle RRN, come la pianificazione e la preparazione, nonché l'esecuzione della valutazione delle RRN e la diffusione, la comunicazione e il seguito relativi ai risultati della valutazione delle RRN. </w:t>
      </w:r>
    </w:p>
    <w:p w:rsidR="00675B1D" w:rsidRPr="00346304" w:rsidRDefault="00675B1D" w:rsidP="00680DA9">
      <w:pPr>
        <w:pStyle w:val="HHeading2"/>
        <w:rPr>
          <w:highlight w:val="yellow"/>
        </w:rPr>
      </w:pPr>
      <w:bookmarkStart w:id="78" w:name="_Toc453079754"/>
      <w:bookmarkStart w:id="79" w:name="_Toc461616638"/>
      <w:r w:rsidRPr="00346304">
        <w:rPr>
          <w:highlight w:val="yellow"/>
        </w:rPr>
        <w:t>Chi è coinvolto nella valutazione delle RRN e in che ruolo?</w:t>
      </w:r>
      <w:bookmarkEnd w:id="77"/>
      <w:bookmarkEnd w:id="78"/>
      <w:bookmarkEnd w:id="79"/>
    </w:p>
    <w:p w:rsidR="00675B1D" w:rsidRPr="00346304" w:rsidRDefault="00675B1D" w:rsidP="00DC0897">
      <w:pPr>
        <w:pStyle w:val="HStandard"/>
        <w:rPr>
          <w:highlight w:val="yellow"/>
        </w:rPr>
      </w:pPr>
      <w:r w:rsidRPr="00346304">
        <w:rPr>
          <w:highlight w:val="yellow"/>
        </w:rPr>
        <w:t xml:space="preserve">Esiste una molteplicità di attori che interagisce all'interno delle diverse composizioni delle RRN nei vari Stati membri. Di conseguenza, esiste anche una notevole variabilità nelle categorie di attori che possono in linea di principio essere coinvolti nella valutazione delle RRN, ossia gli attori che gestiscono la rete, che partecipano alla rete e che valutano la rete. </w:t>
      </w:r>
    </w:p>
    <w:p w:rsidR="00675B1D" w:rsidRPr="00346304" w:rsidRDefault="00675B1D" w:rsidP="007134D0">
      <w:pPr>
        <w:pStyle w:val="HStandard"/>
        <w:rPr>
          <w:highlight w:val="yellow"/>
        </w:rPr>
      </w:pPr>
      <w:r w:rsidRPr="00346304">
        <w:rPr>
          <w:highlight w:val="yellow"/>
        </w:rPr>
        <w:t xml:space="preserve">È importante osservare che in una rete alcuni attori possono avere molteplici ruoli, ad esempio, un rappresentante di un partner sociale può anche essere un membro di un GAL. Allo stesso modo, il comitato di monitoraggio è incaricato del monitoraggio del PSR, ivi inclusa la RRN. Allo stesso tempo, è un membro della RRN. </w:t>
      </w:r>
    </w:p>
    <w:p w:rsidR="00675B1D" w:rsidRPr="00346304" w:rsidRDefault="00675B1D" w:rsidP="007134D0">
      <w:pPr>
        <w:pStyle w:val="HStandard"/>
        <w:rPr>
          <w:highlight w:val="yellow"/>
        </w:rPr>
      </w:pPr>
      <w:r w:rsidRPr="00346304">
        <w:rPr>
          <w:highlight w:val="yellow"/>
        </w:rPr>
        <w:t>Inoltre, i ruoli degli attori dipendono anche dal fatto che la valutazione in questione sia una di quelle in cui la RRN è valutata come parte del PSR oppure se si tratta di una valutazione indipendente. Dato che le valutazioni indipendenti si concentrano maggiormente sulla RRN, gli attori che gestiscono la rete e che partecipano alla stessa avranno un ruolo e responsabilità maggiori rispetto al caso in cui la RRN viene valutata come parte del PSR. Inoltre, i ruoli dell'autorità di gestione e dell'unità di sostegno alla rete variano a seconda di chi commissiona la valutazione (AG o USR). Ciò, a sua volta, determina chi è responsabile della valutazione della RRN e chi dispone del bilancio per la valutazione della RRN. Inoltre, potrebbe esservi il caso in cui l'USR ha un piccolo bilancio di valutazione che consente valutazioni più ridotte, ma una valutazione complessiva della RRN viene pagata dal bilancio per la valutazione dell'autorità di gestione.</w:t>
      </w:r>
    </w:p>
    <w:p w:rsidR="00675B1D" w:rsidRPr="00346304" w:rsidRDefault="00675B1D" w:rsidP="00B35926">
      <w:pPr>
        <w:pStyle w:val="HHeading3"/>
        <w:rPr>
          <w:highlight w:val="yellow"/>
        </w:rPr>
      </w:pPr>
      <w:bookmarkStart w:id="80" w:name="_Toc453079755"/>
      <w:bookmarkStart w:id="81" w:name="_Toc461616639"/>
      <w:r w:rsidRPr="00346304">
        <w:rPr>
          <w:highlight w:val="yellow"/>
        </w:rPr>
        <w:t>Attori coinvolti nel funzionamento della rete</w:t>
      </w:r>
      <w:bookmarkEnd w:id="80"/>
      <w:bookmarkEnd w:id="81"/>
    </w:p>
    <w:p w:rsidR="00675B1D" w:rsidRPr="00346304" w:rsidRDefault="00675B1D" w:rsidP="00B35926">
      <w:pPr>
        <w:pStyle w:val="HHeading5"/>
        <w:rPr>
          <w:highlight w:val="yellow"/>
        </w:rPr>
      </w:pPr>
      <w:r w:rsidRPr="00346304">
        <w:rPr>
          <w:highlight w:val="yellow"/>
        </w:rPr>
        <w:t>Autorità di gestione</w:t>
      </w:r>
      <w:r w:rsidRPr="00346304">
        <w:rPr>
          <w:rStyle w:val="FootnoteReference"/>
          <w:highlight w:val="yellow"/>
        </w:rPr>
        <w:footnoteReference w:id="48"/>
      </w:r>
    </w:p>
    <w:p w:rsidR="00675B1D" w:rsidRPr="00346304" w:rsidRDefault="00675B1D" w:rsidP="007134D0">
      <w:pPr>
        <w:pStyle w:val="HStandard"/>
        <w:rPr>
          <w:highlight w:val="yellow"/>
        </w:rPr>
      </w:pPr>
      <w:r w:rsidRPr="00346304">
        <w:rPr>
          <w:highlight w:val="yellow"/>
        </w:rPr>
        <w:t xml:space="preserve">Le autorità di gestione (AG) del PSR e del PRRN sono responsabili per la preparazione, la definizione delle risorse, la gestione e l'attuazione del piano di valutazione. Il piano di valutazione del PSR comprende disposizioni per la valutazione della RRN. L'autorità di gestione è altresì responsabile per la qualità, la puntualità e la comunicazione dei risultati della valutazione delle RRN (come parte della valutazione del PSR o di una valutazione indipendente), nonché per il monitoraggio delle prestazioni della rete. Quando la RRN viene valutata come parte del PSR o quando l'autorità di gestione commissiona una valutazione indipendente della RRN o del PRRN, l'autorità di gestione è la parte </w:t>
      </w:r>
      <w:r w:rsidRPr="00346304">
        <w:rPr>
          <w:highlight w:val="yellow"/>
        </w:rPr>
        <w:lastRenderedPageBreak/>
        <w:t xml:space="preserve">committente della valutazione e, di conseguenza, è responsabile per la pianificazione, la preparazione e il controllo qualità della valutazione. </w:t>
      </w:r>
    </w:p>
    <w:p w:rsidR="00675B1D" w:rsidRPr="00346304" w:rsidRDefault="00675B1D" w:rsidP="007134D0">
      <w:pPr>
        <w:pStyle w:val="HStandard"/>
        <w:rPr>
          <w:highlight w:val="yellow"/>
        </w:rPr>
      </w:pPr>
      <w:r w:rsidRPr="00346304">
        <w:rPr>
          <w:highlight w:val="yellow"/>
        </w:rPr>
        <w:t>In alcuni Stati membri, il ministero responsabile del PSR potrebbe disporre di unità diverse dall'autorità di gestione che potrebbero assumersi alcuni compiti nell'ambito della valutazione delle RRN. Ad esempio, l'unità di valutazione può gestire, preparare, commissionare e gestire il controllo qualità della valutazione della RRN. L'unità di comunicazione, se presente, può collaborare con la RRN nella diffusione dei risultati della valutazione delle RRN.</w:t>
      </w:r>
    </w:p>
    <w:p w:rsidR="00675B1D" w:rsidRPr="00346304" w:rsidRDefault="00675B1D" w:rsidP="00B35926">
      <w:pPr>
        <w:pStyle w:val="HHeading5"/>
        <w:rPr>
          <w:highlight w:val="yellow"/>
        </w:rPr>
      </w:pPr>
      <w:r w:rsidRPr="00346304">
        <w:rPr>
          <w:highlight w:val="yellow"/>
        </w:rPr>
        <w:t>Unità di sostegno alla rete (USR)</w:t>
      </w:r>
      <w:r w:rsidRPr="00346304">
        <w:rPr>
          <w:rStyle w:val="FootnoteReference"/>
          <w:highlight w:val="yellow"/>
        </w:rPr>
        <w:footnoteReference w:id="49"/>
      </w:r>
    </w:p>
    <w:p w:rsidR="00675B1D" w:rsidRPr="00346304" w:rsidRDefault="00675B1D" w:rsidP="007134D0">
      <w:pPr>
        <w:pStyle w:val="HStandard"/>
        <w:rPr>
          <w:highlight w:val="yellow"/>
        </w:rPr>
      </w:pPr>
      <w:r w:rsidRPr="00346304">
        <w:rPr>
          <w:highlight w:val="yellow"/>
        </w:rPr>
        <w:t>In alcuni Stati membri l'unità di sostegno alla rete si trova all'interno dell'autorità di gestione; altri Stati membri hanno esternalizzato le funzioni dell'USR affidandole a vari tipi di contraenti (istituzioni pubbliche</w:t>
      </w:r>
      <w:r w:rsidRPr="00346304">
        <w:rPr>
          <w:rStyle w:val="FootnoteReference"/>
          <w:highlight w:val="yellow"/>
        </w:rPr>
        <w:footnoteReference w:id="50"/>
      </w:r>
      <w:r w:rsidRPr="00346304">
        <w:rPr>
          <w:highlight w:val="yellow"/>
        </w:rPr>
        <w:t>, società di consulenza private</w:t>
      </w:r>
      <w:r w:rsidRPr="00346304">
        <w:rPr>
          <w:rStyle w:val="FootnoteReference"/>
          <w:highlight w:val="yellow"/>
        </w:rPr>
        <w:footnoteReference w:id="51"/>
      </w:r>
      <w:r w:rsidRPr="00346304">
        <w:rPr>
          <w:highlight w:val="yellow"/>
        </w:rPr>
        <w:t>, ecc.). Nei paesi in cui la RRN è regionalizzata, l'unità di sostegno alla rete è importante per il funzionamento della rete a livello regionale. L'unità di sostegno alla rete gioca un ruolo fondamentale nell'animare e nel fare funzionare la rete stessa, nonché nel coinvolgere le parti interessate. Tuttavia, limitarsi a istituire l'unità di sostegno alla rete non istituisce la rete di per sé, né garantisce automaticamente le attività in rete</w:t>
      </w:r>
      <w:r w:rsidRPr="00346304">
        <w:rPr>
          <w:rStyle w:val="FootnoteReference"/>
          <w:highlight w:val="yellow"/>
        </w:rPr>
        <w:footnoteReference w:id="52"/>
      </w:r>
      <w:r w:rsidRPr="00346304">
        <w:rPr>
          <w:highlight w:val="yellow"/>
        </w:rPr>
        <w:t xml:space="preserve">. </w:t>
      </w:r>
    </w:p>
    <w:p w:rsidR="00675B1D" w:rsidRPr="00346304" w:rsidRDefault="00675B1D" w:rsidP="007134D0">
      <w:pPr>
        <w:pStyle w:val="HStandard"/>
        <w:rPr>
          <w:highlight w:val="yellow"/>
        </w:rPr>
      </w:pPr>
      <w:r w:rsidRPr="00346304">
        <w:rPr>
          <w:highlight w:val="yellow"/>
        </w:rPr>
        <w:t xml:space="preserve">L'unità di sostegno alla rete può altresì decidere di preparare ed effettuare un'autovalutazione delle RRN opzionale, al fine di migliorare l'attuazione delle attività e delle prestazioni della RRN. L'unità di sostegno alla rete potrebbe anche commissionare valutazioni indipendenti della RRN, nel qual caso la stessa è responsabile per la pianificazione e la preparazione della valutazione. Affinché l'unità di sostegno alla rete possa commissionare valutazioni, la stessa deve disporre di sufficienti capacità e bilancio per preparare, gestire ed effettuare il controllo qualità delle proprie valutazioni indipendenti. Nel caso in cui l'autorità di gestione sia la parte committente della valutazione, l'unità di sostegno alla rete è una delle principali parti interessate e sostiene l'autorità di gestione nella pianificazione e nella preparazione della valutazione. L'unità di sostegno alla rete è un importante fornitore di dati per tutte le valutazioni delle RRN (/dei PRRN). </w:t>
      </w:r>
    </w:p>
    <w:p w:rsidR="00675B1D" w:rsidRPr="00346304" w:rsidRDefault="00675B1D" w:rsidP="00B35926">
      <w:pPr>
        <w:pStyle w:val="HHeading5"/>
        <w:rPr>
          <w:highlight w:val="yellow"/>
        </w:rPr>
      </w:pPr>
      <w:r w:rsidRPr="00346304">
        <w:rPr>
          <w:highlight w:val="yellow"/>
        </w:rPr>
        <w:t>Organismo pagatore</w:t>
      </w:r>
      <w:r w:rsidRPr="00346304">
        <w:rPr>
          <w:rStyle w:val="FootnoteReference"/>
          <w:highlight w:val="yellow"/>
        </w:rPr>
        <w:footnoteReference w:id="53"/>
      </w:r>
    </w:p>
    <w:p w:rsidR="00675B1D" w:rsidRPr="00346304" w:rsidRDefault="00675B1D" w:rsidP="007134D0">
      <w:pPr>
        <w:pStyle w:val="HStandard"/>
        <w:rPr>
          <w:highlight w:val="yellow"/>
        </w:rPr>
      </w:pPr>
      <w:r w:rsidRPr="00346304">
        <w:rPr>
          <w:highlight w:val="yellow"/>
        </w:rPr>
        <w:t>L'organismo pagatore è una fonte importante di dati nella valutazione delle RRN, in quanto di solito possiede informazioni riguardanti l'attuazione del programma (pagamenti, beneficiari, dati di monitoraggio, controlli), ivi incluse informazioni relative alla RRN. A seconda dello Stato membro, ci sono uno o più organismi pagatori.</w:t>
      </w:r>
    </w:p>
    <w:p w:rsidR="00675B1D" w:rsidRPr="00346304" w:rsidRDefault="00675B1D" w:rsidP="00B35926">
      <w:pPr>
        <w:pStyle w:val="HHeading5"/>
        <w:rPr>
          <w:highlight w:val="yellow"/>
        </w:rPr>
      </w:pPr>
      <w:r w:rsidRPr="00346304">
        <w:rPr>
          <w:highlight w:val="yellow"/>
        </w:rPr>
        <w:t>Comitato di monitoraggio</w:t>
      </w:r>
      <w:r w:rsidRPr="00346304">
        <w:rPr>
          <w:rStyle w:val="FootnoteReference"/>
          <w:highlight w:val="yellow"/>
        </w:rPr>
        <w:footnoteReference w:id="54"/>
      </w:r>
    </w:p>
    <w:p w:rsidR="00675B1D" w:rsidRPr="00346304" w:rsidRDefault="00675B1D" w:rsidP="007134D0">
      <w:pPr>
        <w:pStyle w:val="HStandard"/>
        <w:rPr>
          <w:highlight w:val="yellow"/>
        </w:rPr>
      </w:pPr>
      <w:r w:rsidRPr="00346304">
        <w:rPr>
          <w:highlight w:val="yellow"/>
        </w:rPr>
        <w:t>Il comitato di monitoraggio è responsabile del monitoraggio delle prestazioni del programma</w:t>
      </w:r>
      <w:r w:rsidRPr="00346304">
        <w:rPr>
          <w:rStyle w:val="FootnoteReference"/>
          <w:highlight w:val="yellow"/>
        </w:rPr>
        <w:footnoteReference w:id="55"/>
      </w:r>
      <w:r w:rsidRPr="00346304">
        <w:rPr>
          <w:highlight w:val="yellow"/>
        </w:rPr>
        <w:t xml:space="preserve">, nonché della qualità e dell'efficacia dell'attuazione del programma. Il PRRN dispone di un proprio comitato di monitoraggio. Nei casi in cui la RRN sia parte del PSR, il comitato di monitoraggio del programma si occupa anche del monitoraggio della RRN. </w:t>
      </w:r>
    </w:p>
    <w:p w:rsidR="00675B1D" w:rsidRPr="00346304" w:rsidRDefault="00675B1D" w:rsidP="007134D0">
      <w:pPr>
        <w:pStyle w:val="HStandard"/>
        <w:rPr>
          <w:highlight w:val="yellow"/>
        </w:rPr>
      </w:pPr>
      <w:r w:rsidRPr="00346304">
        <w:rPr>
          <w:highlight w:val="yellow"/>
        </w:rPr>
        <w:t xml:space="preserve">Inoltre, il comitato di monitoraggio deve esaminare le attività e i prodotti connessi ai progressi nell'attuazione del piano di valutazione, ivi incluse le attività per la valutazione della RRN. D'altra parte, </w:t>
      </w:r>
      <w:r w:rsidRPr="00346304">
        <w:rPr>
          <w:highlight w:val="yellow"/>
        </w:rPr>
        <w:lastRenderedPageBreak/>
        <w:t>i membri del comitato di monitoraggio spesso partecipano alla RRN per scambiare informazioni sull'attuazione del programma</w:t>
      </w:r>
      <w:r w:rsidRPr="00346304">
        <w:rPr>
          <w:rStyle w:val="FootnoteReference"/>
          <w:highlight w:val="yellow"/>
        </w:rPr>
        <w:footnoteReference w:id="56"/>
      </w:r>
      <w:r w:rsidRPr="00346304">
        <w:rPr>
          <w:highlight w:val="yellow"/>
        </w:rPr>
        <w:t>, ivi incluse le attività della RRN a tale proposito.</w:t>
      </w:r>
    </w:p>
    <w:p w:rsidR="00675B1D" w:rsidRPr="00346304" w:rsidRDefault="00675B1D" w:rsidP="00B35926">
      <w:pPr>
        <w:pStyle w:val="HHeading5"/>
        <w:rPr>
          <w:highlight w:val="yellow"/>
        </w:rPr>
      </w:pPr>
      <w:r w:rsidRPr="00346304">
        <w:rPr>
          <w:highlight w:val="yellow"/>
        </w:rPr>
        <w:t>Organismo di coordinamento della RRN</w:t>
      </w:r>
      <w:r w:rsidRPr="00346304">
        <w:rPr>
          <w:rStyle w:val="FootnoteReference"/>
          <w:highlight w:val="yellow"/>
        </w:rPr>
        <w:footnoteReference w:id="57"/>
      </w:r>
    </w:p>
    <w:p w:rsidR="00675B1D" w:rsidRPr="00346304" w:rsidRDefault="00675B1D" w:rsidP="007134D0">
      <w:pPr>
        <w:pStyle w:val="HStandard"/>
        <w:rPr>
          <w:highlight w:val="yellow"/>
        </w:rPr>
      </w:pPr>
      <w:r w:rsidRPr="00346304">
        <w:rPr>
          <w:highlight w:val="yellow"/>
        </w:rPr>
        <w:t>Alcune RRN hanno creato un organismo di coordinamento RRN, composto da membri selezionati della RRN. In tali casi, l'organismo di coordinamento della RRN è coinvolto nella pianificazione delle attività della RRN e ne dirige il piano di azione. L'organismo di coordinamento della RRN può decidere di effettuare un'autovalutazione della RRN e di sostenere la valutazione della RRN fornendo informazioni. Un compito importante per l'organismo di coordinamento della RRN è quello di garantire che i risultati dell'autovalutazione e della valutazione siano presi in considerazione per migliorare l'attuazione del piano di azione della RRN.</w:t>
      </w:r>
    </w:p>
    <w:p w:rsidR="00675B1D" w:rsidRPr="00346304" w:rsidRDefault="00675B1D" w:rsidP="009918A8">
      <w:pPr>
        <w:pStyle w:val="HHeadingboxes"/>
        <w:rPr>
          <w:highlight w:val="yellow"/>
        </w:rPr>
      </w:pPr>
      <w:bookmarkStart w:id="82" w:name="_Toc451781951"/>
      <w:bookmarkStart w:id="83" w:name="_Toc461616673"/>
      <w:r w:rsidRPr="00346304">
        <w:rPr>
          <w:highlight w:val="yellow"/>
        </w:rPr>
        <w:t>Il gruppo direttivo di valutazione come strumento per la gestione del processo di valutazione</w:t>
      </w:r>
      <w:bookmarkEnd w:id="82"/>
      <w:bookmarkEnd w:id="83"/>
    </w:p>
    <w:p w:rsidR="00675B1D" w:rsidRPr="00346304" w:rsidRDefault="00675B1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346304">
        <w:rPr>
          <w:color w:val="576C88" w:themeColor="text2" w:themeTint="D9"/>
          <w:highlight w:val="yellow"/>
        </w:rPr>
        <w:t xml:space="preserve">Il gruppo direttivo di valutazione è considerato una buona prassi, al fine di facilitare e coordinare la consultazione delle parti interessate e gestire il processo di valutazione. Il gruppo direttivo di valutazione assiste l'autorità di gestione nell'impostare le linee della valutazione, così come nel controllarne periodicamente i progressi e la qualità. I membri del gruppo direttivo di valutazione possono contribuire con le loro competenze e capacità specialistiche e aiutare a garantire che il valutatore disponga di dati, informazioni e contatti pertinenti. </w:t>
      </w:r>
    </w:p>
    <w:p w:rsidR="00675B1D" w:rsidRPr="00346304" w:rsidRDefault="00675B1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675B1D" w:rsidRPr="00346304" w:rsidRDefault="00675B1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346304">
        <w:rPr>
          <w:color w:val="576C88" w:themeColor="text2" w:themeTint="D9"/>
          <w:highlight w:val="yellow"/>
        </w:rPr>
        <w:t>Solitamente il gruppo direttivo di valutazione è convocato e presieduto dall'autorità di gestione, la quale delinea anche le procedure per il suo funzionamento. Dovrebbe essere costituito in una fase iniziale in quanto la sua costituzione potrebbe richiedere un certo tempo. La composizione del gruppo direttivo di valutazione dipende dalle specificità della RRN e dai compiti assegnati al gruppo. Come minimo, il gruppo direttivo di valutazione dovrebbe includere rappresentanti dell'autorità di gestione (che rappresentano dipartimenti/unità pertinenti) e altre persone coinvolte nella gestione della RRN, rappresentanti dell'organismo pagatore, e, se del caso, i membri dell'unità di valutazione. Non esiste una dimensione ideale per un gruppo direttivo di valutazione. Dovrebbe essere sufficientemente ampio da disporre delle capacità e conoscenze necessarie, ma al contempo anche sufficientemente ristretto da essere efficace.</w:t>
      </w:r>
    </w:p>
    <w:p w:rsidR="00675B1D" w:rsidRPr="00346304" w:rsidRDefault="00675B1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675B1D" w:rsidRPr="00346304" w:rsidRDefault="00675B1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346304">
        <w:rPr>
          <w:color w:val="576C88" w:themeColor="text2" w:themeTint="D9"/>
          <w:highlight w:val="yellow"/>
        </w:rPr>
        <w:t>Non è obbligatorio disporre di un gruppo direttivo di valutazione e quest'ultimo non attua le raccomandazioni della valutazione. Questo potere spetta all'autorità di gestione, all'unità di sostegno alla rete o agli organi direttivi della RRN.</w:t>
      </w:r>
    </w:p>
    <w:p w:rsidR="00675B1D" w:rsidRPr="00346304" w:rsidRDefault="00675B1D" w:rsidP="00B35926">
      <w:pPr>
        <w:pStyle w:val="HHeading3"/>
        <w:rPr>
          <w:highlight w:val="yellow"/>
        </w:rPr>
      </w:pPr>
      <w:bookmarkStart w:id="84" w:name="_Toc453079756"/>
      <w:bookmarkStart w:id="85" w:name="_Toc461616640"/>
      <w:r w:rsidRPr="00346304">
        <w:rPr>
          <w:highlight w:val="yellow"/>
        </w:rPr>
        <w:t>I membri della rete</w:t>
      </w:r>
      <w:bookmarkEnd w:id="84"/>
      <w:bookmarkEnd w:id="85"/>
    </w:p>
    <w:p w:rsidR="00675B1D" w:rsidRPr="00346304" w:rsidRDefault="00675B1D" w:rsidP="007134D0">
      <w:pPr>
        <w:pStyle w:val="HStandard"/>
        <w:rPr>
          <w:highlight w:val="yellow"/>
        </w:rPr>
      </w:pPr>
      <w:r w:rsidRPr="00346304">
        <w:rPr>
          <w:highlight w:val="yellow"/>
        </w:rPr>
        <w:t>Il grado di adesione alla RRN varia tra gli Stati membri, a seconda delle norme e delle pratiche nazionali (ad esempio adesione aperta/limitata). I membri della RRN sono importanti per la valutazione dal momento che sono anche i beneficiari della RRN e possono partecipare a indagini, gruppi specifici di discussione e laboratori di valutazione relativi alla RRN e al suo funzionamento. Molti dei membri della rete sono anche beneficiari del PSR. Inoltre, i membri della rete possono assumere ruoli attivi nella gestione di attività della RRN, in particolare negli Stati membri in cui le attività della RRN non sono limitati a quelle organizzate dall'unità di sostegno alla rete. I membri della rete possono suggerire l'esecuzione di un'autovalutazione della RRN, nonché partecipare attivamente a questo esercizio. Di seguito si riporta un elenco non esaustivo dei membri tipicamente coinvolti nella RRN.</w:t>
      </w:r>
    </w:p>
    <w:p w:rsidR="00675B1D" w:rsidRPr="00346304" w:rsidRDefault="00675B1D" w:rsidP="00B35926">
      <w:pPr>
        <w:pStyle w:val="HHeading5"/>
        <w:rPr>
          <w:highlight w:val="yellow"/>
        </w:rPr>
      </w:pPr>
      <w:r w:rsidRPr="00346304">
        <w:rPr>
          <w:highlight w:val="yellow"/>
        </w:rPr>
        <w:lastRenderedPageBreak/>
        <w:t>Gruppi di azione locale (GAL)</w:t>
      </w:r>
    </w:p>
    <w:p w:rsidR="00675B1D" w:rsidRPr="00346304" w:rsidRDefault="00675B1D" w:rsidP="007134D0">
      <w:pPr>
        <w:pStyle w:val="HStandard"/>
        <w:rPr>
          <w:highlight w:val="yellow"/>
        </w:rPr>
      </w:pPr>
      <w:r w:rsidRPr="00346304">
        <w:rPr>
          <w:highlight w:val="yellow"/>
        </w:rPr>
        <w:t>I GAL costituiscono una parte importante della RRN. Sono anche i beneficiari di corsi di formazione e azioni di attività in rete</w:t>
      </w:r>
      <w:r w:rsidRPr="00346304">
        <w:rPr>
          <w:rStyle w:val="FootnoteReference"/>
          <w:highlight w:val="yellow"/>
        </w:rPr>
        <w:footnoteReference w:id="58"/>
      </w:r>
      <w:r w:rsidRPr="00346304">
        <w:rPr>
          <w:highlight w:val="yellow"/>
        </w:rPr>
        <w:t xml:space="preserve"> della del RRN e, in quanto tali, sono informatori importanti per la valutazione della RRN. I GAL possono apportare contatti e conoscenze locali preziosi per la valutazione della RRN. Inoltre, i GAL possono effettuare l'autovalutazione in materia di attività in rete e possono contribuire alla valutazione della RRN. </w:t>
      </w:r>
    </w:p>
    <w:p w:rsidR="00675B1D" w:rsidRPr="00346304" w:rsidRDefault="00675B1D" w:rsidP="00B35926">
      <w:pPr>
        <w:pStyle w:val="HHeading5"/>
        <w:rPr>
          <w:highlight w:val="yellow"/>
        </w:rPr>
      </w:pPr>
      <w:r w:rsidRPr="00346304">
        <w:rPr>
          <w:highlight w:val="yellow"/>
        </w:rPr>
        <w:t xml:space="preserve"> Autorità di gestione dei PSR regionali, in caso di PRRN </w:t>
      </w:r>
    </w:p>
    <w:p w:rsidR="00675B1D" w:rsidRPr="00346304" w:rsidRDefault="00675B1D" w:rsidP="007134D0">
      <w:pPr>
        <w:pStyle w:val="HStandard"/>
        <w:rPr>
          <w:highlight w:val="yellow"/>
        </w:rPr>
      </w:pPr>
      <w:r w:rsidRPr="00346304">
        <w:rPr>
          <w:highlight w:val="yellow"/>
        </w:rPr>
        <w:t xml:space="preserve">I PRRN negli Stati membri multiregionali forniscono la possibilità di collegare in rete le autorità di gestione di tutti i PSR nel paese. Tutte le autorità di gestione possono offrire importanti conoscenze e contatti che aiutano a valutare gli impatti delle RRN (/dei PRRN) su vari PSR regionali. Le autorità di gestione regionali sono anch'esse nodi importanti della rete. </w:t>
      </w:r>
    </w:p>
    <w:p w:rsidR="00675B1D" w:rsidRPr="00346304" w:rsidRDefault="00675B1D" w:rsidP="00B35926">
      <w:pPr>
        <w:pStyle w:val="HHeading5"/>
        <w:rPr>
          <w:highlight w:val="yellow"/>
        </w:rPr>
      </w:pPr>
      <w:r w:rsidRPr="00346304">
        <w:rPr>
          <w:highlight w:val="yellow"/>
        </w:rPr>
        <w:t>Altri membri della rete</w:t>
      </w:r>
    </w:p>
    <w:p w:rsidR="00675B1D" w:rsidRPr="00346304" w:rsidRDefault="00675B1D" w:rsidP="007134D0">
      <w:pPr>
        <w:pStyle w:val="HStandard"/>
        <w:rPr>
          <w:highlight w:val="yellow"/>
        </w:rPr>
      </w:pPr>
      <w:r w:rsidRPr="00346304">
        <w:rPr>
          <w:highlight w:val="yellow"/>
        </w:rPr>
        <w:t>Altri membri della rete includono tipicamente le autorità locali, le parti sociali ed economiche (ivi incluse le organizzazioni che rappresentano i beneficiari), organismi che rappresentano la società civile, ONG, istituti di istruzione e ricerca, rappresentanti di altri fondi SIE, altre reti rilevanti per le zone rurali, alleanze locali, e</w:t>
      </w:r>
      <w:r>
        <w:rPr>
          <w:highlight w:val="yellow"/>
        </w:rPr>
        <w:t xml:space="preserve"> </w:t>
      </w:r>
      <w:r w:rsidRPr="00346304">
        <w:rPr>
          <w:highlight w:val="yellow"/>
        </w:rPr>
        <w:t>iniziative dal basso. In alcuni Stati membri è altresì possibile che la RRN annoveri tra i suoi membri delle persone fisiche. Questi membri sono importanti in qualità di partecipanti ai gruppi specifici di discussione/persone interpellate per la valutazione delle prestazioni e gli effetti della RRN.</w:t>
      </w:r>
    </w:p>
    <w:p w:rsidR="00675B1D" w:rsidRPr="00346304" w:rsidRDefault="00675B1D" w:rsidP="00DC0897">
      <w:pPr>
        <w:pStyle w:val="HHeading3"/>
        <w:rPr>
          <w:highlight w:val="yellow"/>
        </w:rPr>
      </w:pPr>
      <w:bookmarkStart w:id="86" w:name="_Toc453079757"/>
      <w:bookmarkStart w:id="87" w:name="_Toc461616641"/>
      <w:r w:rsidRPr="00346304">
        <w:rPr>
          <w:highlight w:val="yellow"/>
        </w:rPr>
        <w:t>Attori che valutano la rete</w:t>
      </w:r>
      <w:bookmarkEnd w:id="86"/>
      <w:bookmarkEnd w:id="87"/>
    </w:p>
    <w:p w:rsidR="00675B1D" w:rsidRPr="00346304" w:rsidRDefault="00675B1D" w:rsidP="00B35926">
      <w:pPr>
        <w:pStyle w:val="HHeading5"/>
        <w:rPr>
          <w:highlight w:val="yellow"/>
        </w:rPr>
      </w:pPr>
      <w:r w:rsidRPr="00346304">
        <w:rPr>
          <w:highlight w:val="yellow"/>
        </w:rPr>
        <w:t>Il valutatore</w:t>
      </w:r>
    </w:p>
    <w:p w:rsidR="00675B1D" w:rsidRPr="00346304" w:rsidRDefault="00675B1D" w:rsidP="007134D0">
      <w:pPr>
        <w:pStyle w:val="HStandard"/>
        <w:rPr>
          <w:highlight w:val="yellow"/>
        </w:rPr>
      </w:pPr>
      <w:r w:rsidRPr="00346304">
        <w:rPr>
          <w:highlight w:val="yellow"/>
        </w:rPr>
        <w:t>Le valutazioni del PSR devono essere eseguite da un valutatore che sia funzionalmente indipendente dalle autorità responsabili dell'attuazione del programma</w:t>
      </w:r>
      <w:r w:rsidRPr="00346304">
        <w:rPr>
          <w:rStyle w:val="FootnoteReference"/>
          <w:highlight w:val="yellow"/>
        </w:rPr>
        <w:footnoteReference w:id="59"/>
      </w:r>
      <w:r w:rsidRPr="00346304">
        <w:rPr>
          <w:highlight w:val="yellow"/>
        </w:rPr>
        <w:t>. Ciò si applica anche in caso di valutazione della RRN come parte del PSR o come valutazione indipendente (del programma) della RRN. Solitamente il valutatore è un esperto esterno nazionale o internazionale</w:t>
      </w:r>
      <w:r w:rsidRPr="00346304">
        <w:rPr>
          <w:rStyle w:val="FootnoteReference"/>
          <w:highlight w:val="yellow"/>
        </w:rPr>
        <w:footnoteReference w:id="60"/>
      </w:r>
      <w:r w:rsidRPr="00346304">
        <w:rPr>
          <w:highlight w:val="yellow"/>
        </w:rPr>
        <w:t xml:space="preserve"> (ad esempio, una singola azienda o un istituto di ricerca, oppure un consorzio formato da diverse aziende e/o istituti di ricerca) ed è scelto attraverso una procedura di gara d'appalto per un compito di valutazione distinto (ad esempio, la parte di valutazione della RAA da presentare nel 2017 o nel 2019) oppure come valutatore costante per l'intero periodo di programmazione. Tuttavia, il valutatore potrebbe essere anche un ente pubblico o un dipartimento funzionalmente indipendente all'interno della stessa autorità della AG.</w:t>
      </w:r>
    </w:p>
    <w:p w:rsidR="00675B1D" w:rsidRPr="00346304" w:rsidRDefault="00675B1D" w:rsidP="00680DA9">
      <w:pPr>
        <w:pStyle w:val="HHeading2"/>
        <w:rPr>
          <w:highlight w:val="yellow"/>
        </w:rPr>
      </w:pPr>
      <w:bookmarkStart w:id="88" w:name="_Toc382312193"/>
      <w:bookmarkStart w:id="89" w:name="_Toc382409613"/>
      <w:bookmarkStart w:id="90" w:name="_Toc453079758"/>
      <w:bookmarkStart w:id="91" w:name="_Toc461616642"/>
      <w:r w:rsidRPr="00346304">
        <w:rPr>
          <w:highlight w:val="yellow"/>
        </w:rPr>
        <w:t>Passaggi cruciali</w:t>
      </w:r>
      <w:bookmarkEnd w:id="88"/>
      <w:bookmarkEnd w:id="89"/>
      <w:r w:rsidRPr="00346304">
        <w:rPr>
          <w:highlight w:val="yellow"/>
        </w:rPr>
        <w:t xml:space="preserve"> nella valutazione delle RRN</w:t>
      </w:r>
      <w:bookmarkEnd w:id="90"/>
      <w:bookmarkEnd w:id="91"/>
    </w:p>
    <w:p w:rsidR="00675B1D" w:rsidRPr="00346304" w:rsidRDefault="00675B1D" w:rsidP="007134D0">
      <w:pPr>
        <w:pStyle w:val="HStandard"/>
        <w:rPr>
          <w:highlight w:val="yellow"/>
        </w:rPr>
      </w:pPr>
      <w:r w:rsidRPr="00346304">
        <w:rPr>
          <w:highlight w:val="yellow"/>
        </w:rPr>
        <w:t xml:space="preserve">La valutazione della RRN è un processo continuo che deve essere preso in considerazione durante l'intero periodo di programmazione. Deve essere pianificato e preparato per l'intero periodo. Quanto più è approfondita questa attività, tanto più semplice sarà commissionare e condurre la valutazione della RRN. La pianificazione e preparazione della valutazione per l'intero periodo di programmazione è relativamente simile alla pianificazione e alla preparazione di una valutazione singola. </w:t>
      </w:r>
    </w:p>
    <w:p w:rsidR="00675B1D" w:rsidRPr="00346304" w:rsidRDefault="00675B1D" w:rsidP="007134D0">
      <w:pPr>
        <w:pStyle w:val="HStandard"/>
        <w:rPr>
          <w:highlight w:val="yellow"/>
        </w:rPr>
      </w:pPr>
      <w:r w:rsidRPr="00346304">
        <w:rPr>
          <w:highlight w:val="yellow"/>
        </w:rPr>
        <w:t>Il piano di valutazione presentato nell'ambito del PSR/PRRN deve contenere un elenco di temi di valutazione indicativi. Nel caso in cui la RRN sia programmata come parte del PSR, il piano di valutazione deve contenere la RRN come un tema di valutazione</w:t>
      </w:r>
      <w:r w:rsidRPr="00346304">
        <w:rPr>
          <w:rStyle w:val="FootnoteReference"/>
          <w:highlight w:val="yellow"/>
        </w:rPr>
        <w:footnoteReference w:id="61"/>
      </w:r>
      <w:r w:rsidRPr="00346304">
        <w:rPr>
          <w:highlight w:val="yellow"/>
        </w:rPr>
        <w:t xml:space="preserve">. Alcuni Stati membri hanno integrato il piano di valutazione con un documento interno, più dettagliato, che contiene la pianificazione </w:t>
      </w:r>
      <w:r w:rsidRPr="00346304">
        <w:rPr>
          <w:highlight w:val="yellow"/>
        </w:rPr>
        <w:lastRenderedPageBreak/>
        <w:t xml:space="preserve">completa delle attività di valutazione, le loro tempistica e le risorse ad esse dedicate. Tali documenti dovrebbero fornire una panoramica generale delle attività di valutazione correlate alla RRN (valutazione indipendente della RRN/del PRRN e valutazione della RRN come parte del PSR) e delle loro tempistiche. Il documento di pianificazione interno potrebbe anche contenere l'obbligo per la RRN di condurre un'autovalutazione, unitamente alle risorse programmate, alimentando con la stessa le attività di valutazione del PSR. Inoltre, nel piano di azione della RRN si dovrebbero altresì includere attività più dettagliate sulla valutazione della RRN, sull'autovalutazione, sugli eventi di potenziamento delle capacità connessi alla valutazione e sulle attività legate alla diffusione delle risultanze della valutazione. </w:t>
      </w:r>
    </w:p>
    <w:p w:rsidR="00675B1D" w:rsidRPr="00346304" w:rsidRDefault="00675B1D" w:rsidP="007134D0">
      <w:pPr>
        <w:pStyle w:val="HStandard"/>
        <w:rPr>
          <w:highlight w:val="yellow"/>
        </w:rPr>
      </w:pPr>
      <w:r w:rsidRPr="00346304">
        <w:rPr>
          <w:highlight w:val="yellow"/>
        </w:rPr>
        <w:t xml:space="preserve">Nel preparare la valutazione della RRN (/del PRRN) per l'intero periodo di programmazione, le parti interessate pertinenti (AG, USR o altre parti interessate della RRN responsabili) devono assicurarsi che venga stabilita la logica di intervento specifica della RRN (obiettivi e prodotti, risultati e impatti attesi della RRN). Successivamente, si dovrebbero sviluppare gli indicatori (di risultato e di impatto) e il questionario valutativo specifico del programma al fine di integrare gli indicatori di prodotto e il questionario valutativo comune. È inoltre necessario riflettere sulle fonti dei dati e si devono concordare le responsabilità e i metodi per la raccolta dei dati. In questa fase, è altresì importante concretizzare i piani di comunicazione, di assicurazione della qualità e di potenziamento delle capacità per l'intero periodo di programmazione. </w:t>
      </w:r>
    </w:p>
    <w:p w:rsidR="00675B1D" w:rsidRPr="00346304" w:rsidRDefault="00675B1D" w:rsidP="007134D0">
      <w:pPr>
        <w:pStyle w:val="HStandard"/>
        <w:rPr>
          <w:highlight w:val="yellow"/>
        </w:rPr>
      </w:pPr>
      <w:r w:rsidRPr="00346304">
        <w:rPr>
          <w:highlight w:val="yellow"/>
        </w:rPr>
        <w:t xml:space="preserve">Conviene preparare la valutazione della RRN in una fase iniziale della pianificazione o dell'attuazione delle attività della RRN al fine di garantire che i dati siano raccolti fin dall'inizio e che la raccolta dei dati stessi sia orientata alle informazioni desiderate. </w:t>
      </w:r>
    </w:p>
    <w:p w:rsidR="00675B1D" w:rsidRPr="00346304" w:rsidRDefault="00675B1D" w:rsidP="007134D0">
      <w:pPr>
        <w:pStyle w:val="HStandard"/>
        <w:rPr>
          <w:highlight w:val="yellow"/>
        </w:rPr>
      </w:pPr>
      <w:r w:rsidRPr="00346304">
        <w:rPr>
          <w:highlight w:val="yellow"/>
        </w:rPr>
        <w:t xml:space="preserve">Il piano di valutazione, il piano di azione della RRN e altri documenti di pianificazione generale offrono una panoramica delle attività di valutazione correlate alla RRN e ai temi per l'intero periodo di programmazione. Inoltre, ogni valutazione deve essere pianificata come progetti distinti, come illustrato dalla </w:t>
      </w:r>
      <w:r w:rsidRPr="00346304">
        <w:rPr>
          <w:highlight w:val="yellow"/>
        </w:rPr>
        <w:fldChar w:fldCharType="begin" w:fldLock="1"/>
      </w:r>
      <w:r w:rsidRPr="00346304">
        <w:rPr>
          <w:highlight w:val="yellow"/>
        </w:rPr>
        <w:instrText xml:space="preserve"> REF _Ref435790626 \r \h  \* MERGEFORMAT </w:instrText>
      </w:r>
      <w:r w:rsidRPr="00346304">
        <w:rPr>
          <w:highlight w:val="yellow"/>
        </w:rPr>
      </w:r>
      <w:r w:rsidRPr="00346304">
        <w:rPr>
          <w:highlight w:val="yellow"/>
        </w:rPr>
        <w:fldChar w:fldCharType="separate"/>
      </w:r>
      <w:r w:rsidRPr="00346304">
        <w:rPr>
          <w:highlight w:val="yellow"/>
        </w:rPr>
        <w:t>Figura 10</w:t>
      </w:r>
      <w:r w:rsidRPr="00346304">
        <w:rPr>
          <w:highlight w:val="yellow"/>
        </w:rPr>
        <w:fldChar w:fldCharType="end"/>
      </w:r>
      <w:r w:rsidRPr="00346304">
        <w:rPr>
          <w:highlight w:val="yellow"/>
        </w:rPr>
        <w:t xml:space="preserve"> che segue. Una valutazione può essere suddivisa in passaggi distinti con compiti che si susseguono in sequenza. I principali passaggi nello svolgimento di una valutazione sono la pianificazione, la preparazione, la strutturazione, l'esecuzione e la diffusione. Ogni passaggio contiene diversi compiti che verranno discussi di seguito, unitamente alle responsabilità dei principali attori coinvolti. </w:t>
      </w:r>
    </w:p>
    <w:p w:rsidR="00675B1D" w:rsidRPr="00346304" w:rsidRDefault="00675B1D" w:rsidP="00D21174">
      <w:pPr>
        <w:pStyle w:val="HHeadingfigures"/>
        <w:ind w:left="0"/>
        <w:rPr>
          <w:highlight w:val="yellow"/>
        </w:rPr>
      </w:pPr>
      <w:bookmarkStart w:id="92" w:name="_Ref435790626"/>
      <w:bookmarkStart w:id="93" w:name="_Toc445465126"/>
      <w:bookmarkStart w:id="94" w:name="_Toc451781929"/>
      <w:bookmarkStart w:id="95" w:name="_Toc461616781"/>
      <w:r w:rsidRPr="00346304">
        <w:rPr>
          <w:highlight w:val="yellow"/>
        </w:rPr>
        <w:t>Passaggi nella valutazione delle RRN</w:t>
      </w:r>
      <w:bookmarkEnd w:id="92"/>
      <w:bookmarkEnd w:id="93"/>
      <w:bookmarkEnd w:id="94"/>
      <w:bookmarkEnd w:id="95"/>
    </w:p>
    <w:p w:rsidR="00675B1D" w:rsidRPr="00346304" w:rsidRDefault="00675B1D" w:rsidP="00C71F5E">
      <w:pPr>
        <w:pStyle w:val="HStandard"/>
        <w:jc w:val="center"/>
        <w:rPr>
          <w:highlight w:val="yellow"/>
        </w:rPr>
      </w:pPr>
      <w:r w:rsidRPr="00346304">
        <w:rPr>
          <w:noProof/>
          <w:lang w:val="en-GB" w:eastAsia="en-GB" w:bidi="ar-SA"/>
        </w:rPr>
        <w:drawing>
          <wp:inline distT="0" distB="0" distL="0" distR="0" wp14:anchorId="46574F7E" wp14:editId="1E9164B9">
            <wp:extent cx="5731510" cy="2501900"/>
            <wp:effectExtent l="0" t="0" r="254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10.em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2501900"/>
                    </a:xfrm>
                    <a:prstGeom prst="rect">
                      <a:avLst/>
                    </a:prstGeom>
                  </pic:spPr>
                </pic:pic>
              </a:graphicData>
            </a:graphic>
          </wp:inline>
        </w:drawing>
      </w:r>
    </w:p>
    <w:p w:rsidR="00675B1D" w:rsidRPr="00346304" w:rsidRDefault="00675B1D" w:rsidP="004615A0">
      <w:pPr>
        <w:pStyle w:val="HSource"/>
        <w:rPr>
          <w:highlight w:val="yellow"/>
        </w:rPr>
      </w:pPr>
      <w:r w:rsidRPr="00346304">
        <w:rPr>
          <w:highlight w:val="yellow"/>
        </w:rPr>
        <w:t>Fonte: Helpdesk europeo della valutazione per lo sviluppo rurale 2016</w:t>
      </w:r>
    </w:p>
    <w:p w:rsidR="00675B1D" w:rsidRPr="00346304" w:rsidRDefault="00675B1D" w:rsidP="00680DA9">
      <w:pPr>
        <w:pStyle w:val="HHeading3"/>
        <w:rPr>
          <w:highlight w:val="yellow"/>
        </w:rPr>
      </w:pPr>
      <w:bookmarkStart w:id="96" w:name="_Toc453079759"/>
      <w:bookmarkStart w:id="97" w:name="_Toc461616643"/>
      <w:r w:rsidRPr="00346304">
        <w:rPr>
          <w:highlight w:val="yellow"/>
        </w:rPr>
        <w:lastRenderedPageBreak/>
        <w:t>Pianificare la valutazione della RRN</w:t>
      </w:r>
      <w:bookmarkEnd w:id="96"/>
      <w:bookmarkEnd w:id="97"/>
      <w:r w:rsidRPr="00346304">
        <w:rPr>
          <w:highlight w:val="yellow"/>
        </w:rPr>
        <w:t xml:space="preserve"> </w:t>
      </w:r>
    </w:p>
    <w:p w:rsidR="00675B1D" w:rsidRPr="00346304" w:rsidRDefault="00675B1D" w:rsidP="00B62FBF">
      <w:pPr>
        <w:pStyle w:val="HStandard"/>
        <w:rPr>
          <w:highlight w:val="yellow"/>
        </w:rPr>
      </w:pPr>
      <w:r w:rsidRPr="00346304">
        <w:rPr>
          <w:highlight w:val="yellow"/>
        </w:rPr>
        <w:t>Nel caso in cui la RRN sia parte del PSR, le attività della RRN sono di solito progettate per essere valutate come parte delle valutazioni del PSR (2017, 2019 ed ex post) e, in singoli casi, questo avviene anche nel contesto di una valutazione indipendente. I PRRN devono essere valutati attraverso una valutazione indipendente. Quando l'autorità di gestione è la parte committente della valutazione della RRN (come parte della valutazione del PSR o come una valutazione indipendente della RRN), la stessa è responsabile per la pianificazione e la preparazione del processo e delle tempistiche della valutazione (del programma) della RRN. Ciò può essere realizzato in collaborazione con l'unità di sostegno alla rete e altre parti interessate della valutazione (ad esempio l'unità di valutazione, l'organismo pagatore, ecc.)</w:t>
      </w:r>
      <w:r w:rsidRPr="00346304">
        <w:rPr>
          <w:rStyle w:val="FootnoteReference"/>
          <w:highlight w:val="yellow"/>
        </w:rPr>
        <w:footnoteReference w:id="62"/>
      </w:r>
      <w:r w:rsidRPr="00346304">
        <w:rPr>
          <w:highlight w:val="yellow"/>
        </w:rPr>
        <w:t>. Queste valutazioni sono in genere finanziate dall'assistenza tecnica, e l'autorità di gestione dirige solitamente il processo in base agli input dati dall'unità di sostegno alla rete e da altre parti interessate. L'unità di sostegno alla rete può anche essere responsabile per la pianificazione e la preparazione della valutazione indipendente</w:t>
      </w:r>
      <w:r>
        <w:rPr>
          <w:highlight w:val="yellow"/>
        </w:rPr>
        <w:t xml:space="preserve"> </w:t>
      </w:r>
      <w:r w:rsidRPr="00346304">
        <w:rPr>
          <w:highlight w:val="yellow"/>
        </w:rPr>
        <w:t xml:space="preserve">qualora essa sia la parte committente. </w:t>
      </w:r>
    </w:p>
    <w:p w:rsidR="00675B1D" w:rsidRPr="00346304" w:rsidRDefault="00675B1D" w:rsidP="00B62FBF">
      <w:pPr>
        <w:pStyle w:val="HStandard"/>
        <w:rPr>
          <w:highlight w:val="yellow"/>
        </w:rPr>
      </w:pPr>
      <w:r w:rsidRPr="00346304">
        <w:rPr>
          <w:highlight w:val="yellow"/>
        </w:rPr>
        <w:t>I passaggi della pianificazione di una valutazione sono i seguenti: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346304" w:rsidTr="00FC0A30">
        <w:trPr>
          <w:trHeight w:val="405"/>
        </w:trPr>
        <w:tc>
          <w:tcPr>
            <w:tcW w:w="988" w:type="dxa"/>
            <w:shd w:val="clear" w:color="auto" w:fill="E7E6E6" w:themeFill="background2"/>
          </w:tcPr>
          <w:p w:rsidR="00675B1D" w:rsidRPr="00346304" w:rsidRDefault="00675B1D" w:rsidP="00FC0A30">
            <w:pPr>
              <w:pStyle w:val="HStandard"/>
              <w:jc w:val="center"/>
              <w:rPr>
                <w:b/>
                <w:color w:val="5B9BD5" w:themeColor="accent1"/>
                <w:sz w:val="18"/>
                <w:szCs w:val="18"/>
                <w:highlight w:val="yellow"/>
              </w:rPr>
            </w:pPr>
            <w:r w:rsidRPr="00346304">
              <w:rPr>
                <w:b/>
                <w:color w:val="5B9BD5" w:themeColor="accent1"/>
                <w:sz w:val="18"/>
                <w:highlight w:val="yellow"/>
              </w:rPr>
              <w:t>1</w:t>
            </w:r>
          </w:p>
        </w:tc>
        <w:tc>
          <w:tcPr>
            <w:tcW w:w="8028" w:type="dxa"/>
          </w:tcPr>
          <w:p w:rsidR="00675B1D" w:rsidRPr="00346304" w:rsidRDefault="00675B1D" w:rsidP="00937568">
            <w:pPr>
              <w:pStyle w:val="HStandard"/>
              <w:rPr>
                <w:sz w:val="18"/>
                <w:szCs w:val="18"/>
                <w:highlight w:val="yellow"/>
              </w:rPr>
            </w:pPr>
            <w:r w:rsidRPr="00346304">
              <w:rPr>
                <w:sz w:val="18"/>
                <w:highlight w:val="yellow"/>
              </w:rPr>
              <w:t xml:space="preserve">identificazione delle esigenze di valutazione e delle informazioni necessarie risultanti dalla valutazione; </w:t>
            </w:r>
          </w:p>
        </w:tc>
      </w:tr>
      <w:tr w:rsidR="00675B1D" w:rsidRPr="00346304" w:rsidTr="00FC0A30">
        <w:tc>
          <w:tcPr>
            <w:tcW w:w="988" w:type="dxa"/>
            <w:shd w:val="clear" w:color="auto" w:fill="E7E6E6" w:themeFill="background2"/>
          </w:tcPr>
          <w:p w:rsidR="00675B1D" w:rsidRPr="00346304" w:rsidRDefault="00675B1D" w:rsidP="00FC0A30">
            <w:pPr>
              <w:pStyle w:val="HStandard"/>
              <w:jc w:val="center"/>
              <w:rPr>
                <w:b/>
                <w:color w:val="5B9BD5" w:themeColor="accent1"/>
                <w:sz w:val="18"/>
                <w:szCs w:val="18"/>
                <w:highlight w:val="yellow"/>
              </w:rPr>
            </w:pPr>
            <w:r w:rsidRPr="00346304">
              <w:rPr>
                <w:b/>
                <w:color w:val="5B9BD5" w:themeColor="accent1"/>
                <w:sz w:val="18"/>
                <w:highlight w:val="yellow"/>
              </w:rPr>
              <w:t>2</w:t>
            </w:r>
          </w:p>
        </w:tc>
        <w:tc>
          <w:tcPr>
            <w:tcW w:w="8028" w:type="dxa"/>
          </w:tcPr>
          <w:p w:rsidR="00675B1D" w:rsidRPr="00346304" w:rsidRDefault="00675B1D" w:rsidP="0017693D">
            <w:pPr>
              <w:pStyle w:val="HStandard"/>
              <w:rPr>
                <w:sz w:val="18"/>
                <w:szCs w:val="18"/>
                <w:highlight w:val="yellow"/>
              </w:rPr>
            </w:pPr>
            <w:r w:rsidRPr="00346304">
              <w:rPr>
                <w:sz w:val="18"/>
                <w:highlight w:val="yellow"/>
              </w:rPr>
              <w:t>decisione in merito alla forma della valutazione;</w:t>
            </w:r>
          </w:p>
        </w:tc>
      </w:tr>
      <w:tr w:rsidR="00675B1D" w:rsidRPr="00346304" w:rsidTr="00FC0A30">
        <w:tc>
          <w:tcPr>
            <w:tcW w:w="988" w:type="dxa"/>
            <w:shd w:val="clear" w:color="auto" w:fill="E7E6E6" w:themeFill="background2"/>
          </w:tcPr>
          <w:p w:rsidR="00675B1D" w:rsidRPr="00346304" w:rsidRDefault="00675B1D" w:rsidP="00FC0A30">
            <w:pPr>
              <w:pStyle w:val="HStandard"/>
              <w:jc w:val="center"/>
              <w:rPr>
                <w:b/>
                <w:color w:val="5B9BD5" w:themeColor="accent1"/>
                <w:sz w:val="18"/>
                <w:szCs w:val="18"/>
                <w:highlight w:val="yellow"/>
              </w:rPr>
            </w:pPr>
            <w:r w:rsidRPr="00346304">
              <w:rPr>
                <w:b/>
                <w:color w:val="5B9BD5" w:themeColor="accent1"/>
                <w:sz w:val="18"/>
                <w:highlight w:val="yellow"/>
              </w:rPr>
              <w:t>3</w:t>
            </w:r>
          </w:p>
        </w:tc>
        <w:tc>
          <w:tcPr>
            <w:tcW w:w="8028" w:type="dxa"/>
          </w:tcPr>
          <w:p w:rsidR="00675B1D" w:rsidRPr="00346304" w:rsidRDefault="00675B1D" w:rsidP="00D549E5">
            <w:pPr>
              <w:pStyle w:val="HStandard"/>
              <w:rPr>
                <w:sz w:val="18"/>
                <w:szCs w:val="18"/>
                <w:highlight w:val="yellow"/>
              </w:rPr>
            </w:pPr>
            <w:r w:rsidRPr="00346304">
              <w:rPr>
                <w:sz w:val="18"/>
                <w:highlight w:val="yellow"/>
              </w:rPr>
              <w:t xml:space="preserve">pianificazione del processo e delle tempistiche della valutazione; </w:t>
            </w:r>
          </w:p>
        </w:tc>
      </w:tr>
      <w:tr w:rsidR="00675B1D" w:rsidRPr="00346304" w:rsidTr="00FC0A30">
        <w:tc>
          <w:tcPr>
            <w:tcW w:w="988" w:type="dxa"/>
            <w:shd w:val="clear" w:color="auto" w:fill="E7E6E6" w:themeFill="background2"/>
          </w:tcPr>
          <w:p w:rsidR="00675B1D" w:rsidRPr="00346304" w:rsidRDefault="00675B1D" w:rsidP="00FC0A30">
            <w:pPr>
              <w:pStyle w:val="HStandard"/>
              <w:jc w:val="center"/>
              <w:rPr>
                <w:b/>
                <w:color w:val="5B9BD5" w:themeColor="accent1"/>
                <w:sz w:val="18"/>
                <w:szCs w:val="18"/>
                <w:highlight w:val="yellow"/>
              </w:rPr>
            </w:pPr>
            <w:r w:rsidRPr="00346304">
              <w:rPr>
                <w:b/>
                <w:color w:val="5B9BD5" w:themeColor="accent1"/>
                <w:sz w:val="18"/>
                <w:highlight w:val="yellow"/>
              </w:rPr>
              <w:t>4</w:t>
            </w:r>
          </w:p>
        </w:tc>
        <w:tc>
          <w:tcPr>
            <w:tcW w:w="8028" w:type="dxa"/>
          </w:tcPr>
          <w:p w:rsidR="00675B1D" w:rsidRPr="00346304" w:rsidRDefault="00675B1D" w:rsidP="00B62FBF">
            <w:pPr>
              <w:pStyle w:val="HStandard"/>
              <w:rPr>
                <w:sz w:val="18"/>
                <w:szCs w:val="18"/>
                <w:highlight w:val="yellow"/>
              </w:rPr>
            </w:pPr>
            <w:r w:rsidRPr="00346304">
              <w:rPr>
                <w:sz w:val="18"/>
                <w:highlight w:val="yellow"/>
              </w:rPr>
              <w:t>redazione di piani di comunicazione e di potenziamento delle capacità.</w:t>
            </w:r>
          </w:p>
        </w:tc>
      </w:tr>
    </w:tbl>
    <w:p w:rsidR="00675B1D" w:rsidRPr="00346304" w:rsidRDefault="00675B1D" w:rsidP="0079494B">
      <w:pPr>
        <w:pStyle w:val="HHeading5"/>
        <w:rPr>
          <w:highlight w:val="yellow"/>
        </w:rPr>
      </w:pPr>
      <w:r w:rsidRPr="00346304">
        <w:rPr>
          <w:highlight w:val="yellow"/>
        </w:rPr>
        <w:t>Passaggio 1</w:t>
      </w:r>
      <w:r>
        <w:rPr>
          <w:highlight w:val="yellow"/>
        </w:rPr>
        <w:t xml:space="preserve"> </w:t>
      </w:r>
      <w:r w:rsidRPr="00346304">
        <w:rPr>
          <w:highlight w:val="yellow"/>
        </w:rPr>
        <w:t xml:space="preserve">– Identificazione delle esigenze di valutazione (che cosa deve essere valutato) e delle informazioni necessarie risultanti dalla valutazione </w:t>
      </w:r>
    </w:p>
    <w:p w:rsidR="00675B1D" w:rsidRPr="00346304" w:rsidRDefault="00675B1D" w:rsidP="003E2220">
      <w:pPr>
        <w:pStyle w:val="HStandard"/>
        <w:rPr>
          <w:highlight w:val="yellow"/>
        </w:rPr>
      </w:pPr>
      <w:r w:rsidRPr="00346304">
        <w:rPr>
          <w:highlight w:val="yellow"/>
        </w:rPr>
        <w:t>La parte committente (AG o USR) può scrivere una nota sintetica per affinare la messa a fuoco della valutazione e preparare il capitolato d'oneri. Un tipico elenco per la nota sintetica include contesto politico, temi di valutazione, tempistiche, portata, scopo e giustificazione, nonché ruoli delle parti interessate nella valutazione e riferimenti a fonti di informazione e precedenti valutazioni. Tale nota sintetica può essere scritta lungo tutto il processo, ossia può essere avviata nella fase di pianificazione e aggiornata in seguito, nella fase di preparazione, quando le questioni sono chiarite.</w:t>
      </w:r>
    </w:p>
    <w:p w:rsidR="00675B1D" w:rsidRPr="00346304" w:rsidRDefault="00675B1D" w:rsidP="0079494B">
      <w:pPr>
        <w:pStyle w:val="HHeading5"/>
        <w:rPr>
          <w:highlight w:val="yellow"/>
        </w:rPr>
      </w:pPr>
      <w:r w:rsidRPr="00346304">
        <w:rPr>
          <w:highlight w:val="yellow"/>
        </w:rPr>
        <w:t>Passaggio 2 – Decisione in merito alla forma della valutazione</w:t>
      </w:r>
    </w:p>
    <w:p w:rsidR="00675B1D" w:rsidRPr="00346304" w:rsidRDefault="00675B1D" w:rsidP="003E2220">
      <w:pPr>
        <w:pStyle w:val="HStandard"/>
        <w:rPr>
          <w:b/>
          <w:highlight w:val="yellow"/>
        </w:rPr>
      </w:pPr>
      <w:r w:rsidRPr="00346304">
        <w:rPr>
          <w:highlight w:val="yellow"/>
        </w:rPr>
        <w:t xml:space="preserve">La valutazione della RRN può assumere forme diverse, a seconda della profondità con cui si intende valutare la RRN: </w:t>
      </w:r>
    </w:p>
    <w:p w:rsidR="00675B1D" w:rsidRPr="00346304" w:rsidRDefault="00675B1D" w:rsidP="00E36BC6">
      <w:pPr>
        <w:pStyle w:val="HHeading5"/>
        <w:rPr>
          <w:color w:val="auto"/>
          <w:highlight w:val="yellow"/>
        </w:rPr>
      </w:pPr>
      <w:r w:rsidRPr="00346304">
        <w:rPr>
          <w:color w:val="auto"/>
          <w:highlight w:val="yellow"/>
        </w:rPr>
        <w:t>Valutazione della RRN come parte della valutazione del PSR</w:t>
      </w:r>
    </w:p>
    <w:p w:rsidR="00675B1D" w:rsidRPr="00346304" w:rsidRDefault="00675B1D" w:rsidP="00E36BC6">
      <w:pPr>
        <w:pStyle w:val="HStandard"/>
        <w:rPr>
          <w:highlight w:val="yellow"/>
        </w:rPr>
      </w:pPr>
      <w:r w:rsidRPr="00346304">
        <w:rPr>
          <w:highlight w:val="yellow"/>
        </w:rPr>
        <w:t>Le RRN che fanno parte del PSR devono essere incluse nella valutazione del programma come un suo tema di valutazione. Ciò implica che le attività di valutazione correlate alla RRN sono già descritte nel piano di valutazione del PSR e ulteriormente specificate nel capitolato d'oneri per la selezione del valutatore esterno. Le attività di valutazione correlate alla RRN sono esposte nella sezione 2 delle relazioni annuali standard sull’attuazione. Specifiche valutazioni della RRN vengono poi riportate nelle relazioni annuali sull'attuazione integrate 2017 e 2019 e sono successivamente oggetto di valutazione ex post. In questo contesto, si deve rispondere al questionario valutativo comune correlato alla RRN e si devono utilizzare gli indicatori comuni per la RRN</w:t>
      </w:r>
      <w:r w:rsidRPr="00346304">
        <w:rPr>
          <w:rStyle w:val="FootnoteReference"/>
          <w:highlight w:val="yellow"/>
        </w:rPr>
        <w:footnoteReference w:id="63"/>
      </w:r>
      <w:r w:rsidRPr="00346304">
        <w:rPr>
          <w:highlight w:val="yellow"/>
        </w:rPr>
        <w:t>.</w:t>
      </w:r>
    </w:p>
    <w:p w:rsidR="00675B1D" w:rsidRPr="00346304" w:rsidRDefault="00675B1D" w:rsidP="00E36BC6">
      <w:pPr>
        <w:pStyle w:val="HStandard"/>
        <w:rPr>
          <w:highlight w:val="yellow"/>
        </w:rPr>
      </w:pPr>
      <w:r w:rsidRPr="00346304">
        <w:rPr>
          <w:highlight w:val="yellow"/>
        </w:rPr>
        <w:lastRenderedPageBreak/>
        <w:t>Quando la RRN è inclusa nella valutazione del PSR, in genere si può fornire e segnalare nelle rispettive relazioni solo una panoramica generale, piuttosto ampia, delle operazioni, delle realizzazioni e dei risultati della RRN. La valutazione della RRN come parte del PSR fornisce in genere raccomandazioni rilevanti per i responsabili delle politiche, e non tanto per l'unità di sostegno alla rete, su come migliorare nella pratica i processi, le attività e l'individuazione degli obiettivi prioritari delle RRN. Le metodologie utilizzate potrebbero anche non tener conto delle specificità della rete e delle sue operazioni. Tuttavia, questo tipo di valutazione è utile per esaminare le prestazioni della RRN all'interno del sistema PSR. Può anche innescare ulteriori e più specifiche domande di valutazione da esaminare tramite una valutazione indipendente della RRN o un'autovalutazione.</w:t>
      </w:r>
    </w:p>
    <w:p w:rsidR="00675B1D" w:rsidRPr="00346304" w:rsidRDefault="00675B1D" w:rsidP="00E36BC6">
      <w:pPr>
        <w:pStyle w:val="HHeading5"/>
        <w:rPr>
          <w:color w:val="auto"/>
          <w:highlight w:val="yellow"/>
        </w:rPr>
      </w:pPr>
      <w:r w:rsidRPr="00346304">
        <w:rPr>
          <w:color w:val="auto"/>
          <w:highlight w:val="yellow"/>
        </w:rPr>
        <w:t xml:space="preserve">Valutazioni indipendenti della RRN/del PRRN </w:t>
      </w:r>
    </w:p>
    <w:p w:rsidR="00675B1D" w:rsidRPr="00346304" w:rsidRDefault="00675B1D" w:rsidP="00E36BC6">
      <w:pPr>
        <w:pStyle w:val="HStandard"/>
        <w:rPr>
          <w:highlight w:val="yellow"/>
        </w:rPr>
      </w:pPr>
      <w:r w:rsidRPr="00346304">
        <w:rPr>
          <w:highlight w:val="yellow"/>
        </w:rPr>
        <w:t>Poiché i PRRN sono programmi distinti, devono essere valutati come qualsiasi programma dei fondi SIE</w:t>
      </w:r>
      <w:r w:rsidRPr="00346304">
        <w:rPr>
          <w:rStyle w:val="FootnoteReference"/>
          <w:highlight w:val="yellow"/>
        </w:rPr>
        <w:footnoteReference w:id="64"/>
      </w:r>
      <w:r w:rsidRPr="00346304">
        <w:rPr>
          <w:highlight w:val="yellow"/>
        </w:rPr>
        <w:t>. Tuttavia, anche gli Stati membri con RRN integrate nel PSR possono scegliere di effettuare una valutazione indipendente della RRN, poiché questo tipo di valutazione permette di ottenere maggiori approfondimenti in merito alle realizzazioni, ai risultati, agli impatti, al valore aggiunto, all'efficienza e all'efficacia della RRN e può anche fornire maggiori raccomandazioni pratiche su come migliorare le operazioni della RRN. Una valutazione indipendente della RRN può inoltre rispondere a domande più specifiche in materia di valutazione oppure concentrarsi su questioni particolari. Può alimentare e informare la valutazione della RRN condotta come parte della valutazione del PSR.</w:t>
      </w:r>
    </w:p>
    <w:p w:rsidR="00675B1D" w:rsidRPr="00346304" w:rsidRDefault="00675B1D" w:rsidP="00E36BC6">
      <w:pPr>
        <w:pStyle w:val="HStandard"/>
        <w:rPr>
          <w:highlight w:val="yellow"/>
        </w:rPr>
      </w:pPr>
      <w:r w:rsidRPr="00346304">
        <w:rPr>
          <w:highlight w:val="yellow"/>
        </w:rPr>
        <w:t>Le valutazioni indipendenti della RRN (/del PRRN) dovrebbero concentrarsi su:</w:t>
      </w:r>
    </w:p>
    <w:p w:rsidR="00675B1D" w:rsidRPr="00346304" w:rsidRDefault="00675B1D" w:rsidP="00E36BC6">
      <w:pPr>
        <w:pStyle w:val="Hlistbullet"/>
        <w:rPr>
          <w:highlight w:val="yellow"/>
        </w:rPr>
      </w:pPr>
      <w:r w:rsidRPr="00346304">
        <w:rPr>
          <w:highlight w:val="yellow"/>
        </w:rPr>
        <w:t>rilevanza, efficacia, efficienza, prodotti, risultati, impatti, nonché sui fattori di successo e di fallimento (ossia, una valutazione complessiva della RRN);</w:t>
      </w:r>
    </w:p>
    <w:p w:rsidR="00675B1D" w:rsidRPr="00346304" w:rsidRDefault="00675B1D" w:rsidP="00E36BC6">
      <w:pPr>
        <w:pStyle w:val="Hlistbullet"/>
        <w:rPr>
          <w:highlight w:val="yellow"/>
        </w:rPr>
      </w:pPr>
      <w:r w:rsidRPr="00346304">
        <w:rPr>
          <w:highlight w:val="yellow"/>
        </w:rPr>
        <w:t>logica di intervento;</w:t>
      </w:r>
    </w:p>
    <w:p w:rsidR="00675B1D" w:rsidRPr="00346304" w:rsidRDefault="00675B1D" w:rsidP="00E36BC6">
      <w:pPr>
        <w:pStyle w:val="Hlistbullet"/>
        <w:rPr>
          <w:highlight w:val="yellow"/>
        </w:rPr>
      </w:pPr>
      <w:r w:rsidRPr="00346304">
        <w:rPr>
          <w:highlight w:val="yellow"/>
        </w:rPr>
        <w:t xml:space="preserve">piano di azione e attività; </w:t>
      </w:r>
    </w:p>
    <w:p w:rsidR="00675B1D" w:rsidRPr="00346304" w:rsidRDefault="00675B1D" w:rsidP="00E36BC6">
      <w:pPr>
        <w:pStyle w:val="Hlistbullet"/>
        <w:rPr>
          <w:highlight w:val="yellow"/>
        </w:rPr>
      </w:pPr>
      <w:r w:rsidRPr="00346304">
        <w:rPr>
          <w:highlight w:val="yellow"/>
        </w:rPr>
        <w:t>reti regionali;</w:t>
      </w:r>
    </w:p>
    <w:p w:rsidR="00675B1D" w:rsidRPr="00346304" w:rsidRDefault="00675B1D" w:rsidP="00E36BC6">
      <w:pPr>
        <w:pStyle w:val="Hlistbullet2"/>
        <w:rPr>
          <w:highlight w:val="yellow"/>
        </w:rPr>
      </w:pPr>
      <w:r w:rsidRPr="00346304">
        <w:rPr>
          <w:highlight w:val="yellow"/>
        </w:rPr>
        <w:t>struttura della rete.</w:t>
      </w:r>
    </w:p>
    <w:p w:rsidR="00675B1D" w:rsidRPr="00346304" w:rsidRDefault="00675B1D" w:rsidP="00E36BC6">
      <w:pPr>
        <w:pStyle w:val="HStandard"/>
        <w:rPr>
          <w:highlight w:val="yellow"/>
        </w:rPr>
      </w:pPr>
      <w:r w:rsidRPr="00346304">
        <w:rPr>
          <w:highlight w:val="yellow"/>
        </w:rPr>
        <w:t>Condurre una valutazione indipendente della RRN (/del PRRN) richiede un processo completo che includa piano di valutazione e attuazione, oltre a comprendere fasi specifiche come il riesame della logica di intervento della RRN (nel caso tale logica già esista) oppure lo sviluppo della medesima (qualora non sia stata elaborata prima), nonché lo sviluppo di indicatori e di domande di valutazione specifiche del programma. Ogni volta che la RRN (/il PRRN) rappresenta l'oggetto singolo della valutazione, quest'ultima dovrebbe coprire l'USR, i membri della RRN e le attività della RRN.</w:t>
      </w:r>
    </w:p>
    <w:p w:rsidR="00675B1D" w:rsidRPr="00346304" w:rsidRDefault="00675B1D" w:rsidP="0079494B">
      <w:pPr>
        <w:pStyle w:val="HHeading5"/>
        <w:rPr>
          <w:highlight w:val="yellow"/>
        </w:rPr>
      </w:pPr>
      <w:r w:rsidRPr="00346304">
        <w:rPr>
          <w:highlight w:val="yellow"/>
        </w:rPr>
        <w:t xml:space="preserve">Passaggio 3 - Pianificazione del processo e delle tempistiche della valutazione </w:t>
      </w:r>
    </w:p>
    <w:p w:rsidR="00675B1D" w:rsidRPr="00346304" w:rsidRDefault="00675B1D" w:rsidP="00E36BC6">
      <w:pPr>
        <w:pStyle w:val="HStandard"/>
        <w:rPr>
          <w:highlight w:val="yellow"/>
        </w:rPr>
      </w:pPr>
      <w:r w:rsidRPr="00346304">
        <w:rPr>
          <w:highlight w:val="yellow"/>
        </w:rPr>
        <w:t xml:space="preserve">Questa fase include la definizione delle tempistiche delle varie attività di valutazione legate alle fasi di valutazione (preparazione, strutturazione, osservazione, analisi, giudizio, diffusione e seguito in relazione ai risultati della valutazione), nonché dei diversi attori coinvolti e copre l'intera durata della valutazione.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FC0A30">
        <w:trPr>
          <w:jc w:val="center"/>
        </w:trPr>
        <w:tc>
          <w:tcPr>
            <w:tcW w:w="9016" w:type="dxa"/>
            <w:shd w:val="clear" w:color="auto" w:fill="F5F4F4" w:themeFill="background2" w:themeFillTint="66"/>
          </w:tcPr>
          <w:p w:rsidR="00675B1D" w:rsidRPr="00346304" w:rsidRDefault="00675B1D" w:rsidP="00BE7FA8">
            <w:pPr>
              <w:pStyle w:val="HStandard"/>
              <w:rPr>
                <w:highlight w:val="yellow"/>
              </w:rPr>
            </w:pPr>
            <w:r w:rsidRPr="00346304">
              <w:rPr>
                <w:highlight w:val="yellow"/>
              </w:rPr>
              <w:t xml:space="preserve">Nello svolgere questo compito, le seguenti domande possono essere di aiuto: </w:t>
            </w:r>
          </w:p>
          <w:p w:rsidR="00675B1D" w:rsidRPr="00346304" w:rsidRDefault="00675B1D" w:rsidP="00675B1D">
            <w:pPr>
              <w:pStyle w:val="Hlistbullet"/>
              <w:rPr>
                <w:highlight w:val="yellow"/>
              </w:rPr>
            </w:pPr>
            <w:r w:rsidRPr="00346304">
              <w:rPr>
                <w:highlight w:val="yellow"/>
              </w:rPr>
              <w:t>che cosa vogliamo sapere (quali sono i temi di valutazione, ad esempio, realizzazione degli obiettivi della rete, implementazione delle attività della RRN (/del PRRN), efficacia ed efficienza della RRN (/del PRRN), struttura della rete, impatto della RRN (/del PRRN) sull'attuazione del programma, risultati della RRN (/del PRRN))?</w:t>
            </w:r>
          </w:p>
          <w:p w:rsidR="00675B1D" w:rsidRPr="00346304" w:rsidRDefault="00675B1D" w:rsidP="00675B1D">
            <w:pPr>
              <w:pStyle w:val="Hlistbullet"/>
              <w:rPr>
                <w:highlight w:val="yellow"/>
              </w:rPr>
            </w:pPr>
            <w:r>
              <w:rPr>
                <w:highlight w:val="yellow"/>
              </w:rPr>
              <w:t>P</w:t>
            </w:r>
            <w:r w:rsidRPr="00346304">
              <w:rPr>
                <w:highlight w:val="yellow"/>
              </w:rPr>
              <w:t>erché è importante valutare questi temi?</w:t>
            </w:r>
          </w:p>
          <w:p w:rsidR="00675B1D" w:rsidRPr="00346304" w:rsidRDefault="00675B1D" w:rsidP="00675B1D">
            <w:pPr>
              <w:pStyle w:val="Hlistbullet"/>
              <w:rPr>
                <w:highlight w:val="yellow"/>
              </w:rPr>
            </w:pPr>
            <w:r>
              <w:rPr>
                <w:highlight w:val="yellow"/>
              </w:rPr>
              <w:t>Q</w:t>
            </w:r>
            <w:r w:rsidRPr="00346304">
              <w:rPr>
                <w:highlight w:val="yellow"/>
              </w:rPr>
              <w:t xml:space="preserve">uali sono i requisiti giuridici relativi al contenuto della valutazione e ai temi selezionati? </w:t>
            </w:r>
          </w:p>
          <w:p w:rsidR="00675B1D" w:rsidRPr="00346304" w:rsidRDefault="00675B1D" w:rsidP="00675B1D">
            <w:pPr>
              <w:pStyle w:val="Hlistbullet"/>
              <w:rPr>
                <w:highlight w:val="yellow"/>
              </w:rPr>
            </w:pPr>
            <w:r>
              <w:rPr>
                <w:highlight w:val="yellow"/>
              </w:rPr>
              <w:lastRenderedPageBreak/>
              <w:t>E</w:t>
            </w:r>
            <w:r w:rsidRPr="00346304">
              <w:rPr>
                <w:highlight w:val="yellow"/>
              </w:rPr>
              <w:t xml:space="preserve">sistono valutazioni o studi precedenti in relazione ai temi selezionati? </w:t>
            </w:r>
          </w:p>
          <w:p w:rsidR="00675B1D" w:rsidRPr="00346304" w:rsidRDefault="00675B1D" w:rsidP="00675B1D">
            <w:pPr>
              <w:pStyle w:val="Hlistbullet2"/>
              <w:rPr>
                <w:highlight w:val="yellow"/>
              </w:rPr>
            </w:pPr>
            <w:r>
              <w:rPr>
                <w:highlight w:val="yellow"/>
              </w:rPr>
              <w:t>Q</w:t>
            </w:r>
            <w:r w:rsidRPr="00346304">
              <w:rPr>
                <w:highlight w:val="yellow"/>
              </w:rPr>
              <w:t xml:space="preserve">uali sono le principali lacune in termini di conoscenze relative alla RRN (/al PRRN) e ai temi selezionati? </w:t>
            </w:r>
          </w:p>
        </w:tc>
      </w:tr>
    </w:tbl>
    <w:p w:rsidR="00675B1D" w:rsidRPr="00346304" w:rsidRDefault="00675B1D" w:rsidP="00FC0A30">
      <w:pPr>
        <w:pStyle w:val="HHeading5"/>
        <w:rPr>
          <w:highlight w:val="yellow"/>
        </w:rPr>
      </w:pPr>
      <w:r w:rsidRPr="00346304">
        <w:rPr>
          <w:highlight w:val="yellow"/>
        </w:rPr>
        <w:lastRenderedPageBreak/>
        <w:t>Passaggio 4 - Redazione di piani di comunicazione e di potenziamento delle capacità</w:t>
      </w:r>
    </w:p>
    <w:p w:rsidR="00675B1D" w:rsidRPr="00346304" w:rsidRDefault="00675B1D" w:rsidP="003E2220">
      <w:pPr>
        <w:pStyle w:val="HStandard"/>
        <w:rPr>
          <w:b/>
          <w:highlight w:val="yellow"/>
        </w:rPr>
      </w:pPr>
      <w:r w:rsidRPr="00346304">
        <w:rPr>
          <w:b/>
          <w:highlight w:val="yellow"/>
        </w:rPr>
        <w:t>Piano di comunicazione</w:t>
      </w:r>
    </w:p>
    <w:p w:rsidR="00675B1D" w:rsidRPr="00346304" w:rsidRDefault="00675B1D" w:rsidP="003E2220">
      <w:pPr>
        <w:pStyle w:val="HStandard"/>
        <w:rPr>
          <w:highlight w:val="yellow"/>
        </w:rPr>
      </w:pPr>
      <w:r w:rsidRPr="00346304">
        <w:rPr>
          <w:highlight w:val="yellow"/>
        </w:rPr>
        <w:t>La comunicazione è un aspetto chiave della valutazione. Come tale, dovrebbe essere progettata già in una fase iniziale della valutazione. Una delle principali ragioni che stanno alla base dello svolgimento di una valutazione consiste nel fornire attendibilità alle parti interessate e al pubblico in generale. Quindi, i risultati della valutazione dovrebbero essere comunicati ai gruppi destinatari. A tale scopo, ogni valutazione dovrebbe essere accompagnata da un piano di comunicazione, che viene progettato all'inizio del processo di valutazione e la cui attuazione inizia immediatamente dopo il completamento della valutazione. La parte committente della valutazione è responsabile dello sviluppo e dell'attuazione del piano di comunicazione delle conclusioni e delle risultanze della valutazione. L'attore (unità presso il ministero o l'autorità di gestione, USR, contraente, ecc.), che gestisce la comunicazione generale del PSR è in genere ben attrezzato per comunicare le risultanze della valutazione al grande pubblico. L'unità di sostegno alla rete, i membri della rete e il gruppo direttivo di valutazione possono assistere l'autorità di gestione nel comunicare le risultanze della valutazione alle parti interessate del PSR. La comunicazione sulle risultanze della valutazione dovrebbe essere inclusa nel piano di comunicazione della RRN (/del PRRN), che è richiesto nel piano di azione per le reti.</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FC0A30">
        <w:trPr>
          <w:jc w:val="center"/>
        </w:trPr>
        <w:tc>
          <w:tcPr>
            <w:tcW w:w="9016" w:type="dxa"/>
            <w:shd w:val="clear" w:color="auto" w:fill="F5F4F4" w:themeFill="background2" w:themeFillTint="66"/>
          </w:tcPr>
          <w:p w:rsidR="00675B1D" w:rsidRPr="00346304" w:rsidRDefault="00675B1D" w:rsidP="00F26F45">
            <w:pPr>
              <w:pStyle w:val="HStandard"/>
              <w:rPr>
                <w:highlight w:val="yellow"/>
              </w:rPr>
            </w:pPr>
            <w:r w:rsidRPr="00346304">
              <w:rPr>
                <w:highlight w:val="yellow"/>
              </w:rPr>
              <w:t xml:space="preserve">Le domande principali a cui rispondere nel delineare l'approccio di comunicazione sono le seguenti: </w:t>
            </w:r>
          </w:p>
          <w:p w:rsidR="00675B1D" w:rsidRPr="00346304" w:rsidRDefault="00675B1D" w:rsidP="00675B1D">
            <w:pPr>
              <w:pStyle w:val="Hlistbullet"/>
              <w:rPr>
                <w:highlight w:val="yellow"/>
              </w:rPr>
            </w:pPr>
            <w:r w:rsidRPr="00346304">
              <w:rPr>
                <w:highlight w:val="yellow"/>
              </w:rPr>
              <w:t>chi sono i gruppi destinatari? Chi è interessato alla valutazione della RRN?</w:t>
            </w:r>
          </w:p>
          <w:p w:rsidR="00675B1D" w:rsidRPr="00346304" w:rsidRDefault="00675B1D" w:rsidP="00675B1D">
            <w:pPr>
              <w:pStyle w:val="Hlistbullet"/>
              <w:rPr>
                <w:highlight w:val="yellow"/>
              </w:rPr>
            </w:pPr>
            <w:r>
              <w:rPr>
                <w:highlight w:val="yellow"/>
              </w:rPr>
              <w:t>C</w:t>
            </w:r>
            <w:r w:rsidRPr="00346304">
              <w:rPr>
                <w:highlight w:val="yellow"/>
              </w:rPr>
              <w:t>he cosa li interessa in particolare?</w:t>
            </w:r>
          </w:p>
          <w:p w:rsidR="00675B1D" w:rsidRPr="00346304" w:rsidRDefault="00675B1D" w:rsidP="00675B1D">
            <w:pPr>
              <w:pStyle w:val="Hlistbullet"/>
              <w:rPr>
                <w:highlight w:val="yellow"/>
              </w:rPr>
            </w:pPr>
            <w:r>
              <w:rPr>
                <w:highlight w:val="yellow"/>
              </w:rPr>
              <w:t>Q</w:t>
            </w:r>
            <w:r w:rsidRPr="00346304">
              <w:rPr>
                <w:highlight w:val="yellow"/>
              </w:rPr>
              <w:t>uali canali di comunicazione raggiungono meglio i diversi gruppi destinatari individuati?</w:t>
            </w:r>
          </w:p>
          <w:p w:rsidR="00675B1D" w:rsidRPr="00346304" w:rsidRDefault="00675B1D" w:rsidP="00675B1D">
            <w:pPr>
              <w:pStyle w:val="Hlistbullet"/>
              <w:rPr>
                <w:highlight w:val="yellow"/>
              </w:rPr>
            </w:pPr>
            <w:r>
              <w:rPr>
                <w:highlight w:val="yellow"/>
              </w:rPr>
              <w:t>Q</w:t>
            </w:r>
            <w:r w:rsidRPr="00346304">
              <w:rPr>
                <w:highlight w:val="yellow"/>
              </w:rPr>
              <w:t>uali stili di comunicazione sono necessari per ciascuno dei gruppi destinatari?</w:t>
            </w:r>
          </w:p>
          <w:p w:rsidR="00675B1D" w:rsidRPr="00346304" w:rsidRDefault="00675B1D" w:rsidP="00675B1D">
            <w:pPr>
              <w:pStyle w:val="Hlistbullet"/>
              <w:rPr>
                <w:highlight w:val="yellow"/>
              </w:rPr>
            </w:pPr>
            <w:r>
              <w:rPr>
                <w:highlight w:val="yellow"/>
              </w:rPr>
              <w:t>Q</w:t>
            </w:r>
            <w:r w:rsidRPr="00346304">
              <w:rPr>
                <w:highlight w:val="yellow"/>
              </w:rPr>
              <w:t>uando dovrebbe avvenire la comunicazione?</w:t>
            </w:r>
          </w:p>
          <w:p w:rsidR="00675B1D" w:rsidRPr="00346304" w:rsidRDefault="00675B1D" w:rsidP="00675B1D">
            <w:pPr>
              <w:pStyle w:val="Hlistbullet2"/>
              <w:rPr>
                <w:highlight w:val="yellow"/>
              </w:rPr>
            </w:pPr>
            <w:r>
              <w:rPr>
                <w:highlight w:val="yellow"/>
              </w:rPr>
              <w:t>C</w:t>
            </w:r>
            <w:r w:rsidRPr="00346304">
              <w:rPr>
                <w:highlight w:val="yellow"/>
              </w:rPr>
              <w:t>hi è responsabile di comunicare che cosa ai diversi gruppi destinatari?</w:t>
            </w:r>
          </w:p>
        </w:tc>
      </w:tr>
    </w:tbl>
    <w:p w:rsidR="00675B1D" w:rsidRPr="00346304" w:rsidRDefault="00675B1D" w:rsidP="000C5FAA">
      <w:pPr>
        <w:pStyle w:val="HStandard"/>
        <w:rPr>
          <w:highlight w:val="yellow"/>
        </w:rPr>
      </w:pPr>
      <w:r w:rsidRPr="00346304">
        <w:rPr>
          <w:highlight w:val="yellow"/>
        </w:rPr>
        <w:t>Il piano di comunicazione può essere riassunto sotto forma di una tabella (</w:t>
      </w:r>
      <w:r w:rsidRPr="00346304">
        <w:rPr>
          <w:highlight w:val="yellow"/>
        </w:rPr>
        <w:fldChar w:fldCharType="begin" w:fldLock="1"/>
      </w:r>
      <w:r w:rsidRPr="00346304">
        <w:rPr>
          <w:highlight w:val="yellow"/>
        </w:rPr>
        <w:instrText xml:space="preserve"> REF _Ref435790833 \r \h  \* MERGEFORMAT </w:instrText>
      </w:r>
      <w:r w:rsidRPr="00346304">
        <w:rPr>
          <w:highlight w:val="yellow"/>
        </w:rPr>
      </w:r>
      <w:r w:rsidRPr="00346304">
        <w:rPr>
          <w:highlight w:val="yellow"/>
        </w:rPr>
        <w:fldChar w:fldCharType="separate"/>
      </w:r>
      <w:r w:rsidRPr="00346304">
        <w:rPr>
          <w:highlight w:val="yellow"/>
        </w:rPr>
        <w:t>Tabella 2</w:t>
      </w:r>
      <w:r w:rsidRPr="00346304">
        <w:rPr>
          <w:highlight w:val="yellow"/>
        </w:rPr>
        <w:fldChar w:fldCharType="end"/>
      </w:r>
      <w:r w:rsidRPr="00346304">
        <w:rPr>
          <w:highlight w:val="yellow"/>
        </w:rPr>
        <w:t>). Ulteriori informazioni sullo sviluppo di un piano di comunicazione sono disponibili nel NRN Guidebook</w:t>
      </w:r>
      <w:r w:rsidRPr="00346304">
        <w:rPr>
          <w:rStyle w:val="FootnoteReference"/>
          <w:highlight w:val="yellow"/>
        </w:rPr>
        <w:footnoteReference w:id="65"/>
      </w:r>
      <w:r w:rsidRPr="00346304">
        <w:rPr>
          <w:highlight w:val="yellow"/>
        </w:rPr>
        <w:t xml:space="preserve"> [Manuale delle RRN] (in inglese). </w:t>
      </w:r>
    </w:p>
    <w:p w:rsidR="00675B1D" w:rsidRPr="00346304" w:rsidRDefault="00675B1D" w:rsidP="005E40EA">
      <w:pPr>
        <w:pStyle w:val="HHeadingtables"/>
        <w:ind w:left="0"/>
        <w:rPr>
          <w:highlight w:val="yellow"/>
        </w:rPr>
      </w:pPr>
      <w:bookmarkStart w:id="98" w:name="_Ref435790833"/>
      <w:bookmarkStart w:id="99" w:name="_Toc436383143"/>
      <w:bookmarkStart w:id="100" w:name="_Toc451781906"/>
      <w:bookmarkStart w:id="101" w:name="_Toc461616763"/>
      <w:r w:rsidRPr="00346304">
        <w:rPr>
          <w:highlight w:val="yellow"/>
        </w:rPr>
        <w:t>Piano di comunicazione della valutazione</w:t>
      </w:r>
      <w:bookmarkEnd w:id="98"/>
      <w:bookmarkEnd w:id="99"/>
      <w:bookmarkEnd w:id="100"/>
      <w:bookmarkEnd w:id="101"/>
    </w:p>
    <w:tbl>
      <w:tblPr>
        <w:tblStyle w:val="TableGrid"/>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441"/>
        <w:gridCol w:w="1572"/>
        <w:gridCol w:w="1544"/>
        <w:gridCol w:w="1778"/>
        <w:gridCol w:w="1681"/>
      </w:tblGrid>
      <w:tr w:rsidR="00675B1D" w:rsidRPr="00346304" w:rsidTr="00D21174">
        <w:trPr>
          <w:trHeight w:val="372"/>
          <w:jc w:val="center"/>
        </w:trPr>
        <w:tc>
          <w:tcPr>
            <w:tcW w:w="1354"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Chi?</w:t>
            </w:r>
          </w:p>
        </w:tc>
        <w:tc>
          <w:tcPr>
            <w:tcW w:w="872"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Che cosa?</w:t>
            </w:r>
          </w:p>
        </w:tc>
        <w:tc>
          <w:tcPr>
            <w:tcW w:w="856"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Come?</w:t>
            </w:r>
          </w:p>
        </w:tc>
        <w:tc>
          <w:tcPr>
            <w:tcW w:w="986"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Quando?</w:t>
            </w:r>
          </w:p>
        </w:tc>
        <w:tc>
          <w:tcPr>
            <w:tcW w:w="932"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Chi lo fa?</w:t>
            </w:r>
          </w:p>
        </w:tc>
      </w:tr>
      <w:tr w:rsidR="00675B1D" w:rsidRPr="00346304" w:rsidTr="00D21174">
        <w:trPr>
          <w:trHeight w:val="1233"/>
          <w:jc w:val="center"/>
        </w:trPr>
        <w:tc>
          <w:tcPr>
            <w:tcW w:w="1354"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 xml:space="preserve">Gruppi destinatari (ad esempio i responsabili delle politiche, le parti interessate, il pubblico in generale) </w:t>
            </w:r>
          </w:p>
        </w:tc>
        <w:tc>
          <w:tcPr>
            <w:tcW w:w="872"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Argomento di interesse per i gruppi destinatari</w:t>
            </w:r>
          </w:p>
        </w:tc>
        <w:tc>
          <w:tcPr>
            <w:tcW w:w="856"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Canale/i di comunicazione</w:t>
            </w:r>
          </w:p>
        </w:tc>
        <w:tc>
          <w:tcPr>
            <w:tcW w:w="986"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Tempistiche e frequenza di comunicazione</w:t>
            </w:r>
          </w:p>
        </w:tc>
        <w:tc>
          <w:tcPr>
            <w:tcW w:w="932"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 xml:space="preserve">Responsabilità della comunicazione </w:t>
            </w:r>
          </w:p>
        </w:tc>
      </w:tr>
    </w:tbl>
    <w:p w:rsidR="00675B1D" w:rsidRPr="00346304" w:rsidRDefault="00675B1D" w:rsidP="008768CB">
      <w:pPr>
        <w:pStyle w:val="HStandard"/>
        <w:rPr>
          <w:b/>
          <w:highlight w:val="yellow"/>
        </w:rPr>
      </w:pPr>
      <w:r w:rsidRPr="00346304">
        <w:rPr>
          <w:b/>
          <w:highlight w:val="yellow"/>
        </w:rPr>
        <w:t>Piano di potenziamento delle capacità</w:t>
      </w:r>
    </w:p>
    <w:p w:rsidR="00675B1D" w:rsidRPr="00346304" w:rsidRDefault="00675B1D" w:rsidP="008768CB">
      <w:pPr>
        <w:pStyle w:val="HStandard"/>
        <w:rPr>
          <w:highlight w:val="yellow"/>
        </w:rPr>
      </w:pPr>
      <w:r w:rsidRPr="00346304">
        <w:rPr>
          <w:highlight w:val="yellow"/>
        </w:rPr>
        <w:t>Il potenziamento delle capacità è in genere definito come il rafforzamento e lo sviluppo delle risorse umane e istituzionali. Il potenziamento delle capacità in materia di valutazione combina quindi il miglioramento delle conoscenze e delle capacità di valutazione delle persone, rafforzando al contempo i meccanismi organizzativi legati alla valutazione, ossia i sistemi e i processi definiti.</w:t>
      </w:r>
    </w:p>
    <w:p w:rsidR="00675B1D" w:rsidRPr="00346304" w:rsidRDefault="00675B1D" w:rsidP="008768CB">
      <w:pPr>
        <w:pStyle w:val="HStandard"/>
        <w:rPr>
          <w:highlight w:val="yellow"/>
        </w:rPr>
      </w:pPr>
      <w:r w:rsidRPr="00346304">
        <w:rPr>
          <w:highlight w:val="yellow"/>
        </w:rPr>
        <w:lastRenderedPageBreak/>
        <w:t>Il potenziamento delle capacità in materia di valutazione relativo alle risorse umane inizia con l'identificazione dei gruppi destinatari (ad esempio, autorità di gestione, organismo pagatore, responsabili delle politiche, unità di sostegno alla rete, GAL e gli altri membri della RRN) e con la valutazione della loro capacità di valutazione e del livello di fabbisogno di informazioni, nonché dei livelli di conoscenza (</w:t>
      </w:r>
      <w:r w:rsidRPr="00346304">
        <w:rPr>
          <w:highlight w:val="yellow"/>
        </w:rPr>
        <w:fldChar w:fldCharType="begin" w:fldLock="1"/>
      </w:r>
      <w:r w:rsidRPr="00346304">
        <w:rPr>
          <w:highlight w:val="yellow"/>
        </w:rPr>
        <w:instrText xml:space="preserve"> REF _Ref451784915 \r \h  \* MERGEFORMAT </w:instrText>
      </w:r>
      <w:r w:rsidRPr="00346304">
        <w:rPr>
          <w:highlight w:val="yellow"/>
        </w:rPr>
      </w:r>
      <w:r w:rsidRPr="00346304">
        <w:rPr>
          <w:highlight w:val="yellow"/>
        </w:rPr>
        <w:fldChar w:fldCharType="separate"/>
      </w:r>
      <w:r w:rsidRPr="00346304">
        <w:rPr>
          <w:highlight w:val="yellow"/>
        </w:rPr>
        <w:t>Tabella 4</w:t>
      </w:r>
      <w:r w:rsidRPr="00346304">
        <w:rPr>
          <w:highlight w:val="yellow"/>
        </w:rPr>
        <w:fldChar w:fldCharType="end"/>
      </w:r>
      <w:r w:rsidRPr="00346304">
        <w:rPr>
          <w:highlight w:val="yellow"/>
        </w:rPr>
        <w:t>). In alcuni Stati membri la RRN ha il compito di migliorare le capacità di valutazione dei GAL. In questi casi, i GAL devono essere considerati in ogni piano di potenziamento delle capacità.</w:t>
      </w:r>
    </w:p>
    <w:p w:rsidR="00675B1D" w:rsidRPr="00346304" w:rsidRDefault="00675B1D" w:rsidP="008768CB">
      <w:pPr>
        <w:pStyle w:val="HStandard"/>
        <w:rPr>
          <w:highlight w:val="yellow"/>
        </w:rPr>
      </w:pPr>
      <w:r w:rsidRPr="00346304">
        <w:rPr>
          <w:highlight w:val="yellow"/>
        </w:rPr>
        <w:t xml:space="preserve">Lo sviluppo di capacità in materia di valutazione relativo alle organizzazioni comporta invece il miglioramento dei meccanismi di apprendimento e di sostegno organizzativo relativi alla valutazione. Apprendimento organizzativo significa che l'organizzazione osserva le sue azioni e cerca di migliorare su tutti i fronti. Anche i processi vengono documentati in modo da fare sì che i processi e le responsabilità siano chiare e la conoscenza rimanga all'interno dell'organizzazione, anche qualora il personale cambi. L'assicurazione della qualità (cfr. capitolo 2.2.3) e l'utilizzo delle risultanze della valutazione (cfr. capitolo 2.2.4) sono parti integranti dell'apprendimento organizzativo. </w:t>
      </w:r>
    </w:p>
    <w:p w:rsidR="00675B1D" w:rsidRPr="00346304" w:rsidRDefault="00675B1D" w:rsidP="008768CB">
      <w:pPr>
        <w:pStyle w:val="HStandard"/>
        <w:rPr>
          <w:highlight w:val="yellow"/>
        </w:rPr>
      </w:pPr>
      <w:r w:rsidRPr="00346304">
        <w:rPr>
          <w:highlight w:val="yellow"/>
        </w:rPr>
        <w:t xml:space="preserve">Una volta definite con chiarezza le principali esigenze di potenziamento delle capacità in materia di valutazione, è possibile progettare le azioni di potenziamento delle capacità, le loro tempistiche e chi è responsabile per le stesse. Il piano di potenziamento delle capacità di valutazione dovrebbe essere scritto dalla parte committente (AG o USR).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675B1D" w:rsidRPr="00346304" w:rsidTr="00FC0A30">
        <w:tc>
          <w:tcPr>
            <w:tcW w:w="9021" w:type="dxa"/>
            <w:shd w:val="clear" w:color="auto" w:fill="F5F4F4" w:themeFill="background2" w:themeFillTint="66"/>
          </w:tcPr>
          <w:p w:rsidR="00675B1D" w:rsidRPr="00346304" w:rsidRDefault="00675B1D" w:rsidP="008042C0">
            <w:pPr>
              <w:pStyle w:val="HStandard"/>
              <w:rPr>
                <w:highlight w:val="yellow"/>
              </w:rPr>
            </w:pPr>
            <w:r w:rsidRPr="00346304">
              <w:rPr>
                <w:highlight w:val="yellow"/>
              </w:rPr>
              <w:t>Le domande a cui rispondere ai fini del potenziamento delle capacità di valutazione sono le seguenti:</w:t>
            </w:r>
          </w:p>
          <w:p w:rsidR="00675B1D" w:rsidRPr="00346304" w:rsidRDefault="00675B1D" w:rsidP="008042C0">
            <w:pPr>
              <w:pStyle w:val="HStandard"/>
              <w:rPr>
                <w:highlight w:val="yellow"/>
              </w:rPr>
            </w:pPr>
            <w:r w:rsidRPr="00346304">
              <w:rPr>
                <w:highlight w:val="yellow"/>
              </w:rPr>
              <w:t>con riguardo alle persone:</w:t>
            </w:r>
          </w:p>
          <w:p w:rsidR="00675B1D" w:rsidRPr="00346304" w:rsidRDefault="00675B1D" w:rsidP="00675B1D">
            <w:pPr>
              <w:pStyle w:val="Hlistbullet"/>
              <w:rPr>
                <w:highlight w:val="yellow"/>
              </w:rPr>
            </w:pPr>
            <w:r w:rsidRPr="00346304">
              <w:rPr>
                <w:highlight w:val="yellow"/>
              </w:rPr>
              <w:t>chi sono gli attori principali nell'ambito della valutazione della RRN?</w:t>
            </w:r>
          </w:p>
          <w:p w:rsidR="00675B1D" w:rsidRPr="00346304" w:rsidRDefault="00675B1D" w:rsidP="00675B1D">
            <w:pPr>
              <w:pStyle w:val="Hlistbullet"/>
              <w:rPr>
                <w:highlight w:val="yellow"/>
              </w:rPr>
            </w:pPr>
            <w:r>
              <w:rPr>
                <w:highlight w:val="yellow"/>
              </w:rPr>
              <w:t>C</w:t>
            </w:r>
            <w:r w:rsidRPr="00346304">
              <w:rPr>
                <w:highlight w:val="yellow"/>
              </w:rPr>
              <w:t>he cosa hanno bisogno di sapere in merito alla valutazione?</w:t>
            </w:r>
          </w:p>
          <w:p w:rsidR="00675B1D" w:rsidRPr="00346304" w:rsidRDefault="00675B1D" w:rsidP="00675B1D">
            <w:pPr>
              <w:pStyle w:val="Hlistbullet"/>
              <w:rPr>
                <w:highlight w:val="yellow"/>
              </w:rPr>
            </w:pPr>
            <w:r>
              <w:rPr>
                <w:highlight w:val="yellow"/>
              </w:rPr>
              <w:t>Q</w:t>
            </w:r>
            <w:r w:rsidRPr="00346304">
              <w:rPr>
                <w:highlight w:val="yellow"/>
              </w:rPr>
              <w:t>ual è il loro attuale livello di conoscenza sulla valutazione?</w:t>
            </w:r>
          </w:p>
          <w:p w:rsidR="00675B1D" w:rsidRPr="00346304" w:rsidRDefault="00675B1D" w:rsidP="00675B1D">
            <w:pPr>
              <w:pStyle w:val="Hlistbullet"/>
              <w:rPr>
                <w:highlight w:val="yellow"/>
              </w:rPr>
            </w:pPr>
            <w:r w:rsidRPr="00346304">
              <w:rPr>
                <w:highlight w:val="yellow"/>
              </w:rPr>
              <w:t>di che tipo di conoscenze vi è ancora esigenza? quali sono le esigenze di potenziamento delle capacità più rilevanti?</w:t>
            </w:r>
          </w:p>
          <w:p w:rsidR="00675B1D" w:rsidRPr="00346304" w:rsidRDefault="00675B1D" w:rsidP="00675B1D">
            <w:pPr>
              <w:pStyle w:val="Hlistbullet"/>
              <w:rPr>
                <w:highlight w:val="yellow"/>
              </w:rPr>
            </w:pPr>
            <w:r>
              <w:rPr>
                <w:highlight w:val="yellow"/>
              </w:rPr>
              <w:t>Q</w:t>
            </w:r>
            <w:r w:rsidRPr="00346304">
              <w:rPr>
                <w:highlight w:val="yellow"/>
              </w:rPr>
              <w:t>uali formati di potenziamento delle capacità corrispondono meglio alle esigenze identificate?</w:t>
            </w:r>
          </w:p>
          <w:p w:rsidR="00675B1D" w:rsidRPr="00346304" w:rsidRDefault="00675B1D" w:rsidP="00675B1D">
            <w:pPr>
              <w:pStyle w:val="Hlistbullet"/>
              <w:rPr>
                <w:highlight w:val="yellow"/>
              </w:rPr>
            </w:pPr>
            <w:r>
              <w:rPr>
                <w:highlight w:val="yellow"/>
              </w:rPr>
              <w:t>Q</w:t>
            </w:r>
            <w:r w:rsidRPr="00346304">
              <w:rPr>
                <w:highlight w:val="yellow"/>
              </w:rPr>
              <w:t>uando si dovrebbero tenere le azioni di potenziamento delle capacità?</w:t>
            </w:r>
          </w:p>
          <w:p w:rsidR="00675B1D" w:rsidRPr="00346304" w:rsidRDefault="00675B1D" w:rsidP="00675B1D">
            <w:pPr>
              <w:pStyle w:val="Hlistbullet"/>
              <w:rPr>
                <w:highlight w:val="yellow"/>
              </w:rPr>
            </w:pPr>
            <w:r>
              <w:rPr>
                <w:highlight w:val="yellow"/>
              </w:rPr>
              <w:t>C</w:t>
            </w:r>
            <w:r w:rsidRPr="00346304">
              <w:rPr>
                <w:highlight w:val="yellow"/>
              </w:rPr>
              <w:t>hi ha la responsabilità di organizzare le azioni di potenziamento delle capacità? chi le conduce? sono necessari formatori esterni?</w:t>
            </w:r>
          </w:p>
          <w:p w:rsidR="00675B1D" w:rsidRPr="00346304" w:rsidRDefault="00675B1D" w:rsidP="00F26F45">
            <w:pPr>
              <w:pStyle w:val="HStandard"/>
              <w:rPr>
                <w:highlight w:val="yellow"/>
              </w:rPr>
            </w:pPr>
            <w:r>
              <w:rPr>
                <w:highlight w:val="yellow"/>
              </w:rPr>
              <w:t>C</w:t>
            </w:r>
            <w:r w:rsidRPr="00346304">
              <w:rPr>
                <w:highlight w:val="yellow"/>
              </w:rPr>
              <w:t xml:space="preserve">on riguardo alle organizzazioni: </w:t>
            </w:r>
          </w:p>
          <w:p w:rsidR="00675B1D" w:rsidRPr="00346304" w:rsidRDefault="00675B1D" w:rsidP="00675B1D">
            <w:pPr>
              <w:pStyle w:val="Hlistbullet"/>
              <w:rPr>
                <w:highlight w:val="yellow"/>
              </w:rPr>
            </w:pPr>
            <w:r w:rsidRPr="00346304">
              <w:rPr>
                <w:highlight w:val="yellow"/>
              </w:rPr>
              <w:t xml:space="preserve">come possiamo utilizzare la valutazione per migliorare la politica? </w:t>
            </w:r>
          </w:p>
          <w:p w:rsidR="00675B1D" w:rsidRPr="00346304" w:rsidRDefault="00675B1D" w:rsidP="00675B1D">
            <w:pPr>
              <w:pStyle w:val="Hlistbullet"/>
              <w:rPr>
                <w:highlight w:val="yellow"/>
              </w:rPr>
            </w:pPr>
            <w:r>
              <w:rPr>
                <w:highlight w:val="yellow"/>
              </w:rPr>
              <w:t>C</w:t>
            </w:r>
            <w:r w:rsidRPr="00346304">
              <w:rPr>
                <w:highlight w:val="yellow"/>
              </w:rPr>
              <w:t>ome possiamo rendere la valutazione parte integrante della nostra pianificazione annuale?</w:t>
            </w:r>
          </w:p>
          <w:p w:rsidR="00675B1D" w:rsidRPr="00346304" w:rsidRDefault="00675B1D" w:rsidP="00675B1D">
            <w:pPr>
              <w:pStyle w:val="Hlistbullet"/>
              <w:rPr>
                <w:highlight w:val="yellow"/>
              </w:rPr>
            </w:pPr>
            <w:r>
              <w:rPr>
                <w:highlight w:val="yellow"/>
              </w:rPr>
              <w:t>Q</w:t>
            </w:r>
            <w:r w:rsidRPr="00346304">
              <w:rPr>
                <w:highlight w:val="yellow"/>
              </w:rPr>
              <w:t xml:space="preserve">uali sono i passaggi concreti per dare seguito alle risultanze della valutazione? </w:t>
            </w:r>
          </w:p>
          <w:p w:rsidR="00675B1D" w:rsidRPr="00346304" w:rsidRDefault="00675B1D" w:rsidP="00675B1D">
            <w:pPr>
              <w:pStyle w:val="Hlistbullet"/>
              <w:rPr>
                <w:highlight w:val="yellow"/>
              </w:rPr>
            </w:pPr>
            <w:r>
              <w:rPr>
                <w:highlight w:val="yellow"/>
              </w:rPr>
              <w:t>Q</w:t>
            </w:r>
            <w:r w:rsidRPr="00346304">
              <w:rPr>
                <w:highlight w:val="yellow"/>
              </w:rPr>
              <w:t>uali sono i nostri principali processi correlati alla valutazione? come possiamo migliorarli?</w:t>
            </w:r>
          </w:p>
          <w:p w:rsidR="00675B1D" w:rsidRPr="00346304" w:rsidRDefault="00675B1D" w:rsidP="00675B1D">
            <w:pPr>
              <w:pStyle w:val="Hlistbullet2"/>
              <w:rPr>
                <w:highlight w:val="yellow"/>
              </w:rPr>
            </w:pPr>
            <w:r>
              <w:rPr>
                <w:highlight w:val="yellow"/>
              </w:rPr>
              <w:t>C</w:t>
            </w:r>
            <w:r w:rsidRPr="00346304">
              <w:rPr>
                <w:highlight w:val="yellow"/>
              </w:rPr>
              <w:t>ome possiamo assicurare processi di valutazione di buona qualità? quali strumenti e compiti sono necessari?</w:t>
            </w:r>
          </w:p>
        </w:tc>
      </w:tr>
    </w:tbl>
    <w:p w:rsidR="00675B1D" w:rsidRPr="00346304" w:rsidRDefault="00675B1D" w:rsidP="005E40EA">
      <w:pPr>
        <w:pStyle w:val="HHeadingtables"/>
        <w:ind w:left="0"/>
        <w:rPr>
          <w:highlight w:val="yellow"/>
        </w:rPr>
      </w:pPr>
      <w:bookmarkStart w:id="102" w:name="_Toc436383144"/>
      <w:bookmarkStart w:id="103" w:name="_Toc451781907"/>
      <w:bookmarkStart w:id="104" w:name="_Toc461616764"/>
      <w:r w:rsidRPr="00346304">
        <w:rPr>
          <w:highlight w:val="yellow"/>
        </w:rPr>
        <w:t>Potenziamento delle capacità in materia di valutazione: le risorse umane</w:t>
      </w:r>
      <w:bookmarkEnd w:id="102"/>
      <w:bookmarkEnd w:id="103"/>
      <w:bookmarkEnd w:id="104"/>
    </w:p>
    <w:tbl>
      <w:tblPr>
        <w:tblStyle w:val="TableGrid"/>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180"/>
        <w:gridCol w:w="1497"/>
        <w:gridCol w:w="1789"/>
        <w:gridCol w:w="1560"/>
        <w:gridCol w:w="1461"/>
        <w:gridCol w:w="1529"/>
      </w:tblGrid>
      <w:tr w:rsidR="00675B1D" w:rsidRPr="00346304" w:rsidTr="00D21174">
        <w:trPr>
          <w:trHeight w:val="372"/>
          <w:jc w:val="center"/>
        </w:trPr>
        <w:tc>
          <w:tcPr>
            <w:tcW w:w="655"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Chi?</w:t>
            </w:r>
          </w:p>
        </w:tc>
        <w:tc>
          <w:tcPr>
            <w:tcW w:w="830"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Che cosa hanno bisogno di sapere in merito alla valutazione?</w:t>
            </w:r>
          </w:p>
        </w:tc>
        <w:tc>
          <w:tcPr>
            <w:tcW w:w="992" w:type="pct"/>
            <w:shd w:val="clear" w:color="auto" w:fill="E7E6E6" w:themeFill="background2"/>
          </w:tcPr>
          <w:p w:rsidR="00675B1D" w:rsidRPr="00346304" w:rsidRDefault="00675B1D" w:rsidP="008042C0">
            <w:pPr>
              <w:pStyle w:val="Htableleftbolt"/>
              <w:rPr>
                <w:rFonts w:cs="Arial"/>
                <w:color w:val="5B9BD5" w:themeColor="accent1"/>
                <w:highlight w:val="yellow"/>
              </w:rPr>
            </w:pPr>
            <w:r w:rsidRPr="00346304">
              <w:rPr>
                <w:color w:val="5B9BD5" w:themeColor="accent1"/>
                <w:highlight w:val="yellow"/>
              </w:rPr>
              <w:t>Qual è il loro attuale livello di conoscenza sulla valutazione?</w:t>
            </w:r>
          </w:p>
        </w:tc>
        <w:tc>
          <w:tcPr>
            <w:tcW w:w="865"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Come?</w:t>
            </w:r>
          </w:p>
        </w:tc>
        <w:tc>
          <w:tcPr>
            <w:tcW w:w="810"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Quando?</w:t>
            </w:r>
          </w:p>
        </w:tc>
        <w:tc>
          <w:tcPr>
            <w:tcW w:w="849" w:type="pct"/>
            <w:shd w:val="clear" w:color="auto" w:fill="E7E6E6" w:themeFill="background2"/>
          </w:tcPr>
          <w:p w:rsidR="00675B1D" w:rsidRPr="00346304" w:rsidRDefault="00675B1D" w:rsidP="006A75AC">
            <w:pPr>
              <w:pStyle w:val="Htableleftbolt"/>
              <w:rPr>
                <w:rFonts w:cs="Arial"/>
                <w:color w:val="5B9BD5" w:themeColor="accent1"/>
                <w:highlight w:val="yellow"/>
              </w:rPr>
            </w:pPr>
            <w:r w:rsidRPr="00346304">
              <w:rPr>
                <w:color w:val="5B9BD5" w:themeColor="accent1"/>
                <w:highlight w:val="yellow"/>
              </w:rPr>
              <w:t>Chi lo fa?</w:t>
            </w:r>
          </w:p>
        </w:tc>
      </w:tr>
      <w:tr w:rsidR="00675B1D" w:rsidRPr="00346304" w:rsidTr="00D21174">
        <w:trPr>
          <w:trHeight w:val="464"/>
          <w:jc w:val="center"/>
        </w:trPr>
        <w:tc>
          <w:tcPr>
            <w:tcW w:w="655" w:type="pct"/>
            <w:shd w:val="clear" w:color="auto" w:fill="auto"/>
          </w:tcPr>
          <w:p w:rsidR="00675B1D" w:rsidRPr="00346304" w:rsidRDefault="00675B1D" w:rsidP="006A75AC">
            <w:pPr>
              <w:pStyle w:val="Htableleft"/>
              <w:rPr>
                <w:rFonts w:cs="Arial"/>
                <w:color w:val="576C88" w:themeColor="text2" w:themeTint="D9"/>
                <w:highlight w:val="yellow"/>
              </w:rPr>
            </w:pPr>
            <w:r w:rsidRPr="00346304">
              <w:rPr>
                <w:color w:val="576C88" w:themeColor="text2" w:themeTint="D9"/>
                <w:highlight w:val="yellow"/>
              </w:rPr>
              <w:t xml:space="preserve">Attori (ad esempio autorità di gestione, </w:t>
            </w:r>
            <w:r w:rsidRPr="00346304">
              <w:rPr>
                <w:color w:val="576C88" w:themeColor="text2" w:themeTint="D9"/>
                <w:highlight w:val="yellow"/>
              </w:rPr>
              <w:lastRenderedPageBreak/>
              <w:t>organismo pagatore, unità di sostegno alla rete, GAL)</w:t>
            </w:r>
          </w:p>
        </w:tc>
        <w:tc>
          <w:tcPr>
            <w:tcW w:w="830"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lastRenderedPageBreak/>
              <w:t xml:space="preserve">Elencare questioni tecniche e sostanziali </w:t>
            </w:r>
            <w:r w:rsidRPr="00346304">
              <w:rPr>
                <w:color w:val="576C88" w:themeColor="text2" w:themeTint="D9"/>
                <w:highlight w:val="yellow"/>
              </w:rPr>
              <w:lastRenderedPageBreak/>
              <w:t>relative alla valutazione</w:t>
            </w:r>
          </w:p>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t>ad esempio, quadro logico, gerarchia degli obiettivi, logica di intervento, monitoraggio, indicatori, gara d'appalto, processo di valutazione</w:t>
            </w:r>
          </w:p>
        </w:tc>
        <w:tc>
          <w:tcPr>
            <w:tcW w:w="992" w:type="pct"/>
            <w:shd w:val="clear" w:color="auto" w:fill="auto"/>
          </w:tcPr>
          <w:p w:rsidR="00675B1D" w:rsidRPr="00346304" w:rsidRDefault="00675B1D" w:rsidP="008768CB">
            <w:pPr>
              <w:pStyle w:val="Htableleft"/>
              <w:rPr>
                <w:rFonts w:cs="Arial"/>
                <w:color w:val="576C88" w:themeColor="text2" w:themeTint="D9"/>
                <w:highlight w:val="yellow"/>
              </w:rPr>
            </w:pPr>
            <w:r w:rsidRPr="00346304">
              <w:rPr>
                <w:color w:val="576C88" w:themeColor="text2" w:themeTint="D9"/>
                <w:highlight w:val="yellow"/>
              </w:rPr>
              <w:lastRenderedPageBreak/>
              <w:t xml:space="preserve">Valutazione delle conoscenze sulle questioni tecniche e sostanziali </w:t>
            </w:r>
            <w:r w:rsidRPr="00346304">
              <w:rPr>
                <w:color w:val="576C88" w:themeColor="text2" w:themeTint="D9"/>
                <w:highlight w:val="yellow"/>
              </w:rPr>
              <w:lastRenderedPageBreak/>
              <w:t>individuate relative alla valutazione (ed eventuali lacune corrispondenti) sulla base di questionari o indagini. Identificazione delle esigenze critiche di potenziamento delle capacità</w:t>
            </w:r>
          </w:p>
        </w:tc>
        <w:tc>
          <w:tcPr>
            <w:tcW w:w="865" w:type="pct"/>
            <w:shd w:val="clear" w:color="auto" w:fill="auto"/>
          </w:tcPr>
          <w:p w:rsidR="00675B1D" w:rsidRPr="00346304" w:rsidRDefault="00675B1D" w:rsidP="006A75AC">
            <w:pPr>
              <w:pStyle w:val="Htableleft"/>
              <w:rPr>
                <w:rFonts w:cs="Arial"/>
                <w:color w:val="576C88" w:themeColor="text2" w:themeTint="D9"/>
                <w:highlight w:val="yellow"/>
              </w:rPr>
            </w:pPr>
            <w:r w:rsidRPr="00346304">
              <w:rPr>
                <w:color w:val="576C88" w:themeColor="text2" w:themeTint="D9"/>
                <w:highlight w:val="yellow"/>
              </w:rPr>
              <w:lastRenderedPageBreak/>
              <w:t xml:space="preserve">Azioni per potenziare le capacità necessarie (ad </w:t>
            </w:r>
            <w:r w:rsidRPr="00346304">
              <w:rPr>
                <w:color w:val="576C88" w:themeColor="text2" w:themeTint="D9"/>
                <w:highlight w:val="yellow"/>
              </w:rPr>
              <w:lastRenderedPageBreak/>
              <w:t>esempio workshop, seminari, presentazioni, corsi di formazione, schede informative, newsletter, e-training)</w:t>
            </w:r>
          </w:p>
        </w:tc>
        <w:tc>
          <w:tcPr>
            <w:tcW w:w="810" w:type="pct"/>
            <w:shd w:val="clear" w:color="auto" w:fill="auto"/>
          </w:tcPr>
          <w:p w:rsidR="00675B1D" w:rsidRPr="00346304" w:rsidRDefault="00675B1D" w:rsidP="006A75AC">
            <w:pPr>
              <w:pStyle w:val="Htableleft"/>
              <w:rPr>
                <w:rFonts w:cs="Arial"/>
                <w:color w:val="576C88" w:themeColor="text2" w:themeTint="D9"/>
                <w:highlight w:val="yellow"/>
              </w:rPr>
            </w:pPr>
            <w:r w:rsidRPr="00346304">
              <w:rPr>
                <w:color w:val="576C88" w:themeColor="text2" w:themeTint="D9"/>
                <w:highlight w:val="yellow"/>
              </w:rPr>
              <w:lastRenderedPageBreak/>
              <w:t xml:space="preserve">Tempistiche e frequenza delle azioni di </w:t>
            </w:r>
            <w:r w:rsidRPr="00346304">
              <w:rPr>
                <w:color w:val="576C88" w:themeColor="text2" w:themeTint="D9"/>
                <w:highlight w:val="yellow"/>
              </w:rPr>
              <w:lastRenderedPageBreak/>
              <w:t>potenziamento delle capacità</w:t>
            </w:r>
          </w:p>
        </w:tc>
        <w:tc>
          <w:tcPr>
            <w:tcW w:w="849" w:type="pct"/>
            <w:shd w:val="clear" w:color="auto" w:fill="auto"/>
          </w:tcPr>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lastRenderedPageBreak/>
              <w:t>Responsabilità per le azioni di potenziamento delle capacità</w:t>
            </w:r>
          </w:p>
          <w:p w:rsidR="00675B1D" w:rsidRPr="00346304" w:rsidRDefault="00675B1D" w:rsidP="00B62FBF">
            <w:pPr>
              <w:pStyle w:val="Htableleft"/>
              <w:rPr>
                <w:rFonts w:cs="Arial"/>
                <w:color w:val="576C88" w:themeColor="text2" w:themeTint="D9"/>
                <w:highlight w:val="yellow"/>
              </w:rPr>
            </w:pPr>
            <w:r w:rsidRPr="00346304">
              <w:rPr>
                <w:color w:val="576C88" w:themeColor="text2" w:themeTint="D9"/>
                <w:highlight w:val="yellow"/>
              </w:rPr>
              <w:lastRenderedPageBreak/>
              <w:t>(organizzazione e attuazione)</w:t>
            </w:r>
          </w:p>
        </w:tc>
      </w:tr>
    </w:tbl>
    <w:p w:rsidR="00675B1D" w:rsidRPr="00346304" w:rsidRDefault="00675B1D" w:rsidP="00923616">
      <w:pPr>
        <w:pStyle w:val="HStandard"/>
        <w:rPr>
          <w:highlight w:val="yellow"/>
        </w:rPr>
      </w:pPr>
      <w:r w:rsidRPr="00346304">
        <w:rPr>
          <w:highlight w:val="yellow"/>
        </w:rPr>
        <w:lastRenderedPageBreak/>
        <w:t xml:space="preserve">Le responsabilità dei diversi attori nella pianificazione della valutazione della RRN possono essere riassunti nella </w:t>
      </w:r>
      <w:r w:rsidRPr="00346304">
        <w:rPr>
          <w:highlight w:val="yellow"/>
        </w:rPr>
        <w:fldChar w:fldCharType="begin" w:fldLock="1"/>
      </w:r>
      <w:r w:rsidRPr="00346304">
        <w:rPr>
          <w:highlight w:val="yellow"/>
        </w:rPr>
        <w:instrText xml:space="preserve"> REF _Ref451784925 \r \h  \* MERGEFORMAT </w:instrText>
      </w:r>
      <w:r w:rsidRPr="00346304">
        <w:rPr>
          <w:highlight w:val="yellow"/>
        </w:rPr>
      </w:r>
      <w:r w:rsidRPr="00346304">
        <w:rPr>
          <w:highlight w:val="yellow"/>
        </w:rPr>
        <w:fldChar w:fldCharType="separate"/>
      </w:r>
      <w:r w:rsidRPr="00346304">
        <w:rPr>
          <w:highlight w:val="yellow"/>
        </w:rPr>
        <w:t>Tabella 4</w:t>
      </w:r>
      <w:r w:rsidRPr="00346304">
        <w:rPr>
          <w:highlight w:val="yellow"/>
        </w:rPr>
        <w:fldChar w:fldCharType="end"/>
      </w:r>
      <w:r w:rsidRPr="00346304">
        <w:rPr>
          <w:highlight w:val="yellow"/>
        </w:rPr>
        <w:t xml:space="preserve"> che segue.</w:t>
      </w:r>
    </w:p>
    <w:p w:rsidR="00675B1D" w:rsidRPr="00346304" w:rsidRDefault="00675B1D" w:rsidP="005E40EA">
      <w:pPr>
        <w:pStyle w:val="HHeadingtables"/>
        <w:ind w:left="0"/>
        <w:rPr>
          <w:highlight w:val="yellow"/>
        </w:rPr>
      </w:pPr>
      <w:bookmarkStart w:id="105" w:name="_Toc451781908"/>
      <w:bookmarkStart w:id="106" w:name="_Ref451784915"/>
      <w:bookmarkStart w:id="107" w:name="_Ref451784925"/>
      <w:bookmarkStart w:id="108" w:name="_Toc461616765"/>
      <w:r w:rsidRPr="00346304">
        <w:rPr>
          <w:highlight w:val="yellow"/>
        </w:rPr>
        <w:t>Responsabilità delle parti interessate nella pianificazione della valutazione della RRN</w:t>
      </w:r>
      <w:bookmarkEnd w:id="105"/>
      <w:bookmarkEnd w:id="106"/>
      <w:bookmarkEnd w:id="107"/>
      <w:bookmarkEnd w:id="108"/>
      <w:r w:rsidRPr="00346304">
        <w:rPr>
          <w:highlight w:val="yellow"/>
        </w:rPr>
        <w:t xml:space="preserve"> </w:t>
      </w:r>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26"/>
        <w:gridCol w:w="1757"/>
        <w:gridCol w:w="1402"/>
        <w:gridCol w:w="1828"/>
        <w:gridCol w:w="1337"/>
        <w:gridCol w:w="2071"/>
      </w:tblGrid>
      <w:tr w:rsidR="00675B1D" w:rsidRPr="00346304" w:rsidTr="00D21174">
        <w:trPr>
          <w:trHeight w:val="581"/>
        </w:trPr>
        <w:tc>
          <w:tcPr>
            <w:tcW w:w="347" w:type="pct"/>
            <w:tcBorders>
              <w:top w:val="nil"/>
              <w:left w:val="nil"/>
              <w:bottom w:val="single" w:sz="4" w:space="0" w:color="000000" w:themeColor="text1"/>
            </w:tcBorders>
          </w:tcPr>
          <w:p w:rsidR="00675B1D" w:rsidRPr="00346304" w:rsidRDefault="00675B1D" w:rsidP="008B1515">
            <w:pPr>
              <w:jc w:val="right"/>
              <w:rPr>
                <w:b/>
                <w:color w:val="576C88" w:themeColor="text2" w:themeTint="D9"/>
                <w:szCs w:val="18"/>
                <w:highlight w:val="yellow"/>
              </w:rPr>
            </w:pPr>
          </w:p>
        </w:tc>
        <w:tc>
          <w:tcPr>
            <w:tcW w:w="974" w:type="pct"/>
            <w:shd w:val="clear" w:color="auto" w:fill="E7E6E6" w:themeFill="background2"/>
          </w:tcPr>
          <w:p w:rsidR="00675B1D" w:rsidRPr="00346304" w:rsidRDefault="00675B1D" w:rsidP="00FC0A30">
            <w:pPr>
              <w:jc w:val="center"/>
              <w:rPr>
                <w:b/>
                <w:color w:val="5B9BD5" w:themeColor="accent1"/>
                <w:szCs w:val="18"/>
                <w:highlight w:val="yellow"/>
              </w:rPr>
            </w:pPr>
            <w:r w:rsidRPr="00346304">
              <w:rPr>
                <w:b/>
                <w:color w:val="5B9BD5" w:themeColor="accent1"/>
                <w:highlight w:val="yellow"/>
              </w:rPr>
              <w:t>Azioni</w:t>
            </w:r>
          </w:p>
        </w:tc>
        <w:tc>
          <w:tcPr>
            <w:tcW w:w="3679" w:type="pct"/>
            <w:gridSpan w:val="4"/>
            <w:shd w:val="clear" w:color="auto" w:fill="E7E6E6" w:themeFill="background2"/>
          </w:tcPr>
          <w:p w:rsidR="00675B1D" w:rsidRPr="00346304" w:rsidRDefault="00675B1D" w:rsidP="00FC0A30">
            <w:pPr>
              <w:jc w:val="center"/>
              <w:rPr>
                <w:b/>
                <w:color w:val="5B9BD5" w:themeColor="accent1"/>
                <w:szCs w:val="18"/>
                <w:highlight w:val="yellow"/>
              </w:rPr>
            </w:pPr>
            <w:r w:rsidRPr="00346304">
              <w:rPr>
                <w:b/>
                <w:color w:val="5B9BD5" w:themeColor="accent1"/>
                <w:highlight w:val="yellow"/>
              </w:rPr>
              <w:t>Attori</w:t>
            </w:r>
          </w:p>
        </w:tc>
      </w:tr>
      <w:tr w:rsidR="00675B1D" w:rsidRPr="00346304" w:rsidTr="00D21174">
        <w:trPr>
          <w:cantSplit/>
          <w:trHeight w:val="829"/>
        </w:trPr>
        <w:tc>
          <w:tcPr>
            <w:tcW w:w="347" w:type="pct"/>
            <w:shd w:val="clear" w:color="auto" w:fill="E7E6E6" w:themeFill="background2"/>
            <w:textDirection w:val="tbRl"/>
          </w:tcPr>
          <w:p w:rsidR="00675B1D" w:rsidRPr="00346304" w:rsidRDefault="00675B1D" w:rsidP="00FC0A30">
            <w:pPr>
              <w:ind w:left="113" w:right="113"/>
              <w:jc w:val="center"/>
              <w:rPr>
                <w:b/>
                <w:color w:val="5B9BD5" w:themeColor="accent1"/>
                <w:szCs w:val="18"/>
                <w:highlight w:val="yellow"/>
              </w:rPr>
            </w:pPr>
            <w:r w:rsidRPr="00346304">
              <w:rPr>
                <w:b/>
                <w:color w:val="5B9BD5" w:themeColor="accent1"/>
                <w:highlight w:val="yellow"/>
              </w:rPr>
              <w:t>Fase</w:t>
            </w:r>
          </w:p>
        </w:tc>
        <w:tc>
          <w:tcPr>
            <w:tcW w:w="974"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Passaggio</w:t>
            </w:r>
          </w:p>
        </w:tc>
        <w:tc>
          <w:tcPr>
            <w:tcW w:w="777" w:type="pct"/>
          </w:tcPr>
          <w:p w:rsidR="00675B1D" w:rsidRPr="00346304" w:rsidRDefault="00675B1D" w:rsidP="008B1515">
            <w:pPr>
              <w:rPr>
                <w:i/>
                <w:color w:val="576C88" w:themeColor="text2" w:themeTint="D9"/>
                <w:szCs w:val="18"/>
                <w:highlight w:val="yellow"/>
              </w:rPr>
            </w:pPr>
            <w:r w:rsidRPr="00346304">
              <w:rPr>
                <w:i/>
                <w:color w:val="576C88" w:themeColor="text2" w:themeTint="D9"/>
                <w:highlight w:val="yellow"/>
              </w:rPr>
              <w:t>Autorità di gestione</w:t>
            </w:r>
          </w:p>
        </w:tc>
        <w:tc>
          <w:tcPr>
            <w:tcW w:w="1013" w:type="pct"/>
          </w:tcPr>
          <w:p w:rsidR="00675B1D" w:rsidRPr="00346304" w:rsidRDefault="00675B1D" w:rsidP="008B1515">
            <w:pPr>
              <w:rPr>
                <w:i/>
                <w:color w:val="576C88" w:themeColor="text2" w:themeTint="D9"/>
                <w:szCs w:val="18"/>
                <w:highlight w:val="yellow"/>
              </w:rPr>
            </w:pPr>
            <w:r w:rsidRPr="00346304">
              <w:rPr>
                <w:i/>
                <w:color w:val="576C88" w:themeColor="text2" w:themeTint="D9"/>
                <w:highlight w:val="yellow"/>
              </w:rPr>
              <w:t>Altre unità dell'autorità di gestione</w:t>
            </w:r>
          </w:p>
        </w:tc>
        <w:tc>
          <w:tcPr>
            <w:tcW w:w="741" w:type="pct"/>
          </w:tcPr>
          <w:p w:rsidR="00675B1D" w:rsidRPr="00346304" w:rsidRDefault="00675B1D" w:rsidP="008B1515">
            <w:pPr>
              <w:rPr>
                <w:i/>
                <w:color w:val="576C88" w:themeColor="text2" w:themeTint="D9"/>
                <w:szCs w:val="18"/>
                <w:highlight w:val="yellow"/>
              </w:rPr>
            </w:pPr>
            <w:r w:rsidRPr="00346304">
              <w:rPr>
                <w:i/>
                <w:color w:val="576C88" w:themeColor="text2" w:themeTint="D9"/>
                <w:highlight w:val="yellow"/>
              </w:rPr>
              <w:t>USR</w:t>
            </w:r>
          </w:p>
        </w:tc>
        <w:tc>
          <w:tcPr>
            <w:tcW w:w="1148" w:type="pct"/>
          </w:tcPr>
          <w:p w:rsidR="00675B1D" w:rsidRPr="00346304" w:rsidRDefault="00675B1D" w:rsidP="008B1515">
            <w:pPr>
              <w:rPr>
                <w:i/>
                <w:color w:val="576C88" w:themeColor="text2" w:themeTint="D9"/>
                <w:szCs w:val="18"/>
                <w:highlight w:val="yellow"/>
              </w:rPr>
            </w:pPr>
            <w:r w:rsidRPr="00346304">
              <w:rPr>
                <w:i/>
                <w:color w:val="576C88" w:themeColor="text2" w:themeTint="D9"/>
                <w:highlight w:val="yellow"/>
              </w:rPr>
              <w:t>Altri</w:t>
            </w:r>
          </w:p>
        </w:tc>
      </w:tr>
      <w:tr w:rsidR="00675B1D" w:rsidRPr="00346304" w:rsidTr="00D21174">
        <w:tc>
          <w:tcPr>
            <w:tcW w:w="347" w:type="pct"/>
            <w:vMerge w:val="restart"/>
            <w:shd w:val="clear" w:color="auto" w:fill="E7E6E6" w:themeFill="background2"/>
            <w:textDirection w:val="tbRl"/>
          </w:tcPr>
          <w:p w:rsidR="00675B1D" w:rsidRPr="00346304" w:rsidRDefault="00675B1D" w:rsidP="00FC0A30">
            <w:pPr>
              <w:ind w:left="113" w:right="113"/>
              <w:jc w:val="center"/>
              <w:rPr>
                <w:b/>
                <w:color w:val="5B9BD5" w:themeColor="accent1"/>
                <w:szCs w:val="18"/>
                <w:highlight w:val="yellow"/>
              </w:rPr>
            </w:pPr>
            <w:r w:rsidRPr="00346304">
              <w:rPr>
                <w:b/>
                <w:color w:val="5B9BD5" w:themeColor="accent1"/>
                <w:highlight w:val="yellow"/>
              </w:rPr>
              <w:t>Pianificazione</w:t>
            </w:r>
          </w:p>
        </w:tc>
        <w:tc>
          <w:tcPr>
            <w:tcW w:w="974"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Processo e tempistiche</w:t>
            </w:r>
          </w:p>
        </w:tc>
        <w:tc>
          <w:tcPr>
            <w:tcW w:w="777"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Responsabile / partecipa</w:t>
            </w:r>
          </w:p>
        </w:tc>
        <w:tc>
          <w:tcPr>
            <w:tcW w:w="1013" w:type="pct"/>
          </w:tcPr>
          <w:p w:rsidR="00675B1D" w:rsidRPr="00346304" w:rsidRDefault="00675B1D" w:rsidP="008B1515">
            <w:pPr>
              <w:rPr>
                <w:color w:val="576C88" w:themeColor="text2" w:themeTint="D9"/>
                <w:szCs w:val="18"/>
                <w:highlight w:val="yellow"/>
              </w:rPr>
            </w:pPr>
          </w:p>
        </w:tc>
        <w:tc>
          <w:tcPr>
            <w:tcW w:w="741"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Partecipa / responsabile</w:t>
            </w:r>
          </w:p>
        </w:tc>
        <w:tc>
          <w:tcPr>
            <w:tcW w:w="1148"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Il gruppo direttivo, l'organismo pagatore, eventualmente presenti, partecipano</w:t>
            </w:r>
          </w:p>
        </w:tc>
      </w:tr>
      <w:tr w:rsidR="00675B1D" w:rsidRPr="00346304" w:rsidTr="00D21174">
        <w:tc>
          <w:tcPr>
            <w:tcW w:w="347" w:type="pct"/>
            <w:vMerge/>
            <w:shd w:val="clear" w:color="auto" w:fill="E7E6E6" w:themeFill="background2"/>
            <w:textDirection w:val="tbRl"/>
          </w:tcPr>
          <w:p w:rsidR="00675B1D" w:rsidRPr="00346304" w:rsidRDefault="00675B1D" w:rsidP="008B1515">
            <w:pPr>
              <w:ind w:left="113" w:right="113"/>
              <w:rPr>
                <w:color w:val="576C88" w:themeColor="text2" w:themeTint="D9"/>
                <w:szCs w:val="18"/>
                <w:highlight w:val="yellow"/>
              </w:rPr>
            </w:pPr>
          </w:p>
        </w:tc>
        <w:tc>
          <w:tcPr>
            <w:tcW w:w="974"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Esigenze di valutazione</w:t>
            </w:r>
          </w:p>
        </w:tc>
        <w:tc>
          <w:tcPr>
            <w:tcW w:w="777"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Responsabile / partecipa</w:t>
            </w:r>
          </w:p>
        </w:tc>
        <w:tc>
          <w:tcPr>
            <w:tcW w:w="1013"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Se esiste l'unità di valutazione, può partecipare</w:t>
            </w:r>
          </w:p>
        </w:tc>
        <w:tc>
          <w:tcPr>
            <w:tcW w:w="741"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Partecipa / responsabile</w:t>
            </w:r>
          </w:p>
        </w:tc>
        <w:tc>
          <w:tcPr>
            <w:tcW w:w="1148"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Organismo di coordinamento della RRN</w:t>
            </w:r>
          </w:p>
        </w:tc>
      </w:tr>
      <w:tr w:rsidR="00675B1D" w:rsidRPr="00346304" w:rsidTr="00D21174">
        <w:tc>
          <w:tcPr>
            <w:tcW w:w="347" w:type="pct"/>
            <w:vMerge/>
            <w:shd w:val="clear" w:color="auto" w:fill="E7E6E6" w:themeFill="background2"/>
            <w:textDirection w:val="tbRl"/>
          </w:tcPr>
          <w:p w:rsidR="00675B1D" w:rsidRPr="00346304" w:rsidRDefault="00675B1D" w:rsidP="008B1515">
            <w:pPr>
              <w:ind w:left="113" w:right="113"/>
              <w:rPr>
                <w:color w:val="576C88" w:themeColor="text2" w:themeTint="D9"/>
                <w:szCs w:val="18"/>
                <w:highlight w:val="yellow"/>
              </w:rPr>
            </w:pPr>
          </w:p>
        </w:tc>
        <w:tc>
          <w:tcPr>
            <w:tcW w:w="974"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Piano di comunicazione</w:t>
            </w:r>
          </w:p>
        </w:tc>
        <w:tc>
          <w:tcPr>
            <w:tcW w:w="777"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Responsabile / partecipa</w:t>
            </w:r>
          </w:p>
        </w:tc>
        <w:tc>
          <w:tcPr>
            <w:tcW w:w="1013"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Se esiste l'unità di comunicazione, può partecipare</w:t>
            </w:r>
          </w:p>
        </w:tc>
        <w:tc>
          <w:tcPr>
            <w:tcW w:w="741"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Partecipa / responsabile</w:t>
            </w:r>
          </w:p>
        </w:tc>
        <w:tc>
          <w:tcPr>
            <w:tcW w:w="1148" w:type="pct"/>
          </w:tcPr>
          <w:p w:rsidR="00675B1D" w:rsidRPr="00346304" w:rsidRDefault="00675B1D" w:rsidP="008B1515">
            <w:pPr>
              <w:rPr>
                <w:color w:val="576C88" w:themeColor="text2" w:themeTint="D9"/>
                <w:szCs w:val="18"/>
                <w:highlight w:val="yellow"/>
              </w:rPr>
            </w:pPr>
          </w:p>
        </w:tc>
      </w:tr>
      <w:tr w:rsidR="00675B1D" w:rsidRPr="00346304" w:rsidTr="00D21174">
        <w:tc>
          <w:tcPr>
            <w:tcW w:w="347" w:type="pct"/>
            <w:vMerge/>
            <w:shd w:val="clear" w:color="auto" w:fill="E7E6E6" w:themeFill="background2"/>
            <w:textDirection w:val="tbRl"/>
          </w:tcPr>
          <w:p w:rsidR="00675B1D" w:rsidRPr="00346304" w:rsidRDefault="00675B1D" w:rsidP="008B1515">
            <w:pPr>
              <w:ind w:left="113" w:right="113"/>
              <w:rPr>
                <w:color w:val="576C88" w:themeColor="text2" w:themeTint="D9"/>
                <w:szCs w:val="18"/>
                <w:highlight w:val="yellow"/>
              </w:rPr>
            </w:pPr>
          </w:p>
        </w:tc>
        <w:tc>
          <w:tcPr>
            <w:tcW w:w="974"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Piano di potenziamento delle capacità</w:t>
            </w:r>
          </w:p>
        </w:tc>
        <w:tc>
          <w:tcPr>
            <w:tcW w:w="777"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Responsabile / partecipa</w:t>
            </w:r>
          </w:p>
        </w:tc>
        <w:tc>
          <w:tcPr>
            <w:tcW w:w="1013" w:type="pct"/>
          </w:tcPr>
          <w:p w:rsidR="00675B1D" w:rsidRPr="00346304" w:rsidRDefault="00675B1D" w:rsidP="008B1515">
            <w:pPr>
              <w:rPr>
                <w:color w:val="576C88" w:themeColor="text2" w:themeTint="D9"/>
                <w:szCs w:val="18"/>
                <w:highlight w:val="yellow"/>
              </w:rPr>
            </w:pPr>
          </w:p>
        </w:tc>
        <w:tc>
          <w:tcPr>
            <w:tcW w:w="741" w:type="pct"/>
          </w:tcPr>
          <w:p w:rsidR="00675B1D" w:rsidRPr="00346304" w:rsidRDefault="00675B1D" w:rsidP="008B1515">
            <w:pPr>
              <w:rPr>
                <w:color w:val="576C88" w:themeColor="text2" w:themeTint="D9"/>
                <w:szCs w:val="18"/>
                <w:highlight w:val="yellow"/>
              </w:rPr>
            </w:pPr>
            <w:r w:rsidRPr="00346304">
              <w:rPr>
                <w:color w:val="576C88" w:themeColor="text2" w:themeTint="D9"/>
                <w:highlight w:val="yellow"/>
              </w:rPr>
              <w:t>Partecipa / responsabile</w:t>
            </w:r>
          </w:p>
        </w:tc>
        <w:tc>
          <w:tcPr>
            <w:tcW w:w="1148" w:type="pct"/>
          </w:tcPr>
          <w:p w:rsidR="00675B1D" w:rsidRPr="00346304" w:rsidRDefault="00675B1D" w:rsidP="008B1515">
            <w:pPr>
              <w:rPr>
                <w:color w:val="576C88" w:themeColor="text2" w:themeTint="D9"/>
                <w:szCs w:val="18"/>
                <w:highlight w:val="yellow"/>
              </w:rPr>
            </w:pPr>
          </w:p>
        </w:tc>
      </w:tr>
    </w:tbl>
    <w:p w:rsidR="00675B1D" w:rsidRPr="00346304" w:rsidRDefault="00675B1D" w:rsidP="00992336">
      <w:pPr>
        <w:pStyle w:val="HStandard"/>
        <w:rPr>
          <w:highlight w:val="yellow"/>
        </w:rPr>
      </w:pPr>
    </w:p>
    <w:p w:rsidR="00675B1D" w:rsidRPr="00346304" w:rsidRDefault="00675B1D" w:rsidP="00FC0A30">
      <w:pPr>
        <w:pStyle w:val="HHeading3"/>
        <w:rPr>
          <w:highlight w:val="yellow"/>
        </w:rPr>
      </w:pPr>
      <w:r w:rsidRPr="00346304">
        <w:br w:type="column"/>
      </w:r>
      <w:bookmarkStart w:id="109" w:name="_Toc453079760"/>
      <w:bookmarkStart w:id="110" w:name="_Toc461616644"/>
      <w:r w:rsidRPr="00346304">
        <w:rPr>
          <w:highlight w:val="yellow"/>
        </w:rPr>
        <w:lastRenderedPageBreak/>
        <w:t>Preparazione della valutazione della RRN</w:t>
      </w:r>
      <w:bookmarkEnd w:id="109"/>
      <w:bookmarkEnd w:id="110"/>
    </w:p>
    <w:p w:rsidR="00675B1D" w:rsidRPr="00346304" w:rsidRDefault="00675B1D" w:rsidP="00FC0A30">
      <w:pPr>
        <w:pStyle w:val="HStandard"/>
        <w:rPr>
          <w:highlight w:val="yellow"/>
        </w:rPr>
      </w:pPr>
      <w:r w:rsidRPr="00346304">
        <w:rPr>
          <w:highlight w:val="yellow"/>
        </w:rPr>
        <w:t xml:space="preserve">Nel preparare la valutazione della RRN è particolarmente importante definire le basi per tutti i tipi di valutazione RRN: la logica di intervento e il sistema di valutazione della RRN, costituito da indicatori e domande di valutazione specifiche del programma e comuni relativi alla RRN. Inoltre, è indispensabile definire quali prove devono essere raccolte e come ottenere le informazioni richieste dalla valutazione delle parti interessate. Idealmente, la logica di intervento e il sistema di valutazione della RRN devono essere preparati prima dell'attuazione della RRN per l'intero periodo di programmazione (per tutte le valutazioni della RRN) o prima di ogni singola valutazione della RRN condotta in qualsiasi momento durante il periodo di programmazione. </w:t>
      </w:r>
    </w:p>
    <w:p w:rsidR="00675B1D" w:rsidRPr="00346304" w:rsidRDefault="00675B1D" w:rsidP="00FC0A30">
      <w:pPr>
        <w:pStyle w:val="HStandard"/>
        <w:rPr>
          <w:highlight w:val="yellow"/>
        </w:rPr>
      </w:pPr>
      <w:r w:rsidRPr="00346304">
        <w:rPr>
          <w:b/>
          <w:highlight w:val="yellow"/>
        </w:rPr>
        <w:t>La fase di preparazione è composta dai seguenti passaggi principali: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675B1D" w:rsidRPr="00346304" w:rsidTr="00406CAA">
        <w:trPr>
          <w:trHeight w:val="488"/>
        </w:trPr>
        <w:tc>
          <w:tcPr>
            <w:tcW w:w="846" w:type="dxa"/>
            <w:shd w:val="clear" w:color="auto" w:fill="E7E6E6" w:themeFill="background2"/>
          </w:tcPr>
          <w:p w:rsidR="00675B1D" w:rsidRPr="00346304" w:rsidRDefault="00675B1D" w:rsidP="00406CAA">
            <w:pPr>
              <w:pStyle w:val="HStandard"/>
              <w:jc w:val="center"/>
              <w:rPr>
                <w:b/>
                <w:color w:val="5B9BD5" w:themeColor="accent1"/>
                <w:sz w:val="18"/>
                <w:szCs w:val="18"/>
                <w:highlight w:val="yellow"/>
              </w:rPr>
            </w:pPr>
            <w:r w:rsidRPr="00346304">
              <w:rPr>
                <w:b/>
                <w:color w:val="5B9BD5" w:themeColor="accent1"/>
                <w:sz w:val="18"/>
                <w:highlight w:val="yellow"/>
              </w:rPr>
              <w:t>1</w:t>
            </w:r>
          </w:p>
        </w:tc>
        <w:tc>
          <w:tcPr>
            <w:tcW w:w="8170" w:type="dxa"/>
          </w:tcPr>
          <w:p w:rsidR="00675B1D" w:rsidRPr="00346304" w:rsidRDefault="00675B1D" w:rsidP="00FC0A30">
            <w:pPr>
              <w:pStyle w:val="HStandard"/>
              <w:rPr>
                <w:sz w:val="18"/>
                <w:szCs w:val="18"/>
                <w:highlight w:val="yellow"/>
              </w:rPr>
            </w:pPr>
            <w:r w:rsidRPr="00346304">
              <w:rPr>
                <w:sz w:val="18"/>
                <w:highlight w:val="yellow"/>
              </w:rPr>
              <w:t>definizione della logica di intervento della RRN;</w:t>
            </w:r>
          </w:p>
        </w:tc>
      </w:tr>
      <w:tr w:rsidR="00675B1D" w:rsidRPr="00346304" w:rsidTr="00406CAA">
        <w:tc>
          <w:tcPr>
            <w:tcW w:w="846" w:type="dxa"/>
            <w:shd w:val="clear" w:color="auto" w:fill="E7E6E6" w:themeFill="background2"/>
          </w:tcPr>
          <w:p w:rsidR="00675B1D" w:rsidRPr="00346304" w:rsidRDefault="00675B1D" w:rsidP="00406CAA">
            <w:pPr>
              <w:pStyle w:val="HStandard"/>
              <w:jc w:val="center"/>
              <w:rPr>
                <w:b/>
                <w:color w:val="5B9BD5" w:themeColor="accent1"/>
                <w:sz w:val="18"/>
                <w:szCs w:val="18"/>
                <w:highlight w:val="yellow"/>
              </w:rPr>
            </w:pPr>
            <w:r w:rsidRPr="00346304">
              <w:rPr>
                <w:b/>
                <w:color w:val="5B9BD5" w:themeColor="accent1"/>
                <w:sz w:val="18"/>
                <w:highlight w:val="yellow"/>
              </w:rPr>
              <w:t>2</w:t>
            </w:r>
          </w:p>
        </w:tc>
        <w:tc>
          <w:tcPr>
            <w:tcW w:w="8170" w:type="dxa"/>
          </w:tcPr>
          <w:p w:rsidR="00675B1D" w:rsidRPr="00346304" w:rsidRDefault="00675B1D" w:rsidP="005E5B66">
            <w:pPr>
              <w:pStyle w:val="HStandard"/>
              <w:rPr>
                <w:sz w:val="18"/>
                <w:szCs w:val="18"/>
                <w:highlight w:val="yellow"/>
              </w:rPr>
            </w:pPr>
            <w:r w:rsidRPr="00346304">
              <w:rPr>
                <w:sz w:val="18"/>
                <w:highlight w:val="yellow"/>
              </w:rPr>
              <w:t>riesame/formulazione di indicatori e questionari valutativi relativi alla RRN e verifica della loro coerenza con la logica di intervento;</w:t>
            </w:r>
          </w:p>
        </w:tc>
      </w:tr>
      <w:tr w:rsidR="00675B1D" w:rsidRPr="00346304" w:rsidTr="00406CAA">
        <w:tc>
          <w:tcPr>
            <w:tcW w:w="846" w:type="dxa"/>
            <w:shd w:val="clear" w:color="auto" w:fill="E7E6E6" w:themeFill="background2"/>
          </w:tcPr>
          <w:p w:rsidR="00675B1D" w:rsidRPr="00346304" w:rsidRDefault="00675B1D" w:rsidP="00406CAA">
            <w:pPr>
              <w:pStyle w:val="HStandard"/>
              <w:jc w:val="center"/>
              <w:rPr>
                <w:b/>
                <w:color w:val="5B9BD5" w:themeColor="accent1"/>
                <w:sz w:val="18"/>
                <w:szCs w:val="18"/>
                <w:highlight w:val="yellow"/>
              </w:rPr>
            </w:pPr>
            <w:r w:rsidRPr="00346304">
              <w:rPr>
                <w:b/>
                <w:color w:val="5B9BD5" w:themeColor="accent1"/>
                <w:sz w:val="18"/>
                <w:highlight w:val="yellow"/>
              </w:rPr>
              <w:t>3</w:t>
            </w:r>
          </w:p>
        </w:tc>
        <w:tc>
          <w:tcPr>
            <w:tcW w:w="8170" w:type="dxa"/>
          </w:tcPr>
          <w:p w:rsidR="00675B1D" w:rsidRPr="00346304" w:rsidRDefault="00675B1D" w:rsidP="00FC0A30">
            <w:pPr>
              <w:pStyle w:val="HStandard"/>
              <w:rPr>
                <w:sz w:val="18"/>
                <w:szCs w:val="18"/>
                <w:highlight w:val="yellow"/>
              </w:rPr>
            </w:pPr>
            <w:r w:rsidRPr="00346304">
              <w:rPr>
                <w:sz w:val="18"/>
                <w:highlight w:val="yellow"/>
              </w:rPr>
              <w:t>selezione della strategia di valutazione preferita;</w:t>
            </w:r>
          </w:p>
        </w:tc>
      </w:tr>
      <w:tr w:rsidR="00675B1D" w:rsidRPr="00346304" w:rsidTr="00406CAA">
        <w:tc>
          <w:tcPr>
            <w:tcW w:w="846" w:type="dxa"/>
            <w:shd w:val="clear" w:color="auto" w:fill="E7E6E6" w:themeFill="background2"/>
          </w:tcPr>
          <w:p w:rsidR="00675B1D" w:rsidRPr="00346304" w:rsidRDefault="00675B1D" w:rsidP="00406CAA">
            <w:pPr>
              <w:pStyle w:val="HStandard"/>
              <w:jc w:val="center"/>
              <w:rPr>
                <w:b/>
                <w:color w:val="5B9BD5" w:themeColor="accent1"/>
                <w:sz w:val="18"/>
                <w:szCs w:val="18"/>
                <w:highlight w:val="yellow"/>
              </w:rPr>
            </w:pPr>
            <w:r w:rsidRPr="00346304">
              <w:rPr>
                <w:b/>
                <w:color w:val="5B9BD5" w:themeColor="accent1"/>
                <w:sz w:val="18"/>
                <w:highlight w:val="yellow"/>
              </w:rPr>
              <w:t>4</w:t>
            </w:r>
          </w:p>
        </w:tc>
        <w:tc>
          <w:tcPr>
            <w:tcW w:w="8170" w:type="dxa"/>
          </w:tcPr>
          <w:p w:rsidR="00675B1D" w:rsidRPr="00346304" w:rsidRDefault="00675B1D" w:rsidP="00FC0A30">
            <w:pPr>
              <w:pStyle w:val="HStandard"/>
              <w:rPr>
                <w:sz w:val="18"/>
                <w:szCs w:val="18"/>
                <w:highlight w:val="yellow"/>
              </w:rPr>
            </w:pPr>
            <w:r w:rsidRPr="00346304">
              <w:rPr>
                <w:sz w:val="18"/>
                <w:highlight w:val="yellow"/>
              </w:rPr>
              <w:t>vaglio delle esigenze in termini di informazioni e dati e delle potenziali fonti;</w:t>
            </w:r>
          </w:p>
        </w:tc>
      </w:tr>
      <w:tr w:rsidR="00675B1D" w:rsidRPr="00346304" w:rsidTr="00406CAA">
        <w:tc>
          <w:tcPr>
            <w:tcW w:w="846" w:type="dxa"/>
            <w:shd w:val="clear" w:color="auto" w:fill="E7E6E6" w:themeFill="background2"/>
          </w:tcPr>
          <w:p w:rsidR="00675B1D" w:rsidRPr="00346304" w:rsidRDefault="00675B1D" w:rsidP="00406CAA">
            <w:pPr>
              <w:pStyle w:val="HStandard"/>
              <w:jc w:val="center"/>
              <w:rPr>
                <w:b/>
                <w:color w:val="5B9BD5" w:themeColor="accent1"/>
                <w:sz w:val="18"/>
                <w:szCs w:val="18"/>
                <w:highlight w:val="yellow"/>
              </w:rPr>
            </w:pPr>
            <w:r w:rsidRPr="00346304">
              <w:rPr>
                <w:b/>
                <w:color w:val="5B9BD5" w:themeColor="accent1"/>
                <w:sz w:val="18"/>
                <w:highlight w:val="yellow"/>
              </w:rPr>
              <w:t>5</w:t>
            </w:r>
          </w:p>
        </w:tc>
        <w:tc>
          <w:tcPr>
            <w:tcW w:w="8170" w:type="dxa"/>
          </w:tcPr>
          <w:p w:rsidR="00675B1D" w:rsidRPr="00346304" w:rsidRDefault="00675B1D" w:rsidP="00FC0A30">
            <w:pPr>
              <w:pStyle w:val="HStandard"/>
              <w:rPr>
                <w:sz w:val="18"/>
                <w:szCs w:val="18"/>
                <w:highlight w:val="yellow"/>
              </w:rPr>
            </w:pPr>
            <w:r w:rsidRPr="00346304">
              <w:rPr>
                <w:sz w:val="18"/>
                <w:highlight w:val="yellow"/>
              </w:rPr>
              <w:t>procedura di gara e selezione del valutatore esterno.</w:t>
            </w:r>
          </w:p>
        </w:tc>
      </w:tr>
    </w:tbl>
    <w:p w:rsidR="00675B1D" w:rsidRPr="00346304" w:rsidRDefault="00675B1D" w:rsidP="00FC0A30">
      <w:pPr>
        <w:pStyle w:val="HHeading5"/>
        <w:rPr>
          <w:highlight w:val="yellow"/>
        </w:rPr>
      </w:pPr>
      <w:r w:rsidRPr="00346304">
        <w:rPr>
          <w:highlight w:val="yellow"/>
        </w:rPr>
        <w:t>Passaggio 1 – Definizione della logica di intervento della RRN</w:t>
      </w:r>
    </w:p>
    <w:p w:rsidR="00675B1D" w:rsidRPr="00346304" w:rsidRDefault="00675B1D" w:rsidP="00FC0A30">
      <w:pPr>
        <w:pStyle w:val="HStandard"/>
        <w:rPr>
          <w:highlight w:val="yellow"/>
        </w:rPr>
      </w:pPr>
      <w:r w:rsidRPr="00346304">
        <w:rPr>
          <w:highlight w:val="yellow"/>
        </w:rPr>
        <w:t>La logica di intervento di una RRN all'interno del PSR o di un programma distinto (PRRN) è un caposaldo essenziale tanto per il suo funzionamento quanto per la sua valutazione. Una logica di intervento è uno strumento metodologico che collega l'analisi SWOT, le esigenze del territorio del programma relative alla RRN, gli obiettivi della rete, le attività/i bilanci della RRN e gli effetti attesi della RRN osservati come prodotti, risultati e impatti della rete</w:t>
      </w:r>
      <w:r w:rsidRPr="00346304">
        <w:rPr>
          <w:rStyle w:val="FootnoteReference"/>
          <w:highlight w:val="yellow"/>
        </w:rPr>
        <w:footnoteReference w:id="66"/>
      </w:r>
      <w:r>
        <w:rPr>
          <w:highlight w:val="yellow"/>
        </w:rPr>
        <w:t xml:space="preserve">. </w:t>
      </w:r>
      <w:r w:rsidRPr="00346304">
        <w:rPr>
          <w:highlight w:val="yellow"/>
        </w:rPr>
        <w:t xml:space="preserve">(Cfr. </w:t>
      </w:r>
      <w:r w:rsidRPr="00346304">
        <w:rPr>
          <w:highlight w:val="yellow"/>
        </w:rPr>
        <w:fldChar w:fldCharType="begin" w:fldLock="1"/>
      </w:r>
      <w:r w:rsidRPr="00346304">
        <w:rPr>
          <w:highlight w:val="yellow"/>
        </w:rPr>
        <w:instrText xml:space="preserve"> REF _Ref451784505 \r \h  \* MERGEFORMAT </w:instrText>
      </w:r>
      <w:r w:rsidRPr="00346304">
        <w:rPr>
          <w:highlight w:val="yellow"/>
        </w:rPr>
      </w:r>
      <w:r w:rsidRPr="00346304">
        <w:rPr>
          <w:highlight w:val="yellow"/>
        </w:rPr>
        <w:fldChar w:fldCharType="separate"/>
      </w:r>
      <w:r w:rsidRPr="00346304">
        <w:rPr>
          <w:highlight w:val="yellow"/>
        </w:rPr>
        <w:t>Figura 6</w:t>
      </w:r>
      <w:r w:rsidRPr="00346304">
        <w:rPr>
          <w:highlight w:val="yellow"/>
        </w:rPr>
        <w:fldChar w:fldCharType="end"/>
      </w:r>
      <w:r w:rsidRPr="00346304">
        <w:rPr>
          <w:highlight w:val="yellow"/>
        </w:rPr>
        <w:t xml:space="preserve"> nel capitolo 1.4.2) </w:t>
      </w:r>
      <w:bookmarkStart w:id="111" w:name="_Ref434414555"/>
    </w:p>
    <w:bookmarkEnd w:id="111"/>
    <w:p w:rsidR="00675B1D" w:rsidRPr="00346304" w:rsidRDefault="00675B1D" w:rsidP="00FC0A30">
      <w:pPr>
        <w:pStyle w:val="HStandard"/>
        <w:rPr>
          <w:highlight w:val="yellow"/>
        </w:rPr>
      </w:pPr>
      <w:r w:rsidRPr="00346304">
        <w:rPr>
          <w:highlight w:val="yellow"/>
        </w:rPr>
        <w:t>La logica di intervento del PRRN dovrebbe essere stata definita nella fase di progettazione del programma e la sua coerenza e rilevanza dovrebbero essere state valutate nel corso della valutazione ex ante. Al contrario, la logica di intervento della RRN all'interno del PSR non è di solito pienamente sviluppata; il PSR spesso contiene solo quattro obiettivi comuni per la RRN e i gruppi di azioni comuni. Tuttavia, la logica di intervento della RRN costituisce la base della valutazione della RRN e dovrebbe essere stabilita/integrata prima dell'avvio della valutazione.</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406CAA">
        <w:tc>
          <w:tcPr>
            <w:tcW w:w="9016" w:type="dxa"/>
            <w:shd w:val="clear" w:color="auto" w:fill="F5F4F4" w:themeFill="background2" w:themeFillTint="66"/>
          </w:tcPr>
          <w:p w:rsidR="00675B1D" w:rsidRPr="00346304" w:rsidRDefault="00675B1D" w:rsidP="00FC0A30">
            <w:pPr>
              <w:pStyle w:val="HStandard"/>
              <w:rPr>
                <w:highlight w:val="yellow"/>
              </w:rPr>
            </w:pPr>
            <w:r w:rsidRPr="00346304">
              <w:rPr>
                <w:highlight w:val="yellow"/>
              </w:rPr>
              <w:t xml:space="preserve">Nella definizione della logica di intervento le seguenti domande possono essere di aiuto: </w:t>
            </w:r>
          </w:p>
          <w:p w:rsidR="00675B1D" w:rsidRPr="00346304" w:rsidRDefault="00675B1D" w:rsidP="00675B1D">
            <w:pPr>
              <w:pStyle w:val="Hlistbullet"/>
              <w:tabs>
                <w:tab w:val="left" w:pos="567"/>
              </w:tabs>
              <w:rPr>
                <w:highlight w:val="yellow"/>
              </w:rPr>
            </w:pPr>
            <w:r w:rsidRPr="00346304">
              <w:rPr>
                <w:highlight w:val="yellow"/>
              </w:rPr>
              <w:t>quali sono le esigenze della zona interessata dal programma che potrebbero essere affrontate dalla RRN?</w:t>
            </w:r>
          </w:p>
          <w:p w:rsidR="00675B1D" w:rsidRPr="00346304" w:rsidRDefault="00675B1D" w:rsidP="00675B1D">
            <w:pPr>
              <w:pStyle w:val="Hlistbullet"/>
              <w:tabs>
                <w:tab w:val="left" w:pos="567"/>
              </w:tabs>
              <w:rPr>
                <w:highlight w:val="yellow"/>
              </w:rPr>
            </w:pPr>
            <w:r>
              <w:rPr>
                <w:highlight w:val="yellow"/>
              </w:rPr>
              <w:t>Q</w:t>
            </w:r>
            <w:r w:rsidRPr="00346304">
              <w:rPr>
                <w:highlight w:val="yellow"/>
              </w:rPr>
              <w:t xml:space="preserve">uali sono gli obiettivi relativi alla RRN specifici del programma legati alle esigenze individuate? </w:t>
            </w:r>
          </w:p>
          <w:p w:rsidR="00675B1D" w:rsidRPr="00346304" w:rsidRDefault="00675B1D" w:rsidP="00675B1D">
            <w:pPr>
              <w:pStyle w:val="Hlistbullet"/>
              <w:tabs>
                <w:tab w:val="left" w:pos="567"/>
              </w:tabs>
              <w:rPr>
                <w:highlight w:val="yellow"/>
              </w:rPr>
            </w:pPr>
            <w:r>
              <w:rPr>
                <w:highlight w:val="yellow"/>
              </w:rPr>
              <w:t>Q</w:t>
            </w:r>
            <w:r w:rsidRPr="00346304">
              <w:rPr>
                <w:highlight w:val="yellow"/>
              </w:rPr>
              <w:t xml:space="preserve">uali sono le attività che devono essere attuate per raggiungere gli obiettivi relativi alla RRN specifici del programma? </w:t>
            </w:r>
          </w:p>
          <w:p w:rsidR="00675B1D" w:rsidRPr="00346304" w:rsidRDefault="00675B1D" w:rsidP="00675B1D">
            <w:pPr>
              <w:pStyle w:val="Hlistbullet"/>
              <w:tabs>
                <w:tab w:val="left" w:pos="567"/>
              </w:tabs>
              <w:rPr>
                <w:highlight w:val="yellow"/>
              </w:rPr>
            </w:pPr>
            <w:r>
              <w:rPr>
                <w:highlight w:val="yellow"/>
              </w:rPr>
              <w:t>Q</w:t>
            </w:r>
            <w:r w:rsidRPr="00346304">
              <w:rPr>
                <w:highlight w:val="yellow"/>
              </w:rPr>
              <w:t>uali attività specifiche della RRN devono essere attuate, qualora quelle comuni non siano sufficienti per realizzare gli obiettivi relativi alla RRN specifici del programma?</w:t>
            </w:r>
          </w:p>
        </w:tc>
      </w:tr>
    </w:tbl>
    <w:p w:rsidR="00675B1D" w:rsidRPr="00346304" w:rsidRDefault="00675B1D" w:rsidP="00FC0A30">
      <w:pPr>
        <w:pStyle w:val="HStandard"/>
        <w:rPr>
          <w:highlight w:val="yellow"/>
        </w:rPr>
      </w:pPr>
      <w:r w:rsidRPr="00346304">
        <w:rPr>
          <w:highlight w:val="yellow"/>
        </w:rPr>
        <w:t xml:space="preserve">La definizione della logica di intervento della RRN deve avvenire rispettando la </w:t>
      </w:r>
      <w:r w:rsidRPr="00346304">
        <w:rPr>
          <w:b/>
          <w:highlight w:val="yellow"/>
        </w:rPr>
        <w:t>seguente sequenza</w:t>
      </w:r>
      <w:r w:rsidRPr="00346304">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346304" w:rsidTr="009A7C06">
        <w:trPr>
          <w:jc w:val="center"/>
        </w:trPr>
        <w:tc>
          <w:tcPr>
            <w:tcW w:w="988" w:type="dxa"/>
            <w:shd w:val="clear" w:color="auto" w:fill="E7E6E6" w:themeFill="background2"/>
          </w:tcPr>
          <w:p w:rsidR="00675B1D" w:rsidRPr="00346304" w:rsidRDefault="00675B1D" w:rsidP="009A7C06">
            <w:pPr>
              <w:pStyle w:val="HStandard"/>
              <w:jc w:val="center"/>
              <w:rPr>
                <w:b/>
                <w:color w:val="FFFFFF"/>
                <w:sz w:val="18"/>
                <w:szCs w:val="18"/>
                <w:highlight w:val="yellow"/>
              </w:rPr>
            </w:pPr>
            <w:r w:rsidRPr="00346304">
              <w:rPr>
                <w:b/>
                <w:color w:val="FFFFFF"/>
                <w:sz w:val="18"/>
                <w:highlight w:val="yellow"/>
              </w:rPr>
              <w:t>a.</w:t>
            </w:r>
          </w:p>
        </w:tc>
        <w:tc>
          <w:tcPr>
            <w:tcW w:w="8028" w:type="dxa"/>
          </w:tcPr>
          <w:p w:rsidR="00675B1D" w:rsidRPr="00346304" w:rsidRDefault="00675B1D" w:rsidP="009A7C06">
            <w:pPr>
              <w:pStyle w:val="Hlistbullet"/>
              <w:numPr>
                <w:ilvl w:val="0"/>
                <w:numId w:val="0"/>
              </w:numPr>
              <w:spacing w:before="0" w:line="280" w:lineRule="atLeast"/>
              <w:jc w:val="left"/>
              <w:rPr>
                <w:sz w:val="18"/>
                <w:szCs w:val="18"/>
                <w:highlight w:val="yellow"/>
              </w:rPr>
            </w:pPr>
            <w:r w:rsidRPr="00346304">
              <w:rPr>
                <w:sz w:val="18"/>
                <w:highlight w:val="yellow"/>
              </w:rPr>
              <w:t>condurre una valutazione delle esigenze e un'analisi del contesto della rete;</w:t>
            </w:r>
          </w:p>
        </w:tc>
      </w:tr>
      <w:tr w:rsidR="00675B1D" w:rsidRPr="00346304" w:rsidTr="009A7C06">
        <w:trPr>
          <w:jc w:val="center"/>
        </w:trPr>
        <w:tc>
          <w:tcPr>
            <w:tcW w:w="988" w:type="dxa"/>
            <w:shd w:val="clear" w:color="auto" w:fill="E7E6E6" w:themeFill="background2"/>
          </w:tcPr>
          <w:p w:rsidR="00675B1D" w:rsidRPr="00346304" w:rsidRDefault="00675B1D" w:rsidP="009A7C06">
            <w:pPr>
              <w:pStyle w:val="HStandard"/>
              <w:jc w:val="center"/>
              <w:rPr>
                <w:b/>
                <w:color w:val="FFFFFF"/>
                <w:sz w:val="18"/>
                <w:szCs w:val="18"/>
                <w:highlight w:val="yellow"/>
              </w:rPr>
            </w:pPr>
            <w:r w:rsidRPr="00346304">
              <w:rPr>
                <w:b/>
                <w:color w:val="FFFFFF"/>
                <w:sz w:val="18"/>
                <w:highlight w:val="yellow"/>
              </w:rPr>
              <w:lastRenderedPageBreak/>
              <w:t>b.</w:t>
            </w:r>
          </w:p>
        </w:tc>
        <w:tc>
          <w:tcPr>
            <w:tcW w:w="8028" w:type="dxa"/>
          </w:tcPr>
          <w:p w:rsidR="00675B1D" w:rsidRPr="00346304" w:rsidRDefault="00675B1D" w:rsidP="00917E9C">
            <w:pPr>
              <w:pStyle w:val="HStandard"/>
              <w:jc w:val="left"/>
              <w:rPr>
                <w:b/>
                <w:i/>
                <w:sz w:val="18"/>
                <w:szCs w:val="18"/>
                <w:highlight w:val="yellow"/>
              </w:rPr>
            </w:pPr>
            <w:r w:rsidRPr="00346304">
              <w:rPr>
                <w:sz w:val="18"/>
                <w:highlight w:val="yellow"/>
              </w:rPr>
              <w:t>riesaminare gli obiettivi comuni</w:t>
            </w:r>
            <w:r w:rsidRPr="00346304">
              <w:rPr>
                <w:sz w:val="18"/>
                <w:highlight w:val="yellow"/>
                <w:vertAlign w:val="superscript"/>
              </w:rPr>
              <w:footnoteReference w:id="67"/>
            </w:r>
            <w:r w:rsidRPr="00346304">
              <w:rPr>
                <w:sz w:val="18"/>
                <w:highlight w:val="yellow"/>
                <w:vertAlign w:val="superscript"/>
              </w:rPr>
              <w:t xml:space="preserve"> </w:t>
            </w:r>
            <w:r w:rsidRPr="00346304">
              <w:rPr>
                <w:sz w:val="18"/>
                <w:highlight w:val="yellow"/>
              </w:rPr>
              <w:t>e i gruppi di azioni</w:t>
            </w:r>
            <w:r w:rsidRPr="00346304">
              <w:rPr>
                <w:sz w:val="18"/>
                <w:highlight w:val="yellow"/>
                <w:vertAlign w:val="superscript"/>
              </w:rPr>
              <w:footnoteReference w:id="68"/>
            </w:r>
            <w:r w:rsidRPr="00346304">
              <w:rPr>
                <w:sz w:val="18"/>
                <w:highlight w:val="yellow"/>
              </w:rPr>
              <w:t xml:space="preserve"> della rete dal punto di vista della loro rilevanza nell'affrontare le esigenze individuate nell'analisi del contesto e SWOT;</w:t>
            </w:r>
          </w:p>
        </w:tc>
      </w:tr>
      <w:tr w:rsidR="00675B1D" w:rsidRPr="00346304" w:rsidTr="009A7C06">
        <w:trPr>
          <w:jc w:val="center"/>
        </w:trPr>
        <w:tc>
          <w:tcPr>
            <w:tcW w:w="988" w:type="dxa"/>
            <w:shd w:val="clear" w:color="auto" w:fill="E7E6E6" w:themeFill="background2"/>
          </w:tcPr>
          <w:p w:rsidR="00675B1D" w:rsidRPr="00346304" w:rsidRDefault="00675B1D" w:rsidP="009A7C06">
            <w:pPr>
              <w:pStyle w:val="HStandard"/>
              <w:jc w:val="center"/>
              <w:rPr>
                <w:b/>
                <w:color w:val="FFFFFF"/>
                <w:sz w:val="18"/>
                <w:szCs w:val="18"/>
                <w:highlight w:val="yellow"/>
              </w:rPr>
            </w:pPr>
            <w:r w:rsidRPr="00346304">
              <w:rPr>
                <w:b/>
                <w:color w:val="FFFFFF"/>
                <w:sz w:val="18"/>
                <w:highlight w:val="yellow"/>
              </w:rPr>
              <w:t>c.</w:t>
            </w:r>
          </w:p>
        </w:tc>
        <w:tc>
          <w:tcPr>
            <w:tcW w:w="8028" w:type="dxa"/>
          </w:tcPr>
          <w:p w:rsidR="00675B1D" w:rsidRPr="00346304" w:rsidRDefault="00675B1D" w:rsidP="009A7C06">
            <w:pPr>
              <w:pStyle w:val="Hlistbullet"/>
              <w:numPr>
                <w:ilvl w:val="0"/>
                <w:numId w:val="0"/>
              </w:numPr>
              <w:spacing w:before="0" w:line="280" w:lineRule="atLeast"/>
              <w:jc w:val="left"/>
              <w:rPr>
                <w:sz w:val="18"/>
                <w:szCs w:val="18"/>
                <w:highlight w:val="yellow"/>
              </w:rPr>
            </w:pPr>
            <w:r w:rsidRPr="00346304">
              <w:rPr>
                <w:sz w:val="18"/>
                <w:highlight w:val="yellow"/>
              </w:rPr>
              <w:t>definire e formulare obiettivi relativi alla RRN specifici del programma;</w:t>
            </w:r>
          </w:p>
        </w:tc>
      </w:tr>
      <w:tr w:rsidR="00675B1D" w:rsidRPr="00346304" w:rsidTr="009A7C06">
        <w:trPr>
          <w:jc w:val="center"/>
        </w:trPr>
        <w:tc>
          <w:tcPr>
            <w:tcW w:w="988" w:type="dxa"/>
            <w:shd w:val="clear" w:color="auto" w:fill="E7E6E6" w:themeFill="background2"/>
          </w:tcPr>
          <w:p w:rsidR="00675B1D" w:rsidRPr="00346304" w:rsidRDefault="00675B1D" w:rsidP="009A7C06">
            <w:pPr>
              <w:pStyle w:val="HStandard"/>
              <w:jc w:val="center"/>
              <w:rPr>
                <w:b/>
                <w:color w:val="FFFFFF"/>
                <w:sz w:val="18"/>
                <w:szCs w:val="18"/>
                <w:highlight w:val="yellow"/>
              </w:rPr>
            </w:pPr>
            <w:r w:rsidRPr="00346304">
              <w:rPr>
                <w:b/>
                <w:color w:val="FFFFFF"/>
                <w:sz w:val="18"/>
                <w:highlight w:val="yellow"/>
              </w:rPr>
              <w:t>d.</w:t>
            </w:r>
          </w:p>
        </w:tc>
        <w:tc>
          <w:tcPr>
            <w:tcW w:w="8028" w:type="dxa"/>
          </w:tcPr>
          <w:p w:rsidR="00675B1D" w:rsidRPr="00346304" w:rsidRDefault="00675B1D" w:rsidP="009A7C06">
            <w:pPr>
              <w:pStyle w:val="Hlistbullet"/>
              <w:numPr>
                <w:ilvl w:val="0"/>
                <w:numId w:val="0"/>
              </w:numPr>
              <w:tabs>
                <w:tab w:val="left" w:pos="317"/>
              </w:tabs>
              <w:spacing w:before="0" w:line="280" w:lineRule="atLeast"/>
              <w:jc w:val="left"/>
              <w:rPr>
                <w:sz w:val="18"/>
                <w:szCs w:val="18"/>
                <w:highlight w:val="yellow"/>
              </w:rPr>
            </w:pPr>
            <w:r w:rsidRPr="00346304">
              <w:rPr>
                <w:sz w:val="18"/>
                <w:highlight w:val="yellow"/>
              </w:rPr>
              <w:t>definire i prodotti, i risultati e gli impatti attesi della RRN nel sostenere lo sviluppo rurale e relativi alla zona rurale interessata dal programma, nonché al capitale umano e sociale;</w:t>
            </w:r>
          </w:p>
        </w:tc>
      </w:tr>
      <w:tr w:rsidR="00675B1D" w:rsidRPr="00346304" w:rsidTr="009A7C06">
        <w:trPr>
          <w:jc w:val="center"/>
        </w:trPr>
        <w:tc>
          <w:tcPr>
            <w:tcW w:w="988" w:type="dxa"/>
            <w:shd w:val="clear" w:color="auto" w:fill="E7E6E6" w:themeFill="background2"/>
          </w:tcPr>
          <w:p w:rsidR="00675B1D" w:rsidRPr="00346304" w:rsidRDefault="00675B1D" w:rsidP="009A7C06">
            <w:pPr>
              <w:pStyle w:val="HStandard"/>
              <w:jc w:val="center"/>
              <w:rPr>
                <w:b/>
                <w:color w:val="FFFFFF"/>
                <w:sz w:val="18"/>
                <w:szCs w:val="18"/>
                <w:highlight w:val="yellow"/>
              </w:rPr>
            </w:pPr>
            <w:r w:rsidRPr="00346304">
              <w:rPr>
                <w:b/>
                <w:color w:val="FFFFFF"/>
                <w:sz w:val="18"/>
                <w:highlight w:val="yellow"/>
              </w:rPr>
              <w:t>e.</w:t>
            </w:r>
          </w:p>
        </w:tc>
        <w:tc>
          <w:tcPr>
            <w:tcW w:w="8028" w:type="dxa"/>
          </w:tcPr>
          <w:p w:rsidR="00675B1D" w:rsidRPr="00346304" w:rsidRDefault="00675B1D" w:rsidP="009A7C06">
            <w:pPr>
              <w:pStyle w:val="Hlistbullet"/>
              <w:numPr>
                <w:ilvl w:val="0"/>
                <w:numId w:val="0"/>
              </w:numPr>
              <w:spacing w:before="0" w:line="280" w:lineRule="atLeast"/>
              <w:jc w:val="left"/>
              <w:rPr>
                <w:sz w:val="18"/>
                <w:szCs w:val="18"/>
                <w:highlight w:val="yellow"/>
              </w:rPr>
            </w:pPr>
            <w:r w:rsidRPr="00346304">
              <w:rPr>
                <w:sz w:val="18"/>
                <w:highlight w:val="yellow"/>
              </w:rPr>
              <w:t>definire la logica di intervento della RRN e verificarne la coerenza verticale e orizzontale.</w:t>
            </w:r>
          </w:p>
        </w:tc>
      </w:tr>
      <w:tr w:rsidR="00675B1D" w:rsidRPr="00346304" w:rsidTr="009A7C06">
        <w:trPr>
          <w:jc w:val="center"/>
        </w:trPr>
        <w:tc>
          <w:tcPr>
            <w:tcW w:w="9016" w:type="dxa"/>
            <w:gridSpan w:val="2"/>
            <w:shd w:val="clear" w:color="auto" w:fill="auto"/>
          </w:tcPr>
          <w:p w:rsidR="00675B1D" w:rsidRPr="00346304" w:rsidRDefault="00675B1D" w:rsidP="009A7C06">
            <w:pPr>
              <w:pStyle w:val="HStandard"/>
              <w:jc w:val="left"/>
              <w:rPr>
                <w:sz w:val="18"/>
                <w:szCs w:val="18"/>
                <w:highlight w:val="yellow"/>
              </w:rPr>
            </w:pPr>
            <w:r w:rsidRPr="00346304">
              <w:rPr>
                <w:b/>
                <w:sz w:val="18"/>
                <w:highlight w:val="yellow"/>
              </w:rPr>
              <w:t>Risultato atteso:</w:t>
            </w:r>
            <w:r w:rsidRPr="00346304">
              <w:rPr>
                <w:sz w:val="18"/>
                <w:highlight w:val="yellow"/>
              </w:rPr>
              <w:t xml:space="preserve"> verticalmente e orizzontalmente coerente con la logica di intervento della RRN</w:t>
            </w:r>
          </w:p>
        </w:tc>
      </w:tr>
    </w:tbl>
    <w:p w:rsidR="00675B1D" w:rsidRPr="00346304" w:rsidRDefault="00675B1D" w:rsidP="00D7626C">
      <w:pPr>
        <w:pStyle w:val="Heading6"/>
        <w:rPr>
          <w:highlight w:val="yellow"/>
        </w:rPr>
      </w:pPr>
      <w:r w:rsidRPr="00346304">
        <w:rPr>
          <w:highlight w:val="yellow"/>
        </w:rPr>
        <w:t>Condurre una valutazione delle esigenze e un'analisi del contesto della rete</w:t>
      </w:r>
    </w:p>
    <w:p w:rsidR="00675B1D" w:rsidRPr="00346304" w:rsidRDefault="00675B1D" w:rsidP="00FC0A30">
      <w:pPr>
        <w:pStyle w:val="HStandard"/>
        <w:rPr>
          <w:highlight w:val="yellow"/>
        </w:rPr>
      </w:pPr>
      <w:r w:rsidRPr="00346304">
        <w:rPr>
          <w:highlight w:val="yellow"/>
        </w:rPr>
        <w:t>Prima di costruire la logica di intervento della RRN è necessario valutare la situazione nella zona interessata dal programma e identificare le esigenze che potrebbero essere trattate con le attività delle reti rurali. Anche le esigenze in materia di attività in rete dovrebbero essere valutate in questa fase utilizzando i parametri delle reti. Le parti interessate negli Stati membri possono decidere autonomamente quali</w:t>
      </w:r>
      <w:r>
        <w:rPr>
          <w:highlight w:val="yellow"/>
        </w:rPr>
        <w:t xml:space="preserve"> </w:t>
      </w:r>
      <w:r w:rsidRPr="00346304">
        <w:rPr>
          <w:highlight w:val="yellow"/>
        </w:rPr>
        <w:t xml:space="preserve">parametri di contesto di rete saranno utilizzati per valutare l'ambiente della RRN, a seconda della situazione specifica nella zona del PSR. Si riportano qui di seguito alcuni esempi di parametri di contesto: </w:t>
      </w:r>
    </w:p>
    <w:p w:rsidR="00675B1D" w:rsidRPr="00346304" w:rsidRDefault="00675B1D" w:rsidP="005368DC">
      <w:pPr>
        <w:pStyle w:val="Hlistbullet2"/>
        <w:rPr>
          <w:highlight w:val="yellow"/>
        </w:rPr>
      </w:pPr>
      <w:r w:rsidRPr="00346304">
        <w:rPr>
          <w:highlight w:val="yellow"/>
        </w:rPr>
        <w:t>varietà delle parti interessate allo sviluppo rurale: mappatura degli esistenti gruppi di parti interessate coinvolti nello sviluppo rurale che operano a livello locale, regionale e nazionale e/o dei membri potenziali della RRN, che rappresentano: i)</w:t>
      </w:r>
      <w:r>
        <w:rPr>
          <w:highlight w:val="yellow"/>
        </w:rPr>
        <w:t> </w:t>
      </w:r>
      <w:r w:rsidRPr="00346304">
        <w:rPr>
          <w:highlight w:val="yellow"/>
        </w:rPr>
        <w:t>la comunità rurale più ampia; ii)</w:t>
      </w:r>
      <w:r>
        <w:rPr>
          <w:highlight w:val="yellow"/>
        </w:rPr>
        <w:t> </w:t>
      </w:r>
      <w:r w:rsidRPr="00346304">
        <w:rPr>
          <w:highlight w:val="yellow"/>
        </w:rPr>
        <w:t>beneficiari del programma di sviluppo rurale secondo quanto definito nel regolamento e nei programmi, ivi inclusi quelli in relazione ai gruppi di azione locale (GAL); iii)</w:t>
      </w:r>
      <w:r>
        <w:rPr>
          <w:highlight w:val="yellow"/>
        </w:rPr>
        <w:t> </w:t>
      </w:r>
      <w:r w:rsidRPr="00346304">
        <w:rPr>
          <w:highlight w:val="yellow"/>
        </w:rPr>
        <w:t>altri, ad esempio varie ONG, istituti di ricerca e mondo accademico, legati allo sviluppo rurale, ivi inclusi coloro che lavorano in settori relativi all'innovazione, ecc.;</w:t>
      </w:r>
    </w:p>
    <w:p w:rsidR="00675B1D" w:rsidRPr="00346304" w:rsidRDefault="00675B1D" w:rsidP="005368DC">
      <w:pPr>
        <w:pStyle w:val="Hlistbullet2"/>
        <w:rPr>
          <w:highlight w:val="yellow"/>
        </w:rPr>
      </w:pPr>
      <w:r w:rsidRPr="00346304">
        <w:rPr>
          <w:highlight w:val="yellow"/>
        </w:rPr>
        <w:t>collegamenti tra le parti interessate: mappatura dei collegamenti esistenti e delle connessioni tra le parti interessate, ivi inclusi progetti e attività di cooperazione già esistenti e pianificati tra i partecipanti delle reti esistenti (collegamenti interni) e tra le reti (collegamenti esterni);</w:t>
      </w:r>
    </w:p>
    <w:p w:rsidR="00675B1D" w:rsidRPr="00346304" w:rsidRDefault="00675B1D" w:rsidP="005368DC">
      <w:pPr>
        <w:pStyle w:val="Hlistbullet2"/>
        <w:rPr>
          <w:highlight w:val="yellow"/>
        </w:rPr>
      </w:pPr>
      <w:r w:rsidRPr="00346304">
        <w:rPr>
          <w:highlight w:val="yellow"/>
        </w:rPr>
        <w:t xml:space="preserve">livello di decentramento delle strutture operative delle reti rurali: descrivere e analizzare le strutture operative e di coordinamento esistenti nell'ambito delle quali la RRN sta operando, prendendo in considerazione il livello nazionale e regionale nonché la suddivisione delle responsabilità (decentramento); </w:t>
      </w:r>
    </w:p>
    <w:p w:rsidR="00675B1D" w:rsidRPr="00346304" w:rsidRDefault="00675B1D" w:rsidP="005368DC">
      <w:pPr>
        <w:pStyle w:val="Hlistbullet2"/>
        <w:rPr>
          <w:highlight w:val="yellow"/>
        </w:rPr>
      </w:pPr>
      <w:r w:rsidRPr="00346304">
        <w:rPr>
          <w:highlight w:val="yellow"/>
        </w:rPr>
        <w:t>grado di apertura della RRN esistente: descrivere e analizzare l'apertura della RRN esistente alla partecipazione di un ambito più ampio di parti interessate rurali (ad esempio attraverso l'adesione formale/informale; attraverso la possibilità di aderire alla rete in modo continuativo, ecc.), e le relative norme che le reti applicano a tale proposito;</w:t>
      </w:r>
    </w:p>
    <w:p w:rsidR="00675B1D" w:rsidRPr="00346304" w:rsidRDefault="00675B1D" w:rsidP="005368DC">
      <w:pPr>
        <w:pStyle w:val="Hlistbullet2"/>
        <w:rPr>
          <w:highlight w:val="yellow"/>
        </w:rPr>
      </w:pPr>
      <w:r w:rsidRPr="00346304">
        <w:rPr>
          <w:highlight w:val="yellow"/>
        </w:rPr>
        <w:t>struttura e contenuto del PSR in cui la rete opererà: analizzare le misure e le relative dotazioni finanziarie all'interno del PSR che saranno collegate alle attività della RRN</w:t>
      </w:r>
      <w:r w:rsidRPr="00346304">
        <w:rPr>
          <w:rStyle w:val="FootnoteReference"/>
          <w:highlight w:val="yellow"/>
        </w:rPr>
        <w:footnoteReference w:id="69"/>
      </w:r>
      <w:r w:rsidRPr="00346304">
        <w:rPr>
          <w:highlight w:val="yellow"/>
        </w:rPr>
        <w:t xml:space="preserve"> e potrebbero essere complementari, sinergiche o in conflitto. Ciò contribuirà a valutare se le attività della RRN sono necessarie o se l'obiettivo è realizzato dalle misure del PSR;</w:t>
      </w:r>
    </w:p>
    <w:p w:rsidR="00675B1D" w:rsidRPr="00346304" w:rsidRDefault="00675B1D" w:rsidP="005368DC">
      <w:pPr>
        <w:pStyle w:val="Hlistbullet2"/>
        <w:rPr>
          <w:highlight w:val="yellow"/>
        </w:rPr>
      </w:pPr>
      <w:r w:rsidRPr="00346304">
        <w:rPr>
          <w:highlight w:val="yellow"/>
        </w:rPr>
        <w:t>analisi dell'unità di sostegno alla rete: stabilire se l'USR si trova all'interno dell'AG, è delegata a un'agenzia ministeriale/altre istituzioni pubbliche o data in outsourcing, mettendo in evidenza i punti di forza e di debolezza della struttura esistente e gli insegnamenti tratti per il futuro.</w:t>
      </w:r>
    </w:p>
    <w:p w:rsidR="00675B1D" w:rsidRPr="00346304" w:rsidRDefault="00675B1D" w:rsidP="00C72F66">
      <w:pPr>
        <w:pStyle w:val="Heading6"/>
        <w:rPr>
          <w:highlight w:val="yellow"/>
        </w:rPr>
      </w:pPr>
      <w:r w:rsidRPr="00346304">
        <w:rPr>
          <w:highlight w:val="yellow"/>
        </w:rPr>
        <w:t xml:space="preserve">Analisi degli obiettivi di rete comuni e dei gruppi di azioni </w:t>
      </w:r>
    </w:p>
    <w:p w:rsidR="00675B1D" w:rsidRPr="00346304" w:rsidRDefault="00675B1D" w:rsidP="00FC0A30">
      <w:pPr>
        <w:pStyle w:val="HStandard"/>
        <w:rPr>
          <w:highlight w:val="yellow"/>
        </w:rPr>
      </w:pPr>
      <w:r w:rsidRPr="00346304">
        <w:rPr>
          <w:highlight w:val="yellow"/>
        </w:rPr>
        <w:t>Il quadro giuridico stabilisce gli elementi comuni per la definizione della logica di intervento della RRN:</w:t>
      </w:r>
    </w:p>
    <w:p w:rsidR="00675B1D" w:rsidRPr="00346304" w:rsidRDefault="00675B1D" w:rsidP="00406CAA">
      <w:pPr>
        <w:pStyle w:val="Hlistbullet"/>
        <w:rPr>
          <w:highlight w:val="yellow"/>
        </w:rPr>
      </w:pPr>
      <w:r w:rsidRPr="00346304">
        <w:rPr>
          <w:highlight w:val="yellow"/>
        </w:rPr>
        <w:lastRenderedPageBreak/>
        <w:t>i quattro obiettivi comuni della RRN</w:t>
      </w:r>
      <w:r w:rsidRPr="00346304">
        <w:rPr>
          <w:rStyle w:val="FootnoteReference"/>
          <w:highlight w:val="yellow"/>
        </w:rPr>
        <w:footnoteReference w:id="70"/>
      </w:r>
      <w:r w:rsidRPr="00346304">
        <w:rPr>
          <w:highlight w:val="yellow"/>
        </w:rPr>
        <w:t xml:space="preserve">; e </w:t>
      </w:r>
    </w:p>
    <w:p w:rsidR="00675B1D" w:rsidRPr="00346304" w:rsidRDefault="00675B1D" w:rsidP="00406CAA">
      <w:pPr>
        <w:pStyle w:val="Hlistbullet"/>
        <w:rPr>
          <w:highlight w:val="yellow"/>
        </w:rPr>
      </w:pPr>
      <w:r w:rsidRPr="00346304">
        <w:rPr>
          <w:highlight w:val="yellow"/>
        </w:rPr>
        <w:t>i sette gruppi di azioni comuni</w:t>
      </w:r>
      <w:r w:rsidRPr="00346304">
        <w:rPr>
          <w:rStyle w:val="FootnoteReference"/>
          <w:highlight w:val="yellow"/>
        </w:rPr>
        <w:footnoteReference w:id="71"/>
      </w:r>
      <w:r w:rsidRPr="00346304">
        <w:rPr>
          <w:highlight w:val="yellow"/>
        </w:rPr>
        <w:t>.</w:t>
      </w:r>
    </w:p>
    <w:p w:rsidR="00675B1D" w:rsidRPr="00346304" w:rsidRDefault="00675B1D" w:rsidP="00FC0A30">
      <w:pPr>
        <w:pStyle w:val="HStandard"/>
        <w:rPr>
          <w:highlight w:val="yellow"/>
        </w:rPr>
      </w:pPr>
      <w:r w:rsidRPr="00346304">
        <w:rPr>
          <w:highlight w:val="yellow"/>
        </w:rPr>
        <w:t xml:space="preserve">La scheda di orientamento per la definizione e il funzionamento delle reti rurali propone i seguenti collegamenti tra i quattro obiettivi comuni e i sette gruppi di azioni comuni della RRN (cfr. </w:t>
      </w:r>
      <w:r w:rsidRPr="00346304">
        <w:rPr>
          <w:highlight w:val="yellow"/>
        </w:rPr>
        <w:fldChar w:fldCharType="begin" w:fldLock="1"/>
      </w:r>
      <w:r w:rsidRPr="00346304">
        <w:rPr>
          <w:highlight w:val="yellow"/>
        </w:rPr>
        <w:instrText xml:space="preserve"> REF _Ref451784531 \r \h  \* MERGEFORMAT </w:instrText>
      </w:r>
      <w:r w:rsidRPr="00346304">
        <w:rPr>
          <w:highlight w:val="yellow"/>
        </w:rPr>
      </w:r>
      <w:r w:rsidRPr="00346304">
        <w:rPr>
          <w:highlight w:val="yellow"/>
        </w:rPr>
        <w:fldChar w:fldCharType="separate"/>
      </w:r>
      <w:r w:rsidRPr="00346304">
        <w:rPr>
          <w:highlight w:val="yellow"/>
        </w:rPr>
        <w:t>Figura 12</w:t>
      </w:r>
      <w:r w:rsidRPr="00346304">
        <w:rPr>
          <w:highlight w:val="yellow"/>
        </w:rPr>
        <w:fldChar w:fldCharType="end"/>
      </w:r>
      <w:r w:rsidRPr="00346304">
        <w:rPr>
          <w:highlight w:val="yellow"/>
        </w:rPr>
        <w:t xml:space="preserve">). Tuttavia, le parti interessate negli Stati membri possono stabilire i propri collegamenti, corrispondenti alla logica concreta di intervento della RRN. </w:t>
      </w:r>
    </w:p>
    <w:p w:rsidR="00675B1D" w:rsidRPr="00346304" w:rsidRDefault="00675B1D" w:rsidP="00D21174">
      <w:pPr>
        <w:pStyle w:val="HHeadingfigures"/>
        <w:ind w:left="0"/>
        <w:rPr>
          <w:highlight w:val="yellow"/>
        </w:rPr>
      </w:pPr>
      <w:bookmarkStart w:id="112" w:name="_Toc445465127"/>
      <w:bookmarkStart w:id="113" w:name="_Toc451781930"/>
      <w:bookmarkStart w:id="114" w:name="_Toc461616782"/>
      <w:r w:rsidRPr="00346304">
        <w:rPr>
          <w:highlight w:val="yellow"/>
        </w:rPr>
        <w:t xml:space="preserve">Possibili collegamenti tra gli obiettivi comuni e i gruppi di </w:t>
      </w:r>
      <w:bookmarkEnd w:id="112"/>
      <w:r w:rsidRPr="00346304">
        <w:rPr>
          <w:highlight w:val="yellow"/>
        </w:rPr>
        <w:t>azioni della RRN</w:t>
      </w:r>
      <w:bookmarkEnd w:id="113"/>
      <w:bookmarkEnd w:id="114"/>
    </w:p>
    <w:p w:rsidR="00675B1D" w:rsidRPr="00346304" w:rsidRDefault="00675B1D" w:rsidP="00DB1A74">
      <w:pPr>
        <w:pStyle w:val="HStandard"/>
        <w:jc w:val="center"/>
        <w:rPr>
          <w:highlight w:val="yellow"/>
        </w:rPr>
      </w:pPr>
      <w:r w:rsidRPr="00346304">
        <w:rPr>
          <w:noProof/>
          <w:lang w:val="en-GB" w:eastAsia="en-GB" w:bidi="ar-SA"/>
        </w:rPr>
        <w:drawing>
          <wp:inline distT="0" distB="0" distL="0" distR="0" wp14:anchorId="0ABB59EC" wp14:editId="50756DDA">
            <wp:extent cx="5731510" cy="2390140"/>
            <wp:effectExtent l="0" t="0" r="254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11.em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390140"/>
                    </a:xfrm>
                    <a:prstGeom prst="rect">
                      <a:avLst/>
                    </a:prstGeom>
                  </pic:spPr>
                </pic:pic>
              </a:graphicData>
            </a:graphic>
          </wp:inline>
        </w:drawing>
      </w:r>
    </w:p>
    <w:p w:rsidR="00675B1D" w:rsidRPr="00346304" w:rsidRDefault="00675B1D" w:rsidP="00FC0A30">
      <w:pPr>
        <w:pStyle w:val="HSource"/>
        <w:rPr>
          <w:highlight w:val="yellow"/>
        </w:rPr>
      </w:pPr>
      <w:r w:rsidRPr="00346304">
        <w:rPr>
          <w:highlight w:val="yellow"/>
        </w:rPr>
        <w:t>Fonte: Helpdesk europeo della valutazione per lo sviluppo rurale 2016</w:t>
      </w:r>
    </w:p>
    <w:p w:rsidR="00675B1D" w:rsidRPr="00346304" w:rsidRDefault="00675B1D" w:rsidP="00406CAA">
      <w:pPr>
        <w:pStyle w:val="HStandard"/>
        <w:rPr>
          <w:highlight w:val="yellow"/>
        </w:rPr>
      </w:pPr>
      <w:r w:rsidRPr="00346304">
        <w:rPr>
          <w:highlight w:val="yellow"/>
        </w:rPr>
        <w:t xml:space="preserve">Gli obiettivi comuni e i gruppi di azioni della RRN di cui sopra, nonché i collegamenti tra di loro, rappresentano i capisaldi primari, ma sufficienti, per definire la logica di intervento della RRN. Le parti interessate nello Stato membro devono integrare questi elementi comuni con elementi specifici del programma. </w:t>
      </w:r>
    </w:p>
    <w:p w:rsidR="00675B1D" w:rsidRPr="00346304" w:rsidRDefault="00675B1D" w:rsidP="00406CAA">
      <w:pPr>
        <w:pStyle w:val="HStandard"/>
        <w:rPr>
          <w:highlight w:val="yellow"/>
        </w:rPr>
      </w:pPr>
      <w:r w:rsidRPr="00346304">
        <w:rPr>
          <w:highlight w:val="yellow"/>
        </w:rPr>
        <w:t xml:space="preserve">La pratica dimostra che molte RRN hanno preparato il loro piano di azione senza definire la logica di intervento. In tal caso, è importante capire quali gruppi di azioni (comuni e specifici del programma) siano inclusi nel piano di azione della RRN, collegarli ai quattro obiettivi comuni, formulare obiettivi relativi alla RRN specifici del programma e definire i prodotti, i risultati e gli impatti attesi. </w:t>
      </w:r>
    </w:p>
    <w:p w:rsidR="00675B1D" w:rsidRPr="00346304" w:rsidRDefault="00675B1D" w:rsidP="00C72F66">
      <w:pPr>
        <w:pStyle w:val="Heading6"/>
        <w:rPr>
          <w:highlight w:val="yellow"/>
        </w:rPr>
      </w:pPr>
      <w:r w:rsidRPr="00346304">
        <w:rPr>
          <w:highlight w:val="yellow"/>
        </w:rPr>
        <w:t xml:space="preserve">Definire e formulare obiettivi relativi alla RRN specifici del programma </w:t>
      </w:r>
    </w:p>
    <w:p w:rsidR="00675B1D" w:rsidRPr="00346304" w:rsidRDefault="00675B1D" w:rsidP="00FC0A30">
      <w:pPr>
        <w:pStyle w:val="HStandard"/>
        <w:rPr>
          <w:highlight w:val="yellow"/>
        </w:rPr>
      </w:pPr>
      <w:r w:rsidRPr="00346304">
        <w:rPr>
          <w:highlight w:val="yellow"/>
        </w:rPr>
        <w:t xml:space="preserve">Gli obiettivi relativi alla RRN specifici del programma possono essere formulati a livello di obiettivi generali o specifici. Esistono le seguenti possibilità quando si formulano obiettivi relativi alla RRN specifici del programma: </w:t>
      </w:r>
    </w:p>
    <w:p w:rsidR="00675B1D" w:rsidRPr="00346304" w:rsidRDefault="00675B1D" w:rsidP="005368DC">
      <w:pPr>
        <w:pStyle w:val="Hlistbullet2"/>
        <w:rPr>
          <w:highlight w:val="yellow"/>
        </w:rPr>
      </w:pPr>
      <w:r w:rsidRPr="00346304">
        <w:rPr>
          <w:highlight w:val="yellow"/>
        </w:rPr>
        <w:t xml:space="preserve">l'analisi della situazione, l'analisi SWOT e la valutazione delle esigenze hanno identificato le esigenze specifiche del programma che devono essere affrontate tramite interventi della RRN e non sono coperte dai quattro obiettivi comuni, ad esempio, il potenziamento delle capacità al fine di migliorare la governance nelle zone rurali. Le esigenze individuate si trasformano in obiettivi generali relativi alla RRN specifici del programma; </w:t>
      </w:r>
    </w:p>
    <w:p w:rsidR="00675B1D" w:rsidRPr="00346304" w:rsidRDefault="00675B1D" w:rsidP="005368DC">
      <w:pPr>
        <w:pStyle w:val="Hlistbullet2"/>
        <w:rPr>
          <w:highlight w:val="yellow"/>
        </w:rPr>
      </w:pPr>
      <w:r w:rsidRPr="00346304">
        <w:rPr>
          <w:highlight w:val="yellow"/>
        </w:rPr>
        <w:t>i quattro obiettivi comuni della RRN sono ulteriormente concretizzati tramite gli obiettivi specifici della RRN. Ad esempio, si può favorire l'innovazione se si trasferiscono pratiche innovative tra le parti interessate;</w:t>
      </w:r>
    </w:p>
    <w:p w:rsidR="00675B1D" w:rsidRPr="00346304" w:rsidRDefault="00675B1D" w:rsidP="005368DC">
      <w:pPr>
        <w:pStyle w:val="Hlistbullet2"/>
        <w:rPr>
          <w:highlight w:val="yellow"/>
        </w:rPr>
      </w:pPr>
      <w:r w:rsidRPr="00346304">
        <w:rPr>
          <w:highlight w:val="yellow"/>
        </w:rPr>
        <w:t xml:space="preserve">anche la catena prodotti-risultati-impatti della RRN porta alla formulazione di obiettivi relativi alla RRN specifici del programma. I risultati attesi della RRN definiti come risultati attesi specifici del </w:t>
      </w:r>
      <w:r w:rsidRPr="00346304">
        <w:rPr>
          <w:highlight w:val="yellow"/>
        </w:rPr>
        <w:lastRenderedPageBreak/>
        <w:t xml:space="preserve">programma costituiscono le fondamenta per la formulazione degli obiettivi specifici e degli impatti attesi della RRN al fine di definire gli obiettivi generali della RRN; </w:t>
      </w:r>
    </w:p>
    <w:p w:rsidR="00675B1D" w:rsidRPr="00346304" w:rsidRDefault="00675B1D" w:rsidP="005368DC">
      <w:pPr>
        <w:pStyle w:val="Hlistbullet2"/>
        <w:rPr>
          <w:highlight w:val="yellow"/>
        </w:rPr>
      </w:pPr>
      <w:r w:rsidRPr="00346304">
        <w:rPr>
          <w:highlight w:val="yellow"/>
        </w:rPr>
        <w:t>il gruppo di azioni della RRN, comuni e specifiche del programma, come previsto nel piano di azione della RRN, servono come motivazioni per formulare obiettivi operativi della RRN, che siano collegati ai prodotti della RRN.</w:t>
      </w:r>
    </w:p>
    <w:p w:rsidR="00675B1D" w:rsidRPr="00346304" w:rsidRDefault="00675B1D" w:rsidP="00FC0A30">
      <w:pPr>
        <w:pStyle w:val="HStandard"/>
        <w:rPr>
          <w:highlight w:val="yellow"/>
        </w:rPr>
      </w:pPr>
      <w:r w:rsidRPr="00346304">
        <w:rPr>
          <w:highlight w:val="yellow"/>
        </w:rPr>
        <w:t>Gli obiettivi relativi alla RRN specifici del programma dovrebbero essere formulati come obiettivi SMART</w:t>
      </w:r>
      <w:r w:rsidRPr="00346304">
        <w:rPr>
          <w:rStyle w:val="FootnoteReference"/>
          <w:highlight w:val="yellow"/>
        </w:rPr>
        <w:footnoteReference w:id="72"/>
      </w:r>
      <w:r w:rsidRPr="00346304">
        <w:rPr>
          <w:highlight w:val="yellow"/>
        </w:rPr>
        <w:t xml:space="preserve"> e si deve assicurare la gerarchia degli obiettivi operativi specifici e generali. </w:t>
      </w:r>
    </w:p>
    <w:p w:rsidR="00675B1D" w:rsidRPr="00346304" w:rsidRDefault="00675B1D" w:rsidP="00FC0A30">
      <w:pPr>
        <w:pStyle w:val="HStandard"/>
        <w:rPr>
          <w:highlight w:val="yellow"/>
        </w:rPr>
      </w:pPr>
      <w:r w:rsidRPr="00346304">
        <w:rPr>
          <w:highlight w:val="yellow"/>
        </w:rPr>
        <w:t xml:space="preserve">Gli obiettivi relativi alla RRN specifici del programma possono essere formulati in relazione al ruolo delle RRN nell'attuazione della politica di sviluppo rurale oppure essere legati ad aspetti più ampi delle reti rurali nell'ambito del capitale umano e sociale (ad esempio, governance, cambiamento di comportamento, creazione di capacità e conoscenze , ecc. </w:t>
      </w:r>
      <w:r>
        <w:rPr>
          <w:highlight w:val="yellow"/>
        </w:rPr>
        <w:t>–</w:t>
      </w:r>
      <w:r w:rsidRPr="00346304">
        <w:rPr>
          <w:highlight w:val="yellow"/>
        </w:rPr>
        <w:t xml:space="preserve"> cfr. anche la </w:t>
      </w:r>
      <w:r w:rsidRPr="00346304">
        <w:rPr>
          <w:highlight w:val="yellow"/>
        </w:rPr>
        <w:fldChar w:fldCharType="begin" w:fldLock="1"/>
      </w:r>
      <w:r w:rsidRPr="00346304">
        <w:rPr>
          <w:highlight w:val="yellow"/>
        </w:rPr>
        <w:instrText xml:space="preserve"> REF _Ref451784562 \r \h  \* MERGEFORMAT </w:instrText>
      </w:r>
      <w:r w:rsidRPr="00346304">
        <w:rPr>
          <w:highlight w:val="yellow"/>
        </w:rPr>
      </w:r>
      <w:r w:rsidRPr="00346304">
        <w:rPr>
          <w:highlight w:val="yellow"/>
        </w:rPr>
        <w:fldChar w:fldCharType="separate"/>
      </w:r>
      <w:r w:rsidRPr="00346304">
        <w:rPr>
          <w:highlight w:val="yellow"/>
        </w:rPr>
        <w:t>Figura 7</w:t>
      </w:r>
      <w:r w:rsidRPr="00346304">
        <w:rPr>
          <w:highlight w:val="yellow"/>
        </w:rPr>
        <w:fldChar w:fldCharType="end"/>
      </w:r>
      <w:r w:rsidRPr="00346304">
        <w:rPr>
          <w:highlight w:val="yellow"/>
        </w:rPr>
        <w:t xml:space="preserve"> al capitolo 1.4.2).</w:t>
      </w:r>
    </w:p>
    <w:p w:rsidR="00675B1D" w:rsidRPr="00346304" w:rsidRDefault="00675B1D" w:rsidP="00FC0A30">
      <w:pPr>
        <w:pStyle w:val="HStandard"/>
        <w:rPr>
          <w:highlight w:val="yellow"/>
        </w:rPr>
      </w:pPr>
      <w:r w:rsidRPr="00346304">
        <w:rPr>
          <w:highlight w:val="yellow"/>
        </w:rPr>
        <w:t>In caso di PRRN,</w:t>
      </w:r>
      <w:r>
        <w:rPr>
          <w:highlight w:val="yellow"/>
        </w:rPr>
        <w:t xml:space="preserve"> </w:t>
      </w:r>
      <w:r w:rsidRPr="00346304">
        <w:rPr>
          <w:highlight w:val="yellow"/>
        </w:rPr>
        <w:t>le attività e gli obiettivi specifici del programma sono definiti nella fase di progettazione. Idealmente gli obiettivi della RRN all'interno del PSR dovrebbero essere formulati all'avvio delle operazioni della RRN o successivamente, durante la preparazione per la valutazione. Tuttavia, potrebbero anche essere definiti in aggiunta nell'ambito della preparazione della valutazione oppure quando l'ambiente cambia, generando nuove esigenze.</w:t>
      </w:r>
    </w:p>
    <w:p w:rsidR="00675B1D" w:rsidRPr="00346304" w:rsidRDefault="00675B1D" w:rsidP="00C72F66">
      <w:pPr>
        <w:pStyle w:val="Heading6"/>
        <w:rPr>
          <w:highlight w:val="yellow"/>
        </w:rPr>
      </w:pPr>
      <w:r w:rsidRPr="00346304">
        <w:rPr>
          <w:highlight w:val="yellow"/>
        </w:rPr>
        <w:t xml:space="preserve">Definire i prodotti, i risultati e gli impatti attesi della RRN </w:t>
      </w:r>
    </w:p>
    <w:p w:rsidR="00675B1D" w:rsidRPr="00346304" w:rsidRDefault="00675B1D" w:rsidP="00FC0A30">
      <w:pPr>
        <w:pStyle w:val="HStandard"/>
        <w:rPr>
          <w:highlight w:val="yellow"/>
        </w:rPr>
      </w:pPr>
      <w:r w:rsidRPr="00346304">
        <w:rPr>
          <w:highlight w:val="yellow"/>
        </w:rPr>
        <w:t>Tramite il gruppo di attività della RRN, comuni e specifiche del programma, le RRN dovrebbero riuscire a generare:</w:t>
      </w:r>
    </w:p>
    <w:p w:rsidR="00675B1D" w:rsidRPr="00346304" w:rsidRDefault="00675B1D" w:rsidP="00406CAA">
      <w:pPr>
        <w:pStyle w:val="Hlistbullet"/>
        <w:rPr>
          <w:highlight w:val="yellow"/>
        </w:rPr>
      </w:pPr>
      <w:r w:rsidRPr="00346304">
        <w:rPr>
          <w:highlight w:val="yellow"/>
        </w:rPr>
        <w:t xml:space="preserve">prodotti (ad esempio numero di sessioni di formazione, scambi analitici, esempi raccolti, ecc.); </w:t>
      </w:r>
    </w:p>
    <w:p w:rsidR="00675B1D" w:rsidRPr="00346304" w:rsidRDefault="00675B1D" w:rsidP="00406CAA">
      <w:pPr>
        <w:pStyle w:val="Hlistbullet"/>
        <w:rPr>
          <w:highlight w:val="yellow"/>
        </w:rPr>
      </w:pPr>
      <w:r w:rsidRPr="00346304">
        <w:rPr>
          <w:highlight w:val="yellow"/>
        </w:rPr>
        <w:t xml:space="preserve">risultati all'interno del gruppo dei membri della RRN e dei beneficiari del programma (ad esempio, migliori conoscenze e capacità nell'attuazione del PSR, progetti più innovativi, mutato comportamento nel processo decisionale, ecc.); e </w:t>
      </w:r>
    </w:p>
    <w:p w:rsidR="00675B1D" w:rsidRPr="00346304" w:rsidRDefault="00675B1D" w:rsidP="00406CAA">
      <w:pPr>
        <w:pStyle w:val="Hlistbullet"/>
        <w:rPr>
          <w:highlight w:val="yellow"/>
        </w:rPr>
      </w:pPr>
      <w:r w:rsidRPr="00346304">
        <w:rPr>
          <w:highlight w:val="yellow"/>
        </w:rPr>
        <w:t xml:space="preserve">impatti nella zona interessata dal programma (ad esempio, una migliore governance del programma, maggiori attività in rete, ecc.). </w:t>
      </w:r>
    </w:p>
    <w:p w:rsidR="00675B1D" w:rsidRPr="00346304" w:rsidRDefault="00675B1D" w:rsidP="00FC0A30">
      <w:pPr>
        <w:pStyle w:val="HStandard"/>
        <w:rPr>
          <w:highlight w:val="yellow"/>
        </w:rPr>
      </w:pPr>
      <w:r w:rsidRPr="00346304">
        <w:rPr>
          <w:highlight w:val="yellow"/>
        </w:rPr>
        <w:t>Quando si definisce la logica d'intervento della RRN, i prodotti, i risultati e gli impatti attesi possono essere formulati:</w:t>
      </w:r>
    </w:p>
    <w:p w:rsidR="00675B1D" w:rsidRPr="00346304" w:rsidRDefault="00675B1D" w:rsidP="00406CAA">
      <w:pPr>
        <w:pStyle w:val="Hlistbullet"/>
        <w:rPr>
          <w:highlight w:val="yellow"/>
        </w:rPr>
      </w:pPr>
      <w:r w:rsidRPr="00346304">
        <w:rPr>
          <w:highlight w:val="yellow"/>
        </w:rPr>
        <w:t>secondo una coerenza orizzontale con gli obiettivi della RRN comuni e specifici del programma. Ad esempio, gli impatti attesi dovrebbero portare alla realizzazione degli obiettivi generali della RRN. I risultati attesi dovrebbero essere in linea con gli obiettivi specifici della RRN e i prodotti attesi sono generati per conseguire gli obiettivi operativi;</w:t>
      </w:r>
    </w:p>
    <w:p w:rsidR="00675B1D" w:rsidRPr="00346304" w:rsidRDefault="00675B1D" w:rsidP="00406CAA">
      <w:pPr>
        <w:pStyle w:val="Hlistbullet"/>
        <w:rPr>
          <w:highlight w:val="yellow"/>
        </w:rPr>
      </w:pPr>
      <w:r w:rsidRPr="00346304">
        <w:rPr>
          <w:highlight w:val="yellow"/>
        </w:rPr>
        <w:t>secondo una coerenza verticale, partendo da gruppi di azioni e salendo lungo la catena prodotti-risultati-impatti della RRN. Ad esempio, le sessioni di formazione per i consulenti (prodotti) contribuiranno a migliorare le pratiche innovative in modo trasversale tra gli agricoltori (risultati) e favoriranno l'innovazione nei progetti del PSR presentati (impatti).</w:t>
      </w:r>
    </w:p>
    <w:p w:rsidR="00675B1D" w:rsidRPr="00346304" w:rsidRDefault="00675B1D" w:rsidP="00C72F66">
      <w:pPr>
        <w:pStyle w:val="Heading6"/>
        <w:rPr>
          <w:highlight w:val="yellow"/>
        </w:rPr>
      </w:pPr>
      <w:r w:rsidRPr="00346304">
        <w:rPr>
          <w:highlight w:val="yellow"/>
        </w:rPr>
        <w:t>Definire la logica di intervento della RRN e verificarne la coerenza verticale e orizzontale</w:t>
      </w:r>
    </w:p>
    <w:p w:rsidR="00675B1D" w:rsidRPr="00346304" w:rsidRDefault="00675B1D" w:rsidP="00FC0A30">
      <w:pPr>
        <w:pStyle w:val="HStandard"/>
        <w:rPr>
          <w:highlight w:val="yellow"/>
        </w:rPr>
      </w:pPr>
      <w:r w:rsidRPr="00346304">
        <w:rPr>
          <w:highlight w:val="yellow"/>
        </w:rPr>
        <w:t xml:space="preserve">Come anzidetto, gli obiettivi comuni (che presumono anche gli impatti attesi), le attività e i prodotti devono essere ulteriormente integrati con le attività e gli obiettivi relativi alla RRN specifici del programma, nonché con i prodotti, i risultati e gli impatti attesi. </w:t>
      </w:r>
    </w:p>
    <w:p w:rsidR="00675B1D" w:rsidRPr="00346304" w:rsidRDefault="00675B1D" w:rsidP="00FC0A30">
      <w:pPr>
        <w:pStyle w:val="HStandard"/>
        <w:rPr>
          <w:highlight w:val="yellow"/>
        </w:rPr>
      </w:pPr>
      <w:r w:rsidRPr="00346304">
        <w:rPr>
          <w:highlight w:val="yellow"/>
        </w:rPr>
        <w:t xml:space="preserve">La figura che segue può aiutare a definire la logica di intervento della RRN. In questa figura, gli obiettivi comuni sono riportati sul lato sinistro, le attività comuni al centro e i prodotti e gli impatti comuni attesi si trovano invece sul lato destro. Dalla figura risulta evidente che i quattro obiettivi comuni non sono sufficienti per esprimere tutti i possibili interventi delle RRN, che i prodotti comuni non coprono tutte le </w:t>
      </w:r>
      <w:r w:rsidRPr="00346304">
        <w:rPr>
          <w:highlight w:val="yellow"/>
        </w:rPr>
        <w:lastRenderedPageBreak/>
        <w:t xml:space="preserve">attività comuni e che i risultati e gli impatti comuni non sono definiti. Pertanto, nella figura, si lascia sempre spazio per attività, prodotti, risultati e impatti, e obiettivi relativi alla RRN specifici del programma. Spetta alle parti interessate nello Stato membro definire gli elementi della logica di intervento della RRN mancanti e collegarli con coerenza </w:t>
      </w:r>
      <w:r w:rsidRPr="00346304">
        <w:rPr>
          <w:b/>
          <w:highlight w:val="yellow"/>
        </w:rPr>
        <w:t xml:space="preserve">verticale </w:t>
      </w:r>
      <w:r w:rsidRPr="00346304">
        <w:rPr>
          <w:highlight w:val="yellow"/>
        </w:rPr>
        <w:t xml:space="preserve">(tra obiettivi e tra prodotti, risultati e impatti) e </w:t>
      </w:r>
      <w:r w:rsidRPr="00346304">
        <w:rPr>
          <w:b/>
          <w:highlight w:val="yellow"/>
        </w:rPr>
        <w:t xml:space="preserve">orizzontale </w:t>
      </w:r>
      <w:r w:rsidRPr="00346304">
        <w:rPr>
          <w:highlight w:val="yellow"/>
        </w:rPr>
        <w:t>(tra gli obiettivi e gli effetti ad ogni livello della gerarchia della logica di intervento.</w:t>
      </w:r>
    </w:p>
    <w:p w:rsidR="00675B1D" w:rsidRPr="00346304" w:rsidRDefault="00675B1D">
      <w:pPr>
        <w:spacing w:after="0" w:line="240" w:lineRule="auto"/>
        <w:rPr>
          <w:rFonts w:cs="Arial"/>
          <w:b/>
          <w:color w:val="576C88" w:themeColor="text2" w:themeTint="D9"/>
          <w:sz w:val="16"/>
          <w:szCs w:val="20"/>
          <w:highlight w:val="yellow"/>
        </w:rPr>
      </w:pPr>
      <w:bookmarkStart w:id="115" w:name="_Toc445465128"/>
      <w:bookmarkStart w:id="116" w:name="_Ref435791996"/>
    </w:p>
    <w:p w:rsidR="00675B1D" w:rsidRPr="00346304" w:rsidRDefault="00675B1D" w:rsidP="00D21174">
      <w:pPr>
        <w:pStyle w:val="HHeadingfigures"/>
        <w:ind w:left="0"/>
        <w:rPr>
          <w:highlight w:val="yellow"/>
        </w:rPr>
      </w:pPr>
      <w:bookmarkStart w:id="117" w:name="_Toc451781931"/>
      <w:bookmarkStart w:id="118" w:name="_Ref451784531"/>
      <w:bookmarkStart w:id="119" w:name="_Ref451784607"/>
      <w:bookmarkStart w:id="120" w:name="_Toc461616783"/>
      <w:r w:rsidRPr="00346304">
        <w:rPr>
          <w:highlight w:val="yellow"/>
        </w:rPr>
        <w:t>Collegare obiettivi relativi alla RRN comuni e specifici del programma, gruppi di azioni, e prodotti, risultati e impatti attesi</w:t>
      </w:r>
      <w:bookmarkEnd w:id="115"/>
      <w:bookmarkEnd w:id="117"/>
      <w:bookmarkEnd w:id="118"/>
      <w:bookmarkEnd w:id="119"/>
      <w:bookmarkEnd w:id="120"/>
    </w:p>
    <w:bookmarkEnd w:id="116"/>
    <w:p w:rsidR="00675B1D" w:rsidRPr="00346304" w:rsidRDefault="00675B1D" w:rsidP="00FC0A30">
      <w:pPr>
        <w:pStyle w:val="HStandard"/>
        <w:rPr>
          <w:highlight w:val="yellow"/>
        </w:rPr>
      </w:pPr>
      <w:r w:rsidRPr="00346304">
        <w:rPr>
          <w:noProof/>
          <w:lang w:val="en-GB" w:eastAsia="en-GB" w:bidi="ar-SA"/>
        </w:rPr>
        <w:drawing>
          <wp:inline distT="0" distB="0" distL="0" distR="0" wp14:anchorId="44042A19" wp14:editId="6ECFDC1E">
            <wp:extent cx="5731510" cy="3325495"/>
            <wp:effectExtent l="0" t="0" r="2540" b="825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0 - fig 12.e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325495"/>
                    </a:xfrm>
                    <a:prstGeom prst="rect">
                      <a:avLst/>
                    </a:prstGeom>
                  </pic:spPr>
                </pic:pic>
              </a:graphicData>
            </a:graphic>
          </wp:inline>
        </w:drawing>
      </w:r>
    </w:p>
    <w:p w:rsidR="00675B1D" w:rsidRPr="00346304" w:rsidRDefault="00675B1D" w:rsidP="00FC0A30">
      <w:pPr>
        <w:pStyle w:val="HSource"/>
        <w:rPr>
          <w:highlight w:val="yellow"/>
        </w:rPr>
      </w:pPr>
      <w:r w:rsidRPr="00346304">
        <w:rPr>
          <w:highlight w:val="yellow"/>
        </w:rPr>
        <w:t>Fonte: Helpdesk europeo della valutazione per lo sviluppo rurale 2016</w:t>
      </w:r>
    </w:p>
    <w:p w:rsidR="00675B1D" w:rsidRPr="00346304" w:rsidRDefault="00675B1D" w:rsidP="00FC0A30">
      <w:pPr>
        <w:pStyle w:val="HStandard"/>
        <w:rPr>
          <w:highlight w:val="yellow"/>
        </w:rPr>
      </w:pPr>
      <w:r w:rsidRPr="00346304">
        <w:rPr>
          <w:highlight w:val="yellow"/>
        </w:rPr>
        <w:t xml:space="preserve">Un altro strumento utile che può essere impiegato nella definizione della logica di intervento ha un formato tabellare (cfr. </w:t>
      </w:r>
      <w:r w:rsidRPr="00346304">
        <w:rPr>
          <w:highlight w:val="yellow"/>
        </w:rPr>
        <w:fldChar w:fldCharType="begin" w:fldLock="1"/>
      </w:r>
      <w:r w:rsidRPr="00346304">
        <w:rPr>
          <w:highlight w:val="yellow"/>
        </w:rPr>
        <w:instrText xml:space="preserve"> REF _Ref451784947 \r \h  \* MERGEFORMAT </w:instrText>
      </w:r>
      <w:r w:rsidRPr="00346304">
        <w:rPr>
          <w:highlight w:val="yellow"/>
        </w:rPr>
      </w:r>
      <w:r w:rsidRPr="00346304">
        <w:rPr>
          <w:highlight w:val="yellow"/>
        </w:rPr>
        <w:fldChar w:fldCharType="separate"/>
      </w:r>
      <w:r w:rsidRPr="00346304">
        <w:rPr>
          <w:highlight w:val="yellow"/>
        </w:rPr>
        <w:t>Tabella 5</w:t>
      </w:r>
      <w:r w:rsidRPr="00346304">
        <w:rPr>
          <w:highlight w:val="yellow"/>
        </w:rPr>
        <w:fldChar w:fldCharType="end"/>
      </w:r>
      <w:r w:rsidRPr="00346304">
        <w:rPr>
          <w:highlight w:val="yellow"/>
        </w:rPr>
        <w:t>) che permette di creare una gerarchia di obiettivi e di effetti attesi in coerenza verticale e orizzontale. Aiuta ad affinare la logica, nonché a individuare lacune nella definizione degli obiettivi. In questo esempio, gli obiettivi generali e specifici della RRN sono creati a partire da obiettivi comuni e specifici del programma. Il mix dipende dal contesto e dalle esigenze della specifica zona in questione.</w:t>
      </w:r>
    </w:p>
    <w:p w:rsidR="00675B1D" w:rsidRPr="00346304" w:rsidRDefault="00675B1D" w:rsidP="005E40EA">
      <w:pPr>
        <w:pStyle w:val="HHeadingtables"/>
        <w:ind w:left="0"/>
        <w:rPr>
          <w:highlight w:val="yellow"/>
        </w:rPr>
      </w:pPr>
      <w:bookmarkStart w:id="121" w:name="_Toc436383147"/>
      <w:bookmarkStart w:id="122" w:name="_Toc451781909"/>
      <w:bookmarkStart w:id="123" w:name="_Ref451784947"/>
      <w:bookmarkStart w:id="124" w:name="_Toc461616766"/>
      <w:r w:rsidRPr="00346304">
        <w:rPr>
          <w:highlight w:val="yellow"/>
        </w:rPr>
        <w:t xml:space="preserve">Gerarchia degli </w:t>
      </w:r>
      <w:bookmarkEnd w:id="121"/>
      <w:r w:rsidRPr="00346304">
        <w:rPr>
          <w:highlight w:val="yellow"/>
        </w:rPr>
        <w:t>effetti attesi e degli obiettivi della RRN</w:t>
      </w:r>
      <w:bookmarkEnd w:id="122"/>
      <w:bookmarkEnd w:id="123"/>
      <w:bookmarkEnd w:id="124"/>
    </w:p>
    <w:tbl>
      <w:tblPr>
        <w:tblStyle w:val="TableGrid"/>
        <w:tblW w:w="5000" w:type="pct"/>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068"/>
        <w:gridCol w:w="2948"/>
      </w:tblGrid>
      <w:tr w:rsidR="00675B1D" w:rsidRPr="00346304" w:rsidTr="00D21174">
        <w:tc>
          <w:tcPr>
            <w:tcW w:w="336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t>Obiettivi generali della RRN</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risultanti dall'articolo 54 del regolamento 1305/2013</w:t>
            </w:r>
          </w:p>
          <w:p w:rsidR="00675B1D" w:rsidRPr="00346304" w:rsidRDefault="00675B1D" w:rsidP="00675B1D">
            <w:pPr>
              <w:pStyle w:val="Htablebullet"/>
              <w:spacing w:before="20" w:after="20"/>
              <w:rPr>
                <w:color w:val="576C88" w:themeColor="text2" w:themeTint="D9"/>
                <w:highlight w:val="yellow"/>
              </w:rPr>
            </w:pPr>
            <w:r w:rsidRPr="00346304">
              <w:rPr>
                <w:color w:val="576C88" w:themeColor="text2" w:themeTint="D9"/>
                <w:highlight w:val="yellow"/>
              </w:rPr>
              <w:t>stimolare la partecipazione delle parti interessate all'attuazione dello sviluppo rurale;</w:t>
            </w:r>
          </w:p>
          <w:p w:rsidR="00675B1D" w:rsidRPr="00346304" w:rsidRDefault="00675B1D" w:rsidP="00675B1D">
            <w:pPr>
              <w:pStyle w:val="Htablebullet"/>
              <w:spacing w:before="20" w:after="20"/>
              <w:rPr>
                <w:color w:val="576C88" w:themeColor="text2" w:themeTint="D9"/>
                <w:highlight w:val="yellow"/>
              </w:rPr>
            </w:pPr>
            <w:r w:rsidRPr="00346304">
              <w:rPr>
                <w:color w:val="576C88" w:themeColor="text2" w:themeTint="D9"/>
                <w:highlight w:val="yellow"/>
              </w:rPr>
              <w:t>migliorare la qualità dell'attuazione dei programmi di sviluppo rurale;</w:t>
            </w:r>
          </w:p>
          <w:p w:rsidR="00675B1D" w:rsidRPr="00346304" w:rsidRDefault="00675B1D" w:rsidP="00675B1D">
            <w:pPr>
              <w:pStyle w:val="Htablebullet"/>
              <w:spacing w:before="20" w:after="20"/>
              <w:rPr>
                <w:color w:val="576C88" w:themeColor="text2" w:themeTint="D9"/>
                <w:highlight w:val="yellow"/>
              </w:rPr>
            </w:pPr>
            <w:r w:rsidRPr="00346304">
              <w:rPr>
                <w:color w:val="576C88" w:themeColor="text2" w:themeTint="D9"/>
                <w:highlight w:val="yellow"/>
              </w:rPr>
              <w:t>informare il pubblico e i potenziali beneficiari sulla politica di sviluppo rurale e su eventuali possibilità di finanziamento;</w:t>
            </w:r>
          </w:p>
          <w:p w:rsidR="00675B1D" w:rsidRPr="00346304" w:rsidRDefault="00675B1D" w:rsidP="00675B1D">
            <w:pPr>
              <w:pStyle w:val="Htablebullet"/>
              <w:spacing w:before="20" w:after="20"/>
              <w:rPr>
                <w:color w:val="576C88" w:themeColor="text2" w:themeTint="D9"/>
                <w:highlight w:val="yellow"/>
              </w:rPr>
            </w:pPr>
            <w:r w:rsidRPr="00346304">
              <w:rPr>
                <w:color w:val="576C88" w:themeColor="text2" w:themeTint="D9"/>
                <w:highlight w:val="yellow"/>
              </w:rPr>
              <w:t>promuovere l'innovazione nel settore agricolo, nella produzione alimentare, nella silvicoltura e nelle zone rurali.</w:t>
            </w:r>
          </w:p>
          <w:p w:rsidR="00675B1D" w:rsidRPr="00346304" w:rsidRDefault="00675B1D" w:rsidP="00FC0A30">
            <w:pPr>
              <w:pStyle w:val="Htableleft"/>
              <w:spacing w:before="20" w:after="20"/>
              <w:rPr>
                <w:color w:val="576C88" w:themeColor="text2" w:themeTint="D9"/>
                <w:highlight w:val="yellow"/>
              </w:rPr>
            </w:pPr>
          </w:p>
          <w:p w:rsidR="00675B1D" w:rsidRPr="00346304" w:rsidRDefault="00675B1D" w:rsidP="00CD2BC2">
            <w:pPr>
              <w:pStyle w:val="Htableleft"/>
              <w:spacing w:before="20" w:after="20"/>
              <w:rPr>
                <w:color w:val="576C88" w:themeColor="text2" w:themeTint="D9"/>
                <w:highlight w:val="yellow"/>
              </w:rPr>
            </w:pPr>
            <w:r w:rsidRPr="00346304">
              <w:rPr>
                <w:color w:val="576C88" w:themeColor="text2" w:themeTint="D9"/>
                <w:highlight w:val="yellow"/>
              </w:rPr>
              <w:t xml:space="preserve">Possono altresì includere obiettivi generali relativi alla RRN specifici del programma, che esprimono i cambiamenti determinati dalle attività della </w:t>
            </w:r>
            <w:r w:rsidRPr="00346304">
              <w:rPr>
                <w:color w:val="576C88" w:themeColor="text2" w:themeTint="D9"/>
                <w:highlight w:val="yellow"/>
              </w:rPr>
              <w:lastRenderedPageBreak/>
              <w:t>RRN a livello della zona del PSR (ad esempio, attività in rete generali nelle zone rurali, creazione di capitale sociale)</w:t>
            </w:r>
          </w:p>
        </w:tc>
        <w:tc>
          <w:tcPr>
            <w:tcW w:w="163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lastRenderedPageBreak/>
              <w:t>Impatti attesi</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 xml:space="preserve">correlati agli obiettivi relativi alla RRN globali (comuni e specifici del programma) </w:t>
            </w:r>
          </w:p>
          <w:p w:rsidR="00675B1D" w:rsidRPr="00346304" w:rsidRDefault="00675B1D" w:rsidP="00FC0A30">
            <w:pPr>
              <w:pStyle w:val="Htableleft"/>
              <w:spacing w:before="20" w:after="20"/>
              <w:rPr>
                <w:color w:val="576C88" w:themeColor="text2" w:themeTint="D9"/>
                <w:highlight w:val="yellow"/>
              </w:rPr>
            </w:pPr>
          </w:p>
        </w:tc>
      </w:tr>
      <w:tr w:rsidR="00675B1D" w:rsidRPr="00346304" w:rsidTr="00D21174">
        <w:tc>
          <w:tcPr>
            <w:tcW w:w="336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t>Obiettivi specifici della RRN</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possono includere obiettivi relativi alla RRN specifici del programma che esprimono cambiamenti all'interno del gruppo di beneficiari della RRN (ad esempio rafforzare la creazione di reti tra i beneficiari)</w:t>
            </w:r>
          </w:p>
          <w:p w:rsidR="00675B1D" w:rsidRPr="00346304" w:rsidRDefault="00675B1D" w:rsidP="00FC0A30">
            <w:pPr>
              <w:pStyle w:val="Htableleft"/>
              <w:spacing w:before="20" w:after="20"/>
              <w:rPr>
                <w:color w:val="576C88" w:themeColor="text2" w:themeTint="D9"/>
                <w:highlight w:val="yellow"/>
              </w:rPr>
            </w:pP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Possono anche includere obiettivi suddivisi, come indicato all'articolo 54 del regolamento 1305/2013</w:t>
            </w:r>
          </w:p>
        </w:tc>
        <w:tc>
          <w:tcPr>
            <w:tcW w:w="163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t xml:space="preserve">Risultati attesi </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 xml:space="preserve">correlati agli obiettivi relativi alla RRN specifici (comuni e specifici del programma) </w:t>
            </w:r>
          </w:p>
          <w:p w:rsidR="00675B1D" w:rsidRPr="00346304" w:rsidRDefault="00675B1D" w:rsidP="00FC0A30">
            <w:pPr>
              <w:pStyle w:val="Htableleft"/>
              <w:spacing w:before="20" w:after="20"/>
              <w:rPr>
                <w:color w:val="576C88" w:themeColor="text2" w:themeTint="D9"/>
                <w:highlight w:val="yellow"/>
              </w:rPr>
            </w:pPr>
          </w:p>
        </w:tc>
      </w:tr>
      <w:tr w:rsidR="00675B1D" w:rsidRPr="00346304" w:rsidTr="00D21174">
        <w:tc>
          <w:tcPr>
            <w:tcW w:w="336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t>Obiettivi operativi</w:t>
            </w:r>
          </w:p>
          <w:p w:rsidR="00675B1D" w:rsidRPr="00346304" w:rsidRDefault="00675B1D" w:rsidP="00C72F66">
            <w:pPr>
              <w:pStyle w:val="Htableleft"/>
              <w:spacing w:before="20" w:after="20"/>
              <w:rPr>
                <w:color w:val="576C88" w:themeColor="text2" w:themeTint="D9"/>
                <w:highlight w:val="yellow"/>
              </w:rPr>
            </w:pPr>
            <w:r w:rsidRPr="00346304">
              <w:rPr>
                <w:color w:val="576C88" w:themeColor="text2" w:themeTint="D9"/>
                <w:highlight w:val="yellow"/>
              </w:rPr>
              <w:t>legati alle attività, come pianificato nel piano di azione</w:t>
            </w:r>
          </w:p>
        </w:tc>
        <w:tc>
          <w:tcPr>
            <w:tcW w:w="1635" w:type="pct"/>
            <w:shd w:val="clear" w:color="auto" w:fill="F5F4F4" w:themeFill="background2" w:themeFillTint="66"/>
          </w:tcPr>
          <w:p w:rsidR="00675B1D" w:rsidRPr="00346304" w:rsidRDefault="00675B1D" w:rsidP="00FC0A30">
            <w:pPr>
              <w:pStyle w:val="Htableleft"/>
              <w:spacing w:before="20" w:after="20"/>
              <w:rPr>
                <w:b/>
                <w:color w:val="576C88" w:themeColor="text2" w:themeTint="D9"/>
                <w:highlight w:val="yellow"/>
              </w:rPr>
            </w:pPr>
            <w:r w:rsidRPr="00346304">
              <w:rPr>
                <w:b/>
                <w:color w:val="576C88" w:themeColor="text2" w:themeTint="D9"/>
                <w:highlight w:val="yellow"/>
              </w:rPr>
              <w:t>Prodotti attesi</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 xml:space="preserve">Comuni come stabilito nell'Allegato IV del regolamento di esecuzione 808/2014 della Commissione </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Numero di scambi tematici e analitici istituiti con il sostegno della RRN (O.24)</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Numero di strumenti di comunicazione della RRN (O.25)</w:t>
            </w: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 xml:space="preserve">Numero di attività della RESR alle quali ha partecipato la RRN (O.26) </w:t>
            </w:r>
          </w:p>
          <w:p w:rsidR="00675B1D" w:rsidRPr="00346304" w:rsidRDefault="00675B1D" w:rsidP="00FC0A30">
            <w:pPr>
              <w:pStyle w:val="Htableleft"/>
              <w:spacing w:before="20" w:after="20"/>
              <w:rPr>
                <w:color w:val="576C88" w:themeColor="text2" w:themeTint="D9"/>
                <w:highlight w:val="yellow"/>
              </w:rPr>
            </w:pPr>
          </w:p>
          <w:p w:rsidR="00675B1D" w:rsidRPr="00346304" w:rsidRDefault="00675B1D" w:rsidP="00FC0A30">
            <w:pPr>
              <w:pStyle w:val="Htableleft"/>
              <w:spacing w:before="20" w:after="20"/>
              <w:rPr>
                <w:color w:val="576C88" w:themeColor="text2" w:themeTint="D9"/>
                <w:highlight w:val="yellow"/>
              </w:rPr>
            </w:pPr>
            <w:r w:rsidRPr="00346304">
              <w:rPr>
                <w:color w:val="576C88" w:themeColor="text2" w:themeTint="D9"/>
                <w:highlight w:val="yellow"/>
              </w:rPr>
              <w:t xml:space="preserve">Specifici del programma, relativi ad attività della RRN specifiche del programma </w:t>
            </w:r>
          </w:p>
        </w:tc>
      </w:tr>
    </w:tbl>
    <w:p w:rsidR="00675B1D" w:rsidRPr="00346304" w:rsidRDefault="00675B1D" w:rsidP="00FC0A30">
      <w:pPr>
        <w:pStyle w:val="HStandard"/>
        <w:rPr>
          <w:highlight w:val="yellow"/>
        </w:rPr>
      </w:pPr>
      <w:r w:rsidRPr="00346304">
        <w:rPr>
          <w:highlight w:val="yellow"/>
        </w:rPr>
        <w:t xml:space="preserve">Dopo aver definito la logica di intervento della RRN, è importante verificarne la coerenza interna (verticale e orizzontale). </w:t>
      </w:r>
    </w:p>
    <w:p w:rsidR="00675B1D" w:rsidRPr="00346304" w:rsidRDefault="00675B1D" w:rsidP="00FC0A30">
      <w:pPr>
        <w:pStyle w:val="HStandard"/>
        <w:rPr>
          <w:highlight w:val="yellow"/>
        </w:rPr>
      </w:pPr>
      <w:r w:rsidRPr="00346304">
        <w:rPr>
          <w:highlight w:val="yellow"/>
        </w:rPr>
        <w:t xml:space="preserve">La </w:t>
      </w:r>
      <w:r w:rsidRPr="00346304">
        <w:rPr>
          <w:b/>
          <w:highlight w:val="yellow"/>
        </w:rPr>
        <w:t>verifica della coerenza orizzontale</w:t>
      </w:r>
      <w:r w:rsidRPr="00346304">
        <w:rPr>
          <w:highlight w:val="yellow"/>
        </w:rPr>
        <w:t xml:space="preserve"> viene effettuata analizzando se gli effetti attesi a ogni livello (prodotti, risultati, impatti) corrispondono agli obiettivi fissati nei rispettivi livelli (obiettivi operativi, specifici, generali) e se ci sono contraddizioni o discrepanze tra gli obiettivi e gli effetti attesi definiti per ogni livello. Nel caso di PRRN il rischio che vi siano obiettivi contraddittori sarà piuttosto limitato. Per quanto riguarda le RRN all'interno del PSR, gli obiettivi dovrebbero essere coerenti con quelli del PSR nel suo complesso. Possono verificarsi contraddizioni qua e là, ma più spesso i valutatori troveranno incongruenze quali duplicazioni o lacune in relazione ad altre misure, in particolare per la priorità 1.</w:t>
      </w:r>
    </w:p>
    <w:p w:rsidR="00675B1D" w:rsidRPr="00346304" w:rsidRDefault="00675B1D" w:rsidP="00FC0A30">
      <w:pPr>
        <w:pStyle w:val="HStandard"/>
        <w:rPr>
          <w:highlight w:val="yellow"/>
        </w:rPr>
      </w:pPr>
      <w:r w:rsidRPr="00346304">
        <w:rPr>
          <w:highlight w:val="yellow"/>
        </w:rPr>
        <w:t xml:space="preserve">La </w:t>
      </w:r>
      <w:r w:rsidRPr="00346304">
        <w:rPr>
          <w:b/>
          <w:highlight w:val="yellow"/>
        </w:rPr>
        <w:t>verifica della coerenza verticale</w:t>
      </w:r>
      <w:r w:rsidRPr="00346304">
        <w:rPr>
          <w:highlight w:val="yellow"/>
        </w:rPr>
        <w:t xml:space="preserve"> viene effettuata analizzando la gerarchia degli obiettivi della RRN/effetti attesi: </w:t>
      </w:r>
    </w:p>
    <w:p w:rsidR="00675B1D" w:rsidRPr="00346304" w:rsidRDefault="00675B1D" w:rsidP="00C72F66">
      <w:pPr>
        <w:pStyle w:val="Hlistbullet"/>
        <w:rPr>
          <w:highlight w:val="yellow"/>
        </w:rPr>
      </w:pPr>
      <w:r w:rsidRPr="00346304">
        <w:rPr>
          <w:highlight w:val="yellow"/>
        </w:rPr>
        <w:t>innanzitutto chiedendosi se i presupposti che regolano questo quadro logico sono plausibili (ad esempio, «perché o sulla base di quale ipotesi la formazione delle parti interessate dovrebbe portare a cambiamenti nelle loro pratiche?»);</w:t>
      </w:r>
    </w:p>
    <w:p w:rsidR="00675B1D" w:rsidRPr="00346304" w:rsidRDefault="00675B1D" w:rsidP="000610EA">
      <w:pPr>
        <w:pStyle w:val="Hlistbullet"/>
        <w:rPr>
          <w:b/>
          <w:highlight w:val="yellow"/>
        </w:rPr>
      </w:pPr>
      <w:r w:rsidRPr="00346304">
        <w:rPr>
          <w:highlight w:val="yellow"/>
        </w:rPr>
        <w:t xml:space="preserve">in secondo luogo, esaminando se le attività scelte e le dotazioni di bilancio per ogni gruppo di azioni sono suscettibili di produrre gli effetti attesi. </w:t>
      </w:r>
    </w:p>
    <w:p w:rsidR="00675B1D" w:rsidRPr="00346304" w:rsidRDefault="00675B1D" w:rsidP="00C72F66">
      <w:pPr>
        <w:pStyle w:val="Heading6"/>
        <w:rPr>
          <w:highlight w:val="yellow"/>
        </w:rPr>
      </w:pPr>
      <w:r w:rsidRPr="00346304">
        <w:rPr>
          <w:highlight w:val="yellow"/>
        </w:rPr>
        <w:t>Specificità della definizione della logica di intervento della RRN e del PRRN</w:t>
      </w:r>
    </w:p>
    <w:p w:rsidR="00675B1D" w:rsidRPr="00346304" w:rsidRDefault="00675B1D" w:rsidP="00FC0A30">
      <w:pPr>
        <w:pStyle w:val="HStandard"/>
        <w:rPr>
          <w:highlight w:val="yellow"/>
        </w:rPr>
      </w:pPr>
      <w:r w:rsidRPr="00346304">
        <w:rPr>
          <w:highlight w:val="yellow"/>
        </w:rPr>
        <w:t>Esistono alcune differenze nella definizione della logica di intervento tra il PRRN e la RRN all'interno del PSR.</w:t>
      </w:r>
    </w:p>
    <w:p w:rsidR="00675B1D" w:rsidRPr="00346304" w:rsidRDefault="00675B1D" w:rsidP="00FC0A30">
      <w:pPr>
        <w:pStyle w:val="HStandard"/>
        <w:rPr>
          <w:highlight w:val="yellow"/>
        </w:rPr>
      </w:pPr>
      <w:r w:rsidRPr="00346304">
        <w:rPr>
          <w:highlight w:val="yellow"/>
        </w:rPr>
        <w:t xml:space="preserve">La RRN pianificata all'interno del PSR sostiene un solo programma che è legato al territorio specifico (di solito uno Stato membro o, nel caso del Regno Unito, una regione) e alle sue esigenze, ivi incluse quelle che possono essere affrontate attraverso la RRN. Tuttavia, il PRRN è di solito progettato e attuato in Stati membri multiregionali e, pertanto, sostiene diversi PSR regionali. I PSR regionali possono contenere obiettivi specifici del programma, che potrebbero differire gli uni dagli altri. In tal caso si può magari prevedere che il PRRN generi una portata più ampia di risultati e impatti. Di conseguenza, gli obiettivi generali e specifici del PRRN dovrebbero essere più ampi. </w:t>
      </w:r>
    </w:p>
    <w:p w:rsidR="00675B1D" w:rsidRPr="00346304" w:rsidRDefault="00675B1D" w:rsidP="00C72F66">
      <w:pPr>
        <w:pStyle w:val="Heading6"/>
        <w:rPr>
          <w:highlight w:val="yellow"/>
        </w:rPr>
      </w:pPr>
      <w:r w:rsidRPr="00346304">
        <w:rPr>
          <w:highlight w:val="yellow"/>
        </w:rPr>
        <w:lastRenderedPageBreak/>
        <w:t>Come definire la logica di intervento della RRN nel caso in cui nel PSR</w:t>
      </w:r>
      <w:r w:rsidRPr="00346304" w:rsidDel="00C1124B">
        <w:rPr>
          <w:highlight w:val="yellow"/>
        </w:rPr>
        <w:t xml:space="preserve"> </w:t>
      </w:r>
      <w:r w:rsidRPr="00346304">
        <w:rPr>
          <w:highlight w:val="yellow"/>
        </w:rPr>
        <w:t xml:space="preserve">esista solo un piano di azione della RRN? </w:t>
      </w:r>
    </w:p>
    <w:p w:rsidR="00675B1D" w:rsidRPr="00346304" w:rsidRDefault="00675B1D" w:rsidP="00FC0A30">
      <w:pPr>
        <w:pStyle w:val="HStandard"/>
        <w:rPr>
          <w:highlight w:val="yellow"/>
        </w:rPr>
      </w:pPr>
      <w:r w:rsidRPr="00346304">
        <w:rPr>
          <w:highlight w:val="yellow"/>
        </w:rPr>
        <w:t>Come accennato in precedenza, molto spesso la logica di intervento della RRN</w:t>
      </w:r>
      <w:r>
        <w:rPr>
          <w:highlight w:val="yellow"/>
        </w:rPr>
        <w:t xml:space="preserve"> </w:t>
      </w:r>
      <w:r w:rsidRPr="00346304">
        <w:rPr>
          <w:highlight w:val="yellow"/>
        </w:rPr>
        <w:t>non viene stabilita prima dell'inizio della sua attuazione. Invece, esiste solo un piano di azione della RRN. In tal caso, il piano di azione e i quattro obiettivi comuni rappresentano il punto di partenza per la definizione della logica di intervento della RRN. La logica di intervento può essere definita attraverso i seguenti passaggi:</w:t>
      </w:r>
    </w:p>
    <w:p w:rsidR="00675B1D" w:rsidRPr="00346304" w:rsidRDefault="00675B1D" w:rsidP="00C72F66">
      <w:pPr>
        <w:pStyle w:val="Hlistbullet"/>
        <w:rPr>
          <w:highlight w:val="yellow"/>
        </w:rPr>
      </w:pPr>
      <w:r w:rsidRPr="00346304">
        <w:rPr>
          <w:highlight w:val="yellow"/>
        </w:rPr>
        <w:t xml:space="preserve">identificare </w:t>
      </w:r>
      <w:r w:rsidRPr="00346304">
        <w:rPr>
          <w:b/>
          <w:highlight w:val="yellow"/>
        </w:rPr>
        <w:t>tutti i gruppi di azioni</w:t>
      </w:r>
      <w:r w:rsidRPr="00346304">
        <w:rPr>
          <w:highlight w:val="yellow"/>
        </w:rPr>
        <w:t xml:space="preserve"> (comuni e specifici per programma) inclusi nel piano di azione della RRN; </w:t>
      </w:r>
    </w:p>
    <w:p w:rsidR="00675B1D" w:rsidRPr="00346304" w:rsidRDefault="00675B1D" w:rsidP="00C72F66">
      <w:pPr>
        <w:pStyle w:val="Hlistbullet"/>
        <w:rPr>
          <w:highlight w:val="yellow"/>
        </w:rPr>
      </w:pPr>
      <w:r w:rsidRPr="00346304">
        <w:rPr>
          <w:highlight w:val="yellow"/>
        </w:rPr>
        <w:t xml:space="preserve">definire tutti i possibili </w:t>
      </w:r>
      <w:r w:rsidRPr="00346304">
        <w:rPr>
          <w:b/>
          <w:highlight w:val="yellow"/>
        </w:rPr>
        <w:t>risultati attesi</w:t>
      </w:r>
      <w:r w:rsidRPr="00346304">
        <w:rPr>
          <w:highlight w:val="yellow"/>
        </w:rPr>
        <w:t xml:space="preserve"> delle attività contemplate in ciascun gruppo di azioni e formulare </w:t>
      </w:r>
      <w:r w:rsidRPr="00346304">
        <w:rPr>
          <w:b/>
          <w:highlight w:val="yellow"/>
        </w:rPr>
        <w:t>obiettivi operativi della RRN</w:t>
      </w:r>
      <w:r w:rsidRPr="00346304">
        <w:rPr>
          <w:highlight w:val="yellow"/>
        </w:rPr>
        <w:t>, legati ai risultati attesi;</w:t>
      </w:r>
    </w:p>
    <w:p w:rsidR="00675B1D" w:rsidRPr="00346304" w:rsidRDefault="00675B1D" w:rsidP="00C72F66">
      <w:pPr>
        <w:pStyle w:val="Hlistbullet"/>
        <w:rPr>
          <w:highlight w:val="yellow"/>
        </w:rPr>
      </w:pPr>
      <w:r w:rsidRPr="00346304">
        <w:rPr>
          <w:highlight w:val="yellow"/>
        </w:rPr>
        <w:t xml:space="preserve">definire i </w:t>
      </w:r>
      <w:r w:rsidRPr="00346304">
        <w:rPr>
          <w:b/>
          <w:highlight w:val="yellow"/>
        </w:rPr>
        <w:t>risultati e gli impatti attesi</w:t>
      </w:r>
      <w:r w:rsidRPr="00346304">
        <w:rPr>
          <w:highlight w:val="yellow"/>
        </w:rPr>
        <w:t xml:space="preserve">, che si prevede i prodotti possano generare nell'ambito di una catena prodotti-risultati-impatti (cfr. anche gli esempi di catena prodotti-risultati-impatti per i gruppi comuni di azioni riportati nella </w:t>
      </w:r>
      <w:r w:rsidRPr="00346304">
        <w:rPr>
          <w:b/>
          <w:color w:val="E7E6E6" w:themeColor="background2"/>
          <w:highlight w:val="yellow"/>
        </w:rPr>
        <w:t>PARTE III</w:t>
      </w:r>
      <w:r w:rsidRPr="00346304">
        <w:rPr>
          <w:color w:val="E7E6E6" w:themeColor="background2"/>
          <w:highlight w:val="yellow"/>
        </w:rPr>
        <w:t xml:space="preserve"> </w:t>
      </w:r>
      <w:r w:rsidRPr="00346304">
        <w:rPr>
          <w:highlight w:val="yellow"/>
        </w:rPr>
        <w:t xml:space="preserve">delle linee guida); </w:t>
      </w:r>
    </w:p>
    <w:p w:rsidR="00675B1D" w:rsidRPr="00346304" w:rsidRDefault="00675B1D" w:rsidP="00C72F66">
      <w:pPr>
        <w:pStyle w:val="Hlistbullet"/>
        <w:rPr>
          <w:highlight w:val="yellow"/>
        </w:rPr>
      </w:pPr>
      <w:r w:rsidRPr="00346304">
        <w:rPr>
          <w:highlight w:val="yellow"/>
        </w:rPr>
        <w:t xml:space="preserve">formulare </w:t>
      </w:r>
      <w:r w:rsidRPr="00346304">
        <w:rPr>
          <w:b/>
          <w:highlight w:val="yellow"/>
        </w:rPr>
        <w:t>obiettivi specifici della RRN</w:t>
      </w:r>
      <w:r w:rsidRPr="00346304">
        <w:rPr>
          <w:highlight w:val="yellow"/>
        </w:rPr>
        <w:t xml:space="preserve"> specifici del programma, legati ai risultati attesi; </w:t>
      </w:r>
    </w:p>
    <w:p w:rsidR="00675B1D" w:rsidRPr="00346304" w:rsidRDefault="00675B1D" w:rsidP="00C72F66">
      <w:pPr>
        <w:pStyle w:val="Hlistbullet"/>
        <w:rPr>
          <w:highlight w:val="yellow"/>
        </w:rPr>
      </w:pPr>
      <w:r w:rsidRPr="00346304">
        <w:rPr>
          <w:highlight w:val="yellow"/>
        </w:rPr>
        <w:t xml:space="preserve">legare gli </w:t>
      </w:r>
      <w:r w:rsidRPr="00346304">
        <w:rPr>
          <w:b/>
          <w:highlight w:val="yellow"/>
        </w:rPr>
        <w:t>impatti attesi ai quattro obiettivi comuni</w:t>
      </w:r>
      <w:r w:rsidRPr="00346304">
        <w:rPr>
          <w:highlight w:val="yellow"/>
        </w:rPr>
        <w:t xml:space="preserve"> e formulare </w:t>
      </w:r>
      <w:r w:rsidRPr="00346304">
        <w:rPr>
          <w:b/>
          <w:highlight w:val="yellow"/>
        </w:rPr>
        <w:t>obiettivi generali della NRN</w:t>
      </w:r>
      <w:r w:rsidRPr="00346304">
        <w:rPr>
          <w:highlight w:val="yellow"/>
        </w:rPr>
        <w:t xml:space="preserve"> specifici del programma qualora gli impatti identificati non possano essere collegati a nessuno dei quattro obiettivi comuni; </w:t>
      </w:r>
    </w:p>
    <w:p w:rsidR="00675B1D" w:rsidRPr="00346304" w:rsidRDefault="00675B1D" w:rsidP="00C72F66">
      <w:pPr>
        <w:pStyle w:val="Hlistbullet"/>
        <w:rPr>
          <w:highlight w:val="yellow"/>
        </w:rPr>
      </w:pPr>
      <w:r w:rsidRPr="00346304">
        <w:rPr>
          <w:b/>
          <w:highlight w:val="yellow"/>
        </w:rPr>
        <w:t>verificare la coerenza orizzontale e verticale</w:t>
      </w:r>
      <w:r w:rsidRPr="00346304">
        <w:rPr>
          <w:highlight w:val="yellow"/>
        </w:rPr>
        <w:t xml:space="preserve"> tra attività, prodotti, risultati e impatti attesi, e obiettivi della RRN (cfr. </w:t>
      </w:r>
      <w:r w:rsidRPr="00346304">
        <w:rPr>
          <w:highlight w:val="yellow"/>
        </w:rPr>
        <w:fldChar w:fldCharType="begin" w:fldLock="1"/>
      </w:r>
      <w:r w:rsidRPr="00346304">
        <w:rPr>
          <w:highlight w:val="yellow"/>
        </w:rPr>
        <w:instrText xml:space="preserve"> REF _Ref451784593 \r \h  \* MERGEFORMAT </w:instrText>
      </w:r>
      <w:r w:rsidRPr="00346304">
        <w:rPr>
          <w:highlight w:val="yellow"/>
        </w:rPr>
      </w:r>
      <w:r w:rsidRPr="00346304">
        <w:rPr>
          <w:highlight w:val="yellow"/>
        </w:rPr>
        <w:fldChar w:fldCharType="separate"/>
      </w:r>
      <w:r w:rsidRPr="00346304">
        <w:rPr>
          <w:highlight w:val="yellow"/>
        </w:rPr>
        <w:t>Figura 6</w:t>
      </w:r>
      <w:r w:rsidRPr="00346304">
        <w:rPr>
          <w:highlight w:val="yellow"/>
        </w:rPr>
        <w:fldChar w:fldCharType="end"/>
      </w:r>
      <w:r w:rsidRPr="00346304">
        <w:rPr>
          <w:highlight w:val="yellow"/>
        </w:rPr>
        <w:t>).</w:t>
      </w:r>
    </w:p>
    <w:p w:rsidR="00675B1D" w:rsidRPr="00346304" w:rsidRDefault="00675B1D" w:rsidP="00FC0A30">
      <w:pPr>
        <w:pStyle w:val="HStandard"/>
        <w:rPr>
          <w:highlight w:val="yellow"/>
        </w:rPr>
      </w:pPr>
      <w:r w:rsidRPr="00346304">
        <w:rPr>
          <w:highlight w:val="yellow"/>
        </w:rPr>
        <w:t xml:space="preserve">La </w:t>
      </w:r>
      <w:r w:rsidRPr="00346304">
        <w:rPr>
          <w:highlight w:val="yellow"/>
        </w:rPr>
        <w:fldChar w:fldCharType="begin" w:fldLock="1"/>
      </w:r>
      <w:r w:rsidRPr="00346304">
        <w:rPr>
          <w:highlight w:val="yellow"/>
        </w:rPr>
        <w:instrText xml:space="preserve"> REF _Ref451784607 \r \h  \* MERGEFORMAT </w:instrText>
      </w:r>
      <w:r w:rsidRPr="00346304">
        <w:rPr>
          <w:highlight w:val="yellow"/>
        </w:rPr>
      </w:r>
      <w:r w:rsidRPr="00346304">
        <w:rPr>
          <w:highlight w:val="yellow"/>
        </w:rPr>
        <w:fldChar w:fldCharType="separate"/>
      </w:r>
      <w:r w:rsidRPr="00346304">
        <w:rPr>
          <w:highlight w:val="yellow"/>
        </w:rPr>
        <w:t>Figura 12</w:t>
      </w:r>
      <w:r w:rsidRPr="00346304">
        <w:rPr>
          <w:highlight w:val="yellow"/>
        </w:rPr>
        <w:fldChar w:fldCharType="end"/>
      </w:r>
      <w:r w:rsidRPr="00346304">
        <w:rPr>
          <w:highlight w:val="yellow"/>
        </w:rPr>
        <w:t xml:space="preserve"> qui sopra può anche essere usata per illustrare lo sviluppo della logica di intervento della RRN sulla base del piano di azione della RRN.</w:t>
      </w:r>
    </w:p>
    <w:p w:rsidR="00675B1D" w:rsidRPr="00346304" w:rsidRDefault="00675B1D" w:rsidP="00FC0A30">
      <w:pPr>
        <w:pStyle w:val="HHeading5"/>
        <w:rPr>
          <w:highlight w:val="yellow"/>
        </w:rPr>
      </w:pPr>
      <w:r w:rsidRPr="00346304">
        <w:rPr>
          <w:highlight w:val="yellow"/>
        </w:rPr>
        <w:t xml:space="preserve">Passaggio 2 – Riesame/formulazione di indicatori e questionari valutativi relativi alla RRN e verifica della loro coerenza con la logica di intervento </w:t>
      </w:r>
    </w:p>
    <w:p w:rsidR="00675B1D" w:rsidRPr="00346304" w:rsidRDefault="00675B1D" w:rsidP="00FC0A30">
      <w:pPr>
        <w:pStyle w:val="HStandard"/>
        <w:rPr>
          <w:highlight w:val="yellow"/>
        </w:rPr>
      </w:pPr>
      <w:r w:rsidRPr="00346304">
        <w:rPr>
          <w:highlight w:val="yellow"/>
        </w:rPr>
        <w:t xml:space="preserve">Questo passaggio contiene il riesame di elementi di valutazione esistenti legati alla RRN comuni e specifici del programma (questionari valutativi e indicatori) e lo sviluppo di nuovi elementi di valutazione esistenti.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322AA">
        <w:tc>
          <w:tcPr>
            <w:tcW w:w="9016" w:type="dxa"/>
            <w:shd w:val="clear" w:color="auto" w:fill="F5F4F4" w:themeFill="background2" w:themeFillTint="66"/>
          </w:tcPr>
          <w:p w:rsidR="00675B1D" w:rsidRPr="00346304" w:rsidRDefault="00675B1D" w:rsidP="00FC0A30">
            <w:pPr>
              <w:pStyle w:val="HStandard"/>
              <w:rPr>
                <w:highlight w:val="yellow"/>
              </w:rPr>
            </w:pPr>
            <w:r w:rsidRPr="00346304">
              <w:rPr>
                <w:highlight w:val="yellow"/>
              </w:rPr>
              <w:t>Nel riesaminare o formulare indicatori e questionari valutativi si dovrebbero discutere le seguenti domande guida:</w:t>
            </w:r>
          </w:p>
          <w:p w:rsidR="00675B1D" w:rsidRPr="00346304" w:rsidRDefault="00675B1D" w:rsidP="00675B1D">
            <w:pPr>
              <w:pStyle w:val="Hlistbullet"/>
              <w:tabs>
                <w:tab w:val="left" w:pos="567"/>
              </w:tabs>
              <w:rPr>
                <w:highlight w:val="yellow"/>
              </w:rPr>
            </w:pPr>
            <w:r w:rsidRPr="00346304">
              <w:rPr>
                <w:highlight w:val="yellow"/>
              </w:rPr>
              <w:t>quali sono le domande attraverso le quali si può valutare il successo della RRN?</w:t>
            </w:r>
          </w:p>
          <w:p w:rsidR="00675B1D" w:rsidRPr="00346304" w:rsidRDefault="00675B1D" w:rsidP="00675B1D">
            <w:pPr>
              <w:pStyle w:val="Hlistbullet"/>
              <w:tabs>
                <w:tab w:val="left" w:pos="567"/>
              </w:tabs>
              <w:rPr>
                <w:highlight w:val="yellow"/>
              </w:rPr>
            </w:pPr>
            <w:r w:rsidRPr="00346304">
              <w:rPr>
                <w:highlight w:val="yellow"/>
              </w:rPr>
              <w:t>quali sono i criteri sui quali vengono espressi i giudizi?</w:t>
            </w:r>
          </w:p>
          <w:p w:rsidR="00675B1D" w:rsidRPr="00346304" w:rsidRDefault="00675B1D" w:rsidP="00675B1D">
            <w:pPr>
              <w:pStyle w:val="Hlistbullet2"/>
              <w:tabs>
                <w:tab w:val="left" w:pos="567"/>
              </w:tabs>
              <w:rPr>
                <w:highlight w:val="yellow"/>
              </w:rPr>
            </w:pPr>
            <w:r w:rsidRPr="00346304">
              <w:rPr>
                <w:highlight w:val="yellow"/>
              </w:rPr>
              <w:t>quali indicatori dovrebbero essere utilizzati per rispondere alle domande di valutazione? sono sufficienti per raccogliere prove attendibili?</w:t>
            </w:r>
          </w:p>
        </w:tc>
      </w:tr>
    </w:tbl>
    <w:p w:rsidR="00675B1D" w:rsidRPr="00346304" w:rsidRDefault="00675B1D" w:rsidP="00FC0A30">
      <w:pPr>
        <w:pStyle w:val="HStandard"/>
        <w:rPr>
          <w:highlight w:val="yellow"/>
        </w:rPr>
      </w:pPr>
      <w:r w:rsidRPr="00346304">
        <w:rPr>
          <w:highlight w:val="yellow"/>
        </w:rPr>
        <w:t xml:space="preserve">Questo passaggio viene realizzato con la </w:t>
      </w:r>
      <w:r w:rsidRPr="00346304">
        <w:rPr>
          <w:b/>
          <w:highlight w:val="yellow"/>
        </w:rPr>
        <w:t>seguente sequenza</w:t>
      </w:r>
      <w:r w:rsidRPr="00346304">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a.</w:t>
            </w:r>
          </w:p>
        </w:tc>
        <w:tc>
          <w:tcPr>
            <w:tcW w:w="8028" w:type="dxa"/>
          </w:tcPr>
          <w:p w:rsidR="00675B1D" w:rsidRPr="00346304" w:rsidRDefault="00675B1D" w:rsidP="00873A71">
            <w:pPr>
              <w:pStyle w:val="Hlistbullet"/>
              <w:numPr>
                <w:ilvl w:val="0"/>
                <w:numId w:val="0"/>
              </w:numPr>
              <w:spacing w:before="0" w:line="280" w:lineRule="atLeast"/>
              <w:jc w:val="left"/>
              <w:rPr>
                <w:sz w:val="18"/>
                <w:szCs w:val="18"/>
                <w:highlight w:val="yellow"/>
              </w:rPr>
            </w:pPr>
            <w:r w:rsidRPr="00346304">
              <w:rPr>
                <w:sz w:val="18"/>
                <w:highlight w:val="yellow"/>
              </w:rPr>
              <w:t>riesaminare le domande di valutazione esistenti e sviluppare le domande di valutazione specifiche</w:t>
            </w:r>
            <w:r>
              <w:rPr>
                <w:sz w:val="18"/>
                <w:highlight w:val="yellow"/>
              </w:rPr>
              <w:t xml:space="preserve"> </w:t>
            </w:r>
            <w:r w:rsidRPr="00346304">
              <w:rPr>
                <w:sz w:val="18"/>
                <w:highlight w:val="yellow"/>
              </w:rPr>
              <w:t>del programma della RRN;</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b.</w:t>
            </w:r>
          </w:p>
        </w:tc>
        <w:tc>
          <w:tcPr>
            <w:tcW w:w="8028" w:type="dxa"/>
          </w:tcPr>
          <w:p w:rsidR="00675B1D" w:rsidRPr="00346304" w:rsidRDefault="00675B1D" w:rsidP="00BE6F49">
            <w:pPr>
              <w:pStyle w:val="HStandard"/>
              <w:rPr>
                <w:sz w:val="18"/>
                <w:szCs w:val="18"/>
                <w:highlight w:val="yellow"/>
              </w:rPr>
            </w:pPr>
            <w:r w:rsidRPr="00346304">
              <w:rPr>
                <w:sz w:val="18"/>
                <w:highlight w:val="yellow"/>
              </w:rPr>
              <w:t>formulare criteri di giudizio che specificano il successo degli interventi delle RRN e rendono più precise le risposte ai questionari valutativi;</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c.</w:t>
            </w:r>
          </w:p>
        </w:tc>
        <w:tc>
          <w:tcPr>
            <w:tcW w:w="8028" w:type="dxa"/>
          </w:tcPr>
          <w:p w:rsidR="00675B1D" w:rsidRPr="00346304" w:rsidRDefault="00675B1D" w:rsidP="00BE6F49">
            <w:pPr>
              <w:pStyle w:val="Hlistbullet"/>
              <w:numPr>
                <w:ilvl w:val="0"/>
                <w:numId w:val="0"/>
              </w:numPr>
              <w:spacing w:before="0" w:line="280" w:lineRule="atLeast"/>
              <w:jc w:val="left"/>
              <w:rPr>
                <w:sz w:val="18"/>
                <w:szCs w:val="18"/>
                <w:highlight w:val="yellow"/>
              </w:rPr>
            </w:pPr>
            <w:r w:rsidRPr="00346304">
              <w:rPr>
                <w:sz w:val="18"/>
                <w:highlight w:val="yellow"/>
              </w:rPr>
              <w:t>formulare indicatori di risultato e di impatto specifici del programma relativi alla RRN;</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d.</w:t>
            </w:r>
          </w:p>
        </w:tc>
        <w:tc>
          <w:tcPr>
            <w:tcW w:w="8028" w:type="dxa"/>
          </w:tcPr>
          <w:p w:rsidR="00675B1D" w:rsidRPr="00346304" w:rsidRDefault="00675B1D" w:rsidP="00BE6F49">
            <w:pPr>
              <w:pStyle w:val="Hlistbullet"/>
              <w:numPr>
                <w:ilvl w:val="0"/>
                <w:numId w:val="0"/>
              </w:numPr>
              <w:tabs>
                <w:tab w:val="left" w:pos="317"/>
              </w:tabs>
              <w:spacing w:before="0" w:line="280" w:lineRule="atLeast"/>
              <w:jc w:val="left"/>
              <w:rPr>
                <w:sz w:val="18"/>
                <w:szCs w:val="18"/>
                <w:highlight w:val="yellow"/>
              </w:rPr>
            </w:pPr>
            <w:r w:rsidRPr="00346304">
              <w:rPr>
                <w:sz w:val="18"/>
                <w:highlight w:val="yellow"/>
              </w:rPr>
              <w:t>verificare la coerenza degli elementi di valutazione della RRN con la logica di intervento della RRN.</w:t>
            </w:r>
          </w:p>
        </w:tc>
      </w:tr>
      <w:tr w:rsidR="00675B1D" w:rsidRPr="00346304" w:rsidTr="00BE6F49">
        <w:tc>
          <w:tcPr>
            <w:tcW w:w="9016" w:type="dxa"/>
            <w:gridSpan w:val="2"/>
            <w:shd w:val="clear" w:color="auto" w:fill="auto"/>
          </w:tcPr>
          <w:p w:rsidR="00675B1D" w:rsidRPr="00346304" w:rsidRDefault="00675B1D" w:rsidP="00BE6F49">
            <w:pPr>
              <w:pStyle w:val="HStandard"/>
              <w:jc w:val="left"/>
              <w:rPr>
                <w:sz w:val="18"/>
                <w:szCs w:val="18"/>
                <w:highlight w:val="yellow"/>
              </w:rPr>
            </w:pPr>
            <w:r w:rsidRPr="00346304">
              <w:rPr>
                <w:b/>
                <w:sz w:val="18"/>
                <w:highlight w:val="yellow"/>
              </w:rPr>
              <w:t xml:space="preserve">Risultato atteso: </w:t>
            </w:r>
            <w:r w:rsidRPr="00346304">
              <w:rPr>
                <w:sz w:val="18"/>
                <w:highlight w:val="yellow"/>
              </w:rPr>
              <w:t>un coerente quadro di monitoraggio e valutazione relativo alla RRN</w:t>
            </w:r>
          </w:p>
        </w:tc>
      </w:tr>
    </w:tbl>
    <w:p w:rsidR="00675B1D" w:rsidRPr="00346304" w:rsidRDefault="00675B1D" w:rsidP="00D322AA">
      <w:pPr>
        <w:pStyle w:val="Heading6"/>
        <w:rPr>
          <w:highlight w:val="yellow"/>
        </w:rPr>
      </w:pPr>
      <w:r w:rsidRPr="00346304">
        <w:rPr>
          <w:highlight w:val="yellow"/>
        </w:rPr>
        <w:t xml:space="preserve">Questionari valutativi relativi alla RRN comuni e specifici del programma </w:t>
      </w:r>
    </w:p>
    <w:p w:rsidR="00675B1D" w:rsidRPr="00346304" w:rsidRDefault="00675B1D" w:rsidP="00FC0A30">
      <w:pPr>
        <w:pStyle w:val="HStandard"/>
        <w:rPr>
          <w:highlight w:val="yellow"/>
        </w:rPr>
      </w:pPr>
      <w:r w:rsidRPr="00346304">
        <w:rPr>
          <w:highlight w:val="yellow"/>
        </w:rPr>
        <w:t xml:space="preserve">Dopo aver determinato i temi e le esigenze di valutazione, la parte committente (AG o USR), in collaborazione con altri attori (l'unità di valutazione della RRN presso il ministero e, eventualmente, il </w:t>
      </w:r>
      <w:r w:rsidRPr="00346304">
        <w:rPr>
          <w:highlight w:val="yellow"/>
        </w:rPr>
        <w:lastRenderedPageBreak/>
        <w:t>gruppo direttivo) dovrebbero prendere in considerazione gli obiettivi e gli effetti attesi della RRN e pensare a come si possano ottenere informazioni sulle realizzazioni e sugli effetti della RRN. Questo viene fatto ponendo domande di valutazione appropriate (questionari valutativi)</w:t>
      </w:r>
      <w:r w:rsidRPr="00346304">
        <w:rPr>
          <w:rStyle w:val="FootnoteReference"/>
          <w:highlight w:val="yellow"/>
        </w:rPr>
        <w:footnoteReference w:id="73"/>
      </w:r>
      <w:r w:rsidRPr="00346304">
        <w:rPr>
          <w:highlight w:val="yellow"/>
        </w:rPr>
        <w:t xml:space="preserve"> che sono legate agli obiettivi comuni o specifici del programma della RRN. I questionari valutativi definiscono gli aspetti specifici della valutazione e quindi dirigono il lavoro del valutatore. </w:t>
      </w:r>
    </w:p>
    <w:p w:rsidR="00675B1D" w:rsidRPr="00346304" w:rsidRDefault="00675B1D" w:rsidP="00FC0A30">
      <w:pPr>
        <w:pStyle w:val="HStandard"/>
        <w:rPr>
          <w:highlight w:val="yellow"/>
        </w:rPr>
      </w:pPr>
      <w:r w:rsidRPr="00346304">
        <w:rPr>
          <w:highlight w:val="yellow"/>
        </w:rPr>
        <w:t>A livello di UE, esiste una sola domanda di valutazione comune per valutare la RRN e il PRRN</w:t>
      </w:r>
      <w:r w:rsidRPr="00346304">
        <w:rPr>
          <w:rStyle w:val="FootnoteReference"/>
          <w:highlight w:val="yellow"/>
        </w:rPr>
        <w:footnoteReference w:id="74"/>
      </w:r>
      <w:r w:rsidRPr="00346304">
        <w:rPr>
          <w:highlight w:val="yellow"/>
        </w:rPr>
        <w:t>:</w:t>
      </w:r>
    </w:p>
    <w:p w:rsidR="00675B1D" w:rsidRPr="00346304" w:rsidRDefault="00675B1D" w:rsidP="00FC0A30">
      <w:pPr>
        <w:pStyle w:val="HStandard"/>
        <w:rPr>
          <w:highlight w:val="yellow"/>
        </w:rPr>
      </w:pPr>
      <w:r w:rsidRPr="00346304">
        <w:rPr>
          <w:highlight w:val="yellow"/>
        </w:rPr>
        <w:t>«In che misura la RRN ha contribuito al conseguimento degli obiettivi di cui all’articolo 59 del regolamento (UE) n. 1303/2013 e all’articolo 51, paragrafo 2, del regolamento (UE) n. 1305/2013?»</w:t>
      </w:r>
    </w:p>
    <w:p w:rsidR="00675B1D" w:rsidRPr="00346304" w:rsidRDefault="00675B1D" w:rsidP="00FC0A30">
      <w:pPr>
        <w:pStyle w:val="HStandard"/>
        <w:rPr>
          <w:highlight w:val="yellow"/>
        </w:rPr>
      </w:pPr>
      <w:r w:rsidRPr="00346304">
        <w:rPr>
          <w:highlight w:val="yellow"/>
        </w:rPr>
        <w:t xml:space="preserve">La domanda di cui sopra è legata a tutti e quattro gli obiettivi strategici comuni relativi alla RRN e serve come terreno comune per osservare i benefici delle RRN in tutta l'UE, oltre a consentire il raffronto delle realizzazioni delle RRN tra gli Stati membri dell'UE. Essa può essere ulteriormente suddivisa in quattro domande di valutazione, ognuna delle quali chiede in che misura ciascuno degli obiettivi comuni è stato realizzato. </w:t>
      </w:r>
    </w:p>
    <w:p w:rsidR="00675B1D" w:rsidRPr="00346304" w:rsidRDefault="00675B1D" w:rsidP="00FC0A30">
      <w:pPr>
        <w:pStyle w:val="HStandard"/>
        <w:rPr>
          <w:highlight w:val="yellow"/>
        </w:rPr>
      </w:pPr>
      <w:r w:rsidRPr="00346304">
        <w:rPr>
          <w:highlight w:val="yellow"/>
        </w:rPr>
        <w:t xml:space="preserve">Tenendo presente che la RRN (/il PRRN) dovrebbe migliorare la qualità dell'attuazione dei programmi di sviluppo rurale, la valutazione della RRN (/del PRRN) dovrebbe altresì chiedere in che misura le RRN hanno contribuito a realizzare gli obiettivi del PSR, ad esempio favorendo il trasferimento delle conoscenze e l'innovazione nell'agricoltura, nella silvicoltura e nelle zone rurali, oppure collegamenti tra agricoltura, industria alimentare, silvicoltura, ricerca e innovazione. </w:t>
      </w:r>
    </w:p>
    <w:p w:rsidR="00675B1D" w:rsidRPr="00346304" w:rsidRDefault="00675B1D" w:rsidP="00FC0A30">
      <w:pPr>
        <w:pStyle w:val="HStandard"/>
        <w:rPr>
          <w:highlight w:val="yellow"/>
        </w:rPr>
      </w:pPr>
      <w:r w:rsidRPr="00346304">
        <w:rPr>
          <w:highlight w:val="yellow"/>
        </w:rPr>
        <w:t>In aggiunta al questionario valutativo comune per le RRN, autorità di gestione e USR/RRN sono invitate a progettare un questionario valutativo specifico del programma che tenga conto delle specificità delle singole RRN e dei singoli PRRN, nonché degli effetti specifici attesi della RRN. Il questionario valutativo specifico del programma dovrebbe essere in linea con gli obiettivi relativi alla RRN specifici del programma, inclusi nella logica di intervento della RRN.</w:t>
      </w:r>
    </w:p>
    <w:p w:rsidR="00675B1D" w:rsidRPr="00346304" w:rsidRDefault="00675B1D" w:rsidP="00FC0A30">
      <w:pPr>
        <w:pStyle w:val="HStandard"/>
        <w:rPr>
          <w:highlight w:val="yellow"/>
        </w:rPr>
      </w:pPr>
      <w:r w:rsidRPr="00346304">
        <w:rPr>
          <w:highlight w:val="yellow"/>
        </w:rPr>
        <w:t>Affinché sia coerente con gli obiettivi della RRN, il questionario valutativo specifico del programma relativo alla RRN dovrebbe essere formulato in modo coerente, con una terminologia che rifletta il contenuto dell'obiettivo. Ad esempio:</w:t>
      </w:r>
    </w:p>
    <w:p w:rsidR="00675B1D" w:rsidRPr="00346304" w:rsidRDefault="00675B1D" w:rsidP="00975D9B">
      <w:pPr>
        <w:pStyle w:val="Hlistbullet2"/>
        <w:rPr>
          <w:highlight w:val="yellow"/>
        </w:rPr>
      </w:pPr>
      <w:r w:rsidRPr="00346304">
        <w:rPr>
          <w:highlight w:val="yellow"/>
        </w:rPr>
        <w:t>a livello di prodotti, le domande di valutazione specifiche del programma dovrebbero riflettere i gruppi di azioni e i prodotti attesi dagli interventi delle RRN per raggiungere gli obiettivi operativi. Una domande di valutazione specifica del programma a tale proposito sarebbe «quanti prodotti immediati (come ad esempio gli scambi tematici nell'esempio di cui sopra) sono stati ottenuti attraverso le attività delle RRN?»;</w:t>
      </w:r>
    </w:p>
    <w:p w:rsidR="00675B1D" w:rsidRPr="00346304" w:rsidRDefault="00675B1D" w:rsidP="00975D9B">
      <w:pPr>
        <w:pStyle w:val="Hlistbullet2"/>
        <w:rPr>
          <w:highlight w:val="yellow"/>
        </w:rPr>
      </w:pPr>
      <w:r w:rsidRPr="00346304">
        <w:rPr>
          <w:highlight w:val="yellow"/>
        </w:rPr>
        <w:t>a livello di risultati, le domande di valutazione specifiche del programma dovrebbero riflettere la realizzazione degli obiettivi specifici delle RRN. Dovrebbero esprimere gli effetti della RRN sul cambiamento atteso sui beneficiari, ad esempio: «in che misura il cambiamento (maggiore collaborazione nell'esempio di cui sopra) si è verificato grazie ad attività della RRN?»;</w:t>
      </w:r>
    </w:p>
    <w:p w:rsidR="00675B1D" w:rsidRPr="00346304" w:rsidRDefault="00675B1D" w:rsidP="00975D9B">
      <w:pPr>
        <w:pStyle w:val="Hlistbullet2"/>
        <w:rPr>
          <w:highlight w:val="yellow"/>
        </w:rPr>
      </w:pPr>
      <w:r w:rsidRPr="00346304">
        <w:rPr>
          <w:highlight w:val="yellow"/>
        </w:rPr>
        <w:t>a livello di impatti, le domande di valutazione specifiche del programma dovrebbero riflettere la realizzazione degli obiettivi generali dee i cambiamenti nella zona interessata dal programma. Dovrebbero consentire l'attribuzione dei cambiamenti osservati agli interventi della RRN. Ad esempio: «in che misura la RRN ha contribuito al cambiamento osservato della variabile di obiettivo (promuovere l'innovazione nell'esempio di cui sopra) nella zona interessata dal programma?».</w:t>
      </w:r>
    </w:p>
    <w:p w:rsidR="00675B1D" w:rsidRPr="00346304" w:rsidRDefault="00675B1D" w:rsidP="00FC0A30">
      <w:pPr>
        <w:pStyle w:val="HStandard"/>
        <w:rPr>
          <w:highlight w:val="yellow"/>
        </w:rPr>
      </w:pPr>
      <w:r w:rsidRPr="00346304">
        <w:rPr>
          <w:highlight w:val="yellow"/>
        </w:rPr>
        <w:t xml:space="preserve">L'autorità di gestione, l'USR o gli esperti di valutazione dovrebbero controllare la coerenza delle domande di valutazione rispetto agli obiettivi comuni o specifici del programma prima dell'inizio della </w:t>
      </w:r>
      <w:r w:rsidRPr="00346304">
        <w:rPr>
          <w:highlight w:val="yellow"/>
        </w:rPr>
        <w:lastRenderedPageBreak/>
        <w:t xml:space="preserve">valutazione. Questo può essere fatto comprendendo la relazione tra le domande di valutazione specifiche del programma e ogni livello degli obiettivi. </w:t>
      </w:r>
    </w:p>
    <w:p w:rsidR="00675B1D" w:rsidRPr="00346304" w:rsidRDefault="00675B1D" w:rsidP="00FC0A30">
      <w:pPr>
        <w:pStyle w:val="HStandard"/>
        <w:rPr>
          <w:highlight w:val="yellow"/>
        </w:rPr>
      </w:pPr>
      <w:r w:rsidRPr="00346304">
        <w:rPr>
          <w:highlight w:val="yellow"/>
        </w:rPr>
        <w:t>Nella tabella che segue si riporta un esempio che mostra la coerenza tra gli obiettivi specifici del programma della RRN e le domande di valutazione. Il punto di partenza è l'esigenza di innovazione nelle zone rurali, che consentirebbe di avere nuovi prodotti e mercati. Si prevede che la RRN affronti tale esigenza e faciliti la promozione dell'innovazione, con l'obiettivo di generare nuovi prodotti e mercati (obiettivo specifico programma) e di favorire il trasferimento di conoscenze e innovazione (obiettivo comune).</w:t>
      </w:r>
    </w:p>
    <w:p w:rsidR="00675B1D" w:rsidRPr="00346304" w:rsidRDefault="00675B1D" w:rsidP="00D21174">
      <w:pPr>
        <w:pStyle w:val="HHeadingtables"/>
        <w:ind w:left="0"/>
        <w:rPr>
          <w:color w:val="262626"/>
          <w:sz w:val="20"/>
          <w:highlight w:val="yellow"/>
        </w:rPr>
      </w:pPr>
      <w:bookmarkStart w:id="125" w:name="_Toc436383148"/>
      <w:bookmarkStart w:id="126" w:name="_Toc451781910"/>
      <w:bookmarkStart w:id="127" w:name="_Toc461616767"/>
      <w:r w:rsidRPr="00346304">
        <w:rPr>
          <w:highlight w:val="yellow"/>
        </w:rPr>
        <w:t>Collegamenti tra gli obiettivi e le domande di valutazione (esempio)</w:t>
      </w:r>
      <w:bookmarkEnd w:id="125"/>
      <w:bookmarkEnd w:id="126"/>
      <w:bookmarkEnd w:id="127"/>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80"/>
        <w:gridCol w:w="3504"/>
        <w:gridCol w:w="4232"/>
      </w:tblGrid>
      <w:tr w:rsidR="00675B1D" w:rsidRPr="00346304" w:rsidTr="00D21174">
        <w:tc>
          <w:tcPr>
            <w:tcW w:w="710" w:type="pct"/>
            <w:shd w:val="clear" w:color="auto" w:fill="E7E6E6" w:themeFill="background2"/>
          </w:tcPr>
          <w:p w:rsidR="00675B1D" w:rsidRPr="00346304" w:rsidRDefault="00675B1D" w:rsidP="00D322AA">
            <w:pPr>
              <w:pStyle w:val="Htableleftbolt"/>
              <w:jc w:val="center"/>
              <w:rPr>
                <w:color w:val="5B9BD5" w:themeColor="accent1"/>
                <w:highlight w:val="yellow"/>
              </w:rPr>
            </w:pPr>
            <w:r w:rsidRPr="00346304">
              <w:rPr>
                <w:color w:val="5B9BD5" w:themeColor="accent1"/>
                <w:highlight w:val="yellow"/>
              </w:rPr>
              <w:t>Livello di obiettivi nella gerarchia</w:t>
            </w:r>
          </w:p>
        </w:tc>
        <w:tc>
          <w:tcPr>
            <w:tcW w:w="1943" w:type="pct"/>
            <w:shd w:val="clear" w:color="auto" w:fill="E7E6E6" w:themeFill="background2"/>
          </w:tcPr>
          <w:p w:rsidR="00675B1D" w:rsidRPr="00346304" w:rsidRDefault="00675B1D" w:rsidP="00D322AA">
            <w:pPr>
              <w:pStyle w:val="Htableleftbolt"/>
              <w:jc w:val="center"/>
              <w:rPr>
                <w:color w:val="5B9BD5" w:themeColor="accent1"/>
                <w:highlight w:val="yellow"/>
              </w:rPr>
            </w:pPr>
            <w:r w:rsidRPr="00346304">
              <w:rPr>
                <w:color w:val="5B9BD5" w:themeColor="accent1"/>
                <w:highlight w:val="yellow"/>
              </w:rPr>
              <w:t>Formulazione degli obiettivi</w:t>
            </w:r>
          </w:p>
          <w:p w:rsidR="00675B1D" w:rsidRPr="00346304" w:rsidRDefault="00675B1D" w:rsidP="00D322AA">
            <w:pPr>
              <w:pStyle w:val="Htableleftbolt"/>
              <w:jc w:val="center"/>
              <w:rPr>
                <w:color w:val="5B9BD5" w:themeColor="accent1"/>
                <w:highlight w:val="yellow"/>
              </w:rPr>
            </w:pPr>
            <w:r w:rsidRPr="00346304">
              <w:rPr>
                <w:color w:val="5B9BD5" w:themeColor="accent1"/>
                <w:highlight w:val="yellow"/>
              </w:rPr>
              <w:t>(OC - obiettivo comune</w:t>
            </w:r>
          </w:p>
          <w:p w:rsidR="00675B1D" w:rsidRPr="00346304" w:rsidRDefault="00675B1D" w:rsidP="00D322AA">
            <w:pPr>
              <w:pStyle w:val="Htableleftbolt"/>
              <w:jc w:val="center"/>
              <w:rPr>
                <w:color w:val="5B9BD5" w:themeColor="accent1"/>
                <w:highlight w:val="yellow"/>
              </w:rPr>
            </w:pPr>
            <w:r w:rsidRPr="00346304">
              <w:rPr>
                <w:color w:val="5B9BD5" w:themeColor="accent1"/>
                <w:highlight w:val="yellow"/>
              </w:rPr>
              <w:t>OSP - obiettivo specifico del programma)</w:t>
            </w:r>
          </w:p>
        </w:tc>
        <w:tc>
          <w:tcPr>
            <w:tcW w:w="2347" w:type="pct"/>
            <w:shd w:val="clear" w:color="auto" w:fill="E7E6E6" w:themeFill="background2"/>
          </w:tcPr>
          <w:p w:rsidR="00675B1D" w:rsidRPr="00346304" w:rsidRDefault="00675B1D" w:rsidP="00D322AA">
            <w:pPr>
              <w:pStyle w:val="Htableleftbolt"/>
              <w:jc w:val="center"/>
              <w:rPr>
                <w:color w:val="5B9BD5" w:themeColor="accent1"/>
                <w:highlight w:val="yellow"/>
              </w:rPr>
            </w:pPr>
            <w:r w:rsidRPr="00346304">
              <w:rPr>
                <w:color w:val="5B9BD5" w:themeColor="accent1"/>
                <w:highlight w:val="yellow"/>
              </w:rPr>
              <w:t>Domande di valutazione</w:t>
            </w:r>
          </w:p>
          <w:p w:rsidR="00675B1D" w:rsidRPr="00346304" w:rsidRDefault="00675B1D" w:rsidP="00514B11">
            <w:pPr>
              <w:pStyle w:val="Htableleftbolt"/>
              <w:rPr>
                <w:color w:val="5B9BD5" w:themeColor="accent1"/>
                <w:highlight w:val="yellow"/>
              </w:rPr>
            </w:pPr>
            <w:r w:rsidRPr="00346304">
              <w:rPr>
                <w:color w:val="5B9BD5" w:themeColor="accent1"/>
                <w:highlight w:val="yellow"/>
              </w:rPr>
              <w:t>(VQC- questionario valutativo comune</w:t>
            </w:r>
          </w:p>
          <w:p w:rsidR="00675B1D" w:rsidRPr="00346304" w:rsidRDefault="00675B1D" w:rsidP="00514B11">
            <w:pPr>
              <w:pStyle w:val="Htableleftbolt"/>
              <w:jc w:val="center"/>
              <w:rPr>
                <w:color w:val="5B9BD5" w:themeColor="accent1"/>
                <w:highlight w:val="yellow"/>
              </w:rPr>
            </w:pPr>
            <w:r w:rsidRPr="00346304">
              <w:rPr>
                <w:color w:val="5B9BD5" w:themeColor="accent1"/>
                <w:highlight w:val="yellow"/>
              </w:rPr>
              <w:t>DVSP - domande di valutazione specifiche del programma)</w:t>
            </w:r>
          </w:p>
        </w:tc>
      </w:tr>
      <w:tr w:rsidR="00675B1D" w:rsidRPr="00346304" w:rsidTr="00D21174">
        <w:tc>
          <w:tcPr>
            <w:tcW w:w="710"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Prodotto – obiettivi operativi</w:t>
            </w:r>
          </w:p>
        </w:tc>
        <w:tc>
          <w:tcPr>
            <w:tcW w:w="1943"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Facilitare gli scambi tematici e analitici tra le parti interessate dello sviluppo rurale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Fornire attività in rete destinate ai consulenti e servizi a sostegno dell'innovazione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Fornire attività di formazione e in rete per i GAL</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Raccogliere esempi di progetti</w:t>
            </w:r>
          </w:p>
        </w:tc>
        <w:tc>
          <w:tcPr>
            <w:tcW w:w="2347" w:type="pct"/>
            <w:shd w:val="clear" w:color="auto" w:fill="auto"/>
          </w:tcPr>
          <w:p w:rsidR="00675B1D" w:rsidRPr="00346304" w:rsidRDefault="00675B1D" w:rsidP="000C47B2">
            <w:pPr>
              <w:pStyle w:val="Htableleft"/>
              <w:rPr>
                <w:color w:val="576C88" w:themeColor="text2" w:themeTint="D9"/>
                <w:highlight w:val="yellow"/>
              </w:rPr>
            </w:pPr>
            <w:r w:rsidRPr="00346304">
              <w:rPr>
                <w:color w:val="576C88" w:themeColor="text2" w:themeTint="D9"/>
                <w:highlight w:val="yellow"/>
              </w:rPr>
              <w:t>DVSP: quanti scambi tematici, banche dati di progetti innovativi a disposizione del pubblico e corsi di formazione in materia di innovazione sono stati ottenuti grazie alle attività della RRN?</w:t>
            </w:r>
          </w:p>
        </w:tc>
      </w:tr>
      <w:tr w:rsidR="00675B1D" w:rsidRPr="00346304" w:rsidTr="00D21174">
        <w:tc>
          <w:tcPr>
            <w:tcW w:w="710"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Risultato – obiettivi specifici</w:t>
            </w:r>
          </w:p>
        </w:tc>
        <w:tc>
          <w:tcPr>
            <w:tcW w:w="1943"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Rafforzare la collaborazione, lo scambio e le attività in rete tra i partner del progetto per l'innovazione nelle zone rurali attraverso la RRN</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Migliorare l'emergere di prodotti e mercati innovativi, processi e forme di organizzazione</w:t>
            </w:r>
          </w:p>
        </w:tc>
        <w:tc>
          <w:tcPr>
            <w:tcW w:w="2347"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DVSP: in che misura le attività della RRN hanno contribuito a un aumento della collaborazione, degli scambi e delle attività di rete tra i partner del progetto per l'innovazione?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DVSP: in che misura prodotti e mercati innovativi, processi e forme di organizzazione sono stati sviluppati e trasferiti grazie alle attività della RRN?</w:t>
            </w:r>
          </w:p>
        </w:tc>
      </w:tr>
      <w:tr w:rsidR="00675B1D" w:rsidRPr="00346304" w:rsidTr="00D21174">
        <w:tc>
          <w:tcPr>
            <w:tcW w:w="710"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Impatto – obiettivi generali</w:t>
            </w:r>
          </w:p>
        </w:tc>
        <w:tc>
          <w:tcPr>
            <w:tcW w:w="1943"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(OC) Promuovere l'innovazione nel settore agricolo, nella produzione alimentare, nella silvicoltura e nelle zone rurali</w:t>
            </w:r>
          </w:p>
        </w:tc>
        <w:tc>
          <w:tcPr>
            <w:tcW w:w="2347" w:type="pct"/>
            <w:shd w:val="clear" w:color="auto" w:fill="auto"/>
          </w:tcPr>
          <w:p w:rsidR="00675B1D" w:rsidRPr="00346304" w:rsidRDefault="00675B1D" w:rsidP="00571AB6">
            <w:pPr>
              <w:pStyle w:val="Htableleft"/>
              <w:rPr>
                <w:color w:val="576C88" w:themeColor="text2" w:themeTint="D9"/>
                <w:highlight w:val="yellow"/>
              </w:rPr>
            </w:pPr>
            <w:r w:rsidRPr="00346304">
              <w:rPr>
                <w:color w:val="576C88" w:themeColor="text2" w:themeTint="D9"/>
                <w:highlight w:val="yellow"/>
              </w:rPr>
              <w:t>QVC: in che misura la RRN ha contribuito a (l'obiettivo strategico dell'UE di) promuovere l'innovazione nel settore agricolo, nella produzione alimentare, nella silvicoltura e nelle zone rurali?</w:t>
            </w:r>
          </w:p>
        </w:tc>
      </w:tr>
    </w:tbl>
    <w:p w:rsidR="00675B1D" w:rsidRPr="00346304" w:rsidRDefault="00675B1D" w:rsidP="00D7626C">
      <w:pPr>
        <w:pStyle w:val="HSource"/>
        <w:jc w:val="left"/>
        <w:rPr>
          <w:highlight w:val="yellow"/>
        </w:rPr>
      </w:pPr>
      <w:r w:rsidRPr="00346304">
        <w:rPr>
          <w:highlight w:val="yellow"/>
        </w:rPr>
        <w:t>Fonte: Helpdesk europeo della valutazione per lo sviluppo rurale, 2015</w:t>
      </w:r>
    </w:p>
    <w:p w:rsidR="00675B1D" w:rsidRPr="00346304" w:rsidRDefault="00675B1D" w:rsidP="00FC0A30">
      <w:pPr>
        <w:pStyle w:val="HStandard"/>
        <w:rPr>
          <w:highlight w:val="yellow"/>
        </w:rPr>
      </w:pPr>
      <w:r w:rsidRPr="00346304">
        <w:rPr>
          <w:highlight w:val="yellow"/>
        </w:rPr>
        <w:t>Le domande di valutazione applicate nelle valutazioni della RRN (/del PRRN) nel corso del precedente periodo di programmazione, le esperienze raccolte tramite workshop sulle buone pratiche in materia di RRN</w:t>
      </w:r>
      <w:r w:rsidRPr="00346304">
        <w:rPr>
          <w:rStyle w:val="FootnoteReference"/>
          <w:highlight w:val="yellow"/>
        </w:rPr>
        <w:footnoteReference w:id="75"/>
      </w:r>
      <w:r w:rsidRPr="00346304">
        <w:rPr>
          <w:highlight w:val="yellow"/>
        </w:rPr>
        <w:t xml:space="preserve"> organizzati dall'Helpdesk della valutazione e gli orientamenti sulla valutazione dei PRRN 2007-2013</w:t>
      </w:r>
      <w:r w:rsidRPr="00346304">
        <w:rPr>
          <w:rStyle w:val="FootnoteReference"/>
          <w:highlight w:val="yellow"/>
        </w:rPr>
        <w:footnoteReference w:id="76"/>
      </w:r>
      <w:r w:rsidRPr="00346304">
        <w:rPr>
          <w:highlight w:val="yellow"/>
        </w:rPr>
        <w:t xml:space="preserve"> possono essere utilizzati come fonte di ispirazione</w:t>
      </w:r>
      <w:r w:rsidRPr="00346304">
        <w:rPr>
          <w:rStyle w:val="FootnoteReference"/>
          <w:highlight w:val="yellow"/>
        </w:rPr>
        <w:footnoteReference w:id="77"/>
      </w:r>
      <w:r w:rsidRPr="00346304">
        <w:rPr>
          <w:highlight w:val="yellow"/>
        </w:rPr>
        <w:t xml:space="preserve"> nello sviluppo di domande di valutazione specifiche del programma. </w:t>
      </w:r>
    </w:p>
    <w:p w:rsidR="00675B1D" w:rsidRPr="00346304" w:rsidRDefault="00675B1D" w:rsidP="00D322AA">
      <w:pPr>
        <w:pStyle w:val="Heading6"/>
        <w:rPr>
          <w:highlight w:val="yellow"/>
        </w:rPr>
      </w:pPr>
      <w:r w:rsidRPr="00346304">
        <w:rPr>
          <w:highlight w:val="yellow"/>
        </w:rPr>
        <w:t>Criteri di giudizio</w:t>
      </w:r>
    </w:p>
    <w:p w:rsidR="00675B1D" w:rsidRPr="00346304" w:rsidRDefault="00675B1D" w:rsidP="00FC0A30">
      <w:pPr>
        <w:pStyle w:val="HStandard"/>
        <w:rPr>
          <w:highlight w:val="yellow"/>
        </w:rPr>
      </w:pPr>
      <w:r w:rsidRPr="00346304">
        <w:rPr>
          <w:highlight w:val="yellow"/>
        </w:rPr>
        <w:t>I criteri di giudizio definiscono il successo dell'intervento e specificano ulteriormente il questionario valutativo. Facilitano la formulazione degli indicatori della RRN e consentono di rispondere alle domande di valutazione in modo strutturato</w:t>
      </w:r>
      <w:r w:rsidRPr="00346304">
        <w:rPr>
          <w:rStyle w:val="FootnoteReference"/>
          <w:highlight w:val="yellow"/>
        </w:rPr>
        <w:footnoteReference w:id="78"/>
      </w:r>
      <w:r w:rsidRPr="00346304">
        <w:rPr>
          <w:highlight w:val="yellow"/>
        </w:rPr>
        <w:t xml:space="preserve">. In genere, i criteri di giudizio sono formulati insieme alle </w:t>
      </w:r>
      <w:r w:rsidRPr="00346304">
        <w:rPr>
          <w:highlight w:val="yellow"/>
        </w:rPr>
        <w:lastRenderedPageBreak/>
        <w:t xml:space="preserve">domande di valutazione. La loro coerenza con gli indicatori costituisce il presupposto di base per sviluppare risposte basate sulle prove ai questionari valutativi. La figura che segue illustra la coerenza tra le domande di valutazione, i criteri di giudizio e gli indicatori. </w:t>
      </w:r>
    </w:p>
    <w:p w:rsidR="00675B1D" w:rsidRPr="00346304" w:rsidRDefault="00675B1D">
      <w:pPr>
        <w:spacing w:after="0" w:line="240" w:lineRule="auto"/>
        <w:rPr>
          <w:rFonts w:cs="Arial"/>
          <w:color w:val="576C88" w:themeColor="text2" w:themeTint="D9"/>
          <w:sz w:val="20"/>
          <w:szCs w:val="20"/>
          <w:highlight w:val="yellow"/>
        </w:rPr>
      </w:pPr>
    </w:p>
    <w:p w:rsidR="00675B1D" w:rsidRPr="00346304" w:rsidRDefault="00675B1D" w:rsidP="00917E9C">
      <w:pPr>
        <w:pStyle w:val="HHeadingfigures"/>
        <w:keepNext/>
        <w:ind w:left="0"/>
        <w:rPr>
          <w:highlight w:val="yellow"/>
        </w:rPr>
      </w:pPr>
      <w:bookmarkStart w:id="128" w:name="_Toc445465129"/>
      <w:bookmarkStart w:id="129" w:name="_Toc451781932"/>
      <w:bookmarkStart w:id="130" w:name="_Toc461616784"/>
      <w:r w:rsidRPr="00346304">
        <w:rPr>
          <w:highlight w:val="yellow"/>
        </w:rPr>
        <w:t>Coerenza tra domande di valutazione, criteri di giudizio e indicatori</w:t>
      </w:r>
      <w:bookmarkEnd w:id="128"/>
      <w:bookmarkEnd w:id="129"/>
      <w:bookmarkEnd w:id="130"/>
      <w:r w:rsidRPr="00346304">
        <w:rPr>
          <w:highlight w:val="yellow"/>
        </w:rPr>
        <w:t xml:space="preserve"> </w:t>
      </w:r>
    </w:p>
    <w:p w:rsidR="00675B1D" w:rsidRPr="00346304" w:rsidRDefault="00675B1D" w:rsidP="00FC0A30">
      <w:pPr>
        <w:jc w:val="center"/>
        <w:rPr>
          <w:highlight w:val="yellow"/>
        </w:rPr>
      </w:pPr>
      <w:r w:rsidRPr="00A147C7">
        <w:rPr>
          <w:noProof/>
          <w:lang w:eastAsia="en-GB"/>
        </w:rPr>
        <w:drawing>
          <wp:inline distT="0" distB="0" distL="0" distR="0" wp14:anchorId="2093CA19" wp14:editId="60BCDEBF">
            <wp:extent cx="5731510" cy="1520380"/>
            <wp:effectExtent l="0" t="0" r="254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1520380"/>
                    </a:xfrm>
                    <a:prstGeom prst="rect">
                      <a:avLst/>
                    </a:prstGeom>
                    <a:noFill/>
                    <a:ln>
                      <a:noFill/>
                    </a:ln>
                  </pic:spPr>
                </pic:pic>
              </a:graphicData>
            </a:graphic>
          </wp:inline>
        </w:drawing>
      </w:r>
    </w:p>
    <w:p w:rsidR="00675B1D" w:rsidRPr="00346304" w:rsidRDefault="00675B1D" w:rsidP="00FC0A30">
      <w:pPr>
        <w:pStyle w:val="HSource"/>
        <w:rPr>
          <w:highlight w:val="yellow"/>
        </w:rPr>
      </w:pPr>
      <w:r w:rsidRPr="00346304">
        <w:rPr>
          <w:highlight w:val="yellow"/>
        </w:rPr>
        <w:t>Fonte: Helpdesk europeo della valutazione per lo sviluppo rurale 2016</w:t>
      </w:r>
    </w:p>
    <w:p w:rsidR="00675B1D" w:rsidRPr="00346304" w:rsidRDefault="00675B1D" w:rsidP="00D322AA">
      <w:pPr>
        <w:pStyle w:val="Heading6"/>
        <w:rPr>
          <w:highlight w:val="yellow"/>
        </w:rPr>
      </w:pPr>
      <w:r w:rsidRPr="00346304">
        <w:rPr>
          <w:highlight w:val="yellow"/>
        </w:rPr>
        <w:t>Indicatori relativi alla RRN comuni e specifici del programma</w:t>
      </w:r>
    </w:p>
    <w:p w:rsidR="00675B1D" w:rsidRPr="00346304" w:rsidRDefault="00675B1D" w:rsidP="00A75DD3">
      <w:pPr>
        <w:pStyle w:val="HStandard"/>
        <w:rPr>
          <w:highlight w:val="yellow"/>
        </w:rPr>
      </w:pPr>
      <w:r w:rsidRPr="00346304">
        <w:rPr>
          <w:highlight w:val="yellow"/>
        </w:rPr>
        <w:t>Attualmente esistono solo tre indicatori comuni di prodotto</w:t>
      </w:r>
      <w:r w:rsidRPr="00346304">
        <w:rPr>
          <w:rStyle w:val="FootnoteReference"/>
          <w:highlight w:val="yellow"/>
        </w:rPr>
        <w:footnoteReference w:id="79"/>
      </w:r>
      <w:r w:rsidRPr="00346304">
        <w:rPr>
          <w:highlight w:val="yellow"/>
        </w:rPr>
        <w:t xml:space="preserve"> definiti dai gruppi di azioni delle RRN, ossia: </w:t>
      </w:r>
    </w:p>
    <w:p w:rsidR="00675B1D" w:rsidRPr="00346304" w:rsidRDefault="00675B1D" w:rsidP="00D322AA">
      <w:pPr>
        <w:pStyle w:val="Hlistbullet"/>
        <w:rPr>
          <w:highlight w:val="yellow"/>
        </w:rPr>
      </w:pPr>
      <w:r w:rsidRPr="00346304">
        <w:rPr>
          <w:highlight w:val="yellow"/>
        </w:rPr>
        <w:t>numero di scambi tematici e analitici istituiti con il sostegno della RRN;</w:t>
      </w:r>
    </w:p>
    <w:p w:rsidR="00675B1D" w:rsidRPr="00346304" w:rsidRDefault="00675B1D" w:rsidP="00D322AA">
      <w:pPr>
        <w:pStyle w:val="Hlistbullet"/>
        <w:rPr>
          <w:highlight w:val="yellow"/>
        </w:rPr>
      </w:pPr>
      <w:r w:rsidRPr="00346304">
        <w:rPr>
          <w:highlight w:val="yellow"/>
        </w:rPr>
        <w:t xml:space="preserve">numero di strumenti di comunicazione della RRN; </w:t>
      </w:r>
    </w:p>
    <w:p w:rsidR="00675B1D" w:rsidRPr="00346304" w:rsidRDefault="00675B1D" w:rsidP="00D322AA">
      <w:pPr>
        <w:pStyle w:val="Hlistbullet"/>
        <w:rPr>
          <w:highlight w:val="yellow"/>
        </w:rPr>
      </w:pPr>
      <w:r w:rsidRPr="00346304">
        <w:rPr>
          <w:highlight w:val="yellow"/>
        </w:rPr>
        <w:t>numero di attività della RESR alle quali ha partecipato la RRN.</w:t>
      </w:r>
    </w:p>
    <w:p w:rsidR="00675B1D" w:rsidRPr="00346304" w:rsidRDefault="00675B1D" w:rsidP="00FC0A30">
      <w:pPr>
        <w:pStyle w:val="HStandard"/>
        <w:rPr>
          <w:highlight w:val="yellow"/>
        </w:rPr>
      </w:pPr>
      <w:r w:rsidRPr="00346304">
        <w:rPr>
          <w:highlight w:val="yellow"/>
        </w:rPr>
        <w:t xml:space="preserve">Gli indicatori comuni non sono sufficienti per misurare tutti i risultati e gli effetti attesi della RRN e non sono in grado di fornire prove sufficienti per rispondere al questionario valutativo comune e a quello specifico del programma. Le autorità della RRN (/del PRRN) sono quindi incoraggiate a definire indicatori di risultato e di impatto supplementari per rispondere alla domanda n. 21 del questionario valutativo comune e indicatori di risultato e di impatto relativi alla RRN specifici del programma per rispondere a domande di valutazione specifiche del programma. Gli indicatori dovrebbero essere formulati in fase di programmazione o, in alternativa, durante la preparazione della valutazione da parte delle autorità del programma (AG, USR o entrambe). I risultati e gli impatti attesi della RRN spiegati nelle parti precedenti del presente capitolo forniscono una base per la definizione degli indicatori specifici del programma relativi alla RRN. </w:t>
      </w:r>
    </w:p>
    <w:p w:rsidR="00675B1D" w:rsidRPr="00346304" w:rsidRDefault="00675B1D" w:rsidP="00FC0A30">
      <w:pPr>
        <w:pStyle w:val="HStandard"/>
        <w:rPr>
          <w:highlight w:val="yellow"/>
        </w:rPr>
      </w:pPr>
      <w:r w:rsidRPr="00346304">
        <w:rPr>
          <w:highlight w:val="yellow"/>
        </w:rPr>
        <w:t>Il documento di lavoro «Common evaluation questions for 2014-2020 RDPs» [Questionario valutativo comune per programmi di sviluppo rurale 2014-2020] (in inglese) fornisce esempi di ulteriori informazioni da raccogliere per rispondere alla domanda del questionario valutativo comune relativa alla RRN, ossia:</w:t>
      </w:r>
    </w:p>
    <w:p w:rsidR="00675B1D" w:rsidRPr="00346304" w:rsidRDefault="00675B1D" w:rsidP="00975D9B">
      <w:pPr>
        <w:pStyle w:val="Hlistbullet2"/>
        <w:rPr>
          <w:highlight w:val="yellow"/>
        </w:rPr>
      </w:pPr>
      <w:r w:rsidRPr="00346304">
        <w:rPr>
          <w:highlight w:val="yellow"/>
        </w:rPr>
        <w:t>numero di parti interessate (per tipologia) che partecipano all'attuazione del PSR grazie alle attività della RRN (anche tramite i GAL);</w:t>
      </w:r>
    </w:p>
    <w:p w:rsidR="00675B1D" w:rsidRPr="00346304" w:rsidRDefault="00675B1D" w:rsidP="00975D9B">
      <w:pPr>
        <w:pStyle w:val="Hlistbullet2"/>
        <w:rPr>
          <w:highlight w:val="yellow"/>
        </w:rPr>
      </w:pPr>
      <w:r w:rsidRPr="00346304">
        <w:rPr>
          <w:highlight w:val="yellow"/>
        </w:rPr>
        <w:t>numero di modifiche dei PSR basate sui risultati delle valutazioni e sulle raccomandazioni provenienti da gruppi di lavoro tematici organizzati dalla RRN;</w:t>
      </w:r>
    </w:p>
    <w:p w:rsidR="00675B1D" w:rsidRPr="00346304" w:rsidRDefault="00675B1D" w:rsidP="00975D9B">
      <w:pPr>
        <w:pStyle w:val="Hlistbullet2"/>
        <w:rPr>
          <w:highlight w:val="yellow"/>
        </w:rPr>
      </w:pPr>
      <w:r w:rsidRPr="00346304">
        <w:rPr>
          <w:highlight w:val="yellow"/>
        </w:rPr>
        <w:t>% di progetti implementati del PSR incoraggiati dalle attività della RRN;</w:t>
      </w:r>
    </w:p>
    <w:p w:rsidR="00675B1D" w:rsidRPr="00346304" w:rsidRDefault="00675B1D" w:rsidP="00975D9B">
      <w:pPr>
        <w:pStyle w:val="Hlistbullet2"/>
        <w:rPr>
          <w:highlight w:val="yellow"/>
        </w:rPr>
      </w:pPr>
      <w:r w:rsidRPr="00346304">
        <w:rPr>
          <w:highlight w:val="yellow"/>
        </w:rPr>
        <w:t>numero di persone che sono state informate in merito alla politica di sviluppo rurale e alle opportunità di finanziamento attraverso gli strumenti di comunicazione della RRN;</w:t>
      </w:r>
    </w:p>
    <w:p w:rsidR="00675B1D" w:rsidRPr="00346304" w:rsidRDefault="00675B1D" w:rsidP="00975D9B">
      <w:pPr>
        <w:pStyle w:val="Hlistbullet2"/>
        <w:rPr>
          <w:highlight w:val="yellow"/>
        </w:rPr>
      </w:pPr>
      <w:r w:rsidRPr="00346304">
        <w:rPr>
          <w:highlight w:val="yellow"/>
        </w:rPr>
        <w:lastRenderedPageBreak/>
        <w:t>% di progetti innovativi incoraggiati dalla RRN rispetto al numero totale di progetti innovativi sostenuti dal/dai PSR.</w:t>
      </w:r>
    </w:p>
    <w:p w:rsidR="00675B1D" w:rsidRPr="00346304" w:rsidRDefault="00675B1D" w:rsidP="00FC0A30">
      <w:pPr>
        <w:pStyle w:val="HStandard"/>
        <w:rPr>
          <w:highlight w:val="yellow"/>
        </w:rPr>
      </w:pPr>
      <w:r w:rsidRPr="00346304">
        <w:rPr>
          <w:highlight w:val="yellow"/>
        </w:rPr>
        <w:t xml:space="preserve">Questo elenco può servire come base per la formulazione di indicatori supplementari. L'elenco non è esaustivo e può essere completato con un maggior numero di indicatori supplementari. Inoltre, a seconda della RRN, una specifica logica di intervento e domande di valutazione specifiche del programma possono richiedere lo sviluppo di indicatori specifici del programma da utilizzare al fine di rispondere agli stessi. </w:t>
      </w:r>
    </w:p>
    <w:p w:rsidR="00675B1D" w:rsidRPr="00346304" w:rsidRDefault="00675B1D" w:rsidP="00FC0A30">
      <w:pPr>
        <w:pStyle w:val="HStandard"/>
        <w:rPr>
          <w:highlight w:val="yellow"/>
        </w:rPr>
      </w:pPr>
      <w:r w:rsidRPr="00346304">
        <w:rPr>
          <w:highlight w:val="yellow"/>
        </w:rPr>
        <w:t xml:space="preserve">Un approccio pratico allo sviluppo di indicatori della RRN specifici del programma consiste nell'utilizzare una tabella che elenchi gli obiettivi e le domande di valutazione per ciascun livello della gerarchia (prodotto, risultato, impatto). La </w:t>
      </w:r>
      <w:r w:rsidRPr="00346304">
        <w:rPr>
          <w:highlight w:val="yellow"/>
        </w:rPr>
        <w:fldChar w:fldCharType="begin" w:fldLock="1"/>
      </w:r>
      <w:r w:rsidRPr="00346304">
        <w:rPr>
          <w:highlight w:val="yellow"/>
        </w:rPr>
        <w:instrText xml:space="preserve"> REF _Ref451784970 \r \h  \* MERGEFORMAT </w:instrText>
      </w:r>
      <w:r w:rsidRPr="00346304">
        <w:rPr>
          <w:highlight w:val="yellow"/>
        </w:rPr>
      </w:r>
      <w:r w:rsidRPr="00346304">
        <w:rPr>
          <w:highlight w:val="yellow"/>
        </w:rPr>
        <w:fldChar w:fldCharType="separate"/>
      </w:r>
      <w:r w:rsidRPr="00346304">
        <w:rPr>
          <w:highlight w:val="yellow"/>
        </w:rPr>
        <w:t>Tabella 7</w:t>
      </w:r>
      <w:r w:rsidRPr="00346304">
        <w:rPr>
          <w:highlight w:val="yellow"/>
        </w:rPr>
        <w:fldChar w:fldCharType="end"/>
      </w:r>
      <w:r w:rsidRPr="00346304">
        <w:rPr>
          <w:highlight w:val="yellow"/>
        </w:rPr>
        <w:t xml:space="preserve"> illustra questo approccio riprendendo l'esempio relativo all'innovazione di cui sopra.</w:t>
      </w:r>
    </w:p>
    <w:p w:rsidR="00675B1D" w:rsidRPr="00346304" w:rsidRDefault="00675B1D">
      <w:pPr>
        <w:spacing w:after="0" w:line="240" w:lineRule="auto"/>
        <w:rPr>
          <w:rFonts w:cs="Arial"/>
          <w:color w:val="576C88" w:themeColor="text2" w:themeTint="D9"/>
          <w:sz w:val="20"/>
          <w:szCs w:val="20"/>
          <w:highlight w:val="yellow"/>
        </w:rPr>
      </w:pPr>
    </w:p>
    <w:p w:rsidR="00675B1D" w:rsidRPr="00346304" w:rsidRDefault="00675B1D" w:rsidP="00D21174">
      <w:pPr>
        <w:pStyle w:val="HHeadingtables"/>
        <w:ind w:left="0"/>
        <w:rPr>
          <w:sz w:val="20"/>
          <w:highlight w:val="yellow"/>
        </w:rPr>
      </w:pPr>
      <w:bookmarkStart w:id="131" w:name="_Toc451781911"/>
      <w:bookmarkStart w:id="132" w:name="_Ref451784970"/>
      <w:bookmarkStart w:id="133" w:name="_Toc461616768"/>
      <w:bookmarkStart w:id="134" w:name="_Ref435792426"/>
      <w:bookmarkStart w:id="135" w:name="_Toc436383149"/>
      <w:r w:rsidRPr="00346304">
        <w:rPr>
          <w:highlight w:val="yellow"/>
        </w:rPr>
        <w:t>Esempio di collegamento tra obiettivi relativi alla RRN, domande di valutazione e indicatori</w:t>
      </w:r>
      <w:bookmarkEnd w:id="131"/>
      <w:bookmarkEnd w:id="132"/>
      <w:bookmarkEnd w:id="133"/>
      <w:r w:rsidRPr="00346304">
        <w:rPr>
          <w:highlight w:val="yellow"/>
        </w:rPr>
        <w:t xml:space="preserve"> </w:t>
      </w:r>
      <w:bookmarkEnd w:id="134"/>
      <w:bookmarkEnd w:id="135"/>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311"/>
        <w:gridCol w:w="2198"/>
        <w:gridCol w:w="2416"/>
        <w:gridCol w:w="3091"/>
      </w:tblGrid>
      <w:tr w:rsidR="00675B1D" w:rsidRPr="00346304" w:rsidTr="00D21174">
        <w:tc>
          <w:tcPr>
            <w:tcW w:w="727" w:type="pct"/>
            <w:shd w:val="clear" w:color="auto" w:fill="E7E6E6" w:themeFill="background2"/>
          </w:tcPr>
          <w:p w:rsidR="00675B1D" w:rsidRPr="00346304" w:rsidRDefault="00675B1D" w:rsidP="00D322AA">
            <w:pPr>
              <w:pStyle w:val="Htableleftbolt"/>
              <w:rPr>
                <w:color w:val="5B9BD5" w:themeColor="accent1"/>
                <w:highlight w:val="yellow"/>
              </w:rPr>
            </w:pPr>
            <w:r w:rsidRPr="00346304">
              <w:rPr>
                <w:color w:val="5B9BD5" w:themeColor="accent1"/>
                <w:highlight w:val="yellow"/>
              </w:rPr>
              <w:t>Livello degli obiettivi nella gerarchia della logica di intervento della RRN</w:t>
            </w:r>
          </w:p>
        </w:tc>
        <w:tc>
          <w:tcPr>
            <w:tcW w:w="1219" w:type="pct"/>
            <w:shd w:val="clear" w:color="auto" w:fill="E7E6E6" w:themeFill="background2"/>
          </w:tcPr>
          <w:p w:rsidR="00675B1D" w:rsidRPr="00346304" w:rsidRDefault="00675B1D" w:rsidP="00D322AA">
            <w:pPr>
              <w:pStyle w:val="Htableleftbolt"/>
              <w:rPr>
                <w:color w:val="5B9BD5" w:themeColor="accent1"/>
                <w:highlight w:val="yellow"/>
              </w:rPr>
            </w:pPr>
            <w:r w:rsidRPr="00346304">
              <w:rPr>
                <w:color w:val="5B9BD5" w:themeColor="accent1"/>
                <w:highlight w:val="yellow"/>
              </w:rPr>
              <w:t>Obiettivi delle RRN</w:t>
            </w:r>
          </w:p>
          <w:p w:rsidR="00675B1D" w:rsidRPr="00346304" w:rsidRDefault="00675B1D" w:rsidP="00D322AA">
            <w:pPr>
              <w:pStyle w:val="Htableleftbolt"/>
              <w:rPr>
                <w:b w:val="0"/>
                <w:color w:val="5B9BD5" w:themeColor="accent1"/>
                <w:highlight w:val="yellow"/>
              </w:rPr>
            </w:pPr>
            <w:r w:rsidRPr="00346304">
              <w:rPr>
                <w:b w:val="0"/>
                <w:color w:val="5B9BD5" w:themeColor="accent1"/>
                <w:highlight w:val="yellow"/>
              </w:rPr>
              <w:t>(OC - obiettivi comuni</w:t>
            </w:r>
          </w:p>
          <w:p w:rsidR="00675B1D" w:rsidRPr="00346304" w:rsidRDefault="00675B1D" w:rsidP="007E5B15">
            <w:pPr>
              <w:pStyle w:val="Htableleftbolt"/>
              <w:rPr>
                <w:color w:val="5B9BD5" w:themeColor="accent1"/>
                <w:highlight w:val="yellow"/>
              </w:rPr>
            </w:pPr>
            <w:r w:rsidRPr="00346304">
              <w:rPr>
                <w:b w:val="0"/>
                <w:color w:val="5B9BD5" w:themeColor="accent1"/>
                <w:highlight w:val="yellow"/>
              </w:rPr>
              <w:t>OSP - obiettivi specifici del programma)</w:t>
            </w:r>
          </w:p>
        </w:tc>
        <w:tc>
          <w:tcPr>
            <w:tcW w:w="1340" w:type="pct"/>
            <w:shd w:val="clear" w:color="auto" w:fill="E7E6E6" w:themeFill="background2"/>
          </w:tcPr>
          <w:p w:rsidR="00675B1D" w:rsidRPr="00346304" w:rsidRDefault="00675B1D" w:rsidP="00D322AA">
            <w:pPr>
              <w:pStyle w:val="Htableleftbolt"/>
              <w:rPr>
                <w:color w:val="5B9BD5" w:themeColor="accent1"/>
                <w:highlight w:val="yellow"/>
              </w:rPr>
            </w:pPr>
            <w:r w:rsidRPr="00346304">
              <w:rPr>
                <w:color w:val="5B9BD5" w:themeColor="accent1"/>
                <w:highlight w:val="yellow"/>
              </w:rPr>
              <w:t>Domande di valutazione della RRN</w:t>
            </w:r>
          </w:p>
          <w:p w:rsidR="00675B1D" w:rsidRPr="00346304" w:rsidRDefault="00675B1D" w:rsidP="00D322AA">
            <w:pPr>
              <w:pStyle w:val="Htableleftbolt"/>
              <w:rPr>
                <w:b w:val="0"/>
                <w:color w:val="5B9BD5" w:themeColor="accent1"/>
                <w:highlight w:val="yellow"/>
              </w:rPr>
            </w:pPr>
            <w:r w:rsidRPr="00346304">
              <w:rPr>
                <w:b w:val="0"/>
                <w:color w:val="5B9BD5" w:themeColor="accent1"/>
                <w:highlight w:val="yellow"/>
              </w:rPr>
              <w:t>(VQC- questionario valutativo comune</w:t>
            </w:r>
          </w:p>
          <w:p w:rsidR="00675B1D" w:rsidRPr="00346304" w:rsidRDefault="00675B1D" w:rsidP="00D322AA">
            <w:pPr>
              <w:pStyle w:val="Htableleftbolt"/>
              <w:rPr>
                <w:color w:val="5B9BD5" w:themeColor="accent1"/>
                <w:highlight w:val="yellow"/>
              </w:rPr>
            </w:pPr>
            <w:r w:rsidRPr="00346304">
              <w:rPr>
                <w:b w:val="0"/>
                <w:color w:val="5B9BD5" w:themeColor="accent1"/>
                <w:highlight w:val="yellow"/>
              </w:rPr>
              <w:t>DVSP - domande di valutazione specifiche del programma)</w:t>
            </w:r>
          </w:p>
        </w:tc>
        <w:tc>
          <w:tcPr>
            <w:tcW w:w="1714" w:type="pct"/>
            <w:shd w:val="clear" w:color="auto" w:fill="E7E6E6" w:themeFill="background2"/>
          </w:tcPr>
          <w:p w:rsidR="00675B1D" w:rsidRPr="00346304" w:rsidRDefault="00675B1D" w:rsidP="00D322AA">
            <w:pPr>
              <w:pStyle w:val="Htableleftbolt"/>
              <w:rPr>
                <w:color w:val="5B9BD5" w:themeColor="accent1"/>
                <w:highlight w:val="yellow"/>
              </w:rPr>
            </w:pPr>
            <w:r w:rsidRPr="00346304">
              <w:rPr>
                <w:color w:val="5B9BD5" w:themeColor="accent1"/>
                <w:highlight w:val="yellow"/>
              </w:rPr>
              <w:t>Indicatori della RRN</w:t>
            </w:r>
          </w:p>
          <w:p w:rsidR="00675B1D" w:rsidRPr="00346304" w:rsidRDefault="00675B1D" w:rsidP="00D322AA">
            <w:pPr>
              <w:pStyle w:val="Htableleftbolt"/>
              <w:rPr>
                <w:b w:val="0"/>
                <w:color w:val="5B9BD5" w:themeColor="accent1"/>
                <w:szCs w:val="16"/>
                <w:highlight w:val="yellow"/>
              </w:rPr>
            </w:pPr>
            <w:r w:rsidRPr="00346304">
              <w:rPr>
                <w:b w:val="0"/>
                <w:color w:val="5B9BD5" w:themeColor="accent1"/>
                <w:highlight w:val="yellow"/>
              </w:rPr>
              <w:t>(PC - prodotti comuni</w:t>
            </w:r>
          </w:p>
          <w:p w:rsidR="00675B1D" w:rsidRPr="00346304" w:rsidRDefault="00675B1D" w:rsidP="00D322AA">
            <w:pPr>
              <w:pStyle w:val="Htableleftbolt"/>
              <w:rPr>
                <w:b w:val="0"/>
                <w:color w:val="5B9BD5" w:themeColor="accent1"/>
                <w:szCs w:val="16"/>
                <w:highlight w:val="yellow"/>
              </w:rPr>
            </w:pPr>
            <w:r w:rsidRPr="00346304">
              <w:rPr>
                <w:b w:val="0"/>
                <w:color w:val="5B9BD5" w:themeColor="accent1"/>
                <w:highlight w:val="yellow"/>
              </w:rPr>
              <w:t>RSP - risultati specifici del programma</w:t>
            </w:r>
          </w:p>
          <w:p w:rsidR="00675B1D" w:rsidRPr="00346304" w:rsidRDefault="00675B1D" w:rsidP="007E5B15">
            <w:pPr>
              <w:pStyle w:val="Htableleftbolt"/>
              <w:rPr>
                <w:color w:val="5B9BD5" w:themeColor="accent1"/>
                <w:highlight w:val="yellow"/>
              </w:rPr>
            </w:pPr>
            <w:r w:rsidRPr="00346304">
              <w:rPr>
                <w:b w:val="0"/>
                <w:color w:val="5B9BD5" w:themeColor="accent1"/>
                <w:highlight w:val="yellow"/>
              </w:rPr>
              <w:t>ISP - impatti specifici del programma)</w:t>
            </w:r>
          </w:p>
        </w:tc>
      </w:tr>
      <w:tr w:rsidR="00675B1D" w:rsidRPr="00346304" w:rsidTr="00D21174">
        <w:tc>
          <w:tcPr>
            <w:tcW w:w="727"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Obiettivi operativi (livello attività e prodotto)</w:t>
            </w:r>
          </w:p>
        </w:tc>
        <w:tc>
          <w:tcPr>
            <w:tcW w:w="1219"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facilitare gli scambi tematici e analitici tra le parti interessate dello sviluppo rurale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fornire attività in rete destinate ai consulenti e servizi a sostegno dell'innovazione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fornire attività di formazione e in rete per i GAL</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raccogliere esempi di progetti</w:t>
            </w:r>
          </w:p>
        </w:tc>
        <w:tc>
          <w:tcPr>
            <w:tcW w:w="1340" w:type="pct"/>
            <w:shd w:val="clear" w:color="auto" w:fill="auto"/>
          </w:tcPr>
          <w:p w:rsidR="00675B1D" w:rsidRPr="00346304" w:rsidRDefault="00675B1D" w:rsidP="0037168A">
            <w:pPr>
              <w:pStyle w:val="Htableleft"/>
              <w:rPr>
                <w:color w:val="576C88" w:themeColor="text2" w:themeTint="D9"/>
                <w:highlight w:val="yellow"/>
              </w:rPr>
            </w:pPr>
            <w:r w:rsidRPr="00346304">
              <w:rPr>
                <w:color w:val="576C88" w:themeColor="text2" w:themeTint="D9"/>
                <w:highlight w:val="yellow"/>
              </w:rPr>
              <w:t>DVSP: quanti scambi tematici, banche dati di progetti innovativi a disposizione del pubblico e corsi di formazione in materia di innovazione sono stati ottenuti grazie alle attività della RRN?</w:t>
            </w:r>
          </w:p>
        </w:tc>
        <w:tc>
          <w:tcPr>
            <w:tcW w:w="1714"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(PC) Numero di scambi tematici e analitici istituiti con il sostegno della RRN, di cui, numero di eventi formativi sull'innovazione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(PC) Numero di strumenti di comunicazione, con particolare attenzione a banche dati di progetti innovativi, a disposizione del pubblico</w:t>
            </w:r>
          </w:p>
        </w:tc>
      </w:tr>
      <w:tr w:rsidR="00675B1D" w:rsidRPr="00346304" w:rsidTr="00D21174">
        <w:tc>
          <w:tcPr>
            <w:tcW w:w="727"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Obiettivi specifici (livello di risultato)</w:t>
            </w:r>
          </w:p>
        </w:tc>
        <w:tc>
          <w:tcPr>
            <w:tcW w:w="1219"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 xml:space="preserve"> (OSP) Rafforzare la collaborazione, lo scambio e le attività in rete tra i partner del progetto per l'innovazione nelle zone rurali attraverso la RRN</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(OSP) Migliorare l'emergere di prodotti e mercati innovativi, processi e forme di organizzazione</w:t>
            </w:r>
          </w:p>
          <w:p w:rsidR="00675B1D" w:rsidRPr="00346304" w:rsidRDefault="00675B1D" w:rsidP="00FC0A30">
            <w:pPr>
              <w:pStyle w:val="Htableleft"/>
              <w:rPr>
                <w:color w:val="576C88" w:themeColor="text2" w:themeTint="D9"/>
                <w:highlight w:val="yellow"/>
              </w:rPr>
            </w:pPr>
          </w:p>
        </w:tc>
        <w:tc>
          <w:tcPr>
            <w:tcW w:w="1340"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DVSP: in che misura le attività della RRN hanno contribuito a un aumento della collaborazione, degli scambi e delle attività di rete tra i partner del progetto per l'innovazione?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DVSP: in che misura i progetti innovativi sono stati sviluppati dai beneficiari della RRN?</w:t>
            </w:r>
          </w:p>
        </w:tc>
        <w:tc>
          <w:tcPr>
            <w:tcW w:w="1714"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(RSP) Numero di ulteriori reti/partenariati/gruppi di cooperazione tra i partner dei progetti di innovazione incoraggiati dalla RRN</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 xml:space="preserve">(RSP) Numero di prodotti e mercati innovativi, processi e forme di organizzazione sviluppati dai beneficiari delle RRN </w:t>
            </w:r>
          </w:p>
        </w:tc>
      </w:tr>
      <w:tr w:rsidR="00675B1D" w:rsidRPr="00346304" w:rsidTr="00D21174">
        <w:tc>
          <w:tcPr>
            <w:tcW w:w="727"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Obiettivi generali (livello di impatto)</w:t>
            </w:r>
          </w:p>
        </w:tc>
        <w:tc>
          <w:tcPr>
            <w:tcW w:w="1219"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(OC) Promuovere l'innovazione nel settore agricolo, nella produzione alimentare, nella silvicoltura e nelle zone rurali</w:t>
            </w:r>
          </w:p>
        </w:tc>
        <w:tc>
          <w:tcPr>
            <w:tcW w:w="1340"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 xml:space="preserve">QVC: in che misura la RRN ha contribuito a (l'obiettivo strategico dell'UE di) promuovere l'innovazione nel settore agricolo, nella produzione alimentare, della silvicoltura e nelle zone rurali? </w:t>
            </w:r>
          </w:p>
        </w:tc>
        <w:tc>
          <w:tcPr>
            <w:tcW w:w="1714" w:type="pct"/>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(ISP) Percentuale di prodotti e mercati innovativi, processi e nuove forme di organizzazione lungo la catena del valore e nelle zone rurali sviluppati, trasferiti e innescati nelle zone rurali grazie alle attività della RRN</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lastRenderedPageBreak/>
              <w:t>(ISP) Numero di brevetti, prototipi sviluppati/implementati nel settore agricolo e della silvicoltura grazie alla RRN</w:t>
            </w:r>
          </w:p>
        </w:tc>
      </w:tr>
    </w:tbl>
    <w:p w:rsidR="00675B1D" w:rsidRPr="00346304" w:rsidRDefault="00675B1D" w:rsidP="00FC0A30">
      <w:pPr>
        <w:pStyle w:val="HSource"/>
        <w:rPr>
          <w:highlight w:val="yellow"/>
        </w:rPr>
      </w:pPr>
      <w:r w:rsidRPr="00346304">
        <w:rPr>
          <w:highlight w:val="yellow"/>
        </w:rPr>
        <w:lastRenderedPageBreak/>
        <w:t>Fonte: Helpdesk europeo della valutazione per lo sviluppo rurale, 2016</w:t>
      </w:r>
    </w:p>
    <w:p w:rsidR="00675B1D" w:rsidRPr="00346304" w:rsidRDefault="00675B1D" w:rsidP="00FC0A30">
      <w:pPr>
        <w:pStyle w:val="HStandard"/>
        <w:rPr>
          <w:highlight w:val="yellow"/>
        </w:rPr>
      </w:pPr>
      <w:r w:rsidRPr="00346304">
        <w:rPr>
          <w:highlight w:val="yellow"/>
        </w:rPr>
        <w:t>Gli indicatori specifici del programma relativi alla RRN devono essere sviluppati in modo coerente con gli obiettivi strategici legati alla RRN e con i questionari valutativi/criteri di giudizio. Per lo sviluppo di indicatori della RRN specifici del programma</w:t>
      </w:r>
      <w:r w:rsidRPr="00346304">
        <w:rPr>
          <w:rStyle w:val="FootnoteReference"/>
          <w:highlight w:val="yellow"/>
        </w:rPr>
        <w:footnoteReference w:id="80"/>
      </w:r>
      <w:r w:rsidRPr="00346304">
        <w:rPr>
          <w:rFonts w:ascii="ZWAdobeF" w:hAnsi="ZWAdobeF"/>
          <w:color w:val="auto"/>
          <w:sz w:val="2"/>
          <w:highlight w:val="yellow"/>
        </w:rPr>
        <w:t xml:space="preserve"> </w:t>
      </w:r>
      <w:r w:rsidRPr="00346304">
        <w:rPr>
          <w:highlight w:val="yellow"/>
        </w:rPr>
        <w:t>si dovrebbero utilizzare criteri RACER, ossia:</w:t>
      </w:r>
    </w:p>
    <w:p w:rsidR="00675B1D" w:rsidRPr="00346304" w:rsidRDefault="00675B1D">
      <w:pPr>
        <w:spacing w:after="0" w:line="240" w:lineRule="auto"/>
        <w:rPr>
          <w:rFonts w:cs="Arial"/>
          <w:color w:val="576C88" w:themeColor="text2" w:themeTint="D9"/>
          <w:sz w:val="20"/>
          <w:szCs w:val="20"/>
          <w:highlight w:val="yellow"/>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675B1D" w:rsidRPr="00346304" w:rsidTr="00D322AA">
        <w:trPr>
          <w:trHeight w:val="780"/>
        </w:trPr>
        <w:tc>
          <w:tcPr>
            <w:tcW w:w="1467" w:type="dxa"/>
            <w:shd w:val="clear" w:color="auto" w:fill="E7E6E6" w:themeFill="background2"/>
          </w:tcPr>
          <w:p w:rsidR="00675B1D" w:rsidRPr="00346304" w:rsidRDefault="00675B1D" w:rsidP="00A80588">
            <w:pPr>
              <w:pStyle w:val="Default"/>
              <w:jc w:val="center"/>
              <w:rPr>
                <w:rFonts w:ascii="Arial" w:hAnsi="Arial" w:cs="Arial"/>
                <w:b/>
                <w:color w:val="5B9BD5" w:themeColor="accent1"/>
                <w:sz w:val="18"/>
                <w:szCs w:val="18"/>
                <w:highlight w:val="yellow"/>
              </w:rPr>
            </w:pPr>
            <w:r w:rsidRPr="00346304">
              <w:rPr>
                <w:rFonts w:ascii="Arial" w:hAnsi="Arial"/>
                <w:b/>
                <w:color w:val="5B9BD5" w:themeColor="accent1"/>
                <w:sz w:val="18"/>
                <w:highlight w:val="yellow"/>
              </w:rPr>
              <w:t>Relevant (Pertinenti)</w:t>
            </w:r>
          </w:p>
        </w:tc>
        <w:tc>
          <w:tcPr>
            <w:tcW w:w="7549" w:type="dxa"/>
          </w:tcPr>
          <w:p w:rsidR="00675B1D" w:rsidRPr="00346304" w:rsidRDefault="00675B1D" w:rsidP="00EF2ED3">
            <w:pPr>
              <w:pStyle w:val="Default"/>
              <w:rPr>
                <w:rFonts w:ascii="Arial" w:hAnsi="Arial" w:cs="Arial"/>
                <w:color w:val="576C88" w:themeColor="text2" w:themeTint="D9"/>
                <w:sz w:val="18"/>
                <w:szCs w:val="18"/>
                <w:highlight w:val="yellow"/>
              </w:rPr>
            </w:pPr>
            <w:r w:rsidRPr="00346304">
              <w:rPr>
                <w:rFonts w:ascii="Arial" w:hAnsi="Arial"/>
                <w:color w:val="576C88" w:themeColor="text2" w:themeTint="D9"/>
                <w:sz w:val="18"/>
                <w:highlight w:val="yellow"/>
              </w:rPr>
              <w:t xml:space="preserve">Gli indicatori sono strettamente correlati agli obiettivi da raggiungere? Sono specificati al giusto livello - gli indicatori di impatto sono effettivamente indicatori di impatto e gli indicatori di risultato si riferiscono ai risultati? </w:t>
            </w:r>
          </w:p>
        </w:tc>
      </w:tr>
      <w:tr w:rsidR="00675B1D" w:rsidRPr="00346304" w:rsidTr="001249DA">
        <w:trPr>
          <w:trHeight w:val="376"/>
        </w:trPr>
        <w:tc>
          <w:tcPr>
            <w:tcW w:w="1467" w:type="dxa"/>
            <w:shd w:val="clear" w:color="auto" w:fill="E7E6E6" w:themeFill="background2"/>
          </w:tcPr>
          <w:p w:rsidR="00675B1D" w:rsidRPr="00346304" w:rsidRDefault="00675B1D" w:rsidP="00A80588">
            <w:pPr>
              <w:pStyle w:val="Default"/>
              <w:jc w:val="center"/>
              <w:rPr>
                <w:rFonts w:ascii="Arial" w:hAnsi="Arial" w:cs="Arial"/>
                <w:b/>
                <w:color w:val="5B9BD5" w:themeColor="accent1"/>
                <w:sz w:val="18"/>
                <w:szCs w:val="18"/>
                <w:highlight w:val="yellow"/>
              </w:rPr>
            </w:pPr>
            <w:r w:rsidRPr="00346304">
              <w:rPr>
                <w:rFonts w:ascii="Arial" w:hAnsi="Arial"/>
                <w:b/>
                <w:color w:val="5B9BD5" w:themeColor="accent1"/>
                <w:sz w:val="18"/>
                <w:highlight w:val="yellow"/>
              </w:rPr>
              <w:t>Accepted (Accettati)</w:t>
            </w:r>
          </w:p>
        </w:tc>
        <w:tc>
          <w:tcPr>
            <w:tcW w:w="7549" w:type="dxa"/>
          </w:tcPr>
          <w:p w:rsidR="00675B1D" w:rsidRPr="00346304" w:rsidRDefault="00675B1D" w:rsidP="00FC0A30">
            <w:pPr>
              <w:pStyle w:val="Default"/>
              <w:rPr>
                <w:rFonts w:ascii="Arial" w:hAnsi="Arial" w:cs="Arial"/>
                <w:color w:val="576C88" w:themeColor="text2" w:themeTint="D9"/>
                <w:sz w:val="18"/>
                <w:szCs w:val="18"/>
                <w:highlight w:val="yellow"/>
              </w:rPr>
            </w:pPr>
            <w:r w:rsidRPr="00346304">
              <w:rPr>
                <w:rFonts w:ascii="Arial" w:hAnsi="Arial"/>
                <w:color w:val="576C88" w:themeColor="text2" w:themeTint="D9"/>
                <w:sz w:val="18"/>
                <w:highlight w:val="yellow"/>
              </w:rPr>
              <w:t>Sono accettati dalle parti interessate?</w:t>
            </w:r>
          </w:p>
        </w:tc>
      </w:tr>
      <w:tr w:rsidR="00675B1D" w:rsidRPr="00346304" w:rsidTr="001249DA">
        <w:trPr>
          <w:trHeight w:val="523"/>
        </w:trPr>
        <w:tc>
          <w:tcPr>
            <w:tcW w:w="1467" w:type="dxa"/>
            <w:shd w:val="clear" w:color="auto" w:fill="E7E6E6" w:themeFill="background2"/>
          </w:tcPr>
          <w:p w:rsidR="00675B1D" w:rsidRPr="00346304" w:rsidRDefault="00675B1D" w:rsidP="00A80588">
            <w:pPr>
              <w:pStyle w:val="Default"/>
              <w:jc w:val="center"/>
              <w:rPr>
                <w:rFonts w:ascii="Arial" w:hAnsi="Arial" w:cs="Arial"/>
                <w:b/>
                <w:color w:val="5B9BD5" w:themeColor="accent1"/>
                <w:sz w:val="18"/>
                <w:szCs w:val="18"/>
                <w:highlight w:val="yellow"/>
              </w:rPr>
            </w:pPr>
            <w:r w:rsidRPr="00346304">
              <w:rPr>
                <w:rFonts w:ascii="Arial" w:hAnsi="Arial"/>
                <w:b/>
                <w:color w:val="5B9BD5" w:themeColor="accent1"/>
                <w:sz w:val="18"/>
                <w:highlight w:val="yellow"/>
              </w:rPr>
              <w:t>Credible (Credibili)</w:t>
            </w:r>
          </w:p>
        </w:tc>
        <w:tc>
          <w:tcPr>
            <w:tcW w:w="7549" w:type="dxa"/>
          </w:tcPr>
          <w:p w:rsidR="00675B1D" w:rsidRPr="00346304" w:rsidRDefault="00675B1D" w:rsidP="00FC0A30">
            <w:pPr>
              <w:pStyle w:val="Default"/>
              <w:rPr>
                <w:rFonts w:ascii="Arial" w:hAnsi="Arial" w:cs="Arial"/>
                <w:color w:val="576C88" w:themeColor="text2" w:themeTint="D9"/>
                <w:sz w:val="18"/>
                <w:szCs w:val="18"/>
                <w:highlight w:val="yellow"/>
              </w:rPr>
            </w:pPr>
            <w:r w:rsidRPr="00346304">
              <w:rPr>
                <w:rFonts w:ascii="Arial" w:hAnsi="Arial"/>
                <w:color w:val="576C88" w:themeColor="text2" w:themeTint="D9"/>
                <w:sz w:val="18"/>
                <w:highlight w:val="yellow"/>
              </w:rPr>
              <w:t>Sono accettati esternamente e sono al contempo privi di ambiguità e di facile interpretazione per i non addetti ai lavori?</w:t>
            </w:r>
          </w:p>
        </w:tc>
      </w:tr>
      <w:tr w:rsidR="00675B1D" w:rsidRPr="00346304" w:rsidTr="00D322AA">
        <w:trPr>
          <w:trHeight w:val="525"/>
        </w:trPr>
        <w:tc>
          <w:tcPr>
            <w:tcW w:w="1467" w:type="dxa"/>
            <w:shd w:val="clear" w:color="auto" w:fill="E7E6E6" w:themeFill="background2"/>
          </w:tcPr>
          <w:p w:rsidR="00675B1D" w:rsidRPr="00346304" w:rsidRDefault="00675B1D" w:rsidP="00D322AA">
            <w:pPr>
              <w:pStyle w:val="Default"/>
              <w:jc w:val="center"/>
              <w:rPr>
                <w:rFonts w:ascii="Arial" w:hAnsi="Arial" w:cs="Arial"/>
                <w:b/>
                <w:color w:val="5B9BD5" w:themeColor="accent1"/>
                <w:sz w:val="18"/>
                <w:szCs w:val="18"/>
                <w:highlight w:val="yellow"/>
              </w:rPr>
            </w:pPr>
            <w:r w:rsidRPr="00346304">
              <w:rPr>
                <w:rFonts w:ascii="Arial" w:hAnsi="Arial"/>
                <w:b/>
                <w:color w:val="5B9BD5" w:themeColor="accent1"/>
                <w:sz w:val="18"/>
                <w:highlight w:val="yellow"/>
              </w:rPr>
              <w:t>Easy (Semplici)</w:t>
            </w:r>
          </w:p>
        </w:tc>
        <w:tc>
          <w:tcPr>
            <w:tcW w:w="7549" w:type="dxa"/>
          </w:tcPr>
          <w:p w:rsidR="00675B1D" w:rsidRPr="00346304" w:rsidRDefault="00675B1D" w:rsidP="00FC0A30">
            <w:pPr>
              <w:pStyle w:val="Default"/>
              <w:rPr>
                <w:rFonts w:ascii="Arial" w:hAnsi="Arial" w:cs="Arial"/>
                <w:color w:val="576C88" w:themeColor="text2" w:themeTint="D9"/>
                <w:sz w:val="18"/>
                <w:szCs w:val="18"/>
                <w:highlight w:val="yellow"/>
              </w:rPr>
            </w:pPr>
            <w:r w:rsidRPr="00346304">
              <w:rPr>
                <w:rFonts w:ascii="Arial" w:hAnsi="Arial"/>
                <w:color w:val="576C88" w:themeColor="text2" w:themeTint="D9"/>
                <w:sz w:val="18"/>
                <w:highlight w:val="yellow"/>
              </w:rPr>
              <w:t>Sono semplici da monitorare?</w:t>
            </w:r>
          </w:p>
        </w:tc>
      </w:tr>
      <w:tr w:rsidR="00675B1D" w:rsidRPr="00346304" w:rsidTr="001249DA">
        <w:trPr>
          <w:trHeight w:val="389"/>
        </w:trPr>
        <w:tc>
          <w:tcPr>
            <w:tcW w:w="1467" w:type="dxa"/>
            <w:shd w:val="clear" w:color="auto" w:fill="E7E6E6" w:themeFill="background2"/>
          </w:tcPr>
          <w:p w:rsidR="00675B1D" w:rsidRPr="00346304" w:rsidRDefault="00675B1D" w:rsidP="00D322AA">
            <w:pPr>
              <w:pStyle w:val="Default"/>
              <w:jc w:val="center"/>
              <w:rPr>
                <w:rFonts w:ascii="Arial" w:hAnsi="Arial" w:cs="Arial"/>
                <w:b/>
                <w:color w:val="5B9BD5" w:themeColor="accent1"/>
                <w:sz w:val="18"/>
                <w:szCs w:val="18"/>
                <w:highlight w:val="yellow"/>
              </w:rPr>
            </w:pPr>
            <w:r w:rsidRPr="00346304">
              <w:rPr>
                <w:rFonts w:ascii="Arial" w:hAnsi="Arial"/>
                <w:b/>
                <w:color w:val="5B9BD5" w:themeColor="accent1"/>
                <w:sz w:val="18"/>
                <w:highlight w:val="yellow"/>
              </w:rPr>
              <w:t>Robust (Solidi)</w:t>
            </w:r>
          </w:p>
        </w:tc>
        <w:tc>
          <w:tcPr>
            <w:tcW w:w="7549" w:type="dxa"/>
          </w:tcPr>
          <w:p w:rsidR="00675B1D" w:rsidRPr="00346304" w:rsidRDefault="00675B1D" w:rsidP="00FC0A30">
            <w:pPr>
              <w:pStyle w:val="Default"/>
              <w:rPr>
                <w:rFonts w:ascii="Arial" w:hAnsi="Arial" w:cs="Arial"/>
                <w:color w:val="576C88" w:themeColor="text2" w:themeTint="D9"/>
                <w:sz w:val="18"/>
                <w:szCs w:val="18"/>
                <w:highlight w:val="yellow"/>
              </w:rPr>
            </w:pPr>
            <w:r w:rsidRPr="00346304">
              <w:rPr>
                <w:rFonts w:ascii="Arial" w:hAnsi="Arial"/>
                <w:color w:val="576C88" w:themeColor="text2" w:themeTint="D9"/>
                <w:sz w:val="18"/>
                <w:highlight w:val="yellow"/>
              </w:rPr>
              <w:t>Continueranno a essere utilizzabili e saranno tali da non poter essere manipolati facilmente?</w:t>
            </w:r>
          </w:p>
        </w:tc>
      </w:tr>
    </w:tbl>
    <w:p w:rsidR="00675B1D" w:rsidRPr="00346304" w:rsidRDefault="00675B1D" w:rsidP="00FC0A30">
      <w:pPr>
        <w:pStyle w:val="HStandard"/>
        <w:rPr>
          <w:highlight w:val="yellow"/>
        </w:rPr>
      </w:pPr>
      <w:r w:rsidRPr="00346304">
        <w:rPr>
          <w:highlight w:val="yellow"/>
        </w:rPr>
        <w:t xml:space="preserve">L'esame dell'indicatore dal punto di vista della raccolta dei dati </w:t>
      </w:r>
      <w:r w:rsidRPr="00346304">
        <w:t>(</w:t>
      </w:r>
      <w:r w:rsidRPr="00346304">
        <w:rPr>
          <w:highlight w:val="yellow"/>
        </w:rPr>
        <w:t>criterio «facile») è collegato all'efficacia della valutazione in termini economici. La raccolta dei dati rappresenta la quota maggiore del bilancio di valutazione. Pertanto, nell'elaborazione degli indicatori si deve tener conto della proporzionalità. Se il bilancio della RRN è relativamente limitato, è probabilmente poco realistico utilizzare indicatori che richiedono una raccolta di dati ampia e costosa.</w:t>
      </w:r>
    </w:p>
    <w:p w:rsidR="00675B1D" w:rsidRPr="00346304" w:rsidRDefault="00675B1D" w:rsidP="00FC0A30">
      <w:pPr>
        <w:pStyle w:val="HStandard"/>
        <w:rPr>
          <w:highlight w:val="yellow"/>
        </w:rPr>
      </w:pPr>
      <w:r w:rsidRPr="00346304">
        <w:rPr>
          <w:highlight w:val="yellow"/>
        </w:rPr>
        <w:t xml:space="preserve">Per riassumere tutti gli elementi importanti per valutare la RRN (obiettivi, questionari valutativi, criteri di giudizio e indicatori) può essere pratico utilizzare una tabella (cfr. esempio nella </w:t>
      </w:r>
      <w:r w:rsidRPr="00346304">
        <w:rPr>
          <w:highlight w:val="yellow"/>
        </w:rPr>
        <w:fldChar w:fldCharType="begin" w:fldLock="1"/>
      </w:r>
      <w:r w:rsidRPr="00346304">
        <w:rPr>
          <w:highlight w:val="yellow"/>
        </w:rPr>
        <w:instrText xml:space="preserve"> REF _Ref451784980 \r \h  \* MERGEFORMAT </w:instrText>
      </w:r>
      <w:r w:rsidRPr="00346304">
        <w:rPr>
          <w:highlight w:val="yellow"/>
        </w:rPr>
      </w:r>
      <w:r w:rsidRPr="00346304">
        <w:rPr>
          <w:highlight w:val="yellow"/>
        </w:rPr>
        <w:fldChar w:fldCharType="separate"/>
      </w:r>
      <w:r w:rsidRPr="00346304">
        <w:rPr>
          <w:highlight w:val="yellow"/>
        </w:rPr>
        <w:t>Tabella 8</w:t>
      </w:r>
      <w:r w:rsidRPr="00346304">
        <w:rPr>
          <w:highlight w:val="yellow"/>
        </w:rPr>
        <w:fldChar w:fldCharType="end"/>
      </w:r>
      <w:r w:rsidRPr="00346304">
        <w:rPr>
          <w:highlight w:val="yellow"/>
        </w:rPr>
        <w:t xml:space="preserve">). Quando si condensano le informazioni in una tabella, è facile vedere le lacune, nonché garantire che vi sia una relazione tra obiettivo, questionario valutativo e misurazione proposta. </w:t>
      </w:r>
      <w:bookmarkStart w:id="136" w:name="_Toc436383150"/>
    </w:p>
    <w:p w:rsidR="00675B1D" w:rsidRPr="00346304" w:rsidRDefault="00675B1D" w:rsidP="005E40EA">
      <w:pPr>
        <w:pStyle w:val="HHeadingtables"/>
        <w:ind w:left="0"/>
        <w:rPr>
          <w:highlight w:val="yellow"/>
        </w:rPr>
      </w:pPr>
      <w:bookmarkStart w:id="137" w:name="_Toc451781912"/>
      <w:bookmarkStart w:id="138" w:name="_Ref451784980"/>
      <w:bookmarkStart w:id="139" w:name="_Toc461616769"/>
      <w:r w:rsidRPr="00346304">
        <w:rPr>
          <w:highlight w:val="yellow"/>
        </w:rPr>
        <w:t>Esempio di elementi di valutazione delle RRN</w:t>
      </w:r>
      <w:bookmarkEnd w:id="137"/>
      <w:bookmarkEnd w:id="138"/>
      <w:bookmarkEnd w:id="139"/>
    </w:p>
    <w:tbl>
      <w:tblPr>
        <w:tblStyle w:val="TableGrid"/>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493"/>
        <w:gridCol w:w="1850"/>
        <w:gridCol w:w="2056"/>
        <w:gridCol w:w="1621"/>
        <w:gridCol w:w="1996"/>
      </w:tblGrid>
      <w:tr w:rsidR="00675B1D" w:rsidRPr="00346304" w:rsidTr="00D21174">
        <w:trPr>
          <w:jc w:val="center"/>
        </w:trPr>
        <w:tc>
          <w:tcPr>
            <w:tcW w:w="828" w:type="pct"/>
            <w:shd w:val="clear" w:color="auto" w:fill="E7E6E6" w:themeFill="background2"/>
          </w:tcPr>
          <w:p w:rsidR="00675B1D" w:rsidRPr="00346304" w:rsidRDefault="00675B1D" w:rsidP="00FC0A30">
            <w:pPr>
              <w:pStyle w:val="Htableleftbolt"/>
              <w:rPr>
                <w:color w:val="5B9BD5" w:themeColor="accent1"/>
                <w:highlight w:val="yellow"/>
              </w:rPr>
            </w:pPr>
            <w:r w:rsidRPr="00346304">
              <w:rPr>
                <w:color w:val="5B9BD5" w:themeColor="accent1"/>
                <w:highlight w:val="yellow"/>
              </w:rPr>
              <w:t>Obiettivo della RRN (comune)</w:t>
            </w:r>
          </w:p>
        </w:tc>
        <w:tc>
          <w:tcPr>
            <w:tcW w:w="1026" w:type="pct"/>
            <w:shd w:val="clear" w:color="auto" w:fill="E7E6E6" w:themeFill="background2"/>
          </w:tcPr>
          <w:p w:rsidR="00675B1D" w:rsidRPr="00346304" w:rsidRDefault="00675B1D" w:rsidP="00FC0A30">
            <w:pPr>
              <w:pStyle w:val="Htableleftbolt"/>
              <w:rPr>
                <w:color w:val="5B9BD5" w:themeColor="accent1"/>
                <w:highlight w:val="yellow"/>
              </w:rPr>
            </w:pPr>
            <w:r w:rsidRPr="00346304">
              <w:rPr>
                <w:color w:val="5B9BD5" w:themeColor="accent1"/>
                <w:highlight w:val="yellow"/>
              </w:rPr>
              <w:t xml:space="preserve">Domande di valutazione specifica del programma </w:t>
            </w:r>
          </w:p>
        </w:tc>
        <w:tc>
          <w:tcPr>
            <w:tcW w:w="1140" w:type="pct"/>
            <w:shd w:val="clear" w:color="auto" w:fill="E7E6E6" w:themeFill="background2"/>
          </w:tcPr>
          <w:p w:rsidR="00675B1D" w:rsidRPr="00346304" w:rsidRDefault="00675B1D" w:rsidP="00FC0A30">
            <w:pPr>
              <w:pStyle w:val="Htableleftbolt"/>
              <w:rPr>
                <w:color w:val="5B9BD5" w:themeColor="accent1"/>
                <w:highlight w:val="yellow"/>
              </w:rPr>
            </w:pPr>
            <w:r w:rsidRPr="00346304">
              <w:rPr>
                <w:color w:val="5B9BD5" w:themeColor="accent1"/>
                <w:highlight w:val="yellow"/>
              </w:rPr>
              <w:t>Criteri di giudizio</w:t>
            </w:r>
          </w:p>
        </w:tc>
        <w:tc>
          <w:tcPr>
            <w:tcW w:w="899" w:type="pct"/>
            <w:shd w:val="clear" w:color="auto" w:fill="E7E6E6" w:themeFill="background2"/>
          </w:tcPr>
          <w:p w:rsidR="00675B1D" w:rsidRPr="00346304" w:rsidRDefault="00675B1D" w:rsidP="00FC0A30">
            <w:pPr>
              <w:pStyle w:val="Htableleftbolt"/>
              <w:rPr>
                <w:color w:val="5B9BD5" w:themeColor="accent1"/>
                <w:highlight w:val="yellow"/>
              </w:rPr>
            </w:pPr>
            <w:r w:rsidRPr="00346304">
              <w:rPr>
                <w:color w:val="5B9BD5" w:themeColor="accent1"/>
                <w:highlight w:val="yellow"/>
              </w:rPr>
              <w:t>Indicatore relativo alla RRN specifico del programma</w:t>
            </w:r>
          </w:p>
        </w:tc>
        <w:tc>
          <w:tcPr>
            <w:tcW w:w="1107" w:type="pct"/>
            <w:shd w:val="clear" w:color="auto" w:fill="E7E6E6" w:themeFill="background2"/>
          </w:tcPr>
          <w:p w:rsidR="00675B1D" w:rsidRPr="00346304" w:rsidRDefault="00675B1D" w:rsidP="00FC0A30">
            <w:pPr>
              <w:pStyle w:val="Htableleftbolt"/>
              <w:rPr>
                <w:color w:val="5B9BD5" w:themeColor="accent1"/>
                <w:highlight w:val="yellow"/>
              </w:rPr>
            </w:pPr>
            <w:r w:rsidRPr="00346304">
              <w:rPr>
                <w:color w:val="5B9BD5" w:themeColor="accent1"/>
                <w:highlight w:val="yellow"/>
              </w:rPr>
              <w:t>Fonte dei dati</w:t>
            </w:r>
          </w:p>
        </w:tc>
      </w:tr>
      <w:tr w:rsidR="00675B1D" w:rsidRPr="00346304" w:rsidTr="00D21174">
        <w:trPr>
          <w:trHeight w:val="2383"/>
          <w:jc w:val="center"/>
        </w:trPr>
        <w:tc>
          <w:tcPr>
            <w:tcW w:w="828" w:type="pct"/>
            <w:tcBorders>
              <w:bottom w:val="single" w:sz="4" w:space="0" w:color="auto"/>
            </w:tcBorders>
            <w:shd w:val="clear" w:color="auto" w:fill="auto"/>
          </w:tcPr>
          <w:p w:rsidR="00675B1D" w:rsidRPr="00346304" w:rsidRDefault="00675B1D" w:rsidP="00917E9C">
            <w:pPr>
              <w:pStyle w:val="Htableleft"/>
              <w:rPr>
                <w:color w:val="576C88" w:themeColor="text2" w:themeTint="D9"/>
                <w:highlight w:val="yellow"/>
              </w:rPr>
            </w:pPr>
            <w:r w:rsidRPr="00346304">
              <w:rPr>
                <w:color w:val="576C88" w:themeColor="text2" w:themeTint="D9"/>
                <w:highlight w:val="yellow"/>
              </w:rPr>
              <w:t>Migliorare la qualità dell'attuazione del PSR</w:t>
            </w:r>
          </w:p>
        </w:tc>
        <w:tc>
          <w:tcPr>
            <w:tcW w:w="1026" w:type="pct"/>
            <w:tcBorders>
              <w:bottom w:val="single" w:sz="4" w:space="0" w:color="auto"/>
            </w:tcBorders>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 xml:space="preserve">In che misura le azioni della RRN hanno contribuito al miglioramento della qualità dell'attuazione del PSR? </w:t>
            </w:r>
          </w:p>
        </w:tc>
        <w:tc>
          <w:tcPr>
            <w:tcW w:w="1140" w:type="pct"/>
            <w:tcBorders>
              <w:bottom w:val="single" w:sz="4" w:space="0" w:color="auto"/>
            </w:tcBorders>
            <w:shd w:val="clear" w:color="auto" w:fill="auto"/>
          </w:tcPr>
          <w:p w:rsidR="00675B1D" w:rsidRPr="00346304" w:rsidRDefault="00675B1D" w:rsidP="00EF2ED3">
            <w:pPr>
              <w:pStyle w:val="Htableleft"/>
              <w:rPr>
                <w:color w:val="576C88" w:themeColor="text2" w:themeTint="D9"/>
                <w:highlight w:val="yellow"/>
              </w:rPr>
            </w:pPr>
            <w:r w:rsidRPr="00346304">
              <w:rPr>
                <w:color w:val="576C88" w:themeColor="text2" w:themeTint="D9"/>
                <w:highlight w:val="yellow"/>
              </w:rPr>
              <w:t xml:space="preserve">La qualità dell'attuazione del PSR è stata migliorata dalle attività della RRN, in particolare grazie alle migliorate capacità dei beneficiari del PSR </w:t>
            </w:r>
          </w:p>
        </w:tc>
        <w:tc>
          <w:tcPr>
            <w:tcW w:w="899" w:type="pct"/>
            <w:tcBorders>
              <w:bottom w:val="single" w:sz="4" w:space="0" w:color="auto"/>
            </w:tcBorders>
            <w:shd w:val="clear" w:color="auto" w:fill="auto"/>
          </w:tcPr>
          <w:p w:rsidR="00675B1D" w:rsidRPr="00346304" w:rsidRDefault="00675B1D" w:rsidP="00893456">
            <w:pPr>
              <w:pStyle w:val="Htableleft"/>
              <w:rPr>
                <w:color w:val="576C88" w:themeColor="text2" w:themeTint="D9"/>
                <w:highlight w:val="yellow"/>
              </w:rPr>
            </w:pPr>
            <w:r w:rsidRPr="00346304">
              <w:rPr>
                <w:color w:val="576C88" w:themeColor="text2" w:themeTint="D9"/>
                <w:highlight w:val="yellow"/>
              </w:rPr>
              <w:t xml:space="preserve">Numero di progetti del PSR di alta qualità realizzati, che sono stati incoraggiati dalle attività della RRN </w:t>
            </w:r>
          </w:p>
        </w:tc>
        <w:tc>
          <w:tcPr>
            <w:tcW w:w="1107" w:type="pct"/>
            <w:tcBorders>
              <w:bottom w:val="single" w:sz="4" w:space="0" w:color="auto"/>
            </w:tcBorders>
            <w:shd w:val="clear" w:color="auto" w:fill="auto"/>
          </w:tcPr>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Banca dati dell'organismo pagatore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Questionario/indagine</w:t>
            </w:r>
          </w:p>
          <w:p w:rsidR="00675B1D" w:rsidRPr="00346304" w:rsidRDefault="00675B1D" w:rsidP="00FC0A30">
            <w:pPr>
              <w:pStyle w:val="Htableleft"/>
              <w:rPr>
                <w:color w:val="576C88" w:themeColor="text2" w:themeTint="D9"/>
                <w:highlight w:val="yellow"/>
              </w:rPr>
            </w:pPr>
            <w:r w:rsidRPr="00346304">
              <w:rPr>
                <w:color w:val="576C88" w:themeColor="text2" w:themeTint="D9"/>
                <w:highlight w:val="yellow"/>
              </w:rPr>
              <w:t>Banca dati USR</w:t>
            </w:r>
          </w:p>
          <w:p w:rsidR="00675B1D" w:rsidRPr="00346304" w:rsidRDefault="00675B1D" w:rsidP="00FC0A30">
            <w:pPr>
              <w:pStyle w:val="Htableleft"/>
              <w:rPr>
                <w:color w:val="576C88" w:themeColor="text2" w:themeTint="D9"/>
                <w:highlight w:val="yellow"/>
              </w:rPr>
            </w:pPr>
          </w:p>
        </w:tc>
      </w:tr>
    </w:tbl>
    <w:p w:rsidR="00675B1D" w:rsidRPr="00346304" w:rsidRDefault="00675B1D" w:rsidP="00FC0A30">
      <w:pPr>
        <w:pStyle w:val="HSource"/>
        <w:rPr>
          <w:highlight w:val="yellow"/>
        </w:rPr>
      </w:pPr>
      <w:r w:rsidRPr="00346304">
        <w:rPr>
          <w:highlight w:val="yellow"/>
        </w:rPr>
        <w:t>Fonte: Helpdesk europeo della valutazione per lo sviluppo rurale, 2016</w:t>
      </w:r>
    </w:p>
    <w:bookmarkEnd w:id="136"/>
    <w:p w:rsidR="00675B1D" w:rsidRPr="00346304" w:rsidRDefault="00675B1D" w:rsidP="00FC0A30">
      <w:pPr>
        <w:pStyle w:val="HStandard"/>
        <w:rPr>
          <w:highlight w:val="yellow"/>
        </w:rPr>
      </w:pPr>
      <w:r w:rsidRPr="00346304">
        <w:rPr>
          <w:highlight w:val="yellow"/>
        </w:rPr>
        <w:t xml:space="preserve">In un momento successivo di esecuzione della valutazione, nella sua fase di strutturazione, i valutatori possono suggerire ulteriori domande di valutazione e indicatori oppure suddividere le domande di </w:t>
      </w:r>
      <w:r w:rsidRPr="00346304">
        <w:rPr>
          <w:highlight w:val="yellow"/>
        </w:rPr>
        <w:lastRenderedPageBreak/>
        <w:t>valutazione esistenti in ulteriori sotto-domande al fine di ottenere informazioni più specifiche in conformità con i criteri di giudizio.</w:t>
      </w:r>
    </w:p>
    <w:p w:rsidR="00675B1D" w:rsidRPr="00346304" w:rsidRDefault="00675B1D" w:rsidP="00D322AA">
      <w:pPr>
        <w:pStyle w:val="Heading6"/>
        <w:rPr>
          <w:highlight w:val="yellow"/>
        </w:rPr>
      </w:pPr>
      <w:r w:rsidRPr="00346304">
        <w:rPr>
          <w:highlight w:val="yellow"/>
        </w:rPr>
        <w:t>Verificare la coerenza degli elementi di valutazione della RRN con la logica di intervento della RRN</w:t>
      </w:r>
    </w:p>
    <w:p w:rsidR="00675B1D" w:rsidRPr="00346304" w:rsidRDefault="00675B1D" w:rsidP="00FC0A30">
      <w:pPr>
        <w:pStyle w:val="HStandard"/>
        <w:rPr>
          <w:highlight w:val="yellow"/>
        </w:rPr>
      </w:pPr>
      <w:r w:rsidRPr="00346304">
        <w:rPr>
          <w:highlight w:val="yellow"/>
        </w:rPr>
        <w:t>Dopo aver definito tutti gli elementi di valutazione, si dovrebbe verificare anche la loro coerenza con la logica di intervento della RRN. Ciò significa valutare se:</w:t>
      </w:r>
    </w:p>
    <w:p w:rsidR="00675B1D" w:rsidRPr="00346304" w:rsidRDefault="00675B1D" w:rsidP="00D322AA">
      <w:pPr>
        <w:pStyle w:val="Hlistbullet"/>
        <w:rPr>
          <w:highlight w:val="yellow"/>
        </w:rPr>
      </w:pPr>
      <w:r w:rsidRPr="00346304">
        <w:rPr>
          <w:highlight w:val="yellow"/>
        </w:rPr>
        <w:t>le domande di valutazione sono sufficienti per valutare le realizzazioni degli obiettivi</w:t>
      </w:r>
    </w:p>
    <w:p w:rsidR="00675B1D" w:rsidRPr="00346304" w:rsidRDefault="00675B1D" w:rsidP="00D322AA">
      <w:pPr>
        <w:pStyle w:val="Hlistbullet"/>
        <w:rPr>
          <w:highlight w:val="yellow"/>
        </w:rPr>
      </w:pPr>
      <w:r w:rsidRPr="00346304">
        <w:rPr>
          <w:highlight w:val="yellow"/>
        </w:rPr>
        <w:t xml:space="preserve">i risultati e gli impatti attesi possono essere misurati utilizzando gli indicatori di risultato e di impatto proposti; </w:t>
      </w:r>
    </w:p>
    <w:p w:rsidR="00675B1D" w:rsidRPr="00346304" w:rsidRDefault="00675B1D" w:rsidP="00D322AA">
      <w:pPr>
        <w:pStyle w:val="Hlistbullet"/>
        <w:rPr>
          <w:highlight w:val="yellow"/>
        </w:rPr>
      </w:pPr>
      <w:r w:rsidRPr="00346304">
        <w:rPr>
          <w:highlight w:val="yellow"/>
        </w:rPr>
        <w:t>gli indicatori di risultato e di impatto sono conformi ai criteri RACER e sono in grado di fornire prove sufficienti per rispondere alle domande di valutazione.</w:t>
      </w:r>
    </w:p>
    <w:p w:rsidR="00675B1D" w:rsidRPr="00346304" w:rsidRDefault="00675B1D" w:rsidP="00FC0A30">
      <w:pPr>
        <w:pStyle w:val="HStandard"/>
        <w:rPr>
          <w:highlight w:val="yellow"/>
        </w:rPr>
      </w:pPr>
      <w:r w:rsidRPr="00346304">
        <w:rPr>
          <w:highlight w:val="yellow"/>
        </w:rPr>
        <w:t xml:space="preserve">La coerenza tra la logica di intervento della RRN e gli elementi di valutazione può essere illustrata tramite la </w:t>
      </w:r>
      <w:r w:rsidRPr="00346304">
        <w:rPr>
          <w:highlight w:val="yellow"/>
        </w:rPr>
        <w:fldChar w:fldCharType="begin" w:fldLock="1"/>
      </w:r>
      <w:r w:rsidRPr="00346304">
        <w:rPr>
          <w:highlight w:val="yellow"/>
        </w:rPr>
        <w:instrText xml:space="preserve"> REF _Ref451784635 \r \h  \* MERGEFORMAT </w:instrText>
      </w:r>
      <w:r w:rsidRPr="00346304">
        <w:rPr>
          <w:highlight w:val="yellow"/>
        </w:rPr>
      </w:r>
      <w:r w:rsidRPr="00346304">
        <w:rPr>
          <w:highlight w:val="yellow"/>
        </w:rPr>
        <w:fldChar w:fldCharType="separate"/>
      </w:r>
      <w:r w:rsidRPr="00346304">
        <w:rPr>
          <w:highlight w:val="yellow"/>
        </w:rPr>
        <w:t>Figura 14</w:t>
      </w:r>
      <w:r w:rsidRPr="00346304">
        <w:rPr>
          <w:highlight w:val="yellow"/>
        </w:rPr>
        <w:fldChar w:fldCharType="end"/>
      </w:r>
      <w:r w:rsidRPr="00346304">
        <w:rPr>
          <w:highlight w:val="yellow"/>
        </w:rPr>
        <w:t xml:space="preserve"> che segue. </w:t>
      </w:r>
    </w:p>
    <w:p w:rsidR="00675B1D" w:rsidRPr="00346304" w:rsidRDefault="00675B1D" w:rsidP="00FC0A30">
      <w:pPr>
        <w:pStyle w:val="HStandard"/>
        <w:rPr>
          <w:highlight w:val="yellow"/>
        </w:rPr>
      </w:pPr>
    </w:p>
    <w:p w:rsidR="00675B1D" w:rsidRPr="00346304" w:rsidRDefault="00675B1D" w:rsidP="00D21174">
      <w:pPr>
        <w:pStyle w:val="HHeadingfigures"/>
        <w:ind w:left="0"/>
        <w:rPr>
          <w:highlight w:val="yellow"/>
        </w:rPr>
      </w:pPr>
      <w:bookmarkStart w:id="140" w:name="_Toc445465130"/>
      <w:bookmarkStart w:id="141" w:name="_Toc451781933"/>
      <w:bookmarkStart w:id="142" w:name="_Ref451784635"/>
      <w:bookmarkStart w:id="143" w:name="_Toc461616785"/>
      <w:r w:rsidRPr="00346304">
        <w:rPr>
          <w:highlight w:val="yellow"/>
        </w:rPr>
        <w:t>Coerenza tra logica di intervento della RRN ed elementi di valutazione</w:t>
      </w:r>
      <w:bookmarkEnd w:id="140"/>
      <w:bookmarkEnd w:id="141"/>
      <w:bookmarkEnd w:id="142"/>
      <w:bookmarkEnd w:id="143"/>
    </w:p>
    <w:p w:rsidR="00675B1D" w:rsidRPr="00346304" w:rsidRDefault="00675B1D" w:rsidP="00FC0A30">
      <w:pPr>
        <w:jc w:val="center"/>
        <w:rPr>
          <w:highlight w:val="yellow"/>
        </w:rPr>
      </w:pPr>
      <w:r>
        <w:t xml:space="preserve">  </w:t>
      </w:r>
      <w:r w:rsidRPr="00A147C7">
        <w:rPr>
          <w:noProof/>
          <w:lang w:eastAsia="en-GB"/>
        </w:rPr>
        <w:drawing>
          <wp:inline distT="0" distB="0" distL="0" distR="0" wp14:anchorId="28CAE723" wp14:editId="0B11F013">
            <wp:extent cx="5731510" cy="4373583"/>
            <wp:effectExtent l="0" t="0" r="254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373583"/>
                    </a:xfrm>
                    <a:prstGeom prst="rect">
                      <a:avLst/>
                    </a:prstGeom>
                    <a:noFill/>
                    <a:ln>
                      <a:noFill/>
                    </a:ln>
                  </pic:spPr>
                </pic:pic>
              </a:graphicData>
            </a:graphic>
          </wp:inline>
        </w:drawing>
      </w:r>
    </w:p>
    <w:p w:rsidR="00675B1D" w:rsidRPr="00346304" w:rsidRDefault="00675B1D" w:rsidP="00FC0A30">
      <w:pPr>
        <w:pStyle w:val="HSource"/>
        <w:rPr>
          <w:highlight w:val="yellow"/>
        </w:rPr>
      </w:pPr>
      <w:r w:rsidRPr="00346304">
        <w:rPr>
          <w:highlight w:val="yellow"/>
        </w:rPr>
        <w:t>Fonte: Helpdesk europeo della valutazione per lo sviluppo rurale 2016</w:t>
      </w:r>
    </w:p>
    <w:p w:rsidR="00675B1D" w:rsidRPr="00346304" w:rsidRDefault="00675B1D" w:rsidP="00FC0A30">
      <w:pPr>
        <w:pStyle w:val="HHeading5"/>
        <w:rPr>
          <w:highlight w:val="yellow"/>
        </w:rPr>
      </w:pPr>
      <w:r w:rsidRPr="00346304">
        <w:rPr>
          <w:highlight w:val="yellow"/>
        </w:rPr>
        <w:t>Passaggio 3 - Selezione della strategia di valutazione preferita</w:t>
      </w:r>
    </w:p>
    <w:p w:rsidR="00675B1D" w:rsidRPr="00346304" w:rsidRDefault="00675B1D" w:rsidP="00FC0A30">
      <w:pPr>
        <w:pStyle w:val="HStandard"/>
        <w:rPr>
          <w:highlight w:val="yellow"/>
        </w:rPr>
      </w:pPr>
      <w:r w:rsidRPr="00346304">
        <w:rPr>
          <w:highlight w:val="yellow"/>
        </w:rPr>
        <w:t xml:space="preserve">Dopo aver sviluppato i questionari valutativi, i criteri di giudizio e gli indicatori, è importante che le autorità competenti per la valutazione della RRN (AG, USR, ecc.) decidano come debbano essere </w:t>
      </w:r>
      <w:r w:rsidRPr="00346304">
        <w:rPr>
          <w:highlight w:val="yellow"/>
        </w:rPr>
        <w:lastRenderedPageBreak/>
        <w:t xml:space="preserve">sviluppate le informazioni per rispondere alle domande di valutazione. Questo passaggio include la selezione della strategia di valutazione (qualitativa, quantitativa e mista).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322AA">
        <w:tc>
          <w:tcPr>
            <w:tcW w:w="9016" w:type="dxa"/>
            <w:shd w:val="clear" w:color="auto" w:fill="F5F4F4" w:themeFill="background2" w:themeFillTint="66"/>
          </w:tcPr>
          <w:p w:rsidR="00675B1D" w:rsidRPr="00346304" w:rsidRDefault="00675B1D" w:rsidP="00FC0A30">
            <w:pPr>
              <w:pStyle w:val="HStandard"/>
              <w:rPr>
                <w:highlight w:val="yellow"/>
              </w:rPr>
            </w:pPr>
            <w:r w:rsidRPr="00346304">
              <w:rPr>
                <w:highlight w:val="yellow"/>
              </w:rPr>
              <w:t>Nella selezione della strategia di valutazione le seguenti domande possono essere di aiuto:</w:t>
            </w:r>
          </w:p>
          <w:p w:rsidR="00675B1D" w:rsidRPr="00346304" w:rsidRDefault="00675B1D" w:rsidP="00675B1D">
            <w:pPr>
              <w:pStyle w:val="Hlistbullet"/>
              <w:tabs>
                <w:tab w:val="left" w:pos="567"/>
              </w:tabs>
              <w:rPr>
                <w:highlight w:val="yellow"/>
              </w:rPr>
            </w:pPr>
            <w:r w:rsidRPr="00346304">
              <w:rPr>
                <w:highlight w:val="yellow"/>
              </w:rPr>
              <w:t>quale strategia si allinea meglio con gli obiettivi della valutazione?</w:t>
            </w:r>
          </w:p>
          <w:p w:rsidR="00675B1D" w:rsidRPr="00346304" w:rsidRDefault="00675B1D" w:rsidP="00675B1D">
            <w:pPr>
              <w:pStyle w:val="Hlistbullet2"/>
              <w:tabs>
                <w:tab w:val="left" w:pos="567"/>
              </w:tabs>
              <w:rPr>
                <w:highlight w:val="yellow"/>
              </w:rPr>
            </w:pPr>
            <w:r>
              <w:rPr>
                <w:highlight w:val="yellow"/>
              </w:rPr>
              <w:t>Q</w:t>
            </w:r>
            <w:r w:rsidRPr="00346304">
              <w:rPr>
                <w:highlight w:val="yellow"/>
              </w:rPr>
              <w:t>uale strategia dà i risultati più affidabili, considerando le informazioni disponibili?</w:t>
            </w:r>
          </w:p>
        </w:tc>
      </w:tr>
    </w:tbl>
    <w:p w:rsidR="00675B1D" w:rsidRPr="00346304" w:rsidRDefault="00675B1D" w:rsidP="00FC0A30">
      <w:pPr>
        <w:pStyle w:val="HStandard"/>
        <w:rPr>
          <w:highlight w:val="yellow"/>
        </w:rPr>
      </w:pPr>
      <w:r w:rsidRPr="00346304">
        <w:rPr>
          <w:highlight w:val="yellow"/>
        </w:rPr>
        <w:t xml:space="preserve">Il </w:t>
      </w:r>
      <w:r w:rsidRPr="00346304">
        <w:rPr>
          <w:b/>
          <w:highlight w:val="yellow"/>
        </w:rPr>
        <w:t>risultato atteso</w:t>
      </w:r>
      <w:r w:rsidRPr="00346304">
        <w:rPr>
          <w:highlight w:val="yellow"/>
        </w:rPr>
        <w:t xml:space="preserve"> di questo passaggio è costituito dalla decisione in merito alla strategia di valutazione e, se possibile, ai metodi da utilizzare per rispondere ai questionari valutativi. </w:t>
      </w:r>
    </w:p>
    <w:p w:rsidR="00675B1D" w:rsidRPr="00346304" w:rsidRDefault="00675B1D" w:rsidP="00FC0A30">
      <w:pPr>
        <w:pStyle w:val="HStandard"/>
        <w:rPr>
          <w:highlight w:val="yellow"/>
        </w:rPr>
      </w:pPr>
      <w:r w:rsidRPr="00346304">
        <w:rPr>
          <w:highlight w:val="yellow"/>
        </w:rPr>
        <w:t>La strategia di valutazione sarà confermata e, se necessario, rivista dai valutatori previo accordo con le autorità competenti (AG, USR, ecc.) durante la fase di strutturazione mentre viene effettuata la valutazione. Nella fase di strutturazione, il valutatore proporrà e concorderà altresì con le autorità del programma i metodi</w:t>
      </w:r>
      <w:r w:rsidRPr="00346304">
        <w:rPr>
          <w:rStyle w:val="FootnoteReference"/>
          <w:highlight w:val="yellow"/>
        </w:rPr>
        <w:footnoteReference w:id="81"/>
      </w:r>
      <w:r w:rsidRPr="00346304">
        <w:rPr>
          <w:highlight w:val="yellow"/>
        </w:rPr>
        <w:t xml:space="preserve"> che dovrebbero essere utilizzati per analizzare i dati e le informazioni raccolti, sviluppare giudizi e, di conseguenza, rispondere ai questionari valutativi. La </w:t>
      </w:r>
      <w:r w:rsidRPr="00346304">
        <w:rPr>
          <w:b/>
          <w:color w:val="E7E6E6" w:themeColor="background2"/>
          <w:highlight w:val="yellow"/>
        </w:rPr>
        <w:t>PARTE II</w:t>
      </w:r>
      <w:r w:rsidRPr="00346304">
        <w:rPr>
          <w:color w:val="E7E6E6" w:themeColor="background2"/>
          <w:highlight w:val="yellow"/>
        </w:rPr>
        <w:t xml:space="preserve"> </w:t>
      </w:r>
      <w:r w:rsidRPr="00346304">
        <w:rPr>
          <w:highlight w:val="yellow"/>
        </w:rPr>
        <w:t>delle presenti linee guida offre una descrizione dettagliata di come selezionare una strategia di valutazione e metodi di valutazione adeguati.</w:t>
      </w:r>
    </w:p>
    <w:p w:rsidR="00675B1D" w:rsidRPr="00346304" w:rsidRDefault="00675B1D" w:rsidP="00FC0A30">
      <w:pPr>
        <w:pStyle w:val="HStandard"/>
        <w:rPr>
          <w:highlight w:val="yellow"/>
        </w:rPr>
      </w:pPr>
      <w:r w:rsidRPr="00346304">
        <w:rPr>
          <w:highlight w:val="yellow"/>
        </w:rPr>
        <w:t xml:space="preserve">Tuttavia, la parte committente non deve necessariamente prendere una decisione in merito alla metodologia di valutazione in questo momento, dato che il valutatore proporrà dei metodi nella sua offerta. Un aspetto più importante è costituito dal fatto che la parte committente e le altre parti interessate della RRN siano consapevoli dei diversi metodi di valutazione e della loro solidità nel fornire risposte ai questionari valutativi in relazione alle esigenze di valutazione, in modo da essere in grado di verificare la qualità dei risultati della valutazione. </w:t>
      </w:r>
    </w:p>
    <w:p w:rsidR="00675B1D" w:rsidRPr="00346304" w:rsidRDefault="00675B1D" w:rsidP="00FC0A30">
      <w:pPr>
        <w:pStyle w:val="HHeading5"/>
        <w:rPr>
          <w:highlight w:val="yellow"/>
        </w:rPr>
      </w:pPr>
      <w:r w:rsidRPr="00346304">
        <w:rPr>
          <w:highlight w:val="yellow"/>
        </w:rPr>
        <w:t xml:space="preserve">Passaggio 4 - Vaglio delle esigenze in termini di informazioni e dati e delle potenziali fonti </w:t>
      </w:r>
    </w:p>
    <w:p w:rsidR="00675B1D" w:rsidRPr="00346304" w:rsidRDefault="00675B1D" w:rsidP="00FC0A30">
      <w:pPr>
        <w:pStyle w:val="HStandard"/>
        <w:rPr>
          <w:highlight w:val="yellow"/>
        </w:rPr>
      </w:pPr>
      <w:r w:rsidRPr="00346304">
        <w:rPr>
          <w:highlight w:val="yellow"/>
        </w:rPr>
        <w:t xml:space="preserve">Per condurre una valutazione della RRN affidabile è importante garantire di disporre di una quantità sufficiente di dati e informazioni per calcolare gli indicatori relativi alla RRN. Le esigenze in termini di dati sono anche influenzate dalla strategia e dai metodi di valutazione scelti.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D322AA">
        <w:tc>
          <w:tcPr>
            <w:tcW w:w="9016" w:type="dxa"/>
            <w:shd w:val="clear" w:color="auto" w:fill="F5F4F4" w:themeFill="background2" w:themeFillTint="66"/>
          </w:tcPr>
          <w:p w:rsidR="00675B1D" w:rsidRPr="00346304" w:rsidRDefault="00675B1D" w:rsidP="00FC0A30">
            <w:pPr>
              <w:pStyle w:val="HStandard"/>
              <w:rPr>
                <w:highlight w:val="yellow"/>
              </w:rPr>
            </w:pPr>
            <w:r w:rsidRPr="00346304">
              <w:rPr>
                <w:highlight w:val="yellow"/>
              </w:rPr>
              <w:t xml:space="preserve">Le domande guida per questo passaggio sono le seguenti: </w:t>
            </w:r>
          </w:p>
          <w:p w:rsidR="00675B1D" w:rsidRPr="00346304" w:rsidRDefault="00675B1D" w:rsidP="00675B1D">
            <w:pPr>
              <w:pStyle w:val="Hlistbullet"/>
              <w:tabs>
                <w:tab w:val="left" w:pos="567"/>
              </w:tabs>
              <w:rPr>
                <w:highlight w:val="yellow"/>
              </w:rPr>
            </w:pPr>
            <w:r w:rsidRPr="00346304">
              <w:rPr>
                <w:highlight w:val="yellow"/>
              </w:rPr>
              <w:t xml:space="preserve">che tipo di informazioni e di dati è necessario per rispondere ai questionari valutativi? </w:t>
            </w:r>
          </w:p>
          <w:p w:rsidR="00675B1D" w:rsidRPr="00346304" w:rsidRDefault="00675B1D" w:rsidP="00675B1D">
            <w:pPr>
              <w:pStyle w:val="Hlistbullet"/>
              <w:tabs>
                <w:tab w:val="left" w:pos="567"/>
              </w:tabs>
              <w:rPr>
                <w:highlight w:val="yellow"/>
              </w:rPr>
            </w:pPr>
            <w:r>
              <w:rPr>
                <w:highlight w:val="yellow"/>
              </w:rPr>
              <w:t>E</w:t>
            </w:r>
            <w:r w:rsidRPr="00346304">
              <w:rPr>
                <w:highlight w:val="yellow"/>
              </w:rPr>
              <w:t>sistono già o devono essere raccolti?</w:t>
            </w:r>
          </w:p>
          <w:p w:rsidR="00675B1D" w:rsidRPr="00346304" w:rsidRDefault="00675B1D" w:rsidP="00675B1D">
            <w:pPr>
              <w:pStyle w:val="Hlistbullet"/>
              <w:tabs>
                <w:tab w:val="left" w:pos="567"/>
              </w:tabs>
              <w:rPr>
                <w:highlight w:val="yellow"/>
              </w:rPr>
            </w:pPr>
            <w:r>
              <w:rPr>
                <w:highlight w:val="yellow"/>
              </w:rPr>
              <w:t>D</w:t>
            </w:r>
            <w:r w:rsidRPr="00346304">
              <w:rPr>
                <w:highlight w:val="yellow"/>
              </w:rPr>
              <w:t xml:space="preserve">ove si possono ottenere queste informazioni? </w:t>
            </w:r>
          </w:p>
          <w:p w:rsidR="00675B1D" w:rsidRPr="00346304" w:rsidRDefault="00675B1D" w:rsidP="00675B1D">
            <w:pPr>
              <w:pStyle w:val="Hlistbullet"/>
              <w:tabs>
                <w:tab w:val="left" w:pos="567"/>
              </w:tabs>
              <w:rPr>
                <w:highlight w:val="yellow"/>
              </w:rPr>
            </w:pPr>
            <w:r>
              <w:rPr>
                <w:highlight w:val="yellow"/>
              </w:rPr>
              <w:t>C</w:t>
            </w:r>
            <w:r w:rsidRPr="00346304">
              <w:rPr>
                <w:highlight w:val="yellow"/>
              </w:rPr>
              <w:t>ome si può ottenerle?</w:t>
            </w:r>
          </w:p>
          <w:p w:rsidR="00675B1D" w:rsidRPr="00346304" w:rsidRDefault="00675B1D" w:rsidP="00675B1D">
            <w:pPr>
              <w:pStyle w:val="Hlistbullet"/>
              <w:tabs>
                <w:tab w:val="left" w:pos="567"/>
              </w:tabs>
              <w:rPr>
                <w:highlight w:val="yellow"/>
              </w:rPr>
            </w:pPr>
            <w:r>
              <w:rPr>
                <w:highlight w:val="yellow"/>
              </w:rPr>
              <w:t>C</w:t>
            </w:r>
            <w:r w:rsidRPr="00346304">
              <w:rPr>
                <w:highlight w:val="yellow"/>
              </w:rPr>
              <w:t xml:space="preserve">i sono limitazioni in merito a chi può utilizzare i dati e al come può farlo? </w:t>
            </w:r>
          </w:p>
          <w:p w:rsidR="00675B1D" w:rsidRPr="00346304" w:rsidRDefault="00675B1D" w:rsidP="00675B1D">
            <w:pPr>
              <w:pStyle w:val="Hlistbullet"/>
              <w:tabs>
                <w:tab w:val="left" w:pos="567"/>
              </w:tabs>
              <w:rPr>
                <w:highlight w:val="yellow"/>
              </w:rPr>
            </w:pPr>
            <w:r w:rsidRPr="00346304">
              <w:rPr>
                <w:highlight w:val="yellow"/>
              </w:rPr>
              <w:t xml:space="preserve">che tipo di problemi esistono in merito alle informazioni/ai dati? </w:t>
            </w:r>
          </w:p>
          <w:p w:rsidR="00675B1D" w:rsidRPr="00346304" w:rsidRDefault="00675B1D" w:rsidP="00675B1D">
            <w:pPr>
              <w:pStyle w:val="Hlistbullet2"/>
              <w:tabs>
                <w:tab w:val="left" w:pos="567"/>
              </w:tabs>
              <w:rPr>
                <w:highlight w:val="yellow"/>
              </w:rPr>
            </w:pPr>
            <w:r>
              <w:rPr>
                <w:highlight w:val="yellow"/>
              </w:rPr>
              <w:t>Q</w:t>
            </w:r>
            <w:r w:rsidRPr="00346304">
              <w:rPr>
                <w:highlight w:val="yellow"/>
              </w:rPr>
              <w:t>uali implicazioni ha quanto sopra nella preparazione del capitolato d'oneri per la valutazione della RRN?</w:t>
            </w:r>
          </w:p>
        </w:tc>
      </w:tr>
    </w:tbl>
    <w:p w:rsidR="00675B1D" w:rsidRPr="00346304" w:rsidRDefault="00675B1D" w:rsidP="00FC0A30">
      <w:pPr>
        <w:pStyle w:val="HStandard"/>
        <w:rPr>
          <w:highlight w:val="yellow"/>
        </w:rPr>
      </w:pPr>
      <w:r w:rsidRPr="00346304">
        <w:rPr>
          <w:highlight w:val="yellow"/>
        </w:rPr>
        <w:t xml:space="preserve">Questo passaggio viene realizzato con la </w:t>
      </w:r>
      <w:r w:rsidRPr="00346304">
        <w:rPr>
          <w:b/>
          <w:highlight w:val="yellow"/>
        </w:rPr>
        <w:t>seguente sequenza</w:t>
      </w:r>
      <w:r w:rsidRPr="00346304">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a.</w:t>
            </w:r>
          </w:p>
        </w:tc>
        <w:tc>
          <w:tcPr>
            <w:tcW w:w="8028" w:type="dxa"/>
          </w:tcPr>
          <w:p w:rsidR="00675B1D" w:rsidRPr="00346304" w:rsidRDefault="00675B1D" w:rsidP="00BE6F49">
            <w:pPr>
              <w:pStyle w:val="Hlistbullet"/>
              <w:numPr>
                <w:ilvl w:val="0"/>
                <w:numId w:val="0"/>
              </w:numPr>
              <w:spacing w:before="0" w:line="280" w:lineRule="atLeast"/>
              <w:jc w:val="left"/>
              <w:rPr>
                <w:sz w:val="18"/>
                <w:szCs w:val="18"/>
                <w:highlight w:val="yellow"/>
              </w:rPr>
            </w:pPr>
            <w:r w:rsidRPr="00346304">
              <w:rPr>
                <w:sz w:val="18"/>
                <w:highlight w:val="yellow"/>
              </w:rPr>
              <w:t>riesaminare le esigenze di dati e informazioni in conformità con gli indicatori relativi alla RRN (prodotto, risultato, impatto) e in linea con la strategia e i metodi di valutazione selezionati;</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b.</w:t>
            </w:r>
          </w:p>
        </w:tc>
        <w:tc>
          <w:tcPr>
            <w:tcW w:w="8028" w:type="dxa"/>
          </w:tcPr>
          <w:p w:rsidR="00675B1D" w:rsidRPr="00346304" w:rsidRDefault="00675B1D" w:rsidP="00BE6F49">
            <w:pPr>
              <w:pStyle w:val="HStandard"/>
              <w:rPr>
                <w:sz w:val="18"/>
                <w:szCs w:val="18"/>
                <w:highlight w:val="yellow"/>
              </w:rPr>
            </w:pPr>
            <w:r w:rsidRPr="00346304">
              <w:rPr>
                <w:sz w:val="18"/>
                <w:highlight w:val="yellow"/>
              </w:rPr>
              <w:t>identificare le fonti di dati e informazioni e gli accordi per garantire l'accessibilità agli stessi;</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c.</w:t>
            </w:r>
          </w:p>
        </w:tc>
        <w:tc>
          <w:tcPr>
            <w:tcW w:w="8028" w:type="dxa"/>
          </w:tcPr>
          <w:p w:rsidR="00675B1D" w:rsidRPr="00346304" w:rsidRDefault="00675B1D" w:rsidP="000E42D4">
            <w:pPr>
              <w:pStyle w:val="Hlistbullet"/>
              <w:numPr>
                <w:ilvl w:val="0"/>
                <w:numId w:val="0"/>
              </w:numPr>
              <w:spacing w:before="0" w:line="280" w:lineRule="atLeast"/>
              <w:jc w:val="left"/>
              <w:rPr>
                <w:sz w:val="18"/>
                <w:szCs w:val="18"/>
                <w:highlight w:val="yellow"/>
              </w:rPr>
            </w:pPr>
            <w:r w:rsidRPr="00346304">
              <w:rPr>
                <w:sz w:val="18"/>
                <w:highlight w:val="yellow"/>
              </w:rPr>
              <w:t>identificare le lacune nei dati e decidere come risolverle (anche definendo disposizioni per i valutatori nel futuro capitolato d'oneri).</w:t>
            </w:r>
          </w:p>
        </w:tc>
      </w:tr>
      <w:tr w:rsidR="00675B1D" w:rsidRPr="00346304" w:rsidTr="00BE6F49">
        <w:tc>
          <w:tcPr>
            <w:tcW w:w="9016" w:type="dxa"/>
            <w:gridSpan w:val="2"/>
            <w:shd w:val="clear" w:color="auto" w:fill="auto"/>
          </w:tcPr>
          <w:p w:rsidR="00675B1D" w:rsidRPr="00346304" w:rsidRDefault="00675B1D" w:rsidP="00BE6F49">
            <w:pPr>
              <w:pStyle w:val="HStandard"/>
              <w:jc w:val="left"/>
              <w:rPr>
                <w:sz w:val="18"/>
                <w:szCs w:val="18"/>
                <w:highlight w:val="yellow"/>
              </w:rPr>
            </w:pPr>
            <w:r w:rsidRPr="00346304">
              <w:rPr>
                <w:b/>
                <w:sz w:val="18"/>
                <w:highlight w:val="yellow"/>
              </w:rPr>
              <w:lastRenderedPageBreak/>
              <w:t>Risultato previsto:</w:t>
            </w:r>
            <w:r w:rsidRPr="00346304">
              <w:rPr>
                <w:sz w:val="18"/>
                <w:highlight w:val="yellow"/>
              </w:rPr>
              <w:t xml:space="preserve"> fonti di dati esistenti accessibili, identificazione delle lacune nei dati e decisione in merito a come risolverle.</w:t>
            </w:r>
          </w:p>
        </w:tc>
      </w:tr>
    </w:tbl>
    <w:p w:rsidR="00675B1D" w:rsidRPr="00346304" w:rsidRDefault="00675B1D" w:rsidP="00FC0A30">
      <w:pPr>
        <w:pStyle w:val="HStandard"/>
        <w:rPr>
          <w:highlight w:val="yellow"/>
        </w:rPr>
      </w:pPr>
      <w:r w:rsidRPr="00346304">
        <w:rPr>
          <w:highlight w:val="yellow"/>
        </w:rPr>
        <w:t>Nel preparare la valutazione della RRN, è importante riesaminare il tipo di dati e informazioni necessari per compilare gli indicatori e rispondere ai questionari valutativi. Nella pratica sono sempre disponibili dati e informazioni già esistenti che possono essere raccolti attraverso il monitoraggio del PSR oppure tramite altri sistemi, ad esempio:</w:t>
      </w:r>
    </w:p>
    <w:p w:rsidR="00675B1D" w:rsidRPr="00346304" w:rsidRDefault="00675B1D" w:rsidP="00D322AA">
      <w:pPr>
        <w:pStyle w:val="Hlistbullet"/>
        <w:rPr>
          <w:highlight w:val="yellow"/>
        </w:rPr>
      </w:pPr>
      <w:r w:rsidRPr="00346304">
        <w:rPr>
          <w:highlight w:val="yellow"/>
        </w:rPr>
        <w:t xml:space="preserve">dati di monitoraggio (banche dati sulle operazioni) in merito a input e output della RRN; </w:t>
      </w:r>
    </w:p>
    <w:p w:rsidR="00675B1D" w:rsidRPr="00346304" w:rsidRDefault="00675B1D" w:rsidP="00D322AA">
      <w:pPr>
        <w:pStyle w:val="Hlistbullet"/>
        <w:rPr>
          <w:highlight w:val="yellow"/>
        </w:rPr>
      </w:pPr>
      <w:r w:rsidRPr="00346304">
        <w:rPr>
          <w:highlight w:val="yellow"/>
        </w:rPr>
        <w:t>statistiche interne della USR e monitoraggio delle prestazioni (relazioni annuali, riscontro da eventi e corsi di formazione, informazioni relative ai membri della RRN, ecc.);</w:t>
      </w:r>
    </w:p>
    <w:p w:rsidR="00675B1D" w:rsidRPr="00346304" w:rsidRDefault="00675B1D" w:rsidP="00D322AA">
      <w:pPr>
        <w:pStyle w:val="Hlistbullet"/>
        <w:rPr>
          <w:highlight w:val="yellow"/>
        </w:rPr>
      </w:pPr>
      <w:r w:rsidRPr="00346304">
        <w:rPr>
          <w:highlight w:val="yellow"/>
        </w:rPr>
        <w:t xml:space="preserve">informazioni da valutazioni e autovalutazioni condotte precedentemente. </w:t>
      </w:r>
    </w:p>
    <w:p w:rsidR="00675B1D" w:rsidRPr="00346304" w:rsidRDefault="00675B1D" w:rsidP="00FC0A30">
      <w:pPr>
        <w:pStyle w:val="HStandard"/>
        <w:rPr>
          <w:highlight w:val="yellow"/>
        </w:rPr>
      </w:pPr>
      <w:r w:rsidRPr="00346304">
        <w:rPr>
          <w:highlight w:val="yellow"/>
        </w:rPr>
        <w:t>Esaminare le fonti di dati e informazioni e la loro accessibilità è un passaggio importante per assicurare la disponibilità delle prove per la valutazione della RRN. A volte è necessario stipulare accordi speciali per accedere ai dati e alle informazioni esistenti. Questo dovrebbe essere fatto dalle autorità del programma o dalla USR, soprattutto nei casi in cui è necessario prendere in considerazione aspetti legali relativi alla protezione dei dati personali (ad esempio dati sui singoli beneficiari o informazioni ottenute da singoli intervistati).</w:t>
      </w:r>
    </w:p>
    <w:p w:rsidR="00675B1D" w:rsidRPr="00346304" w:rsidRDefault="00675B1D" w:rsidP="00FC0A30">
      <w:pPr>
        <w:pStyle w:val="HStandard"/>
        <w:rPr>
          <w:highlight w:val="yellow"/>
        </w:rPr>
      </w:pPr>
      <w:r w:rsidRPr="00346304">
        <w:rPr>
          <w:highlight w:val="yellow"/>
        </w:rPr>
        <w:t xml:space="preserve">Il vaglio dei dati esistenti può essere ripetuto anche nelle fasi successive di attuazione del piano di azione della RRN da parte dei valutatori (cfr. </w:t>
      </w:r>
      <w:r w:rsidRPr="00346304">
        <w:rPr>
          <w:b/>
          <w:color w:val="E7E6E6" w:themeColor="background2"/>
          <w:highlight w:val="yellow"/>
        </w:rPr>
        <w:t>PARTE I</w:t>
      </w:r>
      <w:r w:rsidRPr="00346304">
        <w:rPr>
          <w:highlight w:val="yellow"/>
        </w:rPr>
        <w:t>, capitolo 2.2.2 «Preparazione della valutazione della RRN»). A questo proposito, è importante che tutti i dati disponibili siano accessibili ai valutatori una volta iniziata la valutazione. L'unità di sostegno alla rete/l'autorità di gestione ha la responsabilità di fornire tutti i dati disponibili al valutatore durante l'attuazione della valutazione.</w:t>
      </w:r>
    </w:p>
    <w:p w:rsidR="00675B1D" w:rsidRPr="00346304" w:rsidRDefault="00675B1D" w:rsidP="00FC0A30">
      <w:pPr>
        <w:pStyle w:val="HStandard"/>
        <w:rPr>
          <w:highlight w:val="yellow"/>
        </w:rPr>
      </w:pPr>
      <w:r w:rsidRPr="00346304">
        <w:rPr>
          <w:highlight w:val="yellow"/>
        </w:rPr>
        <w:t xml:space="preserve">Particolare attenzione deve essere prestata ai dati e alle lacune nelle informazioni e a come colmarle. La parte committente (AG, USR) decide quali dati e informazioni possono essere ottenuti da fonti già esistenti, ad esempio tramite la fornitura di accordi speciali, e quali dati e informazioni mancanti dovrebbero essere raccolte dai valutatori. Le conoscenze dell'autorità di gestione e dell'USR in merito alla disponibilità di dati e informazioni, alla loro qualità e alle loro lacune influenza il bilancio di valutazione e il capitolato d'oneri. Inoltre, questo processo può allertare l'autorità di gestione con un preavviso sufficiente ad evitare problemi con i dati che potrebbero sorgere durante l'attuazione del piano di azione della RRN. </w:t>
      </w:r>
    </w:p>
    <w:p w:rsidR="00675B1D" w:rsidRPr="00346304" w:rsidRDefault="00675B1D" w:rsidP="00FC0A30">
      <w:pPr>
        <w:pStyle w:val="HHeading5"/>
        <w:rPr>
          <w:highlight w:val="yellow"/>
        </w:rPr>
      </w:pPr>
      <w:r w:rsidRPr="00346304">
        <w:rPr>
          <w:highlight w:val="yellow"/>
        </w:rPr>
        <w:t xml:space="preserve">Passaggio 5 - Procedura di gara e selezione del valutatore esterno </w:t>
      </w:r>
    </w:p>
    <w:p w:rsidR="00675B1D" w:rsidRPr="00346304" w:rsidRDefault="00675B1D" w:rsidP="00FC0A30">
      <w:pPr>
        <w:pStyle w:val="HStandard"/>
        <w:rPr>
          <w:highlight w:val="yellow"/>
        </w:rPr>
      </w:pPr>
      <w:r w:rsidRPr="00346304">
        <w:rPr>
          <w:b/>
          <w:highlight w:val="yellow"/>
        </w:rPr>
        <w:t>La redazione del capitolato d'oneri e la definizione della procedura di gara</w:t>
      </w:r>
      <w:r w:rsidRPr="00346304">
        <w:rPr>
          <w:highlight w:val="yellow"/>
        </w:rPr>
        <w:t xml:space="preserve"> sono elementi chiave nella selezione e nell'aggiudicazione del contratto al valutatore esterno. I passaggi precedenti in materia di pianificazione e preparazione della valutazione, di cui sopra, creano le basi per ciò che le autorità della RRN devono predisporre e ciò che dovrebbe essere lasciato ai valutatori e incluso nel capitolato d'oneri.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2730A3">
        <w:tc>
          <w:tcPr>
            <w:tcW w:w="9016" w:type="dxa"/>
            <w:shd w:val="clear" w:color="auto" w:fill="F5F4F4" w:themeFill="background2" w:themeFillTint="66"/>
          </w:tcPr>
          <w:p w:rsidR="00675B1D" w:rsidRPr="00346304" w:rsidRDefault="00675B1D" w:rsidP="00FC0A30">
            <w:pPr>
              <w:pStyle w:val="HStandard"/>
              <w:rPr>
                <w:highlight w:val="yellow"/>
              </w:rPr>
            </w:pPr>
            <w:r w:rsidRPr="00346304">
              <w:rPr>
                <w:highlight w:val="yellow"/>
              </w:rPr>
              <w:t xml:space="preserve">Le domande guida per questo passaggio sono le seguenti: </w:t>
            </w:r>
          </w:p>
          <w:p w:rsidR="00675B1D" w:rsidRPr="00346304" w:rsidRDefault="00675B1D" w:rsidP="00675B1D">
            <w:pPr>
              <w:pStyle w:val="Hlistbullet"/>
              <w:tabs>
                <w:tab w:val="left" w:pos="567"/>
              </w:tabs>
              <w:rPr>
                <w:highlight w:val="yellow"/>
              </w:rPr>
            </w:pPr>
            <w:r w:rsidRPr="00346304">
              <w:rPr>
                <w:highlight w:val="yellow"/>
              </w:rPr>
              <w:t>qual è il contesto della valutazione?</w:t>
            </w:r>
          </w:p>
          <w:p w:rsidR="00675B1D" w:rsidRPr="00346304" w:rsidRDefault="00675B1D" w:rsidP="00675B1D">
            <w:pPr>
              <w:pStyle w:val="Hlistbullet"/>
              <w:tabs>
                <w:tab w:val="left" w:pos="567"/>
              </w:tabs>
              <w:rPr>
                <w:highlight w:val="yellow"/>
              </w:rPr>
            </w:pPr>
            <w:r>
              <w:rPr>
                <w:highlight w:val="yellow"/>
              </w:rPr>
              <w:t>C</w:t>
            </w:r>
            <w:r w:rsidRPr="00346304">
              <w:rPr>
                <w:highlight w:val="yellow"/>
              </w:rPr>
              <w:t>he cosa si andrà a valutare?</w:t>
            </w:r>
          </w:p>
          <w:p w:rsidR="00675B1D" w:rsidRPr="00346304" w:rsidRDefault="00675B1D" w:rsidP="00675B1D">
            <w:pPr>
              <w:pStyle w:val="Hlistbullet"/>
              <w:tabs>
                <w:tab w:val="left" w:pos="567"/>
              </w:tabs>
              <w:rPr>
                <w:highlight w:val="yellow"/>
              </w:rPr>
            </w:pPr>
            <w:r>
              <w:rPr>
                <w:highlight w:val="yellow"/>
              </w:rPr>
              <w:t>P</w:t>
            </w:r>
            <w:r w:rsidRPr="00346304">
              <w:rPr>
                <w:highlight w:val="yellow"/>
              </w:rPr>
              <w:t>erché viene effettuata questa valutazione?</w:t>
            </w:r>
          </w:p>
          <w:p w:rsidR="00675B1D" w:rsidRPr="00346304" w:rsidRDefault="00675B1D" w:rsidP="00675B1D">
            <w:pPr>
              <w:pStyle w:val="Hlistbullet"/>
              <w:tabs>
                <w:tab w:val="left" w:pos="567"/>
              </w:tabs>
              <w:rPr>
                <w:highlight w:val="yellow"/>
              </w:rPr>
            </w:pPr>
            <w:r>
              <w:rPr>
                <w:highlight w:val="yellow"/>
              </w:rPr>
              <w:t>Q</w:t>
            </w:r>
            <w:r w:rsidRPr="00346304">
              <w:rPr>
                <w:highlight w:val="yellow"/>
              </w:rPr>
              <w:t>uali sono le domande che devono essere poste?</w:t>
            </w:r>
          </w:p>
          <w:p w:rsidR="00675B1D" w:rsidRPr="00346304" w:rsidRDefault="00675B1D" w:rsidP="00675B1D">
            <w:pPr>
              <w:pStyle w:val="Hlistbullet"/>
              <w:tabs>
                <w:tab w:val="left" w:pos="567"/>
              </w:tabs>
              <w:rPr>
                <w:highlight w:val="yellow"/>
              </w:rPr>
            </w:pPr>
            <w:r>
              <w:rPr>
                <w:highlight w:val="yellow"/>
              </w:rPr>
              <w:t>C</w:t>
            </w:r>
            <w:r w:rsidRPr="00346304">
              <w:rPr>
                <w:highlight w:val="yellow"/>
              </w:rPr>
              <w:t>he cosa dovrebbe fare in pratica il valutatore?</w:t>
            </w:r>
          </w:p>
          <w:p w:rsidR="00675B1D" w:rsidRPr="00346304" w:rsidRDefault="00675B1D" w:rsidP="00675B1D">
            <w:pPr>
              <w:pStyle w:val="Hlistbullet"/>
              <w:tabs>
                <w:tab w:val="left" w:pos="567"/>
              </w:tabs>
              <w:rPr>
                <w:highlight w:val="yellow"/>
              </w:rPr>
            </w:pPr>
            <w:r>
              <w:rPr>
                <w:highlight w:val="yellow"/>
              </w:rPr>
              <w:t>C</w:t>
            </w:r>
            <w:r w:rsidRPr="00346304">
              <w:rPr>
                <w:highlight w:val="yellow"/>
              </w:rPr>
              <w:t>he tipo di documenti/relazioni dovrebbe produrre il valutatore e quando?</w:t>
            </w:r>
          </w:p>
          <w:p w:rsidR="00675B1D" w:rsidRPr="00346304" w:rsidRDefault="00675B1D" w:rsidP="00675B1D">
            <w:pPr>
              <w:pStyle w:val="Hlistbullet"/>
              <w:tabs>
                <w:tab w:val="left" w:pos="567"/>
              </w:tabs>
              <w:rPr>
                <w:highlight w:val="yellow"/>
              </w:rPr>
            </w:pPr>
            <w:r>
              <w:rPr>
                <w:highlight w:val="yellow"/>
              </w:rPr>
              <w:t>C</w:t>
            </w:r>
            <w:r w:rsidRPr="00346304">
              <w:rPr>
                <w:highlight w:val="yellow"/>
              </w:rPr>
              <w:t xml:space="preserve">ome dovrebbe essere condotta la valutazione? </w:t>
            </w:r>
          </w:p>
          <w:p w:rsidR="00675B1D" w:rsidRPr="00346304" w:rsidRDefault="00675B1D" w:rsidP="00675B1D">
            <w:pPr>
              <w:pStyle w:val="Hlistbullet"/>
              <w:tabs>
                <w:tab w:val="left" w:pos="567"/>
              </w:tabs>
              <w:rPr>
                <w:highlight w:val="yellow"/>
              </w:rPr>
            </w:pPr>
            <w:r>
              <w:rPr>
                <w:highlight w:val="yellow"/>
              </w:rPr>
              <w:t>C</w:t>
            </w:r>
            <w:r w:rsidRPr="00346304">
              <w:rPr>
                <w:highlight w:val="yellow"/>
              </w:rPr>
              <w:t>he tipo di dati e di informazioni esistono?</w:t>
            </w:r>
          </w:p>
          <w:p w:rsidR="00675B1D" w:rsidRPr="00346304" w:rsidRDefault="00675B1D" w:rsidP="00675B1D">
            <w:pPr>
              <w:pStyle w:val="Hlistbullet"/>
              <w:tabs>
                <w:tab w:val="left" w:pos="567"/>
              </w:tabs>
              <w:rPr>
                <w:highlight w:val="yellow"/>
              </w:rPr>
            </w:pPr>
            <w:r>
              <w:rPr>
                <w:highlight w:val="yellow"/>
              </w:rPr>
              <w:lastRenderedPageBreak/>
              <w:t>Q</w:t>
            </w:r>
            <w:r w:rsidRPr="00346304">
              <w:rPr>
                <w:highlight w:val="yellow"/>
              </w:rPr>
              <w:t xml:space="preserve">uali dati e informazioni dovrebbero essere raccolti in più? </w:t>
            </w:r>
          </w:p>
          <w:p w:rsidR="00675B1D" w:rsidRPr="00346304" w:rsidRDefault="00675B1D" w:rsidP="00675B1D">
            <w:pPr>
              <w:pStyle w:val="Hlistbullet"/>
              <w:tabs>
                <w:tab w:val="left" w:pos="567"/>
              </w:tabs>
              <w:rPr>
                <w:highlight w:val="yellow"/>
              </w:rPr>
            </w:pPr>
            <w:r>
              <w:rPr>
                <w:highlight w:val="yellow"/>
              </w:rPr>
              <w:t>Q</w:t>
            </w:r>
            <w:r w:rsidRPr="00346304">
              <w:rPr>
                <w:highlight w:val="yellow"/>
              </w:rPr>
              <w:t>uali sono i requisiti per il valutatore?</w:t>
            </w:r>
          </w:p>
          <w:p w:rsidR="00675B1D" w:rsidRPr="00346304" w:rsidRDefault="00675B1D" w:rsidP="00675B1D">
            <w:pPr>
              <w:pStyle w:val="Hlistbullet2"/>
              <w:tabs>
                <w:tab w:val="left" w:pos="567"/>
              </w:tabs>
              <w:rPr>
                <w:highlight w:val="yellow"/>
              </w:rPr>
            </w:pPr>
            <w:r>
              <w:rPr>
                <w:highlight w:val="yellow"/>
              </w:rPr>
              <w:t>C</w:t>
            </w:r>
            <w:r w:rsidRPr="00346304">
              <w:rPr>
                <w:highlight w:val="yellow"/>
              </w:rPr>
              <w:t>ome viene scelto il valutatore?</w:t>
            </w:r>
          </w:p>
          <w:p w:rsidR="00675B1D" w:rsidRPr="00346304" w:rsidRDefault="00675B1D" w:rsidP="00675B1D">
            <w:pPr>
              <w:pStyle w:val="Hlistbullet"/>
              <w:tabs>
                <w:tab w:val="left" w:pos="567"/>
              </w:tabs>
              <w:rPr>
                <w:highlight w:val="yellow"/>
              </w:rPr>
            </w:pPr>
            <w:r>
              <w:rPr>
                <w:highlight w:val="yellow"/>
              </w:rPr>
              <w:t>L</w:t>
            </w:r>
            <w:r w:rsidRPr="00346304">
              <w:rPr>
                <w:highlight w:val="yellow"/>
              </w:rPr>
              <w:t>e risorse finanziarie e umane sono adeguate per lo svolgimento della valutazione auspicata?</w:t>
            </w:r>
          </w:p>
          <w:p w:rsidR="00675B1D" w:rsidRPr="00346304" w:rsidRDefault="00675B1D" w:rsidP="00675B1D">
            <w:pPr>
              <w:pStyle w:val="Hlistbullet"/>
              <w:tabs>
                <w:tab w:val="left" w:pos="567"/>
              </w:tabs>
              <w:rPr>
                <w:highlight w:val="yellow"/>
              </w:rPr>
            </w:pPr>
            <w:r>
              <w:rPr>
                <w:highlight w:val="yellow"/>
              </w:rPr>
              <w:t>I</w:t>
            </w:r>
            <w:r w:rsidRPr="00346304">
              <w:rPr>
                <w:highlight w:val="yellow"/>
              </w:rPr>
              <w:t>l lasso di tempo è ragionevole? è stato assegnato tempo sufficiente a ogni passaggio? è stato allocato del tempo per gestire imprevisti e problemi?</w:t>
            </w:r>
          </w:p>
          <w:p w:rsidR="00675B1D" w:rsidRPr="00346304" w:rsidRDefault="00675B1D" w:rsidP="00675B1D">
            <w:pPr>
              <w:pStyle w:val="Hlistbullet2"/>
              <w:tabs>
                <w:tab w:val="left" w:pos="567"/>
              </w:tabs>
              <w:rPr>
                <w:highlight w:val="yellow"/>
              </w:rPr>
            </w:pPr>
            <w:r>
              <w:rPr>
                <w:highlight w:val="yellow"/>
              </w:rPr>
              <w:t>Q</w:t>
            </w:r>
            <w:r w:rsidRPr="00346304">
              <w:rPr>
                <w:highlight w:val="yellow"/>
              </w:rPr>
              <w:t>ual è la migliore procedura di gara per la valutazione della RRN in questione?</w:t>
            </w:r>
          </w:p>
        </w:tc>
      </w:tr>
    </w:tbl>
    <w:p w:rsidR="00675B1D" w:rsidRPr="00346304" w:rsidRDefault="00675B1D" w:rsidP="00FC0A30">
      <w:pPr>
        <w:pStyle w:val="HStandard"/>
        <w:rPr>
          <w:highlight w:val="yellow"/>
        </w:rPr>
      </w:pPr>
      <w:r w:rsidRPr="00346304">
        <w:rPr>
          <w:highlight w:val="yellow"/>
        </w:rPr>
        <w:lastRenderedPageBreak/>
        <w:t xml:space="preserve">Questo passaggio viene realizzato con la </w:t>
      </w:r>
      <w:r w:rsidRPr="00346304">
        <w:rPr>
          <w:b/>
          <w:highlight w:val="yellow"/>
        </w:rPr>
        <w:t>seguente sequenza</w:t>
      </w:r>
      <w:r w:rsidRPr="00346304">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a.</w:t>
            </w:r>
          </w:p>
        </w:tc>
        <w:tc>
          <w:tcPr>
            <w:tcW w:w="8028" w:type="dxa"/>
          </w:tcPr>
          <w:p w:rsidR="00675B1D" w:rsidRPr="00346304" w:rsidRDefault="00675B1D" w:rsidP="00BE6F49">
            <w:pPr>
              <w:pStyle w:val="Hlistbullet"/>
              <w:numPr>
                <w:ilvl w:val="0"/>
                <w:numId w:val="0"/>
              </w:numPr>
              <w:spacing w:before="0" w:line="280" w:lineRule="atLeast"/>
              <w:jc w:val="left"/>
              <w:rPr>
                <w:sz w:val="18"/>
                <w:szCs w:val="18"/>
                <w:highlight w:val="yellow"/>
              </w:rPr>
            </w:pPr>
            <w:r w:rsidRPr="00346304">
              <w:rPr>
                <w:sz w:val="18"/>
                <w:highlight w:val="yellow"/>
              </w:rPr>
              <w:t>redazione del capitolato d'oneri per la valutazione esterna;</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b.</w:t>
            </w:r>
          </w:p>
        </w:tc>
        <w:tc>
          <w:tcPr>
            <w:tcW w:w="8028" w:type="dxa"/>
          </w:tcPr>
          <w:p w:rsidR="00675B1D" w:rsidRPr="00346304" w:rsidRDefault="00675B1D" w:rsidP="00BE6F49">
            <w:pPr>
              <w:pStyle w:val="HStandard"/>
              <w:rPr>
                <w:sz w:val="18"/>
                <w:szCs w:val="18"/>
                <w:highlight w:val="yellow"/>
              </w:rPr>
            </w:pPr>
            <w:r w:rsidRPr="00346304">
              <w:rPr>
                <w:sz w:val="18"/>
                <w:highlight w:val="yellow"/>
              </w:rPr>
              <w:t>allocazione di risorse per la valutazione esterna come base della pianificazione e preparazione della valutazione;</w:t>
            </w:r>
          </w:p>
        </w:tc>
      </w:tr>
      <w:tr w:rsidR="00675B1D" w:rsidRPr="00346304" w:rsidTr="00BE6F49">
        <w:tc>
          <w:tcPr>
            <w:tcW w:w="988" w:type="dxa"/>
            <w:shd w:val="clear" w:color="auto" w:fill="E7E6E6" w:themeFill="background2"/>
          </w:tcPr>
          <w:p w:rsidR="00675B1D" w:rsidRPr="00346304" w:rsidRDefault="00675B1D" w:rsidP="00BE6F49">
            <w:pPr>
              <w:pStyle w:val="HStandard"/>
              <w:jc w:val="center"/>
              <w:rPr>
                <w:b/>
                <w:color w:val="FFFFFF"/>
                <w:sz w:val="18"/>
                <w:szCs w:val="18"/>
                <w:highlight w:val="yellow"/>
              </w:rPr>
            </w:pPr>
            <w:r w:rsidRPr="00346304">
              <w:rPr>
                <w:b/>
                <w:color w:val="FFFFFF"/>
                <w:sz w:val="18"/>
                <w:highlight w:val="yellow"/>
              </w:rPr>
              <w:t>c.</w:t>
            </w:r>
          </w:p>
        </w:tc>
        <w:tc>
          <w:tcPr>
            <w:tcW w:w="8028" w:type="dxa"/>
          </w:tcPr>
          <w:p w:rsidR="00675B1D" w:rsidRPr="00346304" w:rsidRDefault="00675B1D" w:rsidP="00BE6F49">
            <w:pPr>
              <w:pStyle w:val="Hlistbullet"/>
              <w:numPr>
                <w:ilvl w:val="0"/>
                <w:numId w:val="0"/>
              </w:numPr>
              <w:spacing w:before="0" w:line="280" w:lineRule="atLeast"/>
              <w:jc w:val="left"/>
              <w:rPr>
                <w:sz w:val="18"/>
                <w:szCs w:val="18"/>
                <w:highlight w:val="yellow"/>
              </w:rPr>
            </w:pPr>
            <w:r w:rsidRPr="00346304">
              <w:rPr>
                <w:sz w:val="18"/>
                <w:highlight w:val="yellow"/>
              </w:rPr>
              <w:t>preparazione e svolgimento della procedura di gara.</w:t>
            </w:r>
          </w:p>
        </w:tc>
      </w:tr>
      <w:tr w:rsidR="00675B1D" w:rsidRPr="00346304" w:rsidTr="00BE6F49">
        <w:tc>
          <w:tcPr>
            <w:tcW w:w="9016" w:type="dxa"/>
            <w:gridSpan w:val="2"/>
            <w:shd w:val="clear" w:color="auto" w:fill="auto"/>
          </w:tcPr>
          <w:p w:rsidR="00675B1D" w:rsidRPr="00346304" w:rsidRDefault="00675B1D" w:rsidP="00BE6F49">
            <w:pPr>
              <w:pStyle w:val="HStandard"/>
              <w:jc w:val="left"/>
              <w:rPr>
                <w:sz w:val="18"/>
                <w:szCs w:val="18"/>
                <w:highlight w:val="yellow"/>
              </w:rPr>
            </w:pPr>
            <w:r w:rsidRPr="00346304">
              <w:rPr>
                <w:b/>
                <w:sz w:val="18"/>
                <w:highlight w:val="yellow"/>
              </w:rPr>
              <w:t>Risultato atteso:</w:t>
            </w:r>
            <w:r w:rsidRPr="00346304">
              <w:rPr>
                <w:sz w:val="18"/>
                <w:highlight w:val="yellow"/>
              </w:rPr>
              <w:t xml:space="preserve"> selezione di un valutatore esterno.</w:t>
            </w:r>
          </w:p>
        </w:tc>
      </w:tr>
    </w:tbl>
    <w:p w:rsidR="00675B1D" w:rsidRPr="00346304" w:rsidRDefault="00675B1D" w:rsidP="00FC0A30">
      <w:pPr>
        <w:pStyle w:val="HStandard"/>
        <w:rPr>
          <w:highlight w:val="yellow"/>
        </w:rPr>
      </w:pPr>
      <w:r w:rsidRPr="00346304">
        <w:rPr>
          <w:highlight w:val="yellow"/>
        </w:rPr>
        <w:t>La parte committente (AG, USR) è responsabile per la redazione del capitolato d'oneri e deve garantire che lo stesso rifletta la RRN in questione. Il gruppo direttivo di valutazione può sostenere la parte committente nella definizione e nella stesura dello stesso, qualora l'AG incarichi il gruppo direttivo della redazione del mandato di valutazione.</w:t>
      </w:r>
    </w:p>
    <w:p w:rsidR="00675B1D" w:rsidRPr="00346304" w:rsidRDefault="00675B1D" w:rsidP="00FC0A30">
      <w:pPr>
        <w:pStyle w:val="HHeadingboxes"/>
        <w:rPr>
          <w:highlight w:val="yellow"/>
        </w:rPr>
      </w:pPr>
      <w:bookmarkStart w:id="144" w:name="_Toc390439635"/>
      <w:bookmarkStart w:id="145" w:name="_Toc451781952"/>
      <w:bookmarkStart w:id="146" w:name="_Toc461616674"/>
      <w:r w:rsidRPr="00346304">
        <w:rPr>
          <w:highlight w:val="yellow"/>
        </w:rPr>
        <w:t>Mandato di valutazione</w:t>
      </w:r>
      <w:bookmarkEnd w:id="144"/>
      <w:bookmarkEnd w:id="145"/>
      <w:bookmarkEnd w:id="146"/>
    </w:p>
    <w:p w:rsidR="00675B1D" w:rsidRPr="00346304" w:rsidRDefault="00675B1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346304">
        <w:rPr>
          <w:highlight w:val="yellow"/>
        </w:rPr>
        <w:t xml:space="preserve">Qualora l'autorità di gestione decida di utilizzare un gruppo direttivo di valutazione, è consigliabile redigere un mandato di valutazione prima di redigere il capitolato d'oneri. Il mandato di valutazione è un documento che fornisce una descrizione breve e generale della valutazione da effettuare. Deve specificare la portata (che cosa si dovrà valutare?), il contesto e le motivazioni (qual è il contesto e quali sono le motivazioni per effettuare una valutazione?), responsabilità e tempistiche (come sarà organizzato il lavoro e che tipo di calendario si seguirà?) e obiettivi (qual è l'uso previsto della valutazione?). Il mandato di valutazione guida la preparazione del capitolato d'oneri, nonché il programma di lavoro del gruppo direttivo di valutazione. </w:t>
      </w:r>
    </w:p>
    <w:p w:rsidR="00675B1D" w:rsidRPr="00346304" w:rsidRDefault="00675B1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346304">
        <w:rPr>
          <w:highlight w:val="yellow"/>
        </w:rPr>
        <w:t>Il mandato di valutazione è in genere avviato e approvato dall'autorità di gestione, e il gruppo direttivo di valutazione assiste l'autorità di gestione nel processo di redazione.</w:t>
      </w:r>
    </w:p>
    <w:p w:rsidR="00675B1D" w:rsidRPr="00346304" w:rsidRDefault="00675B1D" w:rsidP="00FC0A30">
      <w:pPr>
        <w:pStyle w:val="HStandard"/>
        <w:rPr>
          <w:highlight w:val="yellow"/>
        </w:rPr>
      </w:pPr>
      <w:r w:rsidRPr="00346304">
        <w:rPr>
          <w:highlight w:val="yellow"/>
        </w:rPr>
        <w:t xml:space="preserve">Il capitolato d'oneri dovrebbe spiegare l'importanza dell'attuazione della RRN e prendere in considerazione la dimensione del bilancio di valutazione della RRN. Dovrebbe altresì contenere una descrizione delle origini, della portata e degli obiettivi della valutazione, nonché una chiara distribuzione dei ruoli e delle responsabilità. Il capitolato d'oneri dovrebbe elencare le domande di valutazione alle quali rispondere e descrivere i compiti e le attività che i valutatori esterni dovranno svolgere. Dovrebbe inoltre delineare le fonti di informazioni già disponibili. Un capitolato d'oneri ben redatto dovrebbe contenere anche i criteri per la selezione del valutatore, nonché i criteri di valutazione della qualità per la relazione finale. </w:t>
      </w:r>
    </w:p>
    <w:p w:rsidR="00675B1D" w:rsidRPr="00346304" w:rsidRDefault="00675B1D" w:rsidP="00FC0A30">
      <w:pPr>
        <w:pStyle w:val="HStandard"/>
        <w:rPr>
          <w:highlight w:val="yellow"/>
        </w:rPr>
      </w:pPr>
      <w:r w:rsidRPr="00346304">
        <w:rPr>
          <w:highlight w:val="yellow"/>
        </w:rPr>
        <w:t>Non esistono requisiti giuridici relativi al contenuto del capitolato d'oneri. Si riportano qui di seguito gli elementi principali raccomandati che riflettono gli standard in termini di buone pratiche comuni</w:t>
      </w:r>
      <w:r w:rsidRPr="00346304">
        <w:rPr>
          <w:rStyle w:val="FootnoteReference"/>
          <w:highlight w:val="yellow"/>
        </w:rPr>
        <w:footnoteReference w:id="82"/>
      </w:r>
      <w:r w:rsidRPr="00346304">
        <w:rPr>
          <w:highlight w:val="yellow"/>
        </w:rPr>
        <w:t xml:space="preserve">: </w:t>
      </w:r>
    </w:p>
    <w:p w:rsidR="00675B1D" w:rsidRPr="00346304" w:rsidRDefault="00675B1D" w:rsidP="001413F0">
      <w:pPr>
        <w:pStyle w:val="Hlistbullet"/>
        <w:rPr>
          <w:highlight w:val="yellow"/>
        </w:rPr>
      </w:pPr>
      <w:r w:rsidRPr="00346304">
        <w:rPr>
          <w:highlight w:val="yellow"/>
        </w:rPr>
        <w:t>contesto (finalità, obiettivi e giustificazione della valutazione);</w:t>
      </w:r>
    </w:p>
    <w:p w:rsidR="00675B1D" w:rsidRPr="00346304" w:rsidRDefault="00675B1D" w:rsidP="001413F0">
      <w:pPr>
        <w:pStyle w:val="Hlistbullet"/>
        <w:rPr>
          <w:highlight w:val="yellow"/>
        </w:rPr>
      </w:pPr>
      <w:r w:rsidRPr="00346304">
        <w:rPr>
          <w:highlight w:val="yellow"/>
        </w:rPr>
        <w:lastRenderedPageBreak/>
        <w:t>portata della valutazione;</w:t>
      </w:r>
    </w:p>
    <w:p w:rsidR="00675B1D" w:rsidRPr="00346304" w:rsidRDefault="00675B1D" w:rsidP="001413F0">
      <w:pPr>
        <w:pStyle w:val="Hlistbullet"/>
        <w:rPr>
          <w:highlight w:val="yellow"/>
        </w:rPr>
      </w:pPr>
      <w:r w:rsidRPr="00346304">
        <w:rPr>
          <w:highlight w:val="yellow"/>
        </w:rPr>
        <w:t>obiettivi della valutazione;</w:t>
      </w:r>
    </w:p>
    <w:p w:rsidR="00675B1D" w:rsidRPr="00346304" w:rsidRDefault="00675B1D" w:rsidP="001413F0">
      <w:pPr>
        <w:pStyle w:val="Hlistbullet"/>
        <w:rPr>
          <w:highlight w:val="yellow"/>
        </w:rPr>
      </w:pPr>
      <w:r w:rsidRPr="00346304">
        <w:rPr>
          <w:highlight w:val="yellow"/>
        </w:rPr>
        <w:t>domande di valutazione;</w:t>
      </w:r>
    </w:p>
    <w:p w:rsidR="00675B1D" w:rsidRPr="00346304" w:rsidRDefault="00675B1D" w:rsidP="001413F0">
      <w:pPr>
        <w:pStyle w:val="Hlistbullet"/>
        <w:rPr>
          <w:highlight w:val="yellow"/>
        </w:rPr>
      </w:pPr>
      <w:r w:rsidRPr="00346304">
        <w:rPr>
          <w:highlight w:val="yellow"/>
        </w:rPr>
        <w:t>compiti da svolgere;</w:t>
      </w:r>
    </w:p>
    <w:p w:rsidR="00675B1D" w:rsidRPr="00346304" w:rsidRDefault="00675B1D" w:rsidP="001413F0">
      <w:pPr>
        <w:pStyle w:val="Hlistbullet"/>
        <w:rPr>
          <w:highlight w:val="yellow"/>
        </w:rPr>
      </w:pPr>
      <w:r w:rsidRPr="00346304">
        <w:rPr>
          <w:highlight w:val="yellow"/>
        </w:rPr>
        <w:t>tempistiche e contenuti dei risultati attesi;</w:t>
      </w:r>
    </w:p>
    <w:p w:rsidR="00675B1D" w:rsidRPr="00346304" w:rsidRDefault="00675B1D" w:rsidP="001413F0">
      <w:pPr>
        <w:pStyle w:val="Hlistbullet"/>
        <w:rPr>
          <w:highlight w:val="yellow"/>
        </w:rPr>
      </w:pPr>
      <w:r w:rsidRPr="00346304">
        <w:rPr>
          <w:highlight w:val="yellow"/>
        </w:rPr>
        <w:t>organizzazione dei lavori;</w:t>
      </w:r>
    </w:p>
    <w:p w:rsidR="00675B1D" w:rsidRPr="00346304" w:rsidRDefault="00675B1D" w:rsidP="001413F0">
      <w:pPr>
        <w:pStyle w:val="Hlistbullet"/>
        <w:rPr>
          <w:highlight w:val="yellow"/>
        </w:rPr>
      </w:pPr>
      <w:r w:rsidRPr="00346304">
        <w:rPr>
          <w:highlight w:val="yellow"/>
        </w:rPr>
        <w:t>fonti e documentazione;</w:t>
      </w:r>
    </w:p>
    <w:p w:rsidR="00675B1D" w:rsidRPr="00346304" w:rsidRDefault="00675B1D" w:rsidP="001413F0">
      <w:pPr>
        <w:pStyle w:val="Hlistbullet"/>
        <w:rPr>
          <w:highlight w:val="yellow"/>
        </w:rPr>
      </w:pPr>
      <w:r w:rsidRPr="00346304">
        <w:rPr>
          <w:highlight w:val="yellow"/>
        </w:rPr>
        <w:t xml:space="preserve">procedure di gara e clausole contrattuali. Ciò include i criteri di selezione del valutatore, quali: </w:t>
      </w:r>
    </w:p>
    <w:p w:rsidR="00675B1D" w:rsidRPr="00346304" w:rsidRDefault="00675B1D" w:rsidP="00892664">
      <w:pPr>
        <w:pStyle w:val="Hlistbullet2"/>
        <w:numPr>
          <w:ilvl w:val="1"/>
          <w:numId w:val="16"/>
        </w:numPr>
        <w:tabs>
          <w:tab w:val="left" w:pos="567"/>
        </w:tabs>
        <w:rPr>
          <w:highlight w:val="yellow"/>
        </w:rPr>
      </w:pPr>
      <w:r w:rsidRPr="00346304">
        <w:rPr>
          <w:highlight w:val="yellow"/>
        </w:rPr>
        <w:t xml:space="preserve">profilo richiesto per i valutatori, inclusivo di formazione, esperienza di valutazione acquisita (pluriennale) e relativi riferimenti e collegamenti a relazioni esistenti; </w:t>
      </w:r>
    </w:p>
    <w:p w:rsidR="00675B1D" w:rsidRPr="00346304" w:rsidRDefault="00675B1D" w:rsidP="00892664">
      <w:pPr>
        <w:pStyle w:val="Hlistbullet2"/>
        <w:numPr>
          <w:ilvl w:val="1"/>
          <w:numId w:val="16"/>
        </w:numPr>
        <w:tabs>
          <w:tab w:val="left" w:pos="567"/>
        </w:tabs>
        <w:rPr>
          <w:highlight w:val="yellow"/>
        </w:rPr>
      </w:pPr>
      <w:r w:rsidRPr="00346304">
        <w:rPr>
          <w:highlight w:val="yellow"/>
        </w:rPr>
        <w:t xml:space="preserve">strategia e metodi di valutazione proposti; </w:t>
      </w:r>
    </w:p>
    <w:p w:rsidR="00675B1D" w:rsidRPr="00346304" w:rsidRDefault="00675B1D" w:rsidP="00892664">
      <w:pPr>
        <w:pStyle w:val="Hlistbullet2"/>
        <w:numPr>
          <w:ilvl w:val="1"/>
          <w:numId w:val="16"/>
        </w:numPr>
        <w:tabs>
          <w:tab w:val="left" w:pos="567"/>
        </w:tabs>
        <w:rPr>
          <w:highlight w:val="yellow"/>
        </w:rPr>
      </w:pPr>
      <w:r w:rsidRPr="00346304">
        <w:rPr>
          <w:highlight w:val="yellow"/>
        </w:rPr>
        <w:t>requisiti in materia di dati e informazioni, nonché indicazione dei dati che devono essere raccolti dal valutatore;</w:t>
      </w:r>
    </w:p>
    <w:p w:rsidR="00675B1D" w:rsidRPr="00346304" w:rsidRDefault="00675B1D" w:rsidP="00892664">
      <w:pPr>
        <w:pStyle w:val="Hlistbullet2"/>
        <w:numPr>
          <w:ilvl w:val="1"/>
          <w:numId w:val="16"/>
        </w:numPr>
        <w:tabs>
          <w:tab w:val="left" w:pos="567"/>
        </w:tabs>
        <w:rPr>
          <w:highlight w:val="yellow"/>
        </w:rPr>
      </w:pPr>
      <w:r w:rsidRPr="00346304">
        <w:rPr>
          <w:highlight w:val="yellow"/>
        </w:rPr>
        <w:t>bilancio di valutazione proposto;</w:t>
      </w:r>
    </w:p>
    <w:p w:rsidR="00675B1D" w:rsidRPr="00346304" w:rsidRDefault="00675B1D" w:rsidP="00892664">
      <w:pPr>
        <w:pStyle w:val="Hlistbullet2"/>
        <w:numPr>
          <w:ilvl w:val="1"/>
          <w:numId w:val="16"/>
        </w:numPr>
        <w:tabs>
          <w:tab w:val="left" w:pos="567"/>
        </w:tabs>
        <w:rPr>
          <w:highlight w:val="yellow"/>
        </w:rPr>
      </w:pPr>
      <w:r w:rsidRPr="00346304">
        <w:rPr>
          <w:highlight w:val="yellow"/>
        </w:rPr>
        <w:t>criteri di valutazione della qualità per la relazione finale;</w:t>
      </w:r>
    </w:p>
    <w:p w:rsidR="00675B1D" w:rsidRPr="00346304" w:rsidRDefault="00675B1D" w:rsidP="00892664">
      <w:pPr>
        <w:pStyle w:val="Hlistbullet2"/>
        <w:numPr>
          <w:ilvl w:val="1"/>
          <w:numId w:val="16"/>
        </w:numPr>
        <w:tabs>
          <w:tab w:val="left" w:pos="567"/>
        </w:tabs>
        <w:rPr>
          <w:highlight w:val="yellow"/>
        </w:rPr>
      </w:pPr>
      <w:r w:rsidRPr="00346304">
        <w:rPr>
          <w:highlight w:val="yellow"/>
        </w:rPr>
        <w:t>altro.</w:t>
      </w:r>
    </w:p>
    <w:p w:rsidR="00675B1D" w:rsidRPr="00346304" w:rsidRDefault="00675B1D" w:rsidP="00FC0A30">
      <w:pPr>
        <w:pStyle w:val="HStandard"/>
        <w:rPr>
          <w:highlight w:val="yellow"/>
        </w:rPr>
      </w:pPr>
      <w:r w:rsidRPr="00346304">
        <w:rPr>
          <w:highlight w:val="yellow"/>
        </w:rPr>
        <w:t>Il capitolato d'oneri dovrebbe lasciare spazio ai valutatori per suggerire la strategia/progettazione e i metodi di valutazione, compresi i dati e le informazioni richiesti. La redazione del capitolato d'oneri è un punto di partenza per strutturare la valutazione, che il valutatore scelto avrà poi il compito di proseguire.</w:t>
      </w:r>
    </w:p>
    <w:p w:rsidR="00675B1D" w:rsidRPr="00346304" w:rsidRDefault="00675B1D" w:rsidP="00FC0A30">
      <w:pPr>
        <w:pStyle w:val="HStandard"/>
        <w:rPr>
          <w:highlight w:val="yellow"/>
        </w:rPr>
      </w:pPr>
      <w:r w:rsidRPr="00346304">
        <w:rPr>
          <w:highlight w:val="yellow"/>
        </w:rPr>
        <w:t xml:space="preserve">È importante che la parte committente (AG o USR) </w:t>
      </w:r>
      <w:r w:rsidRPr="00346304">
        <w:rPr>
          <w:b/>
          <w:highlight w:val="yellow"/>
        </w:rPr>
        <w:t>riservi e assicuri sufficienti e adeguate risorse finanziarie e umane</w:t>
      </w:r>
      <w:r w:rsidRPr="00346304">
        <w:rPr>
          <w:highlight w:val="yellow"/>
        </w:rPr>
        <w:t xml:space="preserve"> (in termini di capacità e competenze del personale dell'autorità di gestione e dei valutatori, di dati e informazioni disponibili, ecc.) per lo svolgimento della valutazione e assegni un tempo sufficiente per il processo di valutazione e i suoi singoli passaggi. Prima di lanciare la gara, è altresì importante stabilire norme e procedure chiare per l'interazione tra il valutatore e gli organi di gestione responsabili. </w:t>
      </w:r>
    </w:p>
    <w:p w:rsidR="00675B1D" w:rsidRPr="00346304" w:rsidRDefault="00675B1D" w:rsidP="001413F0">
      <w:pPr>
        <w:pStyle w:val="HStandard"/>
        <w:rPr>
          <w:highlight w:val="yellow"/>
        </w:rPr>
      </w:pPr>
      <w:r w:rsidRPr="00346304">
        <w:rPr>
          <w:highlight w:val="yellow"/>
        </w:rPr>
        <w:t xml:space="preserve">Infine, la parte committente (AG o USR) deve scegliere </w:t>
      </w:r>
      <w:r w:rsidRPr="00346304">
        <w:rPr>
          <w:b/>
          <w:highlight w:val="yellow"/>
        </w:rPr>
        <w:t>la procedura di gara</w:t>
      </w:r>
      <w:r w:rsidRPr="00346304">
        <w:rPr>
          <w:highlight w:val="yellow"/>
        </w:rPr>
        <w:t>. Questa scelta dipende dalla specifica strategia adottata per incaricare il valutatore (procedura aperta singola, costituzione di un gruppo quadro, stipulazione di aggiudicazione diretta). In ogni caso, è fondamentale rispettare le procedure di gara in questione. Prima di avviare la gara d'appalto, è importante garantire che tutti gli aspetti legali relativi alla gara siano rispettati. Nel caso in cui l'autorità di gestione disponga di un contratto di valutazione a lungo termine con un valutatore, la valutazione della RRN deve essere menzionata nella gara iniziale e nel contratto affinché il valutatore in questione possa condurre la valutazione senza che si svolga una gara supplementare. In caso contrario, andrebbero seguite le procedure applicabili in materia di appalti pubblici.</w:t>
      </w:r>
    </w:p>
    <w:p w:rsidR="00675B1D" w:rsidRPr="00346304" w:rsidRDefault="00675B1D" w:rsidP="00D21174">
      <w:pPr>
        <w:pStyle w:val="HHeadingfigures"/>
        <w:ind w:left="0"/>
        <w:rPr>
          <w:highlight w:val="yellow"/>
        </w:rPr>
      </w:pPr>
      <w:bookmarkStart w:id="147" w:name="_Toc445465131"/>
      <w:bookmarkStart w:id="148" w:name="_Toc451781934"/>
      <w:bookmarkStart w:id="149" w:name="_Toc461616786"/>
      <w:r w:rsidRPr="00346304">
        <w:rPr>
          <w:highlight w:val="yellow"/>
        </w:rPr>
        <w:t>Responsabilità delle parti interessate nella preparazione della valutazione della RRN</w:t>
      </w:r>
      <w:bookmarkEnd w:id="147"/>
      <w:bookmarkEnd w:id="148"/>
      <w:bookmarkEnd w:id="149"/>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28"/>
        <w:gridCol w:w="1604"/>
        <w:gridCol w:w="1414"/>
        <w:gridCol w:w="1561"/>
        <w:gridCol w:w="1878"/>
        <w:gridCol w:w="1936"/>
      </w:tblGrid>
      <w:tr w:rsidR="00675B1D" w:rsidRPr="00346304" w:rsidTr="00D21174">
        <w:trPr>
          <w:trHeight w:val="497"/>
        </w:trPr>
        <w:tc>
          <w:tcPr>
            <w:tcW w:w="348" w:type="pct"/>
            <w:tcBorders>
              <w:top w:val="nil"/>
              <w:left w:val="nil"/>
              <w:bottom w:val="single" w:sz="4" w:space="0" w:color="000000" w:themeColor="text1"/>
            </w:tcBorders>
          </w:tcPr>
          <w:p w:rsidR="00675B1D" w:rsidRPr="00346304" w:rsidRDefault="00675B1D" w:rsidP="001413F0">
            <w:pPr>
              <w:jc w:val="center"/>
              <w:rPr>
                <w:rFonts w:cs="Arial"/>
                <w:b/>
                <w:szCs w:val="18"/>
                <w:highlight w:val="yellow"/>
              </w:rPr>
            </w:pPr>
          </w:p>
        </w:tc>
        <w:tc>
          <w:tcPr>
            <w:tcW w:w="889" w:type="pct"/>
            <w:shd w:val="clear" w:color="auto" w:fill="E7E6E6" w:themeFill="background2"/>
          </w:tcPr>
          <w:p w:rsidR="00675B1D" w:rsidRPr="00346304" w:rsidRDefault="00675B1D" w:rsidP="001413F0">
            <w:pPr>
              <w:jc w:val="center"/>
              <w:rPr>
                <w:rFonts w:cs="Arial"/>
                <w:b/>
                <w:color w:val="5B9BD5" w:themeColor="accent1"/>
                <w:szCs w:val="18"/>
                <w:highlight w:val="yellow"/>
              </w:rPr>
            </w:pPr>
            <w:r w:rsidRPr="00346304">
              <w:rPr>
                <w:b/>
                <w:color w:val="5B9BD5" w:themeColor="accent1"/>
                <w:highlight w:val="yellow"/>
              </w:rPr>
              <w:t>Azioni</w:t>
            </w:r>
          </w:p>
        </w:tc>
        <w:tc>
          <w:tcPr>
            <w:tcW w:w="3763" w:type="pct"/>
            <w:gridSpan w:val="4"/>
            <w:shd w:val="clear" w:color="auto" w:fill="E7E6E6" w:themeFill="background2"/>
          </w:tcPr>
          <w:p w:rsidR="00675B1D" w:rsidRPr="00346304" w:rsidRDefault="00675B1D" w:rsidP="001413F0">
            <w:pPr>
              <w:jc w:val="center"/>
              <w:rPr>
                <w:rFonts w:cs="Arial"/>
                <w:b/>
                <w:i/>
                <w:color w:val="5B9BD5" w:themeColor="accent1"/>
                <w:szCs w:val="18"/>
                <w:highlight w:val="yellow"/>
              </w:rPr>
            </w:pPr>
            <w:r w:rsidRPr="00346304">
              <w:rPr>
                <w:b/>
                <w:color w:val="5B9BD5" w:themeColor="accent1"/>
                <w:highlight w:val="yellow"/>
              </w:rPr>
              <w:t>Attori</w:t>
            </w:r>
          </w:p>
        </w:tc>
      </w:tr>
      <w:tr w:rsidR="00675B1D" w:rsidRPr="00346304" w:rsidTr="00D21174">
        <w:trPr>
          <w:cantSplit/>
          <w:trHeight w:val="1134"/>
        </w:trPr>
        <w:tc>
          <w:tcPr>
            <w:tcW w:w="348" w:type="pct"/>
            <w:shd w:val="clear" w:color="auto" w:fill="E7E6E6" w:themeFill="background2"/>
            <w:textDirection w:val="tbRl"/>
          </w:tcPr>
          <w:p w:rsidR="00675B1D" w:rsidRPr="00346304" w:rsidRDefault="00675B1D" w:rsidP="001413F0">
            <w:pPr>
              <w:jc w:val="center"/>
              <w:rPr>
                <w:rFonts w:cs="Arial"/>
                <w:b/>
                <w:color w:val="5B9BD5" w:themeColor="accent1"/>
                <w:szCs w:val="18"/>
                <w:highlight w:val="yellow"/>
              </w:rPr>
            </w:pPr>
            <w:r w:rsidRPr="00346304">
              <w:rPr>
                <w:b/>
                <w:color w:val="5B9BD5" w:themeColor="accent1"/>
                <w:highlight w:val="yellow"/>
              </w:rPr>
              <w:t>Fase</w:t>
            </w: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Passaggio</w:t>
            </w:r>
          </w:p>
        </w:tc>
        <w:tc>
          <w:tcPr>
            <w:tcW w:w="784" w:type="pct"/>
          </w:tcPr>
          <w:p w:rsidR="00675B1D" w:rsidRPr="00346304" w:rsidRDefault="00675B1D" w:rsidP="001413F0">
            <w:pPr>
              <w:rPr>
                <w:rFonts w:cs="Arial"/>
                <w:i/>
                <w:szCs w:val="18"/>
                <w:highlight w:val="yellow"/>
              </w:rPr>
            </w:pPr>
            <w:r w:rsidRPr="00346304">
              <w:rPr>
                <w:i/>
                <w:highlight w:val="yellow"/>
              </w:rPr>
              <w:t>Autorità di gestione</w:t>
            </w:r>
          </w:p>
        </w:tc>
        <w:tc>
          <w:tcPr>
            <w:tcW w:w="865" w:type="pct"/>
          </w:tcPr>
          <w:p w:rsidR="00675B1D" w:rsidRPr="00346304" w:rsidRDefault="00675B1D" w:rsidP="001413F0">
            <w:pPr>
              <w:rPr>
                <w:rFonts w:cs="Arial"/>
                <w:i/>
                <w:szCs w:val="18"/>
                <w:highlight w:val="yellow"/>
              </w:rPr>
            </w:pPr>
            <w:r w:rsidRPr="00346304">
              <w:rPr>
                <w:i/>
                <w:highlight w:val="yellow"/>
              </w:rPr>
              <w:t>Altre unità dell'autorità di gestione</w:t>
            </w:r>
          </w:p>
        </w:tc>
        <w:tc>
          <w:tcPr>
            <w:tcW w:w="1041" w:type="pct"/>
          </w:tcPr>
          <w:p w:rsidR="00675B1D" w:rsidRPr="00346304" w:rsidRDefault="00675B1D" w:rsidP="001413F0">
            <w:pPr>
              <w:rPr>
                <w:rFonts w:cs="Arial"/>
                <w:i/>
                <w:szCs w:val="18"/>
                <w:highlight w:val="yellow"/>
              </w:rPr>
            </w:pPr>
            <w:r w:rsidRPr="00346304">
              <w:rPr>
                <w:i/>
                <w:highlight w:val="yellow"/>
              </w:rPr>
              <w:t>USR</w:t>
            </w:r>
          </w:p>
        </w:tc>
        <w:tc>
          <w:tcPr>
            <w:tcW w:w="1073" w:type="pct"/>
          </w:tcPr>
          <w:p w:rsidR="00675B1D" w:rsidRPr="00346304" w:rsidRDefault="00675B1D" w:rsidP="001413F0">
            <w:pPr>
              <w:rPr>
                <w:rFonts w:cs="Arial"/>
                <w:i/>
                <w:szCs w:val="18"/>
                <w:highlight w:val="yellow"/>
              </w:rPr>
            </w:pPr>
            <w:r w:rsidRPr="00346304">
              <w:rPr>
                <w:i/>
                <w:highlight w:val="yellow"/>
              </w:rPr>
              <w:t>Altri</w:t>
            </w:r>
          </w:p>
        </w:tc>
      </w:tr>
      <w:tr w:rsidR="00675B1D" w:rsidRPr="00346304" w:rsidTr="00D21174">
        <w:tc>
          <w:tcPr>
            <w:tcW w:w="348" w:type="pct"/>
            <w:vMerge w:val="restart"/>
            <w:shd w:val="clear" w:color="auto" w:fill="E7E6E6" w:themeFill="background2"/>
            <w:textDirection w:val="tbRl"/>
          </w:tcPr>
          <w:p w:rsidR="00675B1D" w:rsidRPr="00346304" w:rsidRDefault="00675B1D" w:rsidP="001413F0">
            <w:pPr>
              <w:jc w:val="center"/>
              <w:rPr>
                <w:rFonts w:cs="Arial"/>
                <w:b/>
                <w:color w:val="5B9BD5" w:themeColor="accent1"/>
                <w:szCs w:val="18"/>
                <w:highlight w:val="yellow"/>
              </w:rPr>
            </w:pPr>
            <w:r w:rsidRPr="00346304">
              <w:rPr>
                <w:b/>
                <w:color w:val="5B9BD5" w:themeColor="accent1"/>
                <w:highlight w:val="yellow"/>
              </w:rPr>
              <w:t>Preparazione</w:t>
            </w: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Definizione logica di intervento</w:t>
            </w:r>
          </w:p>
        </w:tc>
        <w:tc>
          <w:tcPr>
            <w:tcW w:w="784" w:type="pct"/>
          </w:tcPr>
          <w:p w:rsidR="00675B1D" w:rsidRPr="00346304" w:rsidRDefault="00675B1D" w:rsidP="001413F0">
            <w:pPr>
              <w:rPr>
                <w:rFonts w:cs="Arial"/>
                <w:szCs w:val="18"/>
                <w:highlight w:val="yellow"/>
              </w:rPr>
            </w:pPr>
            <w:r w:rsidRPr="00346304">
              <w:rPr>
                <w:highlight w:val="yellow"/>
              </w:rPr>
              <w:t>Responsabile / partecipa</w:t>
            </w:r>
          </w:p>
        </w:tc>
        <w:tc>
          <w:tcPr>
            <w:tcW w:w="865" w:type="pct"/>
          </w:tcPr>
          <w:p w:rsidR="00675B1D" w:rsidRPr="00346304" w:rsidRDefault="00675B1D" w:rsidP="001413F0">
            <w:pPr>
              <w:rPr>
                <w:rFonts w:cs="Arial"/>
                <w:szCs w:val="18"/>
                <w:highlight w:val="yellow"/>
              </w:rPr>
            </w:pPr>
            <w:r w:rsidRPr="00346304">
              <w:rPr>
                <w:highlight w:val="yellow"/>
              </w:rPr>
              <w:t>Se esiste l'unità di valutazione, può assistere</w:t>
            </w:r>
          </w:p>
        </w:tc>
        <w:tc>
          <w:tcPr>
            <w:tcW w:w="1041" w:type="pct"/>
          </w:tcPr>
          <w:p w:rsidR="00675B1D" w:rsidRPr="00346304" w:rsidRDefault="00675B1D" w:rsidP="001413F0">
            <w:pPr>
              <w:rPr>
                <w:rFonts w:cs="Arial"/>
                <w:szCs w:val="18"/>
                <w:highlight w:val="yellow"/>
              </w:rPr>
            </w:pPr>
            <w:r w:rsidRPr="00346304">
              <w:rPr>
                <w:highlight w:val="yellow"/>
              </w:rPr>
              <w:t>Partecipa / responsabile</w:t>
            </w:r>
          </w:p>
        </w:tc>
        <w:tc>
          <w:tcPr>
            <w:tcW w:w="1073" w:type="pct"/>
          </w:tcPr>
          <w:p w:rsidR="00675B1D" w:rsidRPr="00346304" w:rsidRDefault="00675B1D" w:rsidP="001413F0">
            <w:pPr>
              <w:rPr>
                <w:rFonts w:cs="Arial"/>
                <w:szCs w:val="18"/>
                <w:highlight w:val="yellow"/>
              </w:rPr>
            </w:pPr>
          </w:p>
        </w:tc>
      </w:tr>
      <w:tr w:rsidR="00675B1D" w:rsidRPr="00346304" w:rsidTr="00D21174">
        <w:tc>
          <w:tcPr>
            <w:tcW w:w="348" w:type="pct"/>
            <w:vMerge/>
            <w:shd w:val="clear" w:color="auto" w:fill="E7E6E6" w:themeFill="background2"/>
            <w:textDirection w:val="tbRl"/>
          </w:tcPr>
          <w:p w:rsidR="00675B1D" w:rsidRPr="00346304" w:rsidRDefault="00675B1D" w:rsidP="00FC0A30">
            <w:pPr>
              <w:rPr>
                <w:rFonts w:cs="Arial"/>
                <w:b/>
                <w:szCs w:val="18"/>
                <w:highlight w:val="yellow"/>
              </w:rPr>
            </w:pP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Questionari valutativi e indicatori</w:t>
            </w:r>
          </w:p>
        </w:tc>
        <w:tc>
          <w:tcPr>
            <w:tcW w:w="784" w:type="pct"/>
          </w:tcPr>
          <w:p w:rsidR="00675B1D" w:rsidRPr="00346304" w:rsidRDefault="00675B1D" w:rsidP="001413F0">
            <w:pPr>
              <w:rPr>
                <w:rFonts w:cs="Arial"/>
                <w:szCs w:val="18"/>
                <w:highlight w:val="yellow"/>
              </w:rPr>
            </w:pPr>
            <w:r w:rsidRPr="00346304">
              <w:rPr>
                <w:highlight w:val="yellow"/>
              </w:rPr>
              <w:t>Responsabile / partecipa</w:t>
            </w:r>
          </w:p>
        </w:tc>
        <w:tc>
          <w:tcPr>
            <w:tcW w:w="865" w:type="pct"/>
          </w:tcPr>
          <w:p w:rsidR="00675B1D" w:rsidRPr="00346304" w:rsidRDefault="00675B1D" w:rsidP="001413F0">
            <w:pPr>
              <w:rPr>
                <w:rFonts w:cs="Arial"/>
                <w:szCs w:val="18"/>
                <w:highlight w:val="yellow"/>
              </w:rPr>
            </w:pPr>
            <w:r w:rsidRPr="00346304">
              <w:rPr>
                <w:highlight w:val="yellow"/>
              </w:rPr>
              <w:t>Se esiste l'unità di valutazione, può assistere</w:t>
            </w:r>
          </w:p>
        </w:tc>
        <w:tc>
          <w:tcPr>
            <w:tcW w:w="1041" w:type="pct"/>
          </w:tcPr>
          <w:p w:rsidR="00675B1D" w:rsidRPr="00346304" w:rsidRDefault="00675B1D" w:rsidP="001413F0">
            <w:pPr>
              <w:rPr>
                <w:rFonts w:cs="Arial"/>
                <w:szCs w:val="18"/>
                <w:highlight w:val="yellow"/>
              </w:rPr>
            </w:pPr>
            <w:r w:rsidRPr="00346304">
              <w:rPr>
                <w:highlight w:val="yellow"/>
              </w:rPr>
              <w:t>Partecipa / responsabile</w:t>
            </w:r>
          </w:p>
        </w:tc>
        <w:tc>
          <w:tcPr>
            <w:tcW w:w="1073" w:type="pct"/>
          </w:tcPr>
          <w:p w:rsidR="00675B1D" w:rsidRPr="00346304" w:rsidRDefault="00675B1D" w:rsidP="001413F0">
            <w:pPr>
              <w:rPr>
                <w:rFonts w:cs="Arial"/>
                <w:szCs w:val="18"/>
                <w:highlight w:val="yellow"/>
              </w:rPr>
            </w:pPr>
            <w:r w:rsidRPr="00346304">
              <w:rPr>
                <w:highlight w:val="yellow"/>
              </w:rPr>
              <w:t>Il gruppo direttivo eventualmente presente partecipa</w:t>
            </w:r>
          </w:p>
        </w:tc>
      </w:tr>
      <w:tr w:rsidR="00675B1D" w:rsidRPr="00346304" w:rsidTr="00D21174">
        <w:tc>
          <w:tcPr>
            <w:tcW w:w="348" w:type="pct"/>
            <w:vMerge/>
            <w:shd w:val="clear" w:color="auto" w:fill="E7E6E6" w:themeFill="background2"/>
            <w:textDirection w:val="tbRl"/>
          </w:tcPr>
          <w:p w:rsidR="00675B1D" w:rsidRPr="00346304" w:rsidRDefault="00675B1D" w:rsidP="00FC0A30">
            <w:pPr>
              <w:rPr>
                <w:rFonts w:cs="Arial"/>
                <w:b/>
                <w:szCs w:val="18"/>
                <w:highlight w:val="yellow"/>
              </w:rPr>
            </w:pP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Strategia di valutazione</w:t>
            </w:r>
          </w:p>
        </w:tc>
        <w:tc>
          <w:tcPr>
            <w:tcW w:w="784" w:type="pct"/>
          </w:tcPr>
          <w:p w:rsidR="00675B1D" w:rsidRPr="00346304" w:rsidRDefault="00675B1D" w:rsidP="001413F0">
            <w:pPr>
              <w:rPr>
                <w:rFonts w:cs="Arial"/>
                <w:szCs w:val="18"/>
                <w:highlight w:val="yellow"/>
              </w:rPr>
            </w:pPr>
            <w:r w:rsidRPr="00346304">
              <w:rPr>
                <w:highlight w:val="yellow"/>
              </w:rPr>
              <w:t>Responsabile / partecipa</w:t>
            </w:r>
          </w:p>
        </w:tc>
        <w:tc>
          <w:tcPr>
            <w:tcW w:w="865" w:type="pct"/>
          </w:tcPr>
          <w:p w:rsidR="00675B1D" w:rsidRPr="00346304" w:rsidRDefault="00675B1D" w:rsidP="001413F0">
            <w:pPr>
              <w:rPr>
                <w:rFonts w:cs="Arial"/>
                <w:szCs w:val="18"/>
                <w:highlight w:val="yellow"/>
              </w:rPr>
            </w:pPr>
            <w:r w:rsidRPr="00346304">
              <w:rPr>
                <w:highlight w:val="yellow"/>
              </w:rPr>
              <w:t>Se esiste l'unità di valutazione, può assistere</w:t>
            </w:r>
          </w:p>
        </w:tc>
        <w:tc>
          <w:tcPr>
            <w:tcW w:w="1041" w:type="pct"/>
          </w:tcPr>
          <w:p w:rsidR="00675B1D" w:rsidRPr="00346304" w:rsidRDefault="00675B1D" w:rsidP="001413F0">
            <w:pPr>
              <w:rPr>
                <w:rFonts w:cs="Arial"/>
                <w:szCs w:val="18"/>
                <w:highlight w:val="yellow"/>
              </w:rPr>
            </w:pPr>
            <w:r w:rsidRPr="00346304">
              <w:rPr>
                <w:highlight w:val="yellow"/>
              </w:rPr>
              <w:t>Partecipa / responsabile</w:t>
            </w:r>
          </w:p>
        </w:tc>
        <w:tc>
          <w:tcPr>
            <w:tcW w:w="1073" w:type="pct"/>
          </w:tcPr>
          <w:p w:rsidR="00675B1D" w:rsidRPr="00346304" w:rsidRDefault="00675B1D" w:rsidP="001413F0">
            <w:pPr>
              <w:rPr>
                <w:rFonts w:cs="Arial"/>
                <w:szCs w:val="18"/>
                <w:highlight w:val="yellow"/>
              </w:rPr>
            </w:pPr>
            <w:r w:rsidRPr="00346304">
              <w:rPr>
                <w:highlight w:val="yellow"/>
              </w:rPr>
              <w:t>Il gruppo direttivo eventualmente presente partecipa</w:t>
            </w:r>
          </w:p>
        </w:tc>
      </w:tr>
      <w:tr w:rsidR="00675B1D" w:rsidRPr="00346304" w:rsidTr="00D21174">
        <w:tc>
          <w:tcPr>
            <w:tcW w:w="348" w:type="pct"/>
            <w:vMerge/>
            <w:shd w:val="clear" w:color="auto" w:fill="E7E6E6" w:themeFill="background2"/>
            <w:textDirection w:val="tbRl"/>
          </w:tcPr>
          <w:p w:rsidR="00675B1D" w:rsidRPr="00346304" w:rsidRDefault="00675B1D" w:rsidP="00FC0A30">
            <w:pPr>
              <w:rPr>
                <w:rFonts w:cs="Arial"/>
                <w:b/>
                <w:szCs w:val="18"/>
                <w:highlight w:val="yellow"/>
              </w:rPr>
            </w:pP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Vaglio delle fonti di dati e informazioni</w:t>
            </w:r>
          </w:p>
        </w:tc>
        <w:tc>
          <w:tcPr>
            <w:tcW w:w="784" w:type="pct"/>
          </w:tcPr>
          <w:p w:rsidR="00675B1D" w:rsidRPr="00346304" w:rsidRDefault="00675B1D" w:rsidP="001413F0">
            <w:pPr>
              <w:rPr>
                <w:rFonts w:cs="Arial"/>
                <w:szCs w:val="18"/>
                <w:highlight w:val="yellow"/>
              </w:rPr>
            </w:pPr>
            <w:r w:rsidRPr="00346304">
              <w:rPr>
                <w:highlight w:val="yellow"/>
              </w:rPr>
              <w:t>Responsabile / partecipa</w:t>
            </w:r>
          </w:p>
        </w:tc>
        <w:tc>
          <w:tcPr>
            <w:tcW w:w="865" w:type="pct"/>
          </w:tcPr>
          <w:p w:rsidR="00675B1D" w:rsidRPr="00346304" w:rsidRDefault="00675B1D" w:rsidP="001413F0">
            <w:pPr>
              <w:rPr>
                <w:rFonts w:cs="Arial"/>
                <w:szCs w:val="18"/>
                <w:highlight w:val="yellow"/>
              </w:rPr>
            </w:pPr>
            <w:r w:rsidRPr="00346304">
              <w:rPr>
                <w:highlight w:val="yellow"/>
              </w:rPr>
              <w:t>Se esiste l'unità di valutazione, può assistere</w:t>
            </w:r>
          </w:p>
        </w:tc>
        <w:tc>
          <w:tcPr>
            <w:tcW w:w="1041" w:type="pct"/>
          </w:tcPr>
          <w:p w:rsidR="00675B1D" w:rsidRPr="00346304" w:rsidRDefault="00675B1D" w:rsidP="001413F0">
            <w:pPr>
              <w:rPr>
                <w:rFonts w:cs="Arial"/>
                <w:szCs w:val="18"/>
                <w:highlight w:val="yellow"/>
              </w:rPr>
            </w:pPr>
            <w:r w:rsidRPr="00346304">
              <w:rPr>
                <w:highlight w:val="yellow"/>
              </w:rPr>
              <w:t>Partecipa / responsabile, vaglia i dati e le informazioni dell'USR</w:t>
            </w:r>
          </w:p>
        </w:tc>
        <w:tc>
          <w:tcPr>
            <w:tcW w:w="1073" w:type="pct"/>
          </w:tcPr>
          <w:p w:rsidR="00675B1D" w:rsidRPr="00346304" w:rsidRDefault="00675B1D" w:rsidP="001413F0">
            <w:pPr>
              <w:rPr>
                <w:rFonts w:cs="Arial"/>
                <w:szCs w:val="18"/>
                <w:highlight w:val="yellow"/>
              </w:rPr>
            </w:pPr>
            <w:r w:rsidRPr="00346304">
              <w:rPr>
                <w:highlight w:val="yellow"/>
              </w:rPr>
              <w:t>L'organismo pagatore fornisce dati</w:t>
            </w:r>
          </w:p>
        </w:tc>
      </w:tr>
      <w:tr w:rsidR="00675B1D" w:rsidRPr="00346304" w:rsidTr="00D21174">
        <w:tc>
          <w:tcPr>
            <w:tcW w:w="348" w:type="pct"/>
            <w:vMerge/>
            <w:shd w:val="clear" w:color="auto" w:fill="E7E6E6" w:themeFill="background2"/>
            <w:textDirection w:val="tbRl"/>
          </w:tcPr>
          <w:p w:rsidR="00675B1D" w:rsidRPr="00346304" w:rsidRDefault="00675B1D" w:rsidP="00FC0A30">
            <w:pPr>
              <w:rPr>
                <w:rFonts w:cs="Arial"/>
                <w:b/>
                <w:szCs w:val="18"/>
                <w:highlight w:val="yellow"/>
              </w:rPr>
            </w:pPr>
          </w:p>
        </w:tc>
        <w:tc>
          <w:tcPr>
            <w:tcW w:w="889" w:type="pct"/>
          </w:tcPr>
          <w:p w:rsidR="00675B1D" w:rsidRPr="00346304" w:rsidRDefault="00675B1D" w:rsidP="001413F0">
            <w:pPr>
              <w:rPr>
                <w:rFonts w:cs="Arial"/>
                <w:b/>
                <w:color w:val="E7E6E6" w:themeColor="background2"/>
                <w:szCs w:val="18"/>
                <w:highlight w:val="yellow"/>
              </w:rPr>
            </w:pPr>
            <w:r w:rsidRPr="00346304">
              <w:rPr>
                <w:b/>
                <w:color w:val="E7E6E6" w:themeColor="background2"/>
                <w:highlight w:val="yellow"/>
              </w:rPr>
              <w:t>Gara e selezione del valutatore</w:t>
            </w:r>
          </w:p>
        </w:tc>
        <w:tc>
          <w:tcPr>
            <w:tcW w:w="784" w:type="pct"/>
          </w:tcPr>
          <w:p w:rsidR="00675B1D" w:rsidRPr="00346304" w:rsidRDefault="00675B1D" w:rsidP="001413F0">
            <w:pPr>
              <w:rPr>
                <w:rFonts w:cs="Arial"/>
                <w:szCs w:val="18"/>
                <w:highlight w:val="yellow"/>
              </w:rPr>
            </w:pPr>
            <w:r w:rsidRPr="00346304">
              <w:rPr>
                <w:highlight w:val="yellow"/>
              </w:rPr>
              <w:t>Responsabile / partecipa</w:t>
            </w:r>
          </w:p>
        </w:tc>
        <w:tc>
          <w:tcPr>
            <w:tcW w:w="865" w:type="pct"/>
          </w:tcPr>
          <w:p w:rsidR="00675B1D" w:rsidRPr="00346304" w:rsidRDefault="00675B1D" w:rsidP="001413F0">
            <w:pPr>
              <w:rPr>
                <w:rFonts w:cs="Arial"/>
                <w:szCs w:val="18"/>
                <w:highlight w:val="yellow"/>
              </w:rPr>
            </w:pPr>
            <w:r w:rsidRPr="00346304">
              <w:rPr>
                <w:highlight w:val="yellow"/>
              </w:rPr>
              <w:t>Se esiste l'unità di valutazione, può assistere</w:t>
            </w:r>
          </w:p>
        </w:tc>
        <w:tc>
          <w:tcPr>
            <w:tcW w:w="1041" w:type="pct"/>
          </w:tcPr>
          <w:p w:rsidR="00675B1D" w:rsidRPr="00346304" w:rsidRDefault="00675B1D" w:rsidP="001413F0">
            <w:pPr>
              <w:rPr>
                <w:rFonts w:cs="Arial"/>
                <w:szCs w:val="18"/>
                <w:highlight w:val="yellow"/>
              </w:rPr>
            </w:pPr>
            <w:r w:rsidRPr="00346304">
              <w:rPr>
                <w:highlight w:val="yellow"/>
              </w:rPr>
              <w:t>Partecipa / responsabile</w:t>
            </w:r>
          </w:p>
        </w:tc>
        <w:tc>
          <w:tcPr>
            <w:tcW w:w="1073" w:type="pct"/>
          </w:tcPr>
          <w:p w:rsidR="00675B1D" w:rsidRPr="00346304" w:rsidRDefault="00675B1D" w:rsidP="001413F0">
            <w:pPr>
              <w:rPr>
                <w:rFonts w:cs="Arial"/>
                <w:szCs w:val="18"/>
                <w:highlight w:val="yellow"/>
              </w:rPr>
            </w:pPr>
            <w:r w:rsidRPr="00346304">
              <w:rPr>
                <w:highlight w:val="yellow"/>
              </w:rPr>
              <w:t>Il gruppo direttivo eventualmente presente fornisce sostegno</w:t>
            </w:r>
          </w:p>
        </w:tc>
      </w:tr>
    </w:tbl>
    <w:p w:rsidR="00675B1D" w:rsidRPr="00346304" w:rsidRDefault="00675B1D" w:rsidP="001B4E97">
      <w:pPr>
        <w:pStyle w:val="HHeading3"/>
        <w:rPr>
          <w:highlight w:val="yellow"/>
        </w:rPr>
      </w:pPr>
      <w:r w:rsidRPr="00346304">
        <w:rPr>
          <w:highlight w:val="yellow"/>
        </w:rPr>
        <w:t xml:space="preserve"> </w:t>
      </w:r>
      <w:bookmarkStart w:id="150" w:name="_Toc453079761"/>
      <w:bookmarkStart w:id="151" w:name="_Toc461616645"/>
      <w:r w:rsidRPr="00346304">
        <w:rPr>
          <w:highlight w:val="yellow"/>
        </w:rPr>
        <w:t>Attuare la valutazione</w:t>
      </w:r>
      <w:bookmarkEnd w:id="150"/>
      <w:bookmarkEnd w:id="151"/>
    </w:p>
    <w:p w:rsidR="00675B1D" w:rsidRPr="00346304" w:rsidRDefault="00675B1D" w:rsidP="006D3475">
      <w:pPr>
        <w:pStyle w:val="HHeading5"/>
        <w:rPr>
          <w:highlight w:val="yellow"/>
        </w:rPr>
      </w:pPr>
      <w:r w:rsidRPr="00346304">
        <w:rPr>
          <w:highlight w:val="yellow"/>
        </w:rPr>
        <w:t>Passaggio 1 - Condurre la valutazione</w:t>
      </w:r>
    </w:p>
    <w:p w:rsidR="00675B1D" w:rsidRPr="00346304" w:rsidRDefault="00675B1D" w:rsidP="001B4E97">
      <w:pPr>
        <w:pStyle w:val="HStandard"/>
        <w:rPr>
          <w:highlight w:val="yellow"/>
        </w:rPr>
      </w:pPr>
      <w:r w:rsidRPr="00346304">
        <w:rPr>
          <w:highlight w:val="yellow"/>
        </w:rPr>
        <w:t xml:space="preserve">Dopo la gara d'appalto, il contratto di valutazione viene aggiudicato e il valutatore può iniziare a lavorare. Anche in questa fase la maggior parte del lavoro è svolta dal valutatore, la parte committente (AG o USR) e il gruppo direttivo di valutazione, se costituito, dovrebbero sostenerlo (ad esempio, consentendogli l'accesso a tutti i dati e a tutte le informazioni esistenti, informando le parti interessate in merito al valutatore selezionato e invitandolo alle riunioni pertinenti) al fine di garantire una valutazione di buona qualità in tutte le sue fasi attraverso il mantenimento di una comunicazione aperta e frequente, fornendo osservazioni sulle relazioni e agevolando l'accesso ai dati e agli intervistati. </w:t>
      </w:r>
    </w:p>
    <w:p w:rsidR="00675B1D" w:rsidRPr="00346304" w:rsidRDefault="00675B1D" w:rsidP="001B4E97">
      <w:pPr>
        <w:pStyle w:val="HStandard"/>
        <w:rPr>
          <w:highlight w:val="yellow"/>
        </w:rPr>
      </w:pPr>
      <w:r w:rsidRPr="00346304">
        <w:rPr>
          <w:highlight w:val="yellow"/>
        </w:rPr>
        <w:t>L'autorità di gestione, l'organismo pagatore, gli organismi intermedi, i GAL, gli altri membri della rete e i beneficiari svolgono un ruolo importante nella fase di osservazione in quanto consentono al valutatore l'accesso ai dati e alle informazioni. A questo proposito, è importante assicurare che i moduli di domanda provenienti dai beneficiari presentino dichiarazioni di autorizzazione corrette in termini di consenso all'utilizzo dei dati personali a fini di ricerca e analitici, in modo da garantire che i dati siano disponibili per la valutazione. Questo aspetto deve essere pianificato fin dall'inizio del periodo di attuazione del programma</w:t>
      </w:r>
      <w:r w:rsidRPr="00346304">
        <w:rPr>
          <w:rStyle w:val="FootnoteReference"/>
          <w:highlight w:val="yellow"/>
        </w:rPr>
        <w:footnoteReference w:id="83"/>
      </w:r>
      <w:r w:rsidRPr="00346304">
        <w:rPr>
          <w:highlight w:val="yellow"/>
        </w:rPr>
        <w:t xml:space="preserve">. </w:t>
      </w:r>
    </w:p>
    <w:p w:rsidR="00675B1D" w:rsidRPr="00346304" w:rsidRDefault="00675B1D" w:rsidP="001B4E97">
      <w:pPr>
        <w:pStyle w:val="HStandard"/>
        <w:rPr>
          <w:highlight w:val="yellow"/>
        </w:rPr>
      </w:pPr>
      <w:r w:rsidRPr="00346304">
        <w:rPr>
          <w:highlight w:val="yellow"/>
        </w:rPr>
        <w:t xml:space="preserve">La valutazione è in genere condotta in quattro fasi: strutturazione, osservazione, analisi e giudizio. </w:t>
      </w:r>
    </w:p>
    <w:p w:rsidR="00675B1D" w:rsidRPr="00346304" w:rsidRDefault="00675B1D" w:rsidP="001B4E97">
      <w:pPr>
        <w:pStyle w:val="HStandard"/>
        <w:rPr>
          <w:highlight w:val="yellow"/>
        </w:rPr>
      </w:pPr>
      <w:r w:rsidRPr="00346304">
        <w:rPr>
          <w:highlight w:val="yellow"/>
        </w:rPr>
        <w:t xml:space="preserve">Nella </w:t>
      </w:r>
      <w:r w:rsidRPr="00346304">
        <w:rPr>
          <w:b/>
          <w:highlight w:val="yellow"/>
        </w:rPr>
        <w:t>fase di strutturazione</w:t>
      </w:r>
      <w:r w:rsidRPr="00346304">
        <w:rPr>
          <w:highlight w:val="yellow"/>
        </w:rPr>
        <w:t>, il valutatore esamina i documenti e chiarisce il compito da svolgere. Alla fine di questa fase, il valutatore dovrebbe disporre di una chiara comprensione della RRN in questione, della sua logica di intervento, dei suoi membri e delle sue attività, nonché dei questionari valutativi, degli indicatori e dei compiti di valutazione correlati. Il primo compito del valutatore durante la fase di strutturazione è quello di esaminare la logica di intervento e valutare la coerenza delle domande di valutazione rispetto a obiettivi e indicatori, eventualmente suggerendone di aggiuntivi basati su giustificati motivi. Anche i metodi e gli strumenti utilizzati per la valutazione vengono creati in questa fase e tutte le fonti di dati e informazione esistenti sono note e accessibili al valutatore. Inoltre, il valutatore dovrebbe essere consapevole di quali dati e informazioni supplementari egli deve ulteriormente raccogliere. Si raccomanda di produrre una «relazione iniziale» in questa fase che definisca nel dettaglio il piano di lavoro, la valutazione dei rischi, anche facendo ricorso a eventuali strumenti di lavoro sul campo.</w:t>
      </w:r>
    </w:p>
    <w:p w:rsidR="00675B1D" w:rsidRPr="00346304" w:rsidRDefault="00675B1D" w:rsidP="001B4E97">
      <w:pPr>
        <w:pStyle w:val="HStandard"/>
        <w:rPr>
          <w:highlight w:val="yellow"/>
        </w:rPr>
      </w:pPr>
      <w:r w:rsidRPr="00346304">
        <w:rPr>
          <w:highlight w:val="yellow"/>
        </w:rPr>
        <w:lastRenderedPageBreak/>
        <w:t xml:space="preserve">La </w:t>
      </w:r>
      <w:r w:rsidRPr="00346304">
        <w:rPr>
          <w:b/>
          <w:highlight w:val="yellow"/>
        </w:rPr>
        <w:t>fase di osservazione</w:t>
      </w:r>
      <w:r w:rsidRPr="00346304">
        <w:rPr>
          <w:highlight w:val="yellow"/>
        </w:rPr>
        <w:t xml:space="preserve"> si occupa della raccolta di informazioni e dati. Tutte le informazioni e i dati pertinenti sono raccolti da varie fonti, come strumenti e tecniche di monitoraggio della RRN e del valutatore (questionari, indagini, interviste, gruppi specifici di discussione, studi di casi, ecc.). Data la prevalenza dei metodi qualitativi nelle valutazioni delle RRN, questa fase richiederà notevoli risorse.</w:t>
      </w:r>
    </w:p>
    <w:p w:rsidR="00675B1D" w:rsidRPr="00346304" w:rsidRDefault="00675B1D" w:rsidP="001B4E97">
      <w:pPr>
        <w:pStyle w:val="HStandard"/>
        <w:rPr>
          <w:highlight w:val="yellow"/>
        </w:rPr>
      </w:pPr>
      <w:r w:rsidRPr="00346304">
        <w:rPr>
          <w:highlight w:val="yellow"/>
        </w:rPr>
        <w:t xml:space="preserve">Nella </w:t>
      </w:r>
      <w:r w:rsidRPr="00346304">
        <w:rPr>
          <w:b/>
          <w:highlight w:val="yellow"/>
        </w:rPr>
        <w:t>fase di analisi</w:t>
      </w:r>
      <w:r w:rsidRPr="00346304">
        <w:rPr>
          <w:highlight w:val="yellow"/>
        </w:rPr>
        <w:t>, tutte le informazioni disponibili vengono elaborate e sintetizzate in modo sistematico in linea con la strategia e il metodo di valutazione selezionati. L'obiettivo è quello di utilizzare diversi tipi di tecniche di valutazione per triangolare i risultati della valutazione.</w:t>
      </w:r>
    </w:p>
    <w:p w:rsidR="00675B1D" w:rsidRPr="00346304" w:rsidRDefault="00675B1D" w:rsidP="001B4E97">
      <w:pPr>
        <w:pStyle w:val="HStandard"/>
        <w:rPr>
          <w:highlight w:val="yellow"/>
        </w:rPr>
      </w:pPr>
      <w:r w:rsidRPr="00346304">
        <w:rPr>
          <w:highlight w:val="yellow"/>
        </w:rPr>
        <w:t xml:space="preserve">Nella fase finale della valutazione, la </w:t>
      </w:r>
      <w:r w:rsidRPr="00346304">
        <w:rPr>
          <w:b/>
          <w:highlight w:val="yellow"/>
        </w:rPr>
        <w:t>fase di giudizio</w:t>
      </w:r>
      <w:r w:rsidRPr="00346304">
        <w:rPr>
          <w:highlight w:val="yellow"/>
        </w:rPr>
        <w:t>, il valutatore sviluppa le risposte ai questionari valutativi e trae conclusioni e raccomandazioni basate sulle prove</w:t>
      </w:r>
      <w:r w:rsidRPr="00346304">
        <w:rPr>
          <w:rStyle w:val="FootnoteReference"/>
          <w:highlight w:val="yellow"/>
        </w:rPr>
        <w:footnoteReference w:id="84"/>
      </w:r>
      <w:r w:rsidRPr="00346304">
        <w:rPr>
          <w:highlight w:val="yellow"/>
        </w:rPr>
        <w:t xml:space="preserve">. </w:t>
      </w:r>
    </w:p>
    <w:p w:rsidR="00675B1D" w:rsidRPr="00346304" w:rsidRDefault="00675B1D" w:rsidP="001B4E97">
      <w:pPr>
        <w:pStyle w:val="HStandard"/>
        <w:rPr>
          <w:highlight w:val="yellow"/>
        </w:rPr>
      </w:pPr>
      <w:r w:rsidRPr="00346304">
        <w:rPr>
          <w:highlight w:val="yellow"/>
        </w:rPr>
        <w:t xml:space="preserve">La </w:t>
      </w:r>
      <w:r w:rsidRPr="00346304">
        <w:rPr>
          <w:b/>
          <w:color w:val="E7E6E6" w:themeColor="background2"/>
          <w:highlight w:val="yellow"/>
        </w:rPr>
        <w:t>PARTE II</w:t>
      </w:r>
      <w:r w:rsidRPr="00346304">
        <w:rPr>
          <w:highlight w:val="yellow"/>
        </w:rPr>
        <w:t xml:space="preserve"> delle presenti linee guida descrive in dettaglio le fasi e i passaggi coinvolti nella conduzione della valutazione.</w:t>
      </w:r>
    </w:p>
    <w:p w:rsidR="00675B1D" w:rsidRPr="00346304" w:rsidRDefault="00675B1D" w:rsidP="006D3475">
      <w:pPr>
        <w:pStyle w:val="HHeading5"/>
        <w:rPr>
          <w:highlight w:val="yellow"/>
        </w:rPr>
      </w:pPr>
      <w:r w:rsidRPr="00346304">
        <w:rPr>
          <w:highlight w:val="yellow"/>
        </w:rPr>
        <w:t>Passaggio 2 - Garanzia della qualità e avanzamento della valutazione</w:t>
      </w:r>
    </w:p>
    <w:p w:rsidR="00675B1D" w:rsidRPr="00346304" w:rsidRDefault="00675B1D" w:rsidP="001B4E97">
      <w:pPr>
        <w:pStyle w:val="HStandard"/>
        <w:rPr>
          <w:highlight w:val="yellow"/>
        </w:rPr>
      </w:pPr>
      <w:r w:rsidRPr="00346304">
        <w:rPr>
          <w:highlight w:val="yellow"/>
        </w:rPr>
        <w:t xml:space="preserve">Più sono numerose le valutazioni, più importante è per la parte committente (AG o USR) istituire un sistema di garanzia e controllo della qualità. Mentre la garanzia della qualità si concentra sul processo, sforzandosi di assicurare che le cose vengano fatte nel modo giusto, il controllo della qualità si concentra sui prodotti.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346304" w:rsidTr="001413F0">
        <w:tc>
          <w:tcPr>
            <w:tcW w:w="9016" w:type="dxa"/>
            <w:shd w:val="clear" w:color="auto" w:fill="F5F4F4" w:themeFill="background2" w:themeFillTint="66"/>
          </w:tcPr>
          <w:p w:rsidR="00675B1D" w:rsidRPr="00346304" w:rsidRDefault="00675B1D" w:rsidP="006A3E94">
            <w:pPr>
              <w:pStyle w:val="HStandard"/>
              <w:rPr>
                <w:highlight w:val="yellow"/>
              </w:rPr>
            </w:pPr>
            <w:r w:rsidRPr="00346304">
              <w:rPr>
                <w:highlight w:val="yellow"/>
              </w:rPr>
              <w:t>Le principali domande relative ala garanzia della qualità e all'avanzamento della valutazione sono le seguenti:</w:t>
            </w:r>
          </w:p>
          <w:p w:rsidR="00675B1D" w:rsidRPr="00346304" w:rsidRDefault="00675B1D" w:rsidP="00675B1D">
            <w:pPr>
              <w:pStyle w:val="Hlistbullet"/>
              <w:rPr>
                <w:highlight w:val="yellow"/>
              </w:rPr>
            </w:pPr>
            <w:r w:rsidRPr="00346304">
              <w:rPr>
                <w:highlight w:val="yellow"/>
              </w:rPr>
              <w:t>quali sono gli standard di qualità per la gestione della valutazione e il lavoro con il valutatore?</w:t>
            </w:r>
          </w:p>
          <w:p w:rsidR="00675B1D" w:rsidRPr="00346304" w:rsidRDefault="00675B1D" w:rsidP="00675B1D">
            <w:pPr>
              <w:pStyle w:val="Hlistbullet"/>
              <w:rPr>
                <w:highlight w:val="yellow"/>
              </w:rPr>
            </w:pPr>
            <w:r>
              <w:rPr>
                <w:highlight w:val="yellow"/>
              </w:rPr>
              <w:t>I</w:t>
            </w:r>
            <w:r w:rsidRPr="00346304">
              <w:rPr>
                <w:highlight w:val="yellow"/>
              </w:rPr>
              <w:t xml:space="preserve"> risultati attesi concordati vengono presentati in tempo?</w:t>
            </w:r>
          </w:p>
          <w:p w:rsidR="00675B1D" w:rsidRPr="00346304" w:rsidRDefault="00675B1D" w:rsidP="00675B1D">
            <w:pPr>
              <w:pStyle w:val="Hlistbullet"/>
              <w:rPr>
                <w:highlight w:val="yellow"/>
              </w:rPr>
            </w:pPr>
            <w:r>
              <w:rPr>
                <w:highlight w:val="yellow"/>
              </w:rPr>
              <w:t>I</w:t>
            </w:r>
            <w:r w:rsidRPr="00346304">
              <w:rPr>
                <w:highlight w:val="yellow"/>
              </w:rPr>
              <w:t xml:space="preserve"> risultati attesi sono di buona qualità? quali sono gli standard di qualità per la valutazione? </w:t>
            </w:r>
          </w:p>
          <w:p w:rsidR="00675B1D" w:rsidRPr="00346304" w:rsidRDefault="00675B1D" w:rsidP="00675B1D">
            <w:pPr>
              <w:pStyle w:val="Hlistbullet"/>
              <w:rPr>
                <w:highlight w:val="yellow"/>
              </w:rPr>
            </w:pPr>
            <w:r>
              <w:rPr>
                <w:highlight w:val="yellow"/>
              </w:rPr>
              <w:t>C</w:t>
            </w:r>
            <w:r w:rsidRPr="00346304">
              <w:rPr>
                <w:highlight w:val="yellow"/>
              </w:rPr>
              <w:t>he cosa si potrebbe fare per migliorare i risultati attesi?</w:t>
            </w:r>
          </w:p>
          <w:p w:rsidR="00675B1D" w:rsidRPr="00346304" w:rsidRDefault="00675B1D" w:rsidP="00675B1D">
            <w:pPr>
              <w:pStyle w:val="Hlistbullet2"/>
              <w:rPr>
                <w:highlight w:val="yellow"/>
              </w:rPr>
            </w:pPr>
            <w:r>
              <w:rPr>
                <w:highlight w:val="yellow"/>
              </w:rPr>
              <w:t>I</w:t>
            </w:r>
            <w:r w:rsidRPr="00346304">
              <w:rPr>
                <w:highlight w:val="yellow"/>
              </w:rPr>
              <w:t>l valutatore prende in considerazione il riscontro ricevuto?</w:t>
            </w:r>
          </w:p>
        </w:tc>
      </w:tr>
    </w:tbl>
    <w:p w:rsidR="00675B1D" w:rsidRPr="00346304" w:rsidRDefault="00675B1D" w:rsidP="00352793">
      <w:pPr>
        <w:pStyle w:val="HStandard"/>
        <w:rPr>
          <w:highlight w:val="yellow"/>
        </w:rPr>
      </w:pPr>
      <w:r w:rsidRPr="00346304">
        <w:rPr>
          <w:highlight w:val="yellow"/>
        </w:rPr>
        <w:t>Il gruppo direttivo di valutazione, se istituito, monitora i progressi compiuti nella valutazione. Qualora non esista un gruppo direttivo, questo compito spetta alla parte committente. Diverse relazioni (come la relazione iniziale, la relazione intermedia o le relazioni intermedie, il progetto di relazione finale, e la relazione finale) specificate nel capitolato d'oneri devono essere presentate dal valutatore nelle fasi principali del processo di valutazione. Tali relazioni dovrebbero essere analizzate dal gruppo direttivo di valutazione e dalla parte committente, preferibilmente utilizzando griglie/liste di controllo per il controllo della qualità specificamente elaborate. Gli strumenti di garanzia della qualità tipicamente utilizzati nel processo di valutazione comprendono liste di controllo, elenchi di contenuti, mappe di processo generali e dettagliate e diversi tipi di piani</w:t>
      </w:r>
      <w:r w:rsidRPr="00346304">
        <w:rPr>
          <w:rStyle w:val="FootnoteReference"/>
          <w:highlight w:val="yellow"/>
        </w:rPr>
        <w:footnoteReference w:id="85"/>
      </w:r>
      <w:r w:rsidRPr="00346304">
        <w:rPr>
          <w:highlight w:val="yellow"/>
        </w:rPr>
        <w:t>. Il controllo della qualità, invece, viene solitamente svolto attraverso una griglia o lista di controllo per il controllo della qualità.</w:t>
      </w:r>
    </w:p>
    <w:p w:rsidR="00675B1D" w:rsidRPr="00346304" w:rsidRDefault="00675B1D" w:rsidP="001B4E97">
      <w:pPr>
        <w:pStyle w:val="HStandard"/>
        <w:rPr>
          <w:highlight w:val="yellow"/>
        </w:rPr>
      </w:pPr>
      <w:r w:rsidRPr="00346304">
        <w:rPr>
          <w:highlight w:val="yellow"/>
        </w:rPr>
        <w:t>Si dovrebbe fornire un riscontro significativo e tempestivo al valutatore. In questo modo la qualità della valutazione può essere monitorata e migliorata. Inoltre, è possibile verificare frequentemente i progressi della valutazione rispetto alle tappe concordate. Il valutatore ha la responsabilità di presentare le relazioni concordate e di tenere in considerazione il riscontro ricevuto.</w:t>
      </w:r>
    </w:p>
    <w:p w:rsidR="00675B1D" w:rsidRPr="00346304" w:rsidRDefault="00675B1D" w:rsidP="006D3475">
      <w:pPr>
        <w:pStyle w:val="HHeading5"/>
        <w:rPr>
          <w:highlight w:val="yellow"/>
        </w:rPr>
      </w:pPr>
      <w:r w:rsidRPr="00346304">
        <w:rPr>
          <w:highlight w:val="yellow"/>
        </w:rPr>
        <w:lastRenderedPageBreak/>
        <w:t xml:space="preserve">Passaggio 3 - Valutare la qualità della relazione finale </w:t>
      </w:r>
    </w:p>
    <w:p w:rsidR="00675B1D" w:rsidRPr="00346304" w:rsidRDefault="00675B1D" w:rsidP="001B4E97">
      <w:pPr>
        <w:pStyle w:val="HStandard"/>
        <w:rPr>
          <w:highlight w:val="yellow"/>
        </w:rPr>
      </w:pPr>
      <w:r w:rsidRPr="00346304">
        <w:rPr>
          <w:highlight w:val="yellow"/>
        </w:rPr>
        <w:t>Dopo che il valutatore ha presentato la relazione finale entro il termine concordato nel capitolato d'oneri, tale relazione dovrebbe essere sottoposta a un'approfondita valutazione della qualità ad opera della parte committente (AG o USR) e, se istituito, del gruppo direttivo di valutazione. A tal fine, si raccomanda di sviluppare standard di qualità per le relazioni di valutazione e una griglia di valutazione della qualità. Non esistono criteri di valutazione della qualità obbligatori per le relazioni di valutazione delle RRN.</w:t>
      </w:r>
    </w:p>
    <w:p w:rsidR="00675B1D" w:rsidRPr="00346304" w:rsidRDefault="00675B1D" w:rsidP="001B4E97">
      <w:pPr>
        <w:pStyle w:val="HStandard"/>
        <w:rPr>
          <w:highlight w:val="yellow"/>
        </w:rPr>
      </w:pPr>
      <w:r w:rsidRPr="00346304">
        <w:rPr>
          <w:highlight w:val="yellow"/>
        </w:rPr>
        <w:t>I criteri di buona qualità si riferiscono al processo di valutazione (rilevanza, tempestività e inclusione), a questioni normative (attenzione all'indipendenza e all'imparzialità del valutatore), nonché a criteri tecnici (rilevanza della valutazione, portata, progettazione adeguata, dati affidabili, solida analisi, risultati credibili, risposte ai questionari valutativi basate sulle prove, conclusioni valide, raccomandazioni utili e chiarezza nella rendicontazione</w:t>
      </w:r>
      <w:r w:rsidRPr="00346304">
        <w:rPr>
          <w:rStyle w:val="FootnoteReference"/>
          <w:highlight w:val="yellow"/>
        </w:rPr>
        <w:footnoteReference w:id="86"/>
      </w:r>
      <w:r w:rsidRPr="00346304">
        <w:rPr>
          <w:highlight w:val="yellow"/>
        </w:rPr>
        <w:t xml:space="preserve">). </w:t>
      </w:r>
    </w:p>
    <w:p w:rsidR="00675B1D" w:rsidRPr="00346304" w:rsidRDefault="00675B1D" w:rsidP="00D21174">
      <w:pPr>
        <w:pStyle w:val="HHeadingfigures"/>
        <w:ind w:left="0"/>
        <w:rPr>
          <w:highlight w:val="yellow"/>
        </w:rPr>
      </w:pPr>
      <w:bookmarkStart w:id="152" w:name="_Toc445465132"/>
      <w:bookmarkStart w:id="153" w:name="_Toc451781935"/>
      <w:bookmarkStart w:id="154" w:name="_Toc461616787"/>
      <w:r w:rsidRPr="00346304">
        <w:rPr>
          <w:highlight w:val="yellow"/>
        </w:rPr>
        <w:t>Responsabilità delle parti interessate nell'attuazione della valutazione della RRN</w:t>
      </w:r>
      <w:bookmarkEnd w:id="152"/>
      <w:bookmarkEnd w:id="153"/>
      <w:bookmarkEnd w:id="154"/>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28"/>
        <w:gridCol w:w="1393"/>
        <w:gridCol w:w="1783"/>
        <w:gridCol w:w="1530"/>
        <w:gridCol w:w="1618"/>
        <w:gridCol w:w="2069"/>
      </w:tblGrid>
      <w:tr w:rsidR="00675B1D" w:rsidRPr="00346304" w:rsidTr="00D21174">
        <w:tc>
          <w:tcPr>
            <w:tcW w:w="348" w:type="pct"/>
            <w:tcBorders>
              <w:top w:val="nil"/>
              <w:left w:val="nil"/>
              <w:bottom w:val="single" w:sz="4" w:space="0" w:color="000000" w:themeColor="text1"/>
            </w:tcBorders>
          </w:tcPr>
          <w:p w:rsidR="00675B1D" w:rsidRPr="00346304" w:rsidRDefault="00675B1D" w:rsidP="008B1515">
            <w:pPr>
              <w:jc w:val="right"/>
              <w:rPr>
                <w:b/>
                <w:szCs w:val="18"/>
                <w:highlight w:val="yellow"/>
              </w:rPr>
            </w:pPr>
          </w:p>
        </w:tc>
        <w:tc>
          <w:tcPr>
            <w:tcW w:w="772" w:type="pct"/>
            <w:shd w:val="clear" w:color="auto" w:fill="E7E6E6" w:themeFill="background2"/>
          </w:tcPr>
          <w:p w:rsidR="00675B1D" w:rsidRPr="00346304" w:rsidRDefault="00675B1D" w:rsidP="001413F0">
            <w:pPr>
              <w:jc w:val="center"/>
              <w:rPr>
                <w:b/>
                <w:color w:val="5B9BD5" w:themeColor="accent1"/>
                <w:szCs w:val="18"/>
                <w:highlight w:val="yellow"/>
              </w:rPr>
            </w:pPr>
            <w:r w:rsidRPr="00346304">
              <w:rPr>
                <w:b/>
                <w:color w:val="5B9BD5" w:themeColor="accent1"/>
                <w:highlight w:val="yellow"/>
              </w:rPr>
              <w:t>Azioni</w:t>
            </w:r>
          </w:p>
        </w:tc>
        <w:tc>
          <w:tcPr>
            <w:tcW w:w="3880" w:type="pct"/>
            <w:gridSpan w:val="4"/>
            <w:shd w:val="clear" w:color="auto" w:fill="E7E6E6" w:themeFill="background2"/>
          </w:tcPr>
          <w:p w:rsidR="00675B1D" w:rsidRPr="00346304" w:rsidRDefault="00675B1D" w:rsidP="001413F0">
            <w:pPr>
              <w:jc w:val="center"/>
              <w:rPr>
                <w:b/>
                <w:color w:val="5B9BD5" w:themeColor="accent1"/>
                <w:szCs w:val="18"/>
                <w:highlight w:val="yellow"/>
              </w:rPr>
            </w:pPr>
            <w:r w:rsidRPr="00346304">
              <w:rPr>
                <w:b/>
                <w:color w:val="5B9BD5" w:themeColor="accent1"/>
                <w:highlight w:val="yellow"/>
              </w:rPr>
              <w:t>Attori</w:t>
            </w:r>
          </w:p>
        </w:tc>
      </w:tr>
      <w:tr w:rsidR="00675B1D" w:rsidRPr="00346304" w:rsidTr="00D21174">
        <w:trPr>
          <w:cantSplit/>
          <w:trHeight w:val="1134"/>
        </w:trPr>
        <w:tc>
          <w:tcPr>
            <w:tcW w:w="348" w:type="pct"/>
            <w:shd w:val="clear" w:color="auto" w:fill="E7E6E6" w:themeFill="background2"/>
            <w:textDirection w:val="tbRl"/>
          </w:tcPr>
          <w:p w:rsidR="00675B1D" w:rsidRPr="00346304" w:rsidRDefault="00675B1D" w:rsidP="001413F0">
            <w:pPr>
              <w:ind w:left="113" w:right="113"/>
              <w:jc w:val="center"/>
              <w:rPr>
                <w:b/>
                <w:color w:val="5B9BD5" w:themeColor="accent1"/>
                <w:szCs w:val="18"/>
                <w:highlight w:val="yellow"/>
              </w:rPr>
            </w:pPr>
            <w:r w:rsidRPr="00346304">
              <w:rPr>
                <w:b/>
                <w:color w:val="5B9BD5" w:themeColor="accent1"/>
                <w:highlight w:val="yellow"/>
              </w:rPr>
              <w:t>Fase</w:t>
            </w:r>
          </w:p>
        </w:tc>
        <w:tc>
          <w:tcPr>
            <w:tcW w:w="772"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Passaggio</w:t>
            </w:r>
          </w:p>
        </w:tc>
        <w:tc>
          <w:tcPr>
            <w:tcW w:w="988" w:type="pct"/>
          </w:tcPr>
          <w:p w:rsidR="00675B1D" w:rsidRPr="00346304" w:rsidRDefault="00675B1D" w:rsidP="008B1515">
            <w:pPr>
              <w:rPr>
                <w:i/>
                <w:szCs w:val="18"/>
                <w:highlight w:val="yellow"/>
              </w:rPr>
            </w:pPr>
            <w:r w:rsidRPr="00346304">
              <w:rPr>
                <w:i/>
                <w:highlight w:val="yellow"/>
              </w:rPr>
              <w:t>Autorità di gestione</w:t>
            </w:r>
          </w:p>
        </w:tc>
        <w:tc>
          <w:tcPr>
            <w:tcW w:w="848" w:type="pct"/>
          </w:tcPr>
          <w:p w:rsidR="00675B1D" w:rsidRPr="00346304" w:rsidRDefault="00675B1D" w:rsidP="008B1515">
            <w:pPr>
              <w:rPr>
                <w:i/>
                <w:szCs w:val="18"/>
                <w:highlight w:val="yellow"/>
              </w:rPr>
            </w:pPr>
            <w:r w:rsidRPr="00346304">
              <w:rPr>
                <w:i/>
                <w:highlight w:val="yellow"/>
              </w:rPr>
              <w:t>Altre unità dell'autorità di gestione</w:t>
            </w:r>
          </w:p>
        </w:tc>
        <w:tc>
          <w:tcPr>
            <w:tcW w:w="897" w:type="pct"/>
          </w:tcPr>
          <w:p w:rsidR="00675B1D" w:rsidRPr="00346304" w:rsidRDefault="00675B1D" w:rsidP="008B1515">
            <w:pPr>
              <w:rPr>
                <w:i/>
                <w:szCs w:val="18"/>
                <w:highlight w:val="yellow"/>
              </w:rPr>
            </w:pPr>
            <w:r w:rsidRPr="00346304">
              <w:rPr>
                <w:i/>
                <w:highlight w:val="yellow"/>
              </w:rPr>
              <w:t>USR</w:t>
            </w:r>
          </w:p>
        </w:tc>
        <w:tc>
          <w:tcPr>
            <w:tcW w:w="1147" w:type="pct"/>
          </w:tcPr>
          <w:p w:rsidR="00675B1D" w:rsidRPr="00346304" w:rsidRDefault="00675B1D" w:rsidP="008B1515">
            <w:pPr>
              <w:rPr>
                <w:i/>
                <w:szCs w:val="18"/>
                <w:highlight w:val="yellow"/>
              </w:rPr>
            </w:pPr>
            <w:r w:rsidRPr="00346304">
              <w:rPr>
                <w:i/>
                <w:highlight w:val="yellow"/>
              </w:rPr>
              <w:t>Altri</w:t>
            </w:r>
          </w:p>
        </w:tc>
      </w:tr>
      <w:tr w:rsidR="00675B1D" w:rsidRPr="00346304" w:rsidTr="00D21174">
        <w:trPr>
          <w:cantSplit/>
          <w:trHeight w:val="1493"/>
        </w:trPr>
        <w:tc>
          <w:tcPr>
            <w:tcW w:w="348" w:type="pct"/>
            <w:vMerge w:val="restart"/>
            <w:shd w:val="clear" w:color="auto" w:fill="E7E6E6" w:themeFill="background2"/>
            <w:textDirection w:val="tbRl"/>
          </w:tcPr>
          <w:p w:rsidR="00675B1D" w:rsidRPr="00346304" w:rsidRDefault="00675B1D" w:rsidP="001413F0">
            <w:pPr>
              <w:ind w:left="113" w:right="113"/>
              <w:jc w:val="center"/>
              <w:rPr>
                <w:b/>
                <w:color w:val="5B9BD5" w:themeColor="accent1"/>
                <w:szCs w:val="18"/>
                <w:highlight w:val="yellow"/>
              </w:rPr>
            </w:pPr>
            <w:r w:rsidRPr="00346304">
              <w:rPr>
                <w:b/>
                <w:color w:val="5B9BD5" w:themeColor="accent1"/>
                <w:highlight w:val="yellow"/>
              </w:rPr>
              <w:t>Attuazione</w:t>
            </w:r>
          </w:p>
        </w:tc>
        <w:tc>
          <w:tcPr>
            <w:tcW w:w="772"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Esecuzione</w:t>
            </w:r>
          </w:p>
        </w:tc>
        <w:tc>
          <w:tcPr>
            <w:tcW w:w="988" w:type="pct"/>
          </w:tcPr>
          <w:p w:rsidR="00675B1D" w:rsidRPr="00346304" w:rsidRDefault="00675B1D" w:rsidP="008B1515">
            <w:pPr>
              <w:rPr>
                <w:szCs w:val="18"/>
                <w:highlight w:val="yellow"/>
              </w:rPr>
            </w:pPr>
            <w:r w:rsidRPr="00346304">
              <w:rPr>
                <w:highlight w:val="yellow"/>
              </w:rPr>
              <w:t>Sostiene il valutatore, assicura la qualità</w:t>
            </w:r>
          </w:p>
        </w:tc>
        <w:tc>
          <w:tcPr>
            <w:tcW w:w="848" w:type="pct"/>
          </w:tcPr>
          <w:p w:rsidR="00675B1D" w:rsidRPr="00346304" w:rsidRDefault="00675B1D" w:rsidP="008B1515">
            <w:pPr>
              <w:rPr>
                <w:szCs w:val="18"/>
                <w:highlight w:val="yellow"/>
              </w:rPr>
            </w:pPr>
          </w:p>
        </w:tc>
        <w:tc>
          <w:tcPr>
            <w:tcW w:w="897" w:type="pct"/>
          </w:tcPr>
          <w:p w:rsidR="00675B1D" w:rsidRPr="00346304" w:rsidRDefault="00675B1D" w:rsidP="008B1515">
            <w:pPr>
              <w:rPr>
                <w:szCs w:val="18"/>
                <w:highlight w:val="yellow"/>
              </w:rPr>
            </w:pPr>
            <w:r w:rsidRPr="00346304">
              <w:rPr>
                <w:highlight w:val="yellow"/>
              </w:rPr>
              <w:t>Sostiene il valutatore, fornisce dati</w:t>
            </w:r>
          </w:p>
        </w:tc>
        <w:tc>
          <w:tcPr>
            <w:tcW w:w="1147" w:type="pct"/>
          </w:tcPr>
          <w:p w:rsidR="00675B1D" w:rsidRPr="00346304" w:rsidRDefault="00675B1D" w:rsidP="008B1515">
            <w:pPr>
              <w:rPr>
                <w:szCs w:val="18"/>
                <w:highlight w:val="yellow"/>
              </w:rPr>
            </w:pPr>
            <w:r w:rsidRPr="00346304">
              <w:rPr>
                <w:highlight w:val="yellow"/>
              </w:rPr>
              <w:t>L'organismo pagatore fornisce dati</w:t>
            </w:r>
          </w:p>
          <w:p w:rsidR="00675B1D" w:rsidRPr="00346304" w:rsidRDefault="00675B1D" w:rsidP="008B1515">
            <w:pPr>
              <w:rPr>
                <w:szCs w:val="18"/>
                <w:highlight w:val="yellow"/>
              </w:rPr>
            </w:pPr>
            <w:r w:rsidRPr="00346304">
              <w:rPr>
                <w:highlight w:val="yellow"/>
              </w:rPr>
              <w:t>I GAL forniscono dati e informatori</w:t>
            </w:r>
          </w:p>
          <w:p w:rsidR="00675B1D" w:rsidRPr="00346304" w:rsidRDefault="00675B1D" w:rsidP="008B1515">
            <w:pPr>
              <w:rPr>
                <w:szCs w:val="18"/>
                <w:highlight w:val="yellow"/>
              </w:rPr>
            </w:pPr>
            <w:r w:rsidRPr="00346304">
              <w:rPr>
                <w:highlight w:val="yellow"/>
              </w:rPr>
              <w:t>Le autorità di gestione regionali forniscono dati e informatori</w:t>
            </w:r>
          </w:p>
          <w:p w:rsidR="00675B1D" w:rsidRPr="00346304" w:rsidRDefault="00675B1D" w:rsidP="008B1515">
            <w:pPr>
              <w:rPr>
                <w:szCs w:val="18"/>
                <w:highlight w:val="yellow"/>
              </w:rPr>
            </w:pPr>
            <w:r w:rsidRPr="00346304">
              <w:rPr>
                <w:highlight w:val="yellow"/>
              </w:rPr>
              <w:t>Il valutatore esegue la valutazione</w:t>
            </w:r>
          </w:p>
        </w:tc>
      </w:tr>
      <w:tr w:rsidR="00675B1D" w:rsidRPr="00346304" w:rsidTr="00D21174">
        <w:trPr>
          <w:cantSplit/>
          <w:trHeight w:val="1134"/>
        </w:trPr>
        <w:tc>
          <w:tcPr>
            <w:tcW w:w="348" w:type="pct"/>
            <w:vMerge/>
            <w:shd w:val="clear" w:color="auto" w:fill="E7E6E6" w:themeFill="background2"/>
            <w:textDirection w:val="tbRl"/>
          </w:tcPr>
          <w:p w:rsidR="00675B1D" w:rsidRPr="00346304" w:rsidRDefault="00675B1D" w:rsidP="008B1515">
            <w:pPr>
              <w:ind w:left="113" w:right="113"/>
              <w:rPr>
                <w:szCs w:val="18"/>
                <w:highlight w:val="yellow"/>
              </w:rPr>
            </w:pPr>
          </w:p>
        </w:tc>
        <w:tc>
          <w:tcPr>
            <w:tcW w:w="772"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Controllo della qualità</w:t>
            </w:r>
          </w:p>
        </w:tc>
        <w:tc>
          <w:tcPr>
            <w:tcW w:w="988" w:type="pct"/>
          </w:tcPr>
          <w:p w:rsidR="00675B1D" w:rsidRPr="00346304" w:rsidRDefault="00675B1D" w:rsidP="008B1515">
            <w:pPr>
              <w:rPr>
                <w:szCs w:val="18"/>
                <w:highlight w:val="yellow"/>
              </w:rPr>
            </w:pPr>
            <w:r w:rsidRPr="00346304">
              <w:rPr>
                <w:highlight w:val="yellow"/>
              </w:rPr>
              <w:t>Responsabile / partecipa</w:t>
            </w:r>
          </w:p>
        </w:tc>
        <w:tc>
          <w:tcPr>
            <w:tcW w:w="848" w:type="pct"/>
          </w:tcPr>
          <w:p w:rsidR="00675B1D" w:rsidRPr="00346304" w:rsidRDefault="00675B1D" w:rsidP="008B1515">
            <w:pPr>
              <w:rPr>
                <w:szCs w:val="18"/>
                <w:highlight w:val="yellow"/>
              </w:rPr>
            </w:pPr>
          </w:p>
        </w:tc>
        <w:tc>
          <w:tcPr>
            <w:tcW w:w="897" w:type="pct"/>
          </w:tcPr>
          <w:p w:rsidR="00675B1D" w:rsidRPr="00346304" w:rsidRDefault="00675B1D" w:rsidP="008B1515">
            <w:pPr>
              <w:rPr>
                <w:szCs w:val="18"/>
                <w:highlight w:val="yellow"/>
              </w:rPr>
            </w:pPr>
            <w:r w:rsidRPr="00346304">
              <w:rPr>
                <w:highlight w:val="yellow"/>
              </w:rPr>
              <w:t>Partecipa / responsabile</w:t>
            </w:r>
          </w:p>
        </w:tc>
        <w:tc>
          <w:tcPr>
            <w:tcW w:w="1147" w:type="pct"/>
          </w:tcPr>
          <w:p w:rsidR="00675B1D" w:rsidRPr="00346304" w:rsidRDefault="00675B1D" w:rsidP="00D76339">
            <w:pPr>
              <w:rPr>
                <w:szCs w:val="18"/>
                <w:highlight w:val="yellow"/>
              </w:rPr>
            </w:pPr>
            <w:r w:rsidRPr="00346304">
              <w:rPr>
                <w:highlight w:val="yellow"/>
              </w:rPr>
              <w:t>L'eventuale gruppo direttivo partecipa</w:t>
            </w:r>
          </w:p>
        </w:tc>
      </w:tr>
    </w:tbl>
    <w:p w:rsidR="00675B1D" w:rsidRPr="00346304" w:rsidRDefault="00675B1D" w:rsidP="001B4E97">
      <w:pPr>
        <w:pStyle w:val="HHeading3"/>
        <w:rPr>
          <w:highlight w:val="yellow"/>
        </w:rPr>
      </w:pPr>
      <w:bookmarkStart w:id="155" w:name="_Toc453079762"/>
      <w:bookmarkStart w:id="156" w:name="_Toc461616646"/>
      <w:r w:rsidRPr="00346304">
        <w:rPr>
          <w:highlight w:val="yellow"/>
        </w:rPr>
        <w:t>Comunicare e divulgare i risultati della valutazione</w:t>
      </w:r>
      <w:bookmarkEnd w:id="155"/>
      <w:bookmarkEnd w:id="156"/>
      <w:r w:rsidRPr="00346304">
        <w:rPr>
          <w:highlight w:val="yellow"/>
        </w:rPr>
        <w:t xml:space="preserve"> </w:t>
      </w:r>
    </w:p>
    <w:p w:rsidR="00675B1D" w:rsidRPr="00346304" w:rsidRDefault="00675B1D" w:rsidP="006D3475">
      <w:pPr>
        <w:pStyle w:val="HHeading5"/>
        <w:rPr>
          <w:highlight w:val="yellow"/>
        </w:rPr>
      </w:pPr>
      <w:r w:rsidRPr="00346304">
        <w:rPr>
          <w:highlight w:val="yellow"/>
        </w:rPr>
        <w:t>Comunicare i risultati della valutazione</w:t>
      </w:r>
    </w:p>
    <w:p w:rsidR="00675B1D" w:rsidRPr="00346304" w:rsidRDefault="00675B1D" w:rsidP="001B4E97">
      <w:pPr>
        <w:pStyle w:val="HStandard"/>
        <w:rPr>
          <w:highlight w:val="yellow"/>
        </w:rPr>
      </w:pPr>
      <w:r w:rsidRPr="00346304">
        <w:rPr>
          <w:highlight w:val="yellow"/>
        </w:rPr>
        <w:t>La comunicazione avviene durante tutto il processo di valutazione, ma lo sforzo di comunicazione principale si ha alla fine del processo, dopo che i risultati e le raccomandazioni sono stati finalizzati. Le azioni di comunicazione devono seguire il piano di comunicazione messo a punto all'inizio del processo di valutazione.</w:t>
      </w:r>
    </w:p>
    <w:p w:rsidR="00675B1D" w:rsidRPr="00346304" w:rsidRDefault="00675B1D" w:rsidP="006D3475">
      <w:pPr>
        <w:pStyle w:val="HHeading5"/>
        <w:rPr>
          <w:highlight w:val="yellow"/>
        </w:rPr>
      </w:pPr>
      <w:r w:rsidRPr="00346304">
        <w:rPr>
          <w:highlight w:val="yellow"/>
        </w:rPr>
        <w:t>Diffusione</w:t>
      </w:r>
    </w:p>
    <w:p w:rsidR="00675B1D" w:rsidRPr="00346304" w:rsidRDefault="00675B1D" w:rsidP="001B4E97">
      <w:pPr>
        <w:pStyle w:val="HStandard"/>
        <w:rPr>
          <w:highlight w:val="yellow"/>
        </w:rPr>
      </w:pPr>
      <w:r w:rsidRPr="00346304">
        <w:rPr>
          <w:highlight w:val="yellow"/>
        </w:rPr>
        <w:t xml:space="preserve">La relazione di valutazione dovrebbe essere resa pubblica e figurare sul sito web dell'autorità di gestione/dell'unità di sostegno alla rete. Inoltre, per aumentare la trasparenza, essa dovrebbe essere distribuita ai partecipanti del processo di valutazione e a tutte le pertinenti parti interessate della RRN (/del PRRN). Come buona pratica, si consiglia di redigere una sintesi dei principali risultati della valutazione ad uso dei cittadini. La valutazione dovrebbe inoltre essere presentata e discussa in </w:t>
      </w:r>
      <w:r w:rsidRPr="00346304">
        <w:rPr>
          <w:highlight w:val="yellow"/>
        </w:rPr>
        <w:lastRenderedPageBreak/>
        <w:t>occasione di workshop e altri eventi (come ad esempio con il comitato di monitoraggio). È importante concordare in una fase iniziale chi fa cosa (AG e USR) in termini di diffusione.</w:t>
      </w:r>
    </w:p>
    <w:p w:rsidR="00675B1D" w:rsidRPr="00346304" w:rsidRDefault="00675B1D" w:rsidP="006D3475">
      <w:pPr>
        <w:pStyle w:val="HHeading5"/>
        <w:rPr>
          <w:highlight w:val="yellow"/>
        </w:rPr>
      </w:pPr>
      <w:r w:rsidRPr="00346304">
        <w:rPr>
          <w:highlight w:val="yellow"/>
        </w:rPr>
        <w:t xml:space="preserve">Seguito sulle risultanze della valutazione </w:t>
      </w:r>
    </w:p>
    <w:p w:rsidR="00675B1D" w:rsidRPr="00346304" w:rsidRDefault="00675B1D" w:rsidP="001B4E97">
      <w:pPr>
        <w:pStyle w:val="HStandard"/>
        <w:rPr>
          <w:highlight w:val="yellow"/>
        </w:rPr>
      </w:pPr>
      <w:r w:rsidRPr="00346304">
        <w:rPr>
          <w:highlight w:val="yellow"/>
        </w:rPr>
        <w:t xml:space="preserve">Affinché la valutazione e l'autovalutazione risultino utili anche per la RRN stessa, esiste una procedura per dare seguito e utilizzare le risultanze e le raccomandazioni. </w:t>
      </w:r>
    </w:p>
    <w:p w:rsidR="00675B1D" w:rsidRPr="00346304" w:rsidRDefault="00675B1D" w:rsidP="00EC0781">
      <w:pPr>
        <w:pStyle w:val="HStandard"/>
        <w:rPr>
          <w:highlight w:val="yellow"/>
        </w:rPr>
      </w:pPr>
      <w:r w:rsidRPr="00346304">
        <w:rPr>
          <w:highlight w:val="yellow"/>
        </w:rPr>
        <w:t xml:space="preserve">L'utilizzo delle risultanze della valutazione potrebbe essere messo regolarmente all'ordine del giorno dell'organismo di coordinamento o nel piano di lavoro della rete/dell'attore alla quale o al quale la raccomandazione si rivolge, insieme a un calendario per la corrispondente realizzazione. Per la RRN, il piano di azione è un contesto eccellente in sé dato che si tratta di un documento annuale. Il piano di azione della RRN potrebbe includere anche disposizioni su come utilizzare i risultati della valutazione e dell'autovalutazione per migliorare le attività della rete. I progressi realizzati nel soddisfare le raccomandazioni potrebbero essere inclusi nella relazione annuale. In questo modo, i risultati della valutazione possono anche alimentare la futura progettazione della politica. L'autorità di gestione e l'organismo di coordinamento dovrebbero sviluppare e attuare una strategia e un processo per dare seguito alle raccomandazioni della valutazione. Tale seguito potrebbe essere svolto dal titolare della valutazione sotto forma di una matrice relativa al seguito, come quella presentata nella </w:t>
      </w:r>
      <w:r w:rsidRPr="00346304">
        <w:rPr>
          <w:highlight w:val="yellow"/>
        </w:rPr>
        <w:fldChar w:fldCharType="begin" w:fldLock="1"/>
      </w:r>
      <w:r w:rsidRPr="00346304">
        <w:rPr>
          <w:highlight w:val="yellow"/>
        </w:rPr>
        <w:instrText xml:space="preserve"> REF _Ref451785007 \r \h  \* MERGEFORMAT </w:instrText>
      </w:r>
      <w:r w:rsidRPr="00346304">
        <w:rPr>
          <w:highlight w:val="yellow"/>
        </w:rPr>
      </w:r>
      <w:r w:rsidRPr="00346304">
        <w:rPr>
          <w:highlight w:val="yellow"/>
        </w:rPr>
        <w:fldChar w:fldCharType="separate"/>
      </w:r>
      <w:r w:rsidRPr="00346304">
        <w:rPr>
          <w:highlight w:val="yellow"/>
        </w:rPr>
        <w:t>Tabella 9</w:t>
      </w:r>
      <w:r w:rsidRPr="00346304">
        <w:rPr>
          <w:highlight w:val="yellow"/>
        </w:rPr>
        <w:fldChar w:fldCharType="end"/>
      </w:r>
      <w:r w:rsidRPr="00346304">
        <w:rPr>
          <w:highlight w:val="yellow"/>
        </w:rPr>
        <w:t xml:space="preserve">. </w:t>
      </w:r>
    </w:p>
    <w:p w:rsidR="00675B1D" w:rsidRPr="00346304" w:rsidRDefault="00675B1D" w:rsidP="00D21174">
      <w:pPr>
        <w:pStyle w:val="HHeadingtables"/>
        <w:ind w:left="0"/>
        <w:rPr>
          <w:highlight w:val="yellow"/>
        </w:rPr>
      </w:pPr>
      <w:bookmarkStart w:id="157" w:name="_Toc436383151"/>
      <w:bookmarkStart w:id="158" w:name="_Toc451781913"/>
      <w:bookmarkStart w:id="159" w:name="_Ref451785007"/>
      <w:bookmarkStart w:id="160" w:name="_Toc461616770"/>
      <w:r w:rsidRPr="00346304">
        <w:rPr>
          <w:highlight w:val="yellow"/>
        </w:rPr>
        <w:t>Matrice relativa al seguito della valutazione</w:t>
      </w:r>
      <w:bookmarkEnd w:id="157"/>
      <w:bookmarkEnd w:id="158"/>
      <w:bookmarkEnd w:id="159"/>
      <w:bookmarkEnd w:id="160"/>
    </w:p>
    <w:tbl>
      <w:tblPr>
        <w:tblStyle w:val="TableGrid2"/>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2450"/>
        <w:gridCol w:w="1295"/>
        <w:gridCol w:w="1502"/>
        <w:gridCol w:w="2689"/>
        <w:gridCol w:w="1080"/>
      </w:tblGrid>
      <w:tr w:rsidR="00675B1D" w:rsidRPr="00346304" w:rsidTr="00D21174">
        <w:trPr>
          <w:tblHeader/>
          <w:jc w:val="center"/>
        </w:trPr>
        <w:tc>
          <w:tcPr>
            <w:tcW w:w="1358" w:type="pct"/>
            <w:shd w:val="clear" w:color="auto" w:fill="E7E6E6" w:themeFill="background2"/>
          </w:tcPr>
          <w:p w:rsidR="00675B1D" w:rsidRPr="00346304" w:rsidRDefault="00675B1D" w:rsidP="001249DA">
            <w:pPr>
              <w:pStyle w:val="Htableleftbolt"/>
              <w:jc w:val="center"/>
              <w:rPr>
                <w:rFonts w:cs="Arial"/>
                <w:color w:val="5B9BD5" w:themeColor="accent1"/>
                <w:sz w:val="18"/>
                <w:szCs w:val="18"/>
                <w:highlight w:val="yellow"/>
              </w:rPr>
            </w:pPr>
            <w:r w:rsidRPr="00346304">
              <w:rPr>
                <w:color w:val="5B9BD5" w:themeColor="accent1"/>
                <w:sz w:val="18"/>
                <w:highlight w:val="yellow"/>
              </w:rPr>
              <w:t>CHE COSA?</w:t>
            </w:r>
          </w:p>
        </w:tc>
        <w:tc>
          <w:tcPr>
            <w:tcW w:w="718" w:type="pct"/>
            <w:shd w:val="clear" w:color="auto" w:fill="E7E6E6" w:themeFill="background2"/>
          </w:tcPr>
          <w:p w:rsidR="00675B1D" w:rsidRPr="00346304" w:rsidRDefault="00675B1D" w:rsidP="001249DA">
            <w:pPr>
              <w:pStyle w:val="Htableleftbolt"/>
              <w:jc w:val="center"/>
              <w:rPr>
                <w:rFonts w:cs="Arial"/>
                <w:color w:val="5B9BD5" w:themeColor="accent1"/>
                <w:sz w:val="18"/>
                <w:szCs w:val="18"/>
                <w:highlight w:val="yellow"/>
              </w:rPr>
            </w:pPr>
            <w:r w:rsidRPr="00346304">
              <w:rPr>
                <w:color w:val="5B9BD5" w:themeColor="accent1"/>
                <w:sz w:val="18"/>
                <w:highlight w:val="yellow"/>
              </w:rPr>
              <w:t>QUANDO?</w:t>
            </w:r>
          </w:p>
        </w:tc>
        <w:tc>
          <w:tcPr>
            <w:tcW w:w="833" w:type="pct"/>
            <w:shd w:val="clear" w:color="auto" w:fill="E7E6E6" w:themeFill="background2"/>
          </w:tcPr>
          <w:p w:rsidR="00675B1D" w:rsidRPr="00346304" w:rsidRDefault="00675B1D" w:rsidP="001249DA">
            <w:pPr>
              <w:pStyle w:val="Htableleftbolt"/>
              <w:jc w:val="center"/>
              <w:rPr>
                <w:rFonts w:cs="Arial"/>
                <w:color w:val="5B9BD5" w:themeColor="accent1"/>
                <w:sz w:val="18"/>
                <w:szCs w:val="18"/>
                <w:highlight w:val="yellow"/>
              </w:rPr>
            </w:pPr>
            <w:r w:rsidRPr="00346304">
              <w:rPr>
                <w:color w:val="5B9BD5" w:themeColor="accent1"/>
                <w:sz w:val="18"/>
                <w:highlight w:val="yellow"/>
              </w:rPr>
              <w:t>CHI?</w:t>
            </w:r>
          </w:p>
        </w:tc>
        <w:tc>
          <w:tcPr>
            <w:tcW w:w="1491" w:type="pct"/>
            <w:shd w:val="clear" w:color="auto" w:fill="E7E6E6" w:themeFill="background2"/>
          </w:tcPr>
          <w:p w:rsidR="00675B1D" w:rsidRPr="00346304" w:rsidRDefault="00675B1D" w:rsidP="001249DA">
            <w:pPr>
              <w:pStyle w:val="Htableleftbolt"/>
              <w:jc w:val="center"/>
              <w:rPr>
                <w:rFonts w:cs="Arial"/>
                <w:color w:val="5B9BD5" w:themeColor="accent1"/>
                <w:sz w:val="18"/>
                <w:szCs w:val="18"/>
                <w:highlight w:val="yellow"/>
              </w:rPr>
            </w:pPr>
            <w:r w:rsidRPr="00346304">
              <w:rPr>
                <w:color w:val="5B9BD5" w:themeColor="accent1"/>
                <w:sz w:val="18"/>
                <w:highlight w:val="yellow"/>
              </w:rPr>
              <w:t>COME?</w:t>
            </w:r>
          </w:p>
        </w:tc>
        <w:tc>
          <w:tcPr>
            <w:tcW w:w="599" w:type="pct"/>
            <w:shd w:val="clear" w:color="auto" w:fill="E7E6E6" w:themeFill="background2"/>
          </w:tcPr>
          <w:p w:rsidR="00675B1D" w:rsidRPr="00346304" w:rsidRDefault="00675B1D" w:rsidP="001249DA">
            <w:pPr>
              <w:pStyle w:val="Htableleftbolt"/>
              <w:jc w:val="center"/>
              <w:rPr>
                <w:rFonts w:cs="Arial"/>
                <w:color w:val="5B9BD5" w:themeColor="accent1"/>
                <w:sz w:val="18"/>
                <w:szCs w:val="18"/>
                <w:highlight w:val="yellow"/>
              </w:rPr>
            </w:pPr>
            <w:r w:rsidRPr="00346304">
              <w:rPr>
                <w:color w:val="5B9BD5" w:themeColor="accent1"/>
                <w:sz w:val="18"/>
                <w:highlight w:val="yellow"/>
              </w:rPr>
              <w:t>CHE COSA È STATO FATTO?</w:t>
            </w:r>
          </w:p>
        </w:tc>
      </w:tr>
      <w:tr w:rsidR="00675B1D" w:rsidRPr="00346304" w:rsidTr="00D21174">
        <w:trPr>
          <w:jc w:val="center"/>
        </w:trPr>
        <w:tc>
          <w:tcPr>
            <w:tcW w:w="1358"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Quali sono le principali risultanze della valutazione? Che cosa è stato concluso/raccomandato? </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Qual è il cambiamento atteso?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Qual è l'opinione della AG/USR in merito?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Che cosa dovrebbe essere fatto?</w:t>
            </w:r>
          </w:p>
        </w:tc>
        <w:tc>
          <w:tcPr>
            <w:tcW w:w="718"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Intervallo di tempo per il seguito, data finale del seguito</w:t>
            </w:r>
          </w:p>
        </w:tc>
        <w:tc>
          <w:tcPr>
            <w:tcW w:w="833"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Responsabilità per il seguito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Altri coinvolti </w:t>
            </w:r>
          </w:p>
        </w:tc>
        <w:tc>
          <w:tcPr>
            <w:tcW w:w="1491"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Formato del seguito </w:t>
            </w:r>
          </w:p>
        </w:tc>
        <w:tc>
          <w:tcPr>
            <w:tcW w:w="599"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Stato del seguito, data</w:t>
            </w:r>
          </w:p>
        </w:tc>
      </w:tr>
      <w:tr w:rsidR="00675B1D" w:rsidRPr="00346304" w:rsidTr="00D21174">
        <w:trPr>
          <w:jc w:val="center"/>
        </w:trPr>
        <w:tc>
          <w:tcPr>
            <w:tcW w:w="1358"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Risultanza - conclusione -</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Raccomandazione 1:</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basata in modo fondato su prove e analisi, formulata in modo chiaro, pragmatico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Cambiamento atteso: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in conformità con la relazione di valutazione</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Risposta della AG/USR:</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accolta, accolta parzialmente, respinta - fornire le motivazioni</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Azioni chiave:</w:t>
            </w:r>
          </w:p>
          <w:p w:rsidR="00675B1D" w:rsidRPr="00346304" w:rsidRDefault="00675B1D" w:rsidP="001B4E97">
            <w:pPr>
              <w:pStyle w:val="Htablebullet"/>
              <w:rPr>
                <w:color w:val="576C88" w:themeColor="text2" w:themeTint="D9"/>
                <w:szCs w:val="18"/>
                <w:highlight w:val="yellow"/>
              </w:rPr>
            </w:pPr>
            <w:r w:rsidRPr="00346304">
              <w:rPr>
                <w:color w:val="576C88" w:themeColor="text2" w:themeTint="D9"/>
                <w:highlight w:val="yellow"/>
              </w:rPr>
              <w:t>…</w:t>
            </w:r>
          </w:p>
          <w:p w:rsidR="00675B1D" w:rsidRPr="00346304" w:rsidRDefault="00675B1D" w:rsidP="001B4E97">
            <w:pPr>
              <w:pStyle w:val="Htablebullet"/>
              <w:rPr>
                <w:color w:val="576C88" w:themeColor="text2" w:themeTint="D9"/>
                <w:szCs w:val="18"/>
                <w:highlight w:val="yellow"/>
              </w:rPr>
            </w:pPr>
            <w:r w:rsidRPr="00346304">
              <w:rPr>
                <w:color w:val="576C88" w:themeColor="text2" w:themeTint="D9"/>
                <w:highlight w:val="yellow"/>
              </w:rPr>
              <w:t>…</w:t>
            </w:r>
          </w:p>
        </w:tc>
        <w:tc>
          <w:tcPr>
            <w:tcW w:w="718"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trimestrale, annuale, semestrale, ecc.</w:t>
            </w:r>
          </w:p>
        </w:tc>
        <w:tc>
          <w:tcPr>
            <w:tcW w:w="833"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organizzazione, unità, persona</w:t>
            </w:r>
          </w:p>
        </w:tc>
        <w:tc>
          <w:tcPr>
            <w:tcW w:w="1491"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rendicontazione/pianificazione del lavoro annuale della RRN; </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relazione annuale sull'attuazione; </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 xml:space="preserve">comitato di monitoraggio; </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gruppo direttivo, ecc.</w:t>
            </w:r>
          </w:p>
        </w:tc>
        <w:tc>
          <w:tcPr>
            <w:tcW w:w="599"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Codici di stato: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non ancora avviato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in corso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finalizzato</w:t>
            </w:r>
          </w:p>
        </w:tc>
      </w:tr>
      <w:tr w:rsidR="00675B1D" w:rsidRPr="00346304" w:rsidTr="00D21174">
        <w:trPr>
          <w:jc w:val="center"/>
        </w:trPr>
        <w:tc>
          <w:tcPr>
            <w:tcW w:w="1358" w:type="pct"/>
            <w:shd w:val="clear" w:color="auto" w:fill="auto"/>
          </w:tcPr>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Risultanza - conclusione - Raccomandazione 2:</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Cambiamento atteso:</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t>Risposta della AG/USR:</w:t>
            </w:r>
          </w:p>
          <w:p w:rsidR="00675B1D" w:rsidRPr="00346304" w:rsidRDefault="00675B1D" w:rsidP="001B4E97">
            <w:pPr>
              <w:pStyle w:val="Htableleft"/>
              <w:rPr>
                <w:rFonts w:cs="Arial"/>
                <w:color w:val="576C88" w:themeColor="text2" w:themeTint="D9"/>
                <w:szCs w:val="18"/>
                <w:highlight w:val="yellow"/>
              </w:rPr>
            </w:pPr>
            <w:r w:rsidRPr="00346304">
              <w:rPr>
                <w:color w:val="576C88" w:themeColor="text2" w:themeTint="D9"/>
                <w:highlight w:val="yellow"/>
              </w:rPr>
              <w:lastRenderedPageBreak/>
              <w:t>Azioni chiave:</w:t>
            </w:r>
          </w:p>
          <w:p w:rsidR="00675B1D" w:rsidRPr="00346304" w:rsidRDefault="00675B1D" w:rsidP="001B4E97">
            <w:pPr>
              <w:pStyle w:val="Htablebullet"/>
              <w:rPr>
                <w:color w:val="576C88" w:themeColor="text2" w:themeTint="D9"/>
                <w:szCs w:val="18"/>
                <w:highlight w:val="yellow"/>
              </w:rPr>
            </w:pPr>
            <w:r w:rsidRPr="00346304">
              <w:rPr>
                <w:color w:val="576C88" w:themeColor="text2" w:themeTint="D9"/>
                <w:highlight w:val="yellow"/>
              </w:rPr>
              <w:t>…</w:t>
            </w:r>
          </w:p>
          <w:p w:rsidR="00675B1D" w:rsidRPr="00346304" w:rsidRDefault="00675B1D" w:rsidP="001B4E97">
            <w:pPr>
              <w:pStyle w:val="Htablebullet"/>
              <w:rPr>
                <w:color w:val="576C88" w:themeColor="text2" w:themeTint="D9"/>
                <w:szCs w:val="18"/>
                <w:highlight w:val="yellow"/>
              </w:rPr>
            </w:pPr>
            <w:r w:rsidRPr="00346304">
              <w:rPr>
                <w:color w:val="576C88" w:themeColor="text2" w:themeTint="D9"/>
                <w:highlight w:val="yellow"/>
              </w:rPr>
              <w:t>…</w:t>
            </w:r>
          </w:p>
        </w:tc>
        <w:tc>
          <w:tcPr>
            <w:tcW w:w="718" w:type="pct"/>
            <w:shd w:val="clear" w:color="auto" w:fill="auto"/>
          </w:tcPr>
          <w:p w:rsidR="00675B1D" w:rsidRPr="00346304" w:rsidRDefault="00675B1D" w:rsidP="001B4E97">
            <w:pPr>
              <w:pStyle w:val="Htableleft"/>
              <w:rPr>
                <w:rFonts w:cs="Arial"/>
                <w:color w:val="576C88" w:themeColor="text2" w:themeTint="D9"/>
                <w:szCs w:val="18"/>
                <w:highlight w:val="yellow"/>
              </w:rPr>
            </w:pPr>
          </w:p>
        </w:tc>
        <w:tc>
          <w:tcPr>
            <w:tcW w:w="833" w:type="pct"/>
            <w:shd w:val="clear" w:color="auto" w:fill="auto"/>
          </w:tcPr>
          <w:p w:rsidR="00675B1D" w:rsidRPr="00346304" w:rsidRDefault="00675B1D" w:rsidP="001B4E97">
            <w:pPr>
              <w:pStyle w:val="Htableleft"/>
              <w:rPr>
                <w:rFonts w:cs="Arial"/>
                <w:color w:val="576C88" w:themeColor="text2" w:themeTint="D9"/>
                <w:szCs w:val="18"/>
                <w:highlight w:val="yellow"/>
              </w:rPr>
            </w:pPr>
          </w:p>
        </w:tc>
        <w:tc>
          <w:tcPr>
            <w:tcW w:w="1491" w:type="pct"/>
            <w:shd w:val="clear" w:color="auto" w:fill="auto"/>
          </w:tcPr>
          <w:p w:rsidR="00675B1D" w:rsidRPr="00346304" w:rsidRDefault="00675B1D" w:rsidP="001B4E97">
            <w:pPr>
              <w:pStyle w:val="Htableleft"/>
              <w:rPr>
                <w:rFonts w:cs="Arial"/>
                <w:color w:val="576C88" w:themeColor="text2" w:themeTint="D9"/>
                <w:szCs w:val="18"/>
                <w:highlight w:val="yellow"/>
              </w:rPr>
            </w:pPr>
          </w:p>
        </w:tc>
        <w:tc>
          <w:tcPr>
            <w:tcW w:w="599" w:type="pct"/>
            <w:shd w:val="clear" w:color="auto" w:fill="auto"/>
          </w:tcPr>
          <w:p w:rsidR="00675B1D" w:rsidRPr="00346304" w:rsidRDefault="00675B1D" w:rsidP="001B4E97">
            <w:pPr>
              <w:pStyle w:val="Htableleft"/>
              <w:rPr>
                <w:rFonts w:cs="Arial"/>
                <w:color w:val="576C88" w:themeColor="text2" w:themeTint="D9"/>
                <w:szCs w:val="18"/>
                <w:highlight w:val="yellow"/>
              </w:rPr>
            </w:pPr>
          </w:p>
        </w:tc>
      </w:tr>
    </w:tbl>
    <w:p w:rsidR="00675B1D" w:rsidRPr="00346304" w:rsidRDefault="00675B1D" w:rsidP="009E75C6">
      <w:pPr>
        <w:pStyle w:val="HHeadingtables"/>
        <w:numPr>
          <w:ilvl w:val="0"/>
          <w:numId w:val="0"/>
        </w:numPr>
        <w:rPr>
          <w:highlight w:val="yellow"/>
        </w:rPr>
      </w:pPr>
    </w:p>
    <w:p w:rsidR="00675B1D" w:rsidRPr="00346304" w:rsidRDefault="00675B1D">
      <w:pPr>
        <w:spacing w:after="0" w:line="240" w:lineRule="auto"/>
        <w:rPr>
          <w:rFonts w:cs="Arial"/>
          <w:b/>
          <w:color w:val="576C88" w:themeColor="text2" w:themeTint="D9"/>
          <w:sz w:val="16"/>
          <w:szCs w:val="20"/>
          <w:highlight w:val="yellow"/>
        </w:rPr>
      </w:pPr>
      <w:r w:rsidRPr="00346304">
        <w:br w:type="page"/>
      </w:r>
    </w:p>
    <w:p w:rsidR="00675B1D" w:rsidRPr="00346304" w:rsidRDefault="00675B1D" w:rsidP="00D21174">
      <w:pPr>
        <w:pStyle w:val="HHeadingtables"/>
        <w:ind w:left="0"/>
        <w:rPr>
          <w:highlight w:val="yellow"/>
        </w:rPr>
      </w:pPr>
      <w:bookmarkStart w:id="161" w:name="_Toc451781914"/>
      <w:bookmarkStart w:id="162" w:name="_Toc461616771"/>
      <w:r w:rsidRPr="00346304">
        <w:rPr>
          <w:highlight w:val="yellow"/>
        </w:rPr>
        <w:lastRenderedPageBreak/>
        <w:t>Responsabilità delle parti interessate nella comunicazione e nel dare seguito in merito ai risultati della valutazione della RRN</w:t>
      </w:r>
      <w:bookmarkEnd w:id="161"/>
      <w:bookmarkEnd w:id="162"/>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20"/>
        <w:gridCol w:w="1539"/>
        <w:gridCol w:w="1360"/>
        <w:gridCol w:w="1710"/>
        <w:gridCol w:w="1295"/>
        <w:gridCol w:w="2497"/>
      </w:tblGrid>
      <w:tr w:rsidR="00675B1D" w:rsidRPr="00346304" w:rsidTr="00D21174">
        <w:tc>
          <w:tcPr>
            <w:tcW w:w="347" w:type="pct"/>
            <w:tcBorders>
              <w:top w:val="nil"/>
              <w:left w:val="nil"/>
              <w:bottom w:val="single" w:sz="4" w:space="0" w:color="000000" w:themeColor="text1"/>
            </w:tcBorders>
          </w:tcPr>
          <w:p w:rsidR="00675B1D" w:rsidRPr="00346304" w:rsidRDefault="00675B1D" w:rsidP="008B1515">
            <w:pPr>
              <w:jc w:val="right"/>
              <w:rPr>
                <w:b/>
                <w:szCs w:val="18"/>
                <w:highlight w:val="yellow"/>
              </w:rPr>
            </w:pPr>
          </w:p>
        </w:tc>
        <w:tc>
          <w:tcPr>
            <w:tcW w:w="837" w:type="pct"/>
            <w:shd w:val="clear" w:color="auto" w:fill="E7E6E6" w:themeFill="background2"/>
          </w:tcPr>
          <w:p w:rsidR="00675B1D" w:rsidRPr="00346304" w:rsidRDefault="00675B1D" w:rsidP="001413F0">
            <w:pPr>
              <w:jc w:val="center"/>
              <w:rPr>
                <w:b/>
                <w:color w:val="5B9BD5" w:themeColor="accent1"/>
                <w:szCs w:val="18"/>
                <w:highlight w:val="yellow"/>
              </w:rPr>
            </w:pPr>
            <w:r w:rsidRPr="00346304">
              <w:rPr>
                <w:b/>
                <w:color w:val="5B9BD5" w:themeColor="accent1"/>
                <w:highlight w:val="yellow"/>
              </w:rPr>
              <w:t>Azioni</w:t>
            </w:r>
          </w:p>
        </w:tc>
        <w:tc>
          <w:tcPr>
            <w:tcW w:w="3816" w:type="pct"/>
            <w:gridSpan w:val="4"/>
            <w:shd w:val="clear" w:color="auto" w:fill="E7E6E6" w:themeFill="background2"/>
          </w:tcPr>
          <w:p w:rsidR="00675B1D" w:rsidRPr="00346304" w:rsidRDefault="00675B1D" w:rsidP="001413F0">
            <w:pPr>
              <w:jc w:val="center"/>
              <w:rPr>
                <w:b/>
                <w:color w:val="5B9BD5" w:themeColor="accent1"/>
                <w:szCs w:val="18"/>
                <w:highlight w:val="yellow"/>
              </w:rPr>
            </w:pPr>
            <w:r w:rsidRPr="00346304">
              <w:rPr>
                <w:b/>
                <w:color w:val="5B9BD5" w:themeColor="accent1"/>
                <w:highlight w:val="yellow"/>
              </w:rPr>
              <w:t>Attori</w:t>
            </w:r>
          </w:p>
        </w:tc>
      </w:tr>
      <w:tr w:rsidR="00675B1D" w:rsidRPr="00346304" w:rsidTr="00D21174">
        <w:trPr>
          <w:cantSplit/>
          <w:trHeight w:val="1134"/>
        </w:trPr>
        <w:tc>
          <w:tcPr>
            <w:tcW w:w="347" w:type="pct"/>
            <w:shd w:val="clear" w:color="auto" w:fill="E7E6E6" w:themeFill="background2"/>
            <w:textDirection w:val="tbRl"/>
          </w:tcPr>
          <w:p w:rsidR="00675B1D" w:rsidRPr="00346304" w:rsidRDefault="00675B1D" w:rsidP="001413F0">
            <w:pPr>
              <w:ind w:left="113" w:right="113"/>
              <w:jc w:val="center"/>
              <w:rPr>
                <w:b/>
                <w:color w:val="5B9BD5" w:themeColor="accent1"/>
                <w:szCs w:val="18"/>
                <w:highlight w:val="yellow"/>
              </w:rPr>
            </w:pPr>
            <w:r w:rsidRPr="00346304">
              <w:rPr>
                <w:b/>
                <w:color w:val="5B9BD5" w:themeColor="accent1"/>
                <w:highlight w:val="yellow"/>
              </w:rPr>
              <w:t>Fase</w:t>
            </w:r>
          </w:p>
        </w:tc>
        <w:tc>
          <w:tcPr>
            <w:tcW w:w="837"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Passaggio</w:t>
            </w:r>
          </w:p>
        </w:tc>
        <w:tc>
          <w:tcPr>
            <w:tcW w:w="757" w:type="pct"/>
          </w:tcPr>
          <w:p w:rsidR="00675B1D" w:rsidRPr="00346304" w:rsidRDefault="00675B1D" w:rsidP="008B1515">
            <w:pPr>
              <w:rPr>
                <w:i/>
                <w:szCs w:val="18"/>
                <w:highlight w:val="yellow"/>
              </w:rPr>
            </w:pPr>
            <w:r w:rsidRPr="00346304">
              <w:rPr>
                <w:i/>
                <w:highlight w:val="yellow"/>
              </w:rPr>
              <w:t>Autorità di gestione</w:t>
            </w:r>
          </w:p>
        </w:tc>
        <w:tc>
          <w:tcPr>
            <w:tcW w:w="951" w:type="pct"/>
          </w:tcPr>
          <w:p w:rsidR="00675B1D" w:rsidRPr="00346304" w:rsidRDefault="00675B1D" w:rsidP="008B1515">
            <w:pPr>
              <w:rPr>
                <w:i/>
                <w:szCs w:val="18"/>
                <w:highlight w:val="yellow"/>
              </w:rPr>
            </w:pPr>
            <w:r w:rsidRPr="00346304">
              <w:rPr>
                <w:i/>
                <w:highlight w:val="yellow"/>
              </w:rPr>
              <w:t>Altre unità dell'autorità di gestione</w:t>
            </w:r>
          </w:p>
        </w:tc>
        <w:tc>
          <w:tcPr>
            <w:tcW w:w="721" w:type="pct"/>
          </w:tcPr>
          <w:p w:rsidR="00675B1D" w:rsidRPr="00346304" w:rsidRDefault="00675B1D" w:rsidP="008B1515">
            <w:pPr>
              <w:rPr>
                <w:i/>
                <w:szCs w:val="18"/>
                <w:highlight w:val="yellow"/>
              </w:rPr>
            </w:pPr>
            <w:r w:rsidRPr="00346304">
              <w:rPr>
                <w:i/>
                <w:highlight w:val="yellow"/>
              </w:rPr>
              <w:t>USR</w:t>
            </w:r>
          </w:p>
        </w:tc>
        <w:tc>
          <w:tcPr>
            <w:tcW w:w="1388" w:type="pct"/>
          </w:tcPr>
          <w:p w:rsidR="00675B1D" w:rsidRPr="00346304" w:rsidRDefault="00675B1D" w:rsidP="008B1515">
            <w:pPr>
              <w:rPr>
                <w:i/>
                <w:szCs w:val="18"/>
                <w:highlight w:val="yellow"/>
              </w:rPr>
            </w:pPr>
            <w:r w:rsidRPr="00346304">
              <w:rPr>
                <w:i/>
                <w:highlight w:val="yellow"/>
              </w:rPr>
              <w:t>Altri</w:t>
            </w:r>
          </w:p>
        </w:tc>
      </w:tr>
      <w:tr w:rsidR="00675B1D" w:rsidRPr="00346304" w:rsidTr="00D21174">
        <w:tc>
          <w:tcPr>
            <w:tcW w:w="347" w:type="pct"/>
            <w:vMerge w:val="restart"/>
            <w:shd w:val="clear" w:color="auto" w:fill="E7E6E6" w:themeFill="background2"/>
            <w:textDirection w:val="tbRl"/>
          </w:tcPr>
          <w:p w:rsidR="00675B1D" w:rsidRPr="00346304" w:rsidRDefault="00675B1D" w:rsidP="001413F0">
            <w:pPr>
              <w:ind w:left="113" w:right="113"/>
              <w:jc w:val="center"/>
              <w:rPr>
                <w:b/>
                <w:color w:val="5B9BD5" w:themeColor="accent1"/>
                <w:szCs w:val="18"/>
                <w:highlight w:val="yellow"/>
              </w:rPr>
            </w:pPr>
            <w:r w:rsidRPr="00346304">
              <w:rPr>
                <w:b/>
                <w:color w:val="5B9BD5" w:themeColor="accent1"/>
                <w:highlight w:val="yellow"/>
              </w:rPr>
              <w:t>Comunicazione e diffusione</w:t>
            </w:r>
          </w:p>
        </w:tc>
        <w:tc>
          <w:tcPr>
            <w:tcW w:w="837"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Comunicazione</w:t>
            </w:r>
          </w:p>
        </w:tc>
        <w:tc>
          <w:tcPr>
            <w:tcW w:w="757" w:type="pct"/>
          </w:tcPr>
          <w:p w:rsidR="00675B1D" w:rsidRPr="00346304" w:rsidRDefault="00675B1D" w:rsidP="008B1515">
            <w:pPr>
              <w:rPr>
                <w:szCs w:val="18"/>
                <w:highlight w:val="yellow"/>
              </w:rPr>
            </w:pPr>
            <w:r w:rsidRPr="00346304">
              <w:rPr>
                <w:highlight w:val="yellow"/>
              </w:rPr>
              <w:t>Responsabile / partecipa</w:t>
            </w:r>
          </w:p>
        </w:tc>
        <w:tc>
          <w:tcPr>
            <w:tcW w:w="951" w:type="pct"/>
          </w:tcPr>
          <w:p w:rsidR="00675B1D" w:rsidRPr="00346304" w:rsidRDefault="00675B1D" w:rsidP="008B1515">
            <w:pPr>
              <w:rPr>
                <w:szCs w:val="18"/>
                <w:highlight w:val="yellow"/>
              </w:rPr>
            </w:pPr>
            <w:r w:rsidRPr="00346304">
              <w:rPr>
                <w:highlight w:val="yellow"/>
              </w:rPr>
              <w:t>Se esiste l'unità di comunicazione, può partecipare</w:t>
            </w:r>
          </w:p>
        </w:tc>
        <w:tc>
          <w:tcPr>
            <w:tcW w:w="721" w:type="pct"/>
          </w:tcPr>
          <w:p w:rsidR="00675B1D" w:rsidRPr="00346304" w:rsidRDefault="00675B1D" w:rsidP="008B1515">
            <w:pPr>
              <w:rPr>
                <w:szCs w:val="18"/>
                <w:highlight w:val="yellow"/>
              </w:rPr>
            </w:pPr>
            <w:r w:rsidRPr="00346304">
              <w:rPr>
                <w:highlight w:val="yellow"/>
              </w:rPr>
              <w:t>Partecipa / responsabile</w:t>
            </w:r>
          </w:p>
        </w:tc>
        <w:tc>
          <w:tcPr>
            <w:tcW w:w="1388" w:type="pct"/>
          </w:tcPr>
          <w:p w:rsidR="00675B1D" w:rsidRPr="00346304" w:rsidRDefault="00675B1D" w:rsidP="008B1515">
            <w:pPr>
              <w:rPr>
                <w:szCs w:val="18"/>
                <w:highlight w:val="yellow"/>
              </w:rPr>
            </w:pPr>
          </w:p>
        </w:tc>
      </w:tr>
      <w:tr w:rsidR="00675B1D" w:rsidRPr="00346304" w:rsidTr="00D21174">
        <w:tc>
          <w:tcPr>
            <w:tcW w:w="347" w:type="pct"/>
            <w:vMerge/>
            <w:shd w:val="clear" w:color="auto" w:fill="E7E6E6" w:themeFill="background2"/>
          </w:tcPr>
          <w:p w:rsidR="00675B1D" w:rsidRPr="00346304" w:rsidRDefault="00675B1D" w:rsidP="008B1515">
            <w:pPr>
              <w:rPr>
                <w:szCs w:val="18"/>
                <w:highlight w:val="yellow"/>
              </w:rPr>
            </w:pPr>
          </w:p>
        </w:tc>
        <w:tc>
          <w:tcPr>
            <w:tcW w:w="837"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Diffusione</w:t>
            </w:r>
          </w:p>
        </w:tc>
        <w:tc>
          <w:tcPr>
            <w:tcW w:w="757" w:type="pct"/>
          </w:tcPr>
          <w:p w:rsidR="00675B1D" w:rsidRPr="00346304" w:rsidRDefault="00675B1D" w:rsidP="008B1515">
            <w:pPr>
              <w:rPr>
                <w:szCs w:val="18"/>
                <w:highlight w:val="yellow"/>
              </w:rPr>
            </w:pPr>
            <w:r w:rsidRPr="00346304">
              <w:rPr>
                <w:highlight w:val="yellow"/>
              </w:rPr>
              <w:t>Responsabile / partecipa</w:t>
            </w:r>
          </w:p>
        </w:tc>
        <w:tc>
          <w:tcPr>
            <w:tcW w:w="951" w:type="pct"/>
          </w:tcPr>
          <w:p w:rsidR="00675B1D" w:rsidRPr="00346304" w:rsidRDefault="00675B1D" w:rsidP="008B1515">
            <w:pPr>
              <w:rPr>
                <w:szCs w:val="18"/>
                <w:highlight w:val="yellow"/>
              </w:rPr>
            </w:pPr>
            <w:r w:rsidRPr="00346304">
              <w:rPr>
                <w:highlight w:val="yellow"/>
              </w:rPr>
              <w:t>Se esiste l'unità di comunicazione, può partecipare</w:t>
            </w:r>
          </w:p>
        </w:tc>
        <w:tc>
          <w:tcPr>
            <w:tcW w:w="721" w:type="pct"/>
          </w:tcPr>
          <w:p w:rsidR="00675B1D" w:rsidRPr="00346304" w:rsidRDefault="00675B1D" w:rsidP="008B1515">
            <w:pPr>
              <w:rPr>
                <w:szCs w:val="18"/>
                <w:highlight w:val="yellow"/>
              </w:rPr>
            </w:pPr>
            <w:r w:rsidRPr="00346304">
              <w:rPr>
                <w:highlight w:val="yellow"/>
              </w:rPr>
              <w:t>Partecipa / responsabile</w:t>
            </w:r>
          </w:p>
        </w:tc>
        <w:tc>
          <w:tcPr>
            <w:tcW w:w="1388" w:type="pct"/>
          </w:tcPr>
          <w:p w:rsidR="00675B1D" w:rsidRPr="00346304" w:rsidRDefault="00675B1D" w:rsidP="008B1515">
            <w:pPr>
              <w:rPr>
                <w:szCs w:val="18"/>
                <w:highlight w:val="yellow"/>
              </w:rPr>
            </w:pPr>
            <w:r w:rsidRPr="00346304">
              <w:rPr>
                <w:highlight w:val="yellow"/>
              </w:rPr>
              <w:t>GAL e autorità di gestione regionali possono diffondere le informazioni</w:t>
            </w:r>
          </w:p>
          <w:p w:rsidR="00675B1D" w:rsidRPr="00346304" w:rsidRDefault="00675B1D" w:rsidP="008B1515">
            <w:pPr>
              <w:rPr>
                <w:szCs w:val="18"/>
                <w:highlight w:val="yellow"/>
              </w:rPr>
            </w:pPr>
          </w:p>
        </w:tc>
      </w:tr>
      <w:tr w:rsidR="00675B1D" w:rsidRPr="00346304" w:rsidTr="00D21174">
        <w:trPr>
          <w:trHeight w:val="1885"/>
        </w:trPr>
        <w:tc>
          <w:tcPr>
            <w:tcW w:w="347" w:type="pct"/>
            <w:vMerge/>
            <w:shd w:val="clear" w:color="auto" w:fill="E7E6E6" w:themeFill="background2"/>
          </w:tcPr>
          <w:p w:rsidR="00675B1D" w:rsidRPr="00346304" w:rsidRDefault="00675B1D" w:rsidP="008B1515">
            <w:pPr>
              <w:rPr>
                <w:szCs w:val="18"/>
                <w:highlight w:val="yellow"/>
              </w:rPr>
            </w:pPr>
          </w:p>
        </w:tc>
        <w:tc>
          <w:tcPr>
            <w:tcW w:w="837" w:type="pct"/>
          </w:tcPr>
          <w:p w:rsidR="00675B1D" w:rsidRPr="00346304" w:rsidRDefault="00675B1D" w:rsidP="008B1515">
            <w:pPr>
              <w:rPr>
                <w:b/>
                <w:color w:val="E7E6E6" w:themeColor="background2"/>
                <w:szCs w:val="18"/>
                <w:highlight w:val="yellow"/>
              </w:rPr>
            </w:pPr>
            <w:r w:rsidRPr="00346304">
              <w:rPr>
                <w:b/>
                <w:color w:val="E7E6E6" w:themeColor="background2"/>
                <w:highlight w:val="yellow"/>
              </w:rPr>
              <w:t>Seguito</w:t>
            </w:r>
          </w:p>
        </w:tc>
        <w:tc>
          <w:tcPr>
            <w:tcW w:w="757" w:type="pct"/>
          </w:tcPr>
          <w:p w:rsidR="00675B1D" w:rsidRPr="00346304" w:rsidRDefault="00675B1D" w:rsidP="008B1515">
            <w:pPr>
              <w:rPr>
                <w:szCs w:val="18"/>
                <w:highlight w:val="yellow"/>
              </w:rPr>
            </w:pPr>
            <w:r w:rsidRPr="00346304">
              <w:rPr>
                <w:highlight w:val="yellow"/>
              </w:rPr>
              <w:t>Responsabile / partecipa</w:t>
            </w:r>
          </w:p>
        </w:tc>
        <w:tc>
          <w:tcPr>
            <w:tcW w:w="951" w:type="pct"/>
          </w:tcPr>
          <w:p w:rsidR="00675B1D" w:rsidRPr="00346304" w:rsidRDefault="00675B1D" w:rsidP="008B1515">
            <w:pPr>
              <w:rPr>
                <w:szCs w:val="18"/>
                <w:highlight w:val="yellow"/>
              </w:rPr>
            </w:pPr>
          </w:p>
        </w:tc>
        <w:tc>
          <w:tcPr>
            <w:tcW w:w="721" w:type="pct"/>
          </w:tcPr>
          <w:p w:rsidR="00675B1D" w:rsidRPr="00346304" w:rsidRDefault="00675B1D" w:rsidP="008B1515">
            <w:pPr>
              <w:rPr>
                <w:szCs w:val="18"/>
                <w:highlight w:val="yellow"/>
              </w:rPr>
            </w:pPr>
            <w:r w:rsidRPr="00346304">
              <w:rPr>
                <w:highlight w:val="yellow"/>
              </w:rPr>
              <w:t>Partecipa / responsabile</w:t>
            </w:r>
          </w:p>
        </w:tc>
        <w:tc>
          <w:tcPr>
            <w:tcW w:w="1388" w:type="pct"/>
          </w:tcPr>
          <w:p w:rsidR="00675B1D" w:rsidRPr="00346304" w:rsidRDefault="00675B1D" w:rsidP="008B1515">
            <w:pPr>
              <w:rPr>
                <w:szCs w:val="18"/>
              </w:rPr>
            </w:pPr>
            <w:r w:rsidRPr="00346304">
              <w:rPr>
                <w:highlight w:val="yellow"/>
              </w:rPr>
              <w:t>L'eventuale gruppo direttivo della RRN può intraprendere azioni e monitorare i progressi in relazione alle raccomandazioni di valutazione</w:t>
            </w:r>
          </w:p>
        </w:tc>
      </w:tr>
    </w:tbl>
    <w:p w:rsidR="00675B1D" w:rsidRPr="00346304" w:rsidRDefault="00675B1D" w:rsidP="00457F3C">
      <w:pPr>
        <w:pStyle w:val="HHeading1"/>
        <w:numPr>
          <w:ilvl w:val="0"/>
          <w:numId w:val="0"/>
        </w:numPr>
        <w:ind w:left="510"/>
      </w:pPr>
    </w:p>
    <w:p w:rsidR="00675B1D" w:rsidRPr="00E64639" w:rsidRDefault="00675B1D" w:rsidP="00642574">
      <w:pPr>
        <w:pStyle w:val="HHeading1"/>
        <w:rPr>
          <w:highlight w:val="yellow"/>
        </w:rPr>
      </w:pPr>
      <w:bookmarkStart w:id="163" w:name="_Toc436140051"/>
      <w:bookmarkStart w:id="164" w:name="_Toc443491677"/>
      <w:bookmarkStart w:id="165" w:name="_Toc453079763"/>
      <w:r w:rsidRPr="00E64639">
        <w:rPr>
          <w:highlight w:val="yellow"/>
        </w:rPr>
        <w:lastRenderedPageBreak/>
        <w:t>PARTE II - MANUALE METODOLOGICO</w:t>
      </w:r>
      <w:bookmarkEnd w:id="163"/>
      <w:bookmarkEnd w:id="164"/>
      <w:bookmarkEnd w:id="165"/>
    </w:p>
    <w:p w:rsidR="00675B1D" w:rsidRPr="00E64639" w:rsidRDefault="00675B1D" w:rsidP="00975D9B">
      <w:pPr>
        <w:pStyle w:val="HHeading5"/>
        <w:rPr>
          <w:highlight w:val="yellow"/>
        </w:rPr>
      </w:pPr>
      <w:r w:rsidRPr="00E64639">
        <w:rPr>
          <w:highlight w:val="yellow"/>
        </w:rPr>
        <w:t>A chi è destinata la PARTE II?</w:t>
      </w:r>
    </w:p>
    <w:p w:rsidR="00675B1D" w:rsidRPr="00E64639" w:rsidRDefault="00675B1D" w:rsidP="00320BBA">
      <w:pPr>
        <w:pStyle w:val="HStandard"/>
        <w:rPr>
          <w:highlight w:val="yellow"/>
        </w:rPr>
      </w:pPr>
      <w:r w:rsidRPr="00E64639">
        <w:rPr>
          <w:highlight w:val="yellow"/>
        </w:rPr>
        <w:t xml:space="preserve">Questa parte si rivolge anzitutto ai valutatori e a tutte le parti interessate agli aspetti metodologici della valutazione della RRN. Potrebbe essere di particolare interesse anche per i funzionari e gli esperti coinvolti nella redazione del capitolato d'oneri e per le persone coinvolte nella gestione delle RRN. </w:t>
      </w:r>
    </w:p>
    <w:p w:rsidR="00675B1D" w:rsidRPr="00E64639" w:rsidRDefault="00675B1D" w:rsidP="00320BBA">
      <w:pPr>
        <w:pStyle w:val="HStandard"/>
        <w:rPr>
          <w:highlight w:val="yellow"/>
        </w:rPr>
      </w:pPr>
      <w:r w:rsidRPr="00E64639">
        <w:rPr>
          <w:highlight w:val="yellow"/>
        </w:rPr>
        <w:t xml:space="preserve">Il manuale metodologico funge da guida per tutto il periodo, ossia per la RAA integrata 2017 e 2019 fino alla valutazione ex post, a prescindere dal fatto che la valutazione copra l'intera gamma di domande di valutazione o solo una parte specifica nel contesto di una valutazione tematica. </w:t>
      </w:r>
    </w:p>
    <w:p w:rsidR="00675B1D" w:rsidRPr="00E64639" w:rsidRDefault="00675B1D" w:rsidP="00320BBA">
      <w:pPr>
        <w:pStyle w:val="HStandard"/>
        <w:rPr>
          <w:highlight w:val="yellow"/>
        </w:rPr>
      </w:pPr>
      <w:r w:rsidRPr="00E64639">
        <w:rPr>
          <w:highlight w:val="yellow"/>
        </w:rPr>
        <w:t xml:space="preserve">La </w:t>
      </w:r>
      <w:r w:rsidRPr="00E64639">
        <w:rPr>
          <w:b/>
          <w:color w:val="E7E6E6" w:themeColor="background2"/>
          <w:highlight w:val="yellow"/>
        </w:rPr>
        <w:t>PARTE II</w:t>
      </w:r>
      <w:r w:rsidRPr="00E64639">
        <w:rPr>
          <w:highlight w:val="yellow"/>
        </w:rPr>
        <w:t xml:space="preserve"> fornisce orientamenti in merito a due opzioni di valutazione delle RRN: </w:t>
      </w:r>
    </w:p>
    <w:p w:rsidR="00675B1D" w:rsidRPr="00E64639" w:rsidRDefault="00675B1D" w:rsidP="004D1A84">
      <w:pPr>
        <w:pStyle w:val="Hlistbullet2"/>
        <w:rPr>
          <w:highlight w:val="yellow"/>
        </w:rPr>
      </w:pPr>
      <w:r w:rsidRPr="00E64639">
        <w:rPr>
          <w:highlight w:val="yellow"/>
        </w:rPr>
        <w:t>la valutazione della RRN come parte dell'assistenza tecnica nell'ambito del PSR;</w:t>
      </w:r>
    </w:p>
    <w:p w:rsidR="00675B1D" w:rsidRPr="00E64639" w:rsidRDefault="00675B1D" w:rsidP="004D1A84">
      <w:pPr>
        <w:pStyle w:val="Hlistbullet2"/>
        <w:rPr>
          <w:highlight w:val="yellow"/>
        </w:rPr>
      </w:pPr>
      <w:r w:rsidRPr="00E64639">
        <w:rPr>
          <w:highlight w:val="yellow"/>
        </w:rPr>
        <w:t>la valutazione indipendente (</w:t>
      </w:r>
      <w:r w:rsidRPr="00E64639">
        <w:rPr>
          <w:i/>
          <w:highlight w:val="yellow"/>
        </w:rPr>
        <w:t>stand-alone</w:t>
      </w:r>
      <w:r w:rsidRPr="00E64639">
        <w:rPr>
          <w:highlight w:val="yellow"/>
        </w:rPr>
        <w:t xml:space="preserve">), che comprende la valutazione di un programma di RRN (PRRN) o la valutazione indipendente della RRN anche se è parte di un PSR (come tema di valutazione autonomo). </w:t>
      </w:r>
    </w:p>
    <w:p w:rsidR="00675B1D" w:rsidRPr="00E64639" w:rsidRDefault="00675B1D" w:rsidP="00975D9B">
      <w:pPr>
        <w:pStyle w:val="HHeading5"/>
        <w:rPr>
          <w:highlight w:val="yellow"/>
        </w:rPr>
      </w:pPr>
      <w:r w:rsidRPr="00E64639">
        <w:rPr>
          <w:highlight w:val="yellow"/>
        </w:rPr>
        <w:t>Come è organizzata la PARTE II?</w:t>
      </w:r>
    </w:p>
    <w:p w:rsidR="00675B1D" w:rsidRPr="00E64639" w:rsidRDefault="00675B1D" w:rsidP="00320BBA">
      <w:pPr>
        <w:pStyle w:val="HStandard"/>
        <w:rPr>
          <w:highlight w:val="yellow"/>
        </w:rPr>
      </w:pPr>
      <w:r w:rsidRPr="00E64639">
        <w:rPr>
          <w:highlight w:val="yellow"/>
        </w:rPr>
        <w:t xml:space="preserve">La </w:t>
      </w:r>
      <w:r w:rsidRPr="00E64639">
        <w:rPr>
          <w:b/>
          <w:color w:val="E7E6E6" w:themeColor="background2"/>
          <w:highlight w:val="yellow"/>
        </w:rPr>
        <w:t>PARTE II</w:t>
      </w:r>
      <w:r w:rsidRPr="00E64639">
        <w:rPr>
          <w:highlight w:val="yellow"/>
        </w:rPr>
        <w:t xml:space="preserve"> è organizzata secondo la sequenza logica seguita nella valutazione del PSR, che si applica anche per la valutazione della RRN:</w:t>
      </w:r>
    </w:p>
    <w:p w:rsidR="00675B1D" w:rsidRPr="00E64639" w:rsidRDefault="00675B1D" w:rsidP="00975D9B">
      <w:pPr>
        <w:pStyle w:val="Hlistbullet2"/>
        <w:rPr>
          <w:highlight w:val="yellow"/>
        </w:rPr>
      </w:pPr>
      <w:r w:rsidRPr="00E64639">
        <w:rPr>
          <w:highlight w:val="yellow"/>
        </w:rPr>
        <w:t xml:space="preserve">nella </w:t>
      </w:r>
      <w:r w:rsidRPr="00E64639">
        <w:rPr>
          <w:b/>
          <w:highlight w:val="yellow"/>
        </w:rPr>
        <w:t>fase strutturale</w:t>
      </w:r>
      <w:r w:rsidRPr="00E64639">
        <w:rPr>
          <w:highlight w:val="yellow"/>
        </w:rPr>
        <w:t xml:space="preserve"> il valutatore imposta il metodo di valutazione, decide i metodi di valutazione e verifica se tutti i dati e le informazioni necessari per applicare i metodi scelti e per misurare i valori degli indicatori sono disponibili, e quali informazioni debbano ancora essere raccolte. </w:t>
      </w:r>
    </w:p>
    <w:p w:rsidR="00675B1D" w:rsidRPr="00E64639" w:rsidRDefault="00675B1D" w:rsidP="00975D9B">
      <w:pPr>
        <w:pStyle w:val="Hlistbullet2"/>
        <w:rPr>
          <w:highlight w:val="yellow"/>
        </w:rPr>
      </w:pPr>
      <w:r w:rsidRPr="00E64639">
        <w:rPr>
          <w:highlight w:val="yellow"/>
        </w:rPr>
        <w:t xml:space="preserve">Nella </w:t>
      </w:r>
      <w:r w:rsidRPr="00E64639">
        <w:rPr>
          <w:b/>
          <w:highlight w:val="yellow"/>
        </w:rPr>
        <w:t>fase di osservazione</w:t>
      </w:r>
      <w:r w:rsidRPr="00E64639">
        <w:rPr>
          <w:highlight w:val="yellow"/>
        </w:rPr>
        <w:t xml:space="preserve"> i dati e le informazioni vengono raccolti ed elaborati. </w:t>
      </w:r>
    </w:p>
    <w:p w:rsidR="00675B1D" w:rsidRPr="00E64639" w:rsidRDefault="00675B1D" w:rsidP="00975D9B">
      <w:pPr>
        <w:pStyle w:val="Hlistbullet2"/>
        <w:rPr>
          <w:highlight w:val="yellow"/>
        </w:rPr>
      </w:pPr>
      <w:r w:rsidRPr="00E64639">
        <w:rPr>
          <w:highlight w:val="yellow"/>
        </w:rPr>
        <w:t xml:space="preserve">Nella </w:t>
      </w:r>
      <w:r w:rsidRPr="00E64639">
        <w:rPr>
          <w:b/>
          <w:highlight w:val="yellow"/>
        </w:rPr>
        <w:t>fase di analisi</w:t>
      </w:r>
      <w:r w:rsidRPr="00E64639">
        <w:rPr>
          <w:highlight w:val="yellow"/>
        </w:rPr>
        <w:t xml:space="preserve"> gli indicatori sono quantificati con dati quantitativi oppure espressi con informazioni qualitative, utilizzando metodi e strumenti di valutazione.</w:t>
      </w:r>
    </w:p>
    <w:p w:rsidR="00675B1D" w:rsidRPr="00E64639" w:rsidRDefault="00675B1D" w:rsidP="00975D9B">
      <w:pPr>
        <w:pStyle w:val="Hlistbullet2"/>
        <w:rPr>
          <w:highlight w:val="yellow"/>
        </w:rPr>
      </w:pPr>
      <w:r w:rsidRPr="00E64639">
        <w:rPr>
          <w:highlight w:val="yellow"/>
        </w:rPr>
        <w:t xml:space="preserve">Nella </w:t>
      </w:r>
      <w:r w:rsidRPr="00E64639">
        <w:rPr>
          <w:b/>
          <w:highlight w:val="yellow"/>
        </w:rPr>
        <w:t xml:space="preserve">fase di giudizio </w:t>
      </w:r>
      <w:r w:rsidRPr="00E64639">
        <w:rPr>
          <w:highlight w:val="yellow"/>
        </w:rPr>
        <w:t xml:space="preserve">si interpretano i risultati quantitativi e qualitativi, si risponde alle domande di valutazione, si formulano conclusioni e raccomandazioni. </w:t>
      </w:r>
    </w:p>
    <w:p w:rsidR="00675B1D" w:rsidRPr="00E64639" w:rsidRDefault="00675B1D" w:rsidP="00064ACF">
      <w:pPr>
        <w:pStyle w:val="HHeadingfigures"/>
        <w:ind w:left="0"/>
        <w:rPr>
          <w:highlight w:val="yellow"/>
        </w:rPr>
      </w:pPr>
      <w:bookmarkStart w:id="166" w:name="_Toc436140072"/>
      <w:bookmarkStart w:id="167" w:name="_Toc436383164"/>
      <w:bookmarkStart w:id="168" w:name="_Ref439951238"/>
      <w:bookmarkStart w:id="169" w:name="_Toc451781936"/>
      <w:r w:rsidRPr="00E64639">
        <w:rPr>
          <w:highlight w:val="yellow"/>
        </w:rPr>
        <w:t>Le quattro fasi del processo di valutazione</w:t>
      </w:r>
      <w:bookmarkEnd w:id="166"/>
      <w:bookmarkEnd w:id="167"/>
      <w:bookmarkEnd w:id="168"/>
      <w:bookmarkEnd w:id="169"/>
    </w:p>
    <w:p w:rsidR="00675B1D" w:rsidRPr="00E64639" w:rsidRDefault="00675B1D" w:rsidP="00320BBA">
      <w:pPr>
        <w:pStyle w:val="HStandard"/>
        <w:jc w:val="center"/>
        <w:rPr>
          <w:highlight w:val="yellow"/>
        </w:rPr>
      </w:pPr>
      <w:r w:rsidRPr="00E64639">
        <w:rPr>
          <w:noProof/>
          <w:lang w:val="en-GB" w:eastAsia="en-GB" w:bidi="ar-SA"/>
        </w:rPr>
        <w:drawing>
          <wp:inline distT="0" distB="0" distL="0" distR="0" wp14:anchorId="3FBB41B3" wp14:editId="0DA913E4">
            <wp:extent cx="5731510" cy="2040890"/>
            <wp:effectExtent l="0" t="0" r="2540" b="0"/>
            <wp:docPr id="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1 - fig 1.em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040890"/>
                    </a:xfrm>
                    <a:prstGeom prst="rect">
                      <a:avLst/>
                    </a:prstGeom>
                  </pic:spPr>
                </pic:pic>
              </a:graphicData>
            </a:graphic>
          </wp:inline>
        </w:drawing>
      </w:r>
    </w:p>
    <w:p w:rsidR="00675B1D" w:rsidRPr="00E64639" w:rsidRDefault="00675B1D" w:rsidP="00320BBA">
      <w:pPr>
        <w:pStyle w:val="HSource"/>
        <w:rPr>
          <w:highlight w:val="yellow"/>
        </w:rPr>
      </w:pPr>
      <w:r w:rsidRPr="00E64639">
        <w:rPr>
          <w:highlight w:val="yellow"/>
        </w:rPr>
        <w:t>Fonte: Helpdesk europeo della valutazione per lo sviluppo rurale 2016</w:t>
      </w:r>
    </w:p>
    <w:p w:rsidR="00675B1D" w:rsidRPr="00E64639" w:rsidRDefault="00675B1D" w:rsidP="00320BBA">
      <w:pPr>
        <w:pStyle w:val="HStandard"/>
        <w:rPr>
          <w:highlight w:val="yellow"/>
        </w:rPr>
      </w:pPr>
      <w:r w:rsidRPr="00E64639">
        <w:rPr>
          <w:highlight w:val="yellow"/>
        </w:rPr>
        <w:t xml:space="preserve">Le quattro fasi non devono essere intese in senso strettamente cronologico. Nella pratica, infatti, si sovrappongono. Inoltre, si raccomanda di procedere per cicli, ad esempio se alcuni dati risultano essere inconcludenti per la domanda di valutazione (osservazione) potrebbe essere opportuno utilizzare una fonte di informazioni aggiuntiva nell'indagine (strutturazione). Ciò significa che l'intero processo </w:t>
      </w:r>
      <w:r w:rsidRPr="00E64639">
        <w:rPr>
          <w:highlight w:val="yellow"/>
        </w:rPr>
        <w:lastRenderedPageBreak/>
        <w:t>dovrebbe essere accompagnato da una meta-riflessione su come ogni fase si inserisca nel processo globale.</w:t>
      </w:r>
    </w:p>
    <w:p w:rsidR="00675B1D" w:rsidRPr="00E64639" w:rsidRDefault="00675B1D" w:rsidP="00642574">
      <w:pPr>
        <w:pStyle w:val="HHeading2"/>
        <w:rPr>
          <w:highlight w:val="yellow"/>
        </w:rPr>
      </w:pPr>
      <w:bookmarkStart w:id="170" w:name="_Toc433481216"/>
      <w:bookmarkStart w:id="171" w:name="_Toc433718130"/>
      <w:bookmarkStart w:id="172" w:name="_Toc434744496"/>
      <w:bookmarkStart w:id="173" w:name="_Toc434744497"/>
      <w:bookmarkStart w:id="174" w:name="_Toc436140052"/>
      <w:bookmarkStart w:id="175" w:name="_Toc443491678"/>
      <w:bookmarkStart w:id="176" w:name="_Toc453079764"/>
      <w:bookmarkEnd w:id="170"/>
      <w:bookmarkEnd w:id="171"/>
      <w:bookmarkEnd w:id="172"/>
      <w:r w:rsidRPr="00E64639">
        <w:rPr>
          <w:highlight w:val="yellow"/>
        </w:rPr>
        <w:t>STRUTTURAZIONE: Progettare il quadro per la valutazione della RRN</w:t>
      </w:r>
      <w:bookmarkEnd w:id="173"/>
      <w:bookmarkEnd w:id="174"/>
      <w:bookmarkEnd w:id="175"/>
      <w:bookmarkEnd w:id="176"/>
    </w:p>
    <w:p w:rsidR="00675B1D" w:rsidRPr="00D75B1B" w:rsidRDefault="00675B1D" w:rsidP="00320BBA">
      <w:pPr>
        <w:pStyle w:val="HStandard"/>
        <w:rPr>
          <w:lang w:val="en-GB"/>
        </w:rPr>
      </w:pPr>
      <w:r w:rsidRPr="00D75B1B">
        <w:rPr>
          <w:lang w:val="en-GB"/>
        </w:rP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rsidRPr="00E64639">
        <w:fldChar w:fldCharType="begin" w:fldLock="1"/>
      </w:r>
      <w:r w:rsidRPr="00D75B1B">
        <w:rPr>
          <w:lang w:val="en-GB"/>
        </w:rPr>
        <w:instrText xml:space="preserve"> REF _Ref433724277 \r \h  \* MERGEFORMAT </w:instrText>
      </w:r>
      <w:r w:rsidRPr="00E64639">
        <w:fldChar w:fldCharType="separate"/>
      </w:r>
      <w:r w:rsidRPr="00D75B1B">
        <w:rPr>
          <w:lang w:val="en-GB"/>
        </w:rPr>
        <w:t>Figure 19</w:t>
      </w:r>
      <w:r w:rsidRPr="00E64639">
        <w:fldChar w:fldCharType="end"/>
      </w:r>
      <w:r w:rsidRPr="00D75B1B">
        <w:rPr>
          <w:lang w:val="en-GB"/>
        </w:rPr>
        <w:t>):</w:t>
      </w:r>
    </w:p>
    <w:p w:rsidR="00675B1D" w:rsidRPr="00D75B1B" w:rsidRDefault="00675B1D" w:rsidP="00320BBA">
      <w:pPr>
        <w:pStyle w:val="Hlistbullet2"/>
        <w:rPr>
          <w:lang w:val="en-GB"/>
        </w:rPr>
      </w:pPr>
      <w:r w:rsidRPr="00D75B1B">
        <w:rPr>
          <w:lang w:val="en-GB"/>
        </w:rPr>
        <w:t>Revisit the coherence and relevance of the intervention logic</w:t>
      </w:r>
    </w:p>
    <w:p w:rsidR="00675B1D" w:rsidRPr="00D75B1B" w:rsidRDefault="00675B1D" w:rsidP="00320BBA">
      <w:pPr>
        <w:pStyle w:val="Hlistbullet2"/>
        <w:rPr>
          <w:lang w:val="en-GB"/>
        </w:rPr>
      </w:pPr>
      <w:r w:rsidRPr="00D75B1B">
        <w:rPr>
          <w:lang w:val="en-GB"/>
        </w:rPr>
        <w:t>Review the consistency of evaluation questions and indicators with the intervention logic</w:t>
      </w:r>
    </w:p>
    <w:p w:rsidR="00675B1D" w:rsidRPr="00D75B1B" w:rsidRDefault="00675B1D" w:rsidP="00320BBA">
      <w:pPr>
        <w:pStyle w:val="Hlistbullet2"/>
        <w:rPr>
          <w:lang w:val="en-GB"/>
        </w:rPr>
      </w:pPr>
      <w:r w:rsidRPr="00D75B1B">
        <w:rPr>
          <w:lang w:val="en-GB"/>
        </w:rPr>
        <w:t>Choose the appropriate evaluation approach, method(s) and tools</w:t>
      </w:r>
    </w:p>
    <w:p w:rsidR="00675B1D" w:rsidRPr="00D75B1B" w:rsidRDefault="00675B1D" w:rsidP="00320BBA">
      <w:pPr>
        <w:pStyle w:val="Hlistbullet2"/>
        <w:rPr>
          <w:lang w:val="en-GB"/>
        </w:rPr>
      </w:pPr>
      <w:r w:rsidRPr="00D75B1B">
        <w:rPr>
          <w:lang w:val="en-GB"/>
        </w:rPr>
        <w:t>Establish the evidence for evaluation.</w:t>
      </w:r>
    </w:p>
    <w:p w:rsidR="00675B1D" w:rsidRPr="00D75B1B" w:rsidRDefault="00675B1D" w:rsidP="00320BBA">
      <w:pPr>
        <w:pStyle w:val="HHeadingfigures"/>
        <w:rPr>
          <w:lang w:val="en-GB"/>
        </w:rPr>
      </w:pPr>
      <w:bookmarkStart w:id="177" w:name="_Toc436383165"/>
      <w:bookmarkStart w:id="178" w:name="_Toc436140073"/>
      <w:bookmarkStart w:id="179" w:name="_Toc451781937"/>
      <w:r w:rsidRPr="00D75B1B">
        <w:rPr>
          <w:lang w:val="en-GB"/>
        </w:rPr>
        <w:t>The structuring phase</w:t>
      </w:r>
      <w:bookmarkEnd w:id="177"/>
      <w:r w:rsidRPr="00D75B1B">
        <w:rPr>
          <w:lang w:val="en-GB"/>
        </w:rPr>
        <w:t xml:space="preserve"> </w:t>
      </w:r>
      <w:bookmarkEnd w:id="178"/>
      <w:r w:rsidRPr="00D75B1B">
        <w:rPr>
          <w:lang w:val="en-GB"/>
        </w:rPr>
        <w:t>in four steps</w:t>
      </w:r>
      <w:bookmarkEnd w:id="179"/>
    </w:p>
    <w:p w:rsidR="00675B1D" w:rsidRPr="00E64639" w:rsidRDefault="00675B1D" w:rsidP="00320BBA">
      <w:pPr>
        <w:jc w:val="center"/>
      </w:pPr>
      <w:r w:rsidRPr="00E64639">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E64639" w:rsidRDefault="00675B1D" w:rsidP="00642574">
      <w:pPr>
        <w:pStyle w:val="HHeading3"/>
        <w:rPr>
          <w:highlight w:val="yellow"/>
        </w:rPr>
      </w:pPr>
      <w:bookmarkStart w:id="180" w:name="_Toc434744498"/>
      <w:bookmarkStart w:id="181" w:name="_Toc436140053"/>
      <w:bookmarkStart w:id="182" w:name="_Toc443491679"/>
      <w:bookmarkStart w:id="183" w:name="_Toc453079765"/>
      <w:r w:rsidRPr="00E64639">
        <w:rPr>
          <w:highlight w:val="yellow"/>
        </w:rPr>
        <w:t>Riesaminare la logica di intervento della RRN</w:t>
      </w:r>
      <w:bookmarkEnd w:id="180"/>
      <w:bookmarkEnd w:id="181"/>
      <w:bookmarkEnd w:id="182"/>
      <w:bookmarkEnd w:id="183"/>
      <w:r w:rsidRPr="00E64639">
        <w:rPr>
          <w:highlight w:val="yellow"/>
        </w:rPr>
        <w:t xml:space="preserve"> (/del PRRN)</w:t>
      </w:r>
    </w:p>
    <w:p w:rsidR="00675B1D" w:rsidRPr="00D75B1B" w:rsidRDefault="00675B1D" w:rsidP="00975D9B">
      <w:pPr>
        <w:pStyle w:val="HHeading5"/>
        <w:rPr>
          <w:lang w:val="en-GB"/>
        </w:rPr>
      </w:pPr>
      <w:r w:rsidRPr="00D75B1B">
        <w:rPr>
          <w:lang w:val="en-GB"/>
        </w:rPr>
        <w:t>Is there always an explicit intervention logic?</w:t>
      </w:r>
    </w:p>
    <w:p w:rsidR="00675B1D" w:rsidRPr="00D75B1B" w:rsidRDefault="00675B1D" w:rsidP="00320BBA">
      <w:pPr>
        <w:pStyle w:val="HStandard"/>
        <w:rPr>
          <w:lang w:val="en-GB"/>
        </w:rPr>
      </w:pPr>
      <w:r w:rsidRPr="00D75B1B">
        <w:rPr>
          <w:lang w:val="en-GB"/>
        </w:rPr>
        <w:t xml:space="preserve">By default, the intervention logic of NRNPs has been constructed during the programme design phase and its consistency and relevance assessed during the ex ante evaluation (See: </w:t>
      </w:r>
      <w:r w:rsidRPr="00D75B1B">
        <w:rPr>
          <w:b/>
          <w:color w:val="E7E6E6" w:themeColor="background2"/>
          <w:lang w:val="en-GB"/>
        </w:rPr>
        <w:t>PART I</w:t>
      </w:r>
      <w:r w:rsidRPr="00D75B1B">
        <w:rPr>
          <w:lang w:val="en-GB"/>
        </w:rPr>
        <w:t>, chapter 2.2.2).</w:t>
      </w:r>
    </w:p>
    <w:p w:rsidR="00675B1D" w:rsidRPr="00D75B1B" w:rsidRDefault="00675B1D" w:rsidP="00320BBA">
      <w:pPr>
        <w:pStyle w:val="HStandard"/>
        <w:rPr>
          <w:lang w:val="en-GB"/>
        </w:rPr>
      </w:pPr>
      <w:r w:rsidRPr="00D75B1B">
        <w:rPr>
          <w:lang w:val="en-GB"/>
        </w:rP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D75B1B">
        <w:rPr>
          <w:b/>
          <w:color w:val="E7E6E6" w:themeColor="background2"/>
          <w:lang w:val="en-GB"/>
        </w:rPr>
        <w:t>PART I</w:t>
      </w:r>
      <w:r w:rsidRPr="00D75B1B">
        <w:rPr>
          <w:lang w:val="en-GB"/>
        </w:rPr>
        <w:t xml:space="preserve">, Chapter 2.2.2). </w:t>
      </w:r>
    </w:p>
    <w:p w:rsidR="00675B1D" w:rsidRPr="00D75B1B" w:rsidRDefault="00675B1D" w:rsidP="00320BBA">
      <w:pPr>
        <w:pStyle w:val="HStandard"/>
        <w:rPr>
          <w:lang w:val="en-GB"/>
        </w:rPr>
      </w:pPr>
      <w:r w:rsidRPr="00D75B1B">
        <w:rPr>
          <w:lang w:val="en-GB"/>
        </w:rP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D75B1B">
        <w:rPr>
          <w:i/>
          <w:lang w:val="en-GB"/>
        </w:rPr>
        <w:t xml:space="preserve"> </w:t>
      </w:r>
      <w:r w:rsidRPr="00D75B1B">
        <w:rPr>
          <w:lang w:val="en-GB"/>
        </w:rPr>
        <w:lastRenderedPageBreak/>
        <w:t>done, how could it be modelled</w:t>
      </w:r>
      <w:r w:rsidRPr="00D75B1B">
        <w:rPr>
          <w:i/>
          <w:lang w:val="en-GB"/>
        </w:rPr>
        <w:t>?”</w:t>
      </w:r>
      <w:r w:rsidRPr="00D75B1B">
        <w:rPr>
          <w:lang w:val="en-GB"/>
        </w:rPr>
        <w:t xml:space="preserve"> </w:t>
      </w:r>
      <w:r w:rsidRPr="00D75B1B">
        <w:rPr>
          <w:b/>
          <w:color w:val="E7E6E6" w:themeColor="background2"/>
          <w:lang w:val="en-GB"/>
        </w:rPr>
        <w:t>PART I</w:t>
      </w:r>
      <w:r w:rsidRPr="00D75B1B">
        <w:rPr>
          <w:lang w:val="en-GB"/>
        </w:rPr>
        <w:t>, chapter 2.2.2 offers guidance on the construction of the intervention logic by the NSU/MA during the preparation phase of the evaluation.</w:t>
      </w:r>
    </w:p>
    <w:p w:rsidR="00675B1D" w:rsidRPr="00D75B1B" w:rsidRDefault="00675B1D" w:rsidP="00975D9B">
      <w:pPr>
        <w:pStyle w:val="HHeading5"/>
        <w:rPr>
          <w:lang w:val="en-GB"/>
        </w:rPr>
      </w:pPr>
      <w:r w:rsidRPr="00D75B1B">
        <w:rPr>
          <w:lang w:val="en-GB"/>
        </w:rPr>
        <w:t>What is meant by the theory of change?</w:t>
      </w:r>
    </w:p>
    <w:p w:rsidR="00675B1D" w:rsidRPr="00E64639" w:rsidRDefault="00675B1D" w:rsidP="00320BBA">
      <w:pPr>
        <w:pStyle w:val="HStandard"/>
      </w:pPr>
      <w:r w:rsidRPr="00E64639">
        <w:t xml:space="preserve">The </w:t>
      </w:r>
      <w:r w:rsidRPr="00E64639">
        <w:rPr>
          <w:b/>
        </w:rPr>
        <w:t>theory of change</w:t>
      </w:r>
      <w:r w:rsidRPr="00E64639">
        <w:rPr>
          <w:rFonts w:ascii="ZWAdobeF" w:hAnsi="ZWAdobeF"/>
          <w:color w:val="auto"/>
          <w:sz w:val="2"/>
        </w:rPr>
        <w:t>86F</w:t>
      </w:r>
      <w:r w:rsidRPr="00E64639">
        <w:rPr>
          <w:rStyle w:val="FootnoteReference"/>
        </w:rPr>
        <w:footnoteReference w:id="87"/>
      </w:r>
      <w:r w:rsidRPr="00E64639">
        <w:t>:</w:t>
      </w:r>
    </w:p>
    <w:p w:rsidR="00675B1D" w:rsidRPr="00D75B1B" w:rsidRDefault="00675B1D" w:rsidP="004C05DD">
      <w:pPr>
        <w:pStyle w:val="Hlistbullet2"/>
        <w:rPr>
          <w:lang w:val="en-GB"/>
        </w:rPr>
      </w:pPr>
      <w:r w:rsidRPr="00D75B1B">
        <w:rPr>
          <w:lang w:val="en-GB"/>
        </w:rPr>
        <w:t>rests on the assumption that NRNs and NRNPs are based on the explicit or implicit theory of policy makers concerning how and why NRN activities lead to the intended changes anticipated;</w:t>
      </w:r>
    </w:p>
    <w:p w:rsidR="00675B1D" w:rsidRPr="00D75B1B" w:rsidRDefault="00675B1D" w:rsidP="004C05DD">
      <w:pPr>
        <w:pStyle w:val="Hlistbullet2"/>
        <w:rPr>
          <w:lang w:val="en-GB"/>
        </w:rPr>
      </w:pPr>
      <w:r w:rsidRPr="00D75B1B">
        <w:rPr>
          <w:lang w:val="en-GB"/>
        </w:rP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675B1D" w:rsidRPr="00D75B1B" w:rsidRDefault="00675B1D" w:rsidP="004C05DD">
      <w:pPr>
        <w:pStyle w:val="HStandard"/>
        <w:rPr>
          <w:color w:val="538135" w:themeColor="accent6" w:themeShade="BF"/>
          <w:lang w:val="en-GB"/>
        </w:rPr>
      </w:pPr>
      <w:r w:rsidRPr="00D75B1B">
        <w:rPr>
          <w:lang w:val="en-GB"/>
        </w:rPr>
        <w:t>In rural development evaluation, the theory of change is depicted as a model, which we call intervention logic</w:t>
      </w:r>
      <w:r w:rsidRPr="00D75B1B">
        <w:rPr>
          <w:rFonts w:ascii="ZWAdobeF" w:hAnsi="ZWAdobeF"/>
          <w:color w:val="auto"/>
          <w:sz w:val="2"/>
          <w:lang w:val="en-GB"/>
        </w:rPr>
        <w:t>87F</w:t>
      </w:r>
      <w:r w:rsidRPr="00E64639">
        <w:rPr>
          <w:rStyle w:val="FootnoteReference"/>
        </w:rPr>
        <w:footnoteReference w:id="88"/>
      </w:r>
      <w:r w:rsidRPr="00D75B1B">
        <w:rPr>
          <w:lang w:val="en-GB"/>
        </w:rPr>
        <w:t xml:space="preserve">. </w:t>
      </w:r>
    </w:p>
    <w:p w:rsidR="00675B1D" w:rsidRPr="00D75B1B" w:rsidRDefault="00675B1D" w:rsidP="00975D9B">
      <w:pPr>
        <w:pStyle w:val="HHeading5"/>
        <w:rPr>
          <w:lang w:val="en-GB"/>
        </w:rPr>
      </w:pPr>
      <w:r w:rsidRPr="00D75B1B">
        <w:rPr>
          <w:lang w:val="en-GB"/>
        </w:rPr>
        <w:t>How should the intervention logic be revisited?</w:t>
      </w:r>
    </w:p>
    <w:p w:rsidR="00675B1D" w:rsidRPr="00D75B1B" w:rsidRDefault="00675B1D" w:rsidP="004C05DD">
      <w:pPr>
        <w:pStyle w:val="HStandard"/>
        <w:rPr>
          <w:lang w:val="en-GB"/>
        </w:rPr>
      </w:pPr>
      <w:r w:rsidRPr="00D75B1B">
        <w:rPr>
          <w:lang w:val="en-GB"/>
        </w:rPr>
        <w:t xml:space="preserve">The structuring phase starts with revisiting (validating) the NRN intervention logic. It is necessary to re-check the relevance and coherence of the intervention logic with regard to the NRN objectives and Action Plan. </w:t>
      </w:r>
    </w:p>
    <w:p w:rsidR="00675B1D" w:rsidRPr="00D75B1B" w:rsidRDefault="00675B1D" w:rsidP="004C05DD">
      <w:pPr>
        <w:pStyle w:val="HStandard"/>
        <w:rPr>
          <w:lang w:val="en-GB"/>
        </w:rPr>
      </w:pPr>
      <w:r w:rsidRPr="00D75B1B">
        <w:rPr>
          <w:lang w:val="en-GB"/>
        </w:rP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675B1D" w:rsidRPr="00D75B1B" w:rsidRDefault="00675B1D" w:rsidP="004C05DD">
      <w:pPr>
        <w:pStyle w:val="HStandard"/>
        <w:rPr>
          <w:lang w:val="en-GB"/>
        </w:rPr>
      </w:pPr>
      <w:r w:rsidRPr="00D75B1B">
        <w:rPr>
          <w:lang w:val="en-GB"/>
        </w:rP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4C05DD">
        <w:tc>
          <w:tcPr>
            <w:tcW w:w="9016" w:type="dxa"/>
            <w:shd w:val="clear" w:color="auto" w:fill="F5F4F4" w:themeFill="background2" w:themeFillTint="66"/>
          </w:tcPr>
          <w:p w:rsidR="00675B1D" w:rsidRPr="00E64639" w:rsidRDefault="00675B1D" w:rsidP="004C05DD">
            <w:pPr>
              <w:pStyle w:val="HStandard"/>
              <w:rPr>
                <w:highlight w:val="yellow"/>
              </w:rPr>
            </w:pPr>
            <w:r w:rsidRPr="00E64639">
              <w:rPr>
                <w:highlight w:val="yellow"/>
              </w:rPr>
              <w:t xml:space="preserve">Le domande chiave che guidano il riesame della logica di intervento sono: </w:t>
            </w:r>
          </w:p>
          <w:p w:rsidR="00675B1D" w:rsidRPr="00E64639" w:rsidRDefault="00675B1D" w:rsidP="00675B1D">
            <w:pPr>
              <w:pStyle w:val="Hlistbullet"/>
              <w:rPr>
                <w:highlight w:val="yellow"/>
              </w:rPr>
            </w:pPr>
            <w:r w:rsidRPr="00E64639">
              <w:rPr>
                <w:highlight w:val="yellow"/>
              </w:rPr>
              <w:t xml:space="preserve">ci sono stati cambiamenti riguardanti il contesto e le esigenze inizialmente identificati? </w:t>
            </w:r>
          </w:p>
          <w:p w:rsidR="00675B1D" w:rsidRPr="00E64639" w:rsidRDefault="00675B1D" w:rsidP="00675B1D">
            <w:pPr>
              <w:pStyle w:val="Hlistbullet"/>
              <w:rPr>
                <w:highlight w:val="yellow"/>
              </w:rPr>
            </w:pPr>
            <w:r>
              <w:rPr>
                <w:highlight w:val="yellow"/>
              </w:rPr>
              <w:t>S</w:t>
            </w:r>
            <w:r w:rsidRPr="00E64639">
              <w:rPr>
                <w:highlight w:val="yellow"/>
              </w:rPr>
              <w:t xml:space="preserve">ono stati presi in considerazione tutti gli obiettivi (strategici) generali? </w:t>
            </w:r>
          </w:p>
          <w:p w:rsidR="00675B1D" w:rsidRPr="00E64639" w:rsidRDefault="00675B1D" w:rsidP="00675B1D">
            <w:pPr>
              <w:pStyle w:val="Hlistbullet"/>
              <w:rPr>
                <w:highlight w:val="yellow"/>
              </w:rPr>
            </w:pPr>
            <w:r>
              <w:rPr>
                <w:highlight w:val="yellow"/>
              </w:rPr>
              <w:t>T</w:t>
            </w:r>
            <w:r w:rsidRPr="00E64639">
              <w:rPr>
                <w:highlight w:val="yellow"/>
              </w:rPr>
              <w:t xml:space="preserve">utti gli obiettivi specifici e operativi sono identificati ed etichettati correttamente? </w:t>
            </w:r>
          </w:p>
          <w:p w:rsidR="00675B1D" w:rsidRPr="00E64639" w:rsidRDefault="00675B1D" w:rsidP="00675B1D">
            <w:pPr>
              <w:pStyle w:val="Hlistbullet"/>
              <w:rPr>
                <w:highlight w:val="yellow"/>
              </w:rPr>
            </w:pPr>
            <w:r>
              <w:rPr>
                <w:highlight w:val="yellow"/>
              </w:rPr>
              <w:t>S</w:t>
            </w:r>
            <w:r w:rsidRPr="00E64639">
              <w:rPr>
                <w:highlight w:val="yellow"/>
              </w:rPr>
              <w:t>ono stati presi in considerazione tutti i gruppi di azioni (comuni e specifici della RRN)?</w:t>
            </w:r>
          </w:p>
          <w:p w:rsidR="00675B1D" w:rsidRPr="00E64639" w:rsidRDefault="00675B1D" w:rsidP="00675B1D">
            <w:pPr>
              <w:pStyle w:val="Hlistbullet"/>
              <w:rPr>
                <w:highlight w:val="yellow"/>
              </w:rPr>
            </w:pPr>
            <w:r>
              <w:rPr>
                <w:highlight w:val="yellow"/>
              </w:rPr>
              <w:t>O</w:t>
            </w:r>
            <w:r w:rsidRPr="00E64639">
              <w:rPr>
                <w:highlight w:val="yellow"/>
              </w:rPr>
              <w:t xml:space="preserve">gni obiettivo operativo è collegato a un prodotto adatto? </w:t>
            </w:r>
          </w:p>
          <w:p w:rsidR="00675B1D" w:rsidRPr="00E64639" w:rsidRDefault="00675B1D" w:rsidP="00675B1D">
            <w:pPr>
              <w:pStyle w:val="Hlistbullet"/>
              <w:rPr>
                <w:highlight w:val="yellow"/>
              </w:rPr>
            </w:pPr>
            <w:r>
              <w:rPr>
                <w:highlight w:val="yellow"/>
              </w:rPr>
              <w:t>O</w:t>
            </w:r>
            <w:r w:rsidRPr="00E64639">
              <w:rPr>
                <w:highlight w:val="yellow"/>
              </w:rPr>
              <w:t>gni obiettivo specifico è collegato a un risultato adatto?</w:t>
            </w:r>
          </w:p>
          <w:p w:rsidR="00675B1D" w:rsidRPr="00E64639" w:rsidRDefault="00675B1D" w:rsidP="00675B1D">
            <w:pPr>
              <w:pStyle w:val="Hlistbullet"/>
              <w:rPr>
                <w:highlight w:val="yellow"/>
              </w:rPr>
            </w:pPr>
            <w:r>
              <w:rPr>
                <w:highlight w:val="yellow"/>
              </w:rPr>
              <w:t>G</w:t>
            </w:r>
            <w:r w:rsidRPr="00E64639">
              <w:rPr>
                <w:highlight w:val="yellow"/>
              </w:rPr>
              <w:t>li impatti individuati sono conformi agli obiettivi generali?</w:t>
            </w:r>
          </w:p>
        </w:tc>
      </w:tr>
    </w:tbl>
    <w:p w:rsidR="00675B1D" w:rsidRPr="00E64639" w:rsidRDefault="00675B1D" w:rsidP="00975D9B">
      <w:pPr>
        <w:pStyle w:val="HHeading5"/>
        <w:rPr>
          <w:highlight w:val="yellow"/>
        </w:rPr>
      </w:pPr>
      <w:r w:rsidRPr="00E64639">
        <w:rPr>
          <w:highlight w:val="yellow"/>
        </w:rPr>
        <w:t xml:space="preserve">Quali sono le tappe principali nel riesaminare la </w:t>
      </w:r>
      <w:r w:rsidRPr="00E64639">
        <w:rPr>
          <w:rStyle w:val="Heading6Char"/>
          <w:highlight w:val="yellow"/>
        </w:rPr>
        <w:t>l</w:t>
      </w:r>
      <w:r w:rsidRPr="00E64639">
        <w:rPr>
          <w:highlight w:val="yellow"/>
        </w:rPr>
        <w:t>ogica di intervento della RRN?</w:t>
      </w:r>
    </w:p>
    <w:p w:rsidR="00675B1D" w:rsidRPr="00E64639" w:rsidRDefault="00675B1D" w:rsidP="004C05DD">
      <w:pPr>
        <w:pStyle w:val="HStandard"/>
        <w:rPr>
          <w:highlight w:val="yellow"/>
        </w:rPr>
      </w:pPr>
      <w:r w:rsidRPr="00E64639">
        <w:rPr>
          <w:highlight w:val="yellow"/>
        </w:rPr>
        <w:t xml:space="preserve">Le tappe consigliate per riesaminare la logica di intervento della RRN e i relativi esiti attesi sono: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E64639" w:rsidTr="004C05DD">
        <w:tc>
          <w:tcPr>
            <w:tcW w:w="988" w:type="dxa"/>
            <w:shd w:val="clear" w:color="auto" w:fill="E7E6E6" w:themeFill="background2"/>
          </w:tcPr>
          <w:p w:rsidR="00675B1D" w:rsidRPr="00E64639" w:rsidRDefault="00675B1D" w:rsidP="004C05DD">
            <w:pPr>
              <w:pStyle w:val="HStandard"/>
              <w:jc w:val="center"/>
              <w:rPr>
                <w:b/>
                <w:color w:val="FFFFFF"/>
                <w:sz w:val="18"/>
                <w:szCs w:val="18"/>
                <w:highlight w:val="yellow"/>
              </w:rPr>
            </w:pPr>
            <w:r w:rsidRPr="00E64639">
              <w:rPr>
                <w:b/>
                <w:color w:val="FFFFFF"/>
                <w:sz w:val="18"/>
                <w:highlight w:val="yellow"/>
              </w:rPr>
              <w:t>1</w:t>
            </w:r>
          </w:p>
        </w:tc>
        <w:tc>
          <w:tcPr>
            <w:tcW w:w="8028" w:type="dxa"/>
          </w:tcPr>
          <w:p w:rsidR="00675B1D" w:rsidRPr="00E64639" w:rsidRDefault="00675B1D" w:rsidP="00A80A32">
            <w:pPr>
              <w:pStyle w:val="Hlistbullet"/>
              <w:numPr>
                <w:ilvl w:val="0"/>
                <w:numId w:val="0"/>
              </w:numPr>
              <w:spacing w:before="0" w:line="280" w:lineRule="atLeast"/>
              <w:jc w:val="left"/>
              <w:rPr>
                <w:sz w:val="18"/>
                <w:szCs w:val="18"/>
                <w:highlight w:val="yellow"/>
              </w:rPr>
            </w:pPr>
            <w:r w:rsidRPr="00E64639">
              <w:rPr>
                <w:sz w:val="18"/>
                <w:highlight w:val="yellow"/>
              </w:rPr>
              <w:t>valutare i cambiamenti in termini di contesto e esigenze specifiche del territorio in cui la RRN opera;</w:t>
            </w:r>
          </w:p>
        </w:tc>
      </w:tr>
      <w:tr w:rsidR="00675B1D" w:rsidRPr="00E64639" w:rsidTr="004C05DD">
        <w:tc>
          <w:tcPr>
            <w:tcW w:w="988" w:type="dxa"/>
            <w:shd w:val="clear" w:color="auto" w:fill="E7E6E6" w:themeFill="background2"/>
          </w:tcPr>
          <w:p w:rsidR="00675B1D" w:rsidRPr="00E64639" w:rsidRDefault="00675B1D" w:rsidP="004C05DD">
            <w:pPr>
              <w:pStyle w:val="HStandard"/>
              <w:jc w:val="center"/>
              <w:rPr>
                <w:b/>
                <w:color w:val="FFFFFF"/>
                <w:sz w:val="18"/>
                <w:szCs w:val="18"/>
                <w:highlight w:val="yellow"/>
              </w:rPr>
            </w:pPr>
            <w:r w:rsidRPr="00E64639">
              <w:rPr>
                <w:b/>
                <w:color w:val="FFFFFF"/>
                <w:sz w:val="18"/>
                <w:highlight w:val="yellow"/>
              </w:rPr>
              <w:lastRenderedPageBreak/>
              <w:t>2</w:t>
            </w:r>
          </w:p>
        </w:tc>
        <w:tc>
          <w:tcPr>
            <w:tcW w:w="8028" w:type="dxa"/>
          </w:tcPr>
          <w:p w:rsidR="00675B1D" w:rsidRPr="00E64639" w:rsidRDefault="00675B1D" w:rsidP="005E113C">
            <w:pPr>
              <w:pStyle w:val="HStandard"/>
              <w:jc w:val="left"/>
              <w:rPr>
                <w:b/>
                <w:i/>
                <w:sz w:val="18"/>
                <w:szCs w:val="18"/>
                <w:highlight w:val="yellow"/>
              </w:rPr>
            </w:pPr>
            <w:r w:rsidRPr="00E64639">
              <w:rPr>
                <w:sz w:val="18"/>
                <w:highlight w:val="yellow"/>
              </w:rPr>
              <w:t>riesaminare la rilevanza degli obiettivi e dei gruppi di azioni della RRN comuni e specifici del programma, nonché i collegamenti tra di loro rispetto ai cambiamenti osservati in termini di contesto ed esigenze;</w:t>
            </w:r>
          </w:p>
        </w:tc>
      </w:tr>
      <w:tr w:rsidR="00675B1D" w:rsidRPr="00E64639" w:rsidTr="004C05DD">
        <w:tc>
          <w:tcPr>
            <w:tcW w:w="988" w:type="dxa"/>
            <w:shd w:val="clear" w:color="auto" w:fill="E7E6E6" w:themeFill="background2"/>
          </w:tcPr>
          <w:p w:rsidR="00675B1D" w:rsidRPr="00E64639" w:rsidRDefault="00675B1D" w:rsidP="004C05DD">
            <w:pPr>
              <w:pStyle w:val="HStandard"/>
              <w:jc w:val="center"/>
              <w:rPr>
                <w:b/>
                <w:color w:val="FFFFFF"/>
                <w:sz w:val="18"/>
                <w:szCs w:val="18"/>
                <w:highlight w:val="yellow"/>
              </w:rPr>
            </w:pPr>
            <w:r w:rsidRPr="00E64639">
              <w:rPr>
                <w:b/>
                <w:color w:val="FFFFFF"/>
                <w:sz w:val="18"/>
                <w:highlight w:val="yellow"/>
              </w:rPr>
              <w:t>3</w:t>
            </w:r>
          </w:p>
        </w:tc>
        <w:tc>
          <w:tcPr>
            <w:tcW w:w="8028" w:type="dxa"/>
          </w:tcPr>
          <w:p w:rsidR="00675B1D" w:rsidRPr="00E64639" w:rsidRDefault="00675B1D" w:rsidP="004C05DD">
            <w:pPr>
              <w:pStyle w:val="Hlistbullet"/>
              <w:numPr>
                <w:ilvl w:val="0"/>
                <w:numId w:val="0"/>
              </w:numPr>
              <w:spacing w:before="0" w:line="280" w:lineRule="atLeast"/>
              <w:jc w:val="left"/>
              <w:rPr>
                <w:sz w:val="18"/>
                <w:szCs w:val="18"/>
                <w:highlight w:val="yellow"/>
              </w:rPr>
            </w:pPr>
            <w:r w:rsidRPr="00E64639">
              <w:rPr>
                <w:sz w:val="18"/>
                <w:highlight w:val="yellow"/>
              </w:rPr>
              <w:t>riesaminare la catena tra effetti, prodotti, risultati e impatti attesi della RRN, e la loro rilevanza;</w:t>
            </w:r>
          </w:p>
        </w:tc>
      </w:tr>
      <w:tr w:rsidR="00675B1D" w:rsidRPr="00E64639" w:rsidTr="004C05DD">
        <w:tc>
          <w:tcPr>
            <w:tcW w:w="988" w:type="dxa"/>
            <w:shd w:val="clear" w:color="auto" w:fill="E7E6E6" w:themeFill="background2"/>
          </w:tcPr>
          <w:p w:rsidR="00675B1D" w:rsidRPr="00E64639" w:rsidRDefault="00675B1D" w:rsidP="004C05DD">
            <w:pPr>
              <w:pStyle w:val="HStandard"/>
              <w:jc w:val="center"/>
              <w:rPr>
                <w:b/>
                <w:color w:val="FFFFFF"/>
                <w:sz w:val="18"/>
                <w:szCs w:val="18"/>
                <w:highlight w:val="yellow"/>
              </w:rPr>
            </w:pPr>
            <w:r w:rsidRPr="00E64639">
              <w:rPr>
                <w:b/>
                <w:color w:val="FFFFFF"/>
                <w:sz w:val="18"/>
                <w:highlight w:val="yellow"/>
              </w:rPr>
              <w:t>4</w:t>
            </w:r>
          </w:p>
        </w:tc>
        <w:tc>
          <w:tcPr>
            <w:tcW w:w="8028" w:type="dxa"/>
          </w:tcPr>
          <w:p w:rsidR="00675B1D" w:rsidRPr="00E64639" w:rsidRDefault="00675B1D" w:rsidP="00CB12E8">
            <w:pPr>
              <w:pStyle w:val="Hlistbullet"/>
              <w:numPr>
                <w:ilvl w:val="0"/>
                <w:numId w:val="0"/>
              </w:numPr>
              <w:tabs>
                <w:tab w:val="left" w:pos="317"/>
              </w:tabs>
              <w:spacing w:before="0" w:line="280" w:lineRule="atLeast"/>
              <w:jc w:val="left"/>
              <w:rPr>
                <w:sz w:val="18"/>
                <w:szCs w:val="18"/>
              </w:rPr>
            </w:pPr>
            <w:r w:rsidRPr="00E64639">
              <w:rPr>
                <w:sz w:val="18"/>
                <w:highlight w:val="yellow"/>
              </w:rPr>
              <w:t>controllare la coerenza verticale e orizzontale tra gli obiettivi/i gruppi di azioni relativi alla RRN comuni e specifici del programma, da un lato, e i prodotti, risultati e impatti attesi, dall'altro;</w:t>
            </w:r>
          </w:p>
        </w:tc>
      </w:tr>
      <w:tr w:rsidR="00675B1D" w:rsidRPr="00E64639" w:rsidTr="004C05DD">
        <w:tc>
          <w:tcPr>
            <w:tcW w:w="988" w:type="dxa"/>
            <w:shd w:val="clear" w:color="auto" w:fill="E7E6E6" w:themeFill="background2"/>
          </w:tcPr>
          <w:p w:rsidR="00675B1D" w:rsidRPr="00E64639" w:rsidRDefault="00675B1D" w:rsidP="004C05DD">
            <w:pPr>
              <w:pStyle w:val="HStandard"/>
              <w:jc w:val="center"/>
              <w:rPr>
                <w:color w:val="FFFFFF"/>
                <w:sz w:val="18"/>
                <w:szCs w:val="18"/>
                <w:highlight w:val="yellow"/>
              </w:rPr>
            </w:pPr>
            <w:r w:rsidRPr="00E64639">
              <w:rPr>
                <w:color w:val="FFFFFF"/>
                <w:sz w:val="18"/>
                <w:highlight w:val="yellow"/>
              </w:rPr>
              <w:t>5</w:t>
            </w:r>
          </w:p>
        </w:tc>
        <w:tc>
          <w:tcPr>
            <w:tcW w:w="8028" w:type="dxa"/>
          </w:tcPr>
          <w:p w:rsidR="00675B1D" w:rsidRPr="00E64639" w:rsidRDefault="00675B1D" w:rsidP="004C05DD">
            <w:pPr>
              <w:pStyle w:val="Hlistbullet"/>
              <w:numPr>
                <w:ilvl w:val="0"/>
                <w:numId w:val="0"/>
              </w:numPr>
              <w:spacing w:before="0" w:line="280" w:lineRule="atLeast"/>
              <w:jc w:val="left"/>
              <w:rPr>
                <w:sz w:val="18"/>
                <w:szCs w:val="18"/>
                <w:highlight w:val="yellow"/>
              </w:rPr>
            </w:pPr>
            <w:r w:rsidRPr="00E64639">
              <w:rPr>
                <w:sz w:val="18"/>
                <w:highlight w:val="yellow"/>
              </w:rPr>
              <w:t>ridefinire o adeguare la logica di intervento, se necessario.</w:t>
            </w:r>
          </w:p>
        </w:tc>
      </w:tr>
      <w:tr w:rsidR="00675B1D" w:rsidRPr="00E64639" w:rsidTr="004C05DD">
        <w:tc>
          <w:tcPr>
            <w:tcW w:w="9016" w:type="dxa"/>
            <w:gridSpan w:val="2"/>
            <w:shd w:val="clear" w:color="auto" w:fill="auto"/>
          </w:tcPr>
          <w:p w:rsidR="00675B1D" w:rsidRPr="00E64639" w:rsidRDefault="00675B1D" w:rsidP="004C05DD">
            <w:pPr>
              <w:pStyle w:val="HStandard"/>
              <w:jc w:val="left"/>
              <w:rPr>
                <w:sz w:val="18"/>
                <w:szCs w:val="18"/>
              </w:rPr>
            </w:pPr>
            <w:r w:rsidRPr="00E64639">
              <w:rPr>
                <w:b/>
                <w:sz w:val="18"/>
                <w:highlight w:val="yellow"/>
              </w:rPr>
              <w:t>Risultato atteso:</w:t>
            </w:r>
            <w:r w:rsidRPr="00E64639">
              <w:rPr>
                <w:sz w:val="18"/>
                <w:highlight w:val="yellow"/>
              </w:rPr>
              <w:t xml:space="preserve"> coerenza orizzontale e verticale e rilevanza della logica di intervento della RRN confermate come base per la valutazione</w:t>
            </w:r>
          </w:p>
        </w:tc>
      </w:tr>
    </w:tbl>
    <w:p w:rsidR="00675B1D" w:rsidRPr="00D75B1B" w:rsidRDefault="00675B1D" w:rsidP="004C05DD">
      <w:pPr>
        <w:pStyle w:val="HStandard"/>
        <w:rPr>
          <w:lang w:val="en-GB"/>
        </w:rPr>
      </w:pPr>
      <w:r w:rsidRPr="00D75B1B">
        <w:rPr>
          <w:lang w:val="en-GB"/>
        </w:rPr>
        <w:t>The above steps are detailed below.</w:t>
      </w:r>
    </w:p>
    <w:p w:rsidR="00675B1D" w:rsidRPr="00D75B1B" w:rsidRDefault="00675B1D" w:rsidP="004C05DD">
      <w:pPr>
        <w:pStyle w:val="HHeading5"/>
        <w:rPr>
          <w:color w:val="ED7D31" w:themeColor="accent2"/>
          <w:lang w:val="en-GB"/>
        </w:rPr>
      </w:pPr>
      <w:r w:rsidRPr="00D75B1B">
        <w:rPr>
          <w:color w:val="ED7D31" w:themeColor="accent2"/>
          <w:lang w:val="en-GB"/>
        </w:rPr>
        <w:t>Step 1 - Assess changes in context and needs</w:t>
      </w:r>
    </w:p>
    <w:p w:rsidR="00675B1D" w:rsidRPr="00D75B1B" w:rsidRDefault="00675B1D" w:rsidP="004C05DD">
      <w:pPr>
        <w:pStyle w:val="HStandard"/>
        <w:rPr>
          <w:lang w:val="en-GB"/>
        </w:rPr>
      </w:pPr>
      <w:r w:rsidRPr="00D75B1B">
        <w:rPr>
          <w:lang w:val="en-GB"/>
        </w:rPr>
        <w:t>NRNs operate within the context of rural areas. This context is characterised through a thorough situational description, SWOT and needs assessment. The situation in networking is depicted with the set of context parameters</w:t>
      </w:r>
      <w:r w:rsidRPr="00D75B1B">
        <w:rPr>
          <w:rFonts w:ascii="ZWAdobeF" w:hAnsi="ZWAdobeF"/>
          <w:color w:val="auto"/>
          <w:sz w:val="2"/>
          <w:lang w:val="en-GB"/>
        </w:rPr>
        <w:t>88F</w:t>
      </w:r>
      <w:r w:rsidRPr="00E64639">
        <w:rPr>
          <w:rStyle w:val="FootnoteReference"/>
        </w:rPr>
        <w:footnoteReference w:id="89"/>
      </w:r>
      <w:r w:rsidRPr="00D75B1B">
        <w:rPr>
          <w:lang w:val="en-GB"/>
        </w:rPr>
        <w:t xml:space="preserve">. Changes in the programme and network context may imply changes in the scope of NRN objectives and interventions and therefore in the intervention logic. </w:t>
      </w:r>
    </w:p>
    <w:p w:rsidR="00675B1D" w:rsidRPr="00D75B1B" w:rsidRDefault="00675B1D" w:rsidP="004C05DD">
      <w:pPr>
        <w:pStyle w:val="HStandard"/>
        <w:rPr>
          <w:lang w:val="en-GB"/>
        </w:rPr>
      </w:pPr>
      <w:r w:rsidRPr="00D75B1B">
        <w:rPr>
          <w:lang w:val="en-GB"/>
        </w:rP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675B1D" w:rsidRPr="00D75B1B" w:rsidRDefault="00675B1D" w:rsidP="004C05DD">
      <w:pPr>
        <w:pStyle w:val="HHeading5"/>
        <w:rPr>
          <w:color w:val="ED7D31" w:themeColor="accent2"/>
          <w:lang w:val="en-GB"/>
        </w:rPr>
      </w:pPr>
      <w:r w:rsidRPr="00D75B1B">
        <w:rPr>
          <w:color w:val="ED7D31" w:themeColor="accent2"/>
          <w:lang w:val="en-GB"/>
        </w:rPr>
        <w:t>Step 2 - Revisit the relevance of NRN objectives and groups of actions and linkages between them</w:t>
      </w:r>
    </w:p>
    <w:p w:rsidR="00675B1D" w:rsidRPr="00D75B1B" w:rsidRDefault="00675B1D" w:rsidP="004C05DD">
      <w:pPr>
        <w:pStyle w:val="HStandard"/>
        <w:rPr>
          <w:lang w:val="en-GB"/>
        </w:rPr>
      </w:pPr>
      <w:r w:rsidRPr="00D75B1B">
        <w:rPr>
          <w:lang w:val="en-GB"/>
        </w:rP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675B1D" w:rsidRPr="00D75B1B" w:rsidRDefault="00675B1D" w:rsidP="004C05DD">
      <w:pPr>
        <w:pStyle w:val="HStandard"/>
        <w:rPr>
          <w:lang w:val="en-GB"/>
        </w:rPr>
      </w:pPr>
      <w:r w:rsidRPr="00D75B1B">
        <w:rPr>
          <w:lang w:val="en-GB"/>
        </w:rPr>
        <w:t xml:space="preserve">The common NRN objectives and groups of actions are complemented with programme-specific NRN objectives and groups of actions in the preparation of NRN evaluation. (See also </w:t>
      </w:r>
      <w:r w:rsidRPr="00D75B1B">
        <w:rPr>
          <w:b/>
          <w:color w:val="E7E6E6" w:themeColor="background2"/>
          <w:lang w:val="en-GB"/>
        </w:rPr>
        <w:t>PART I</w:t>
      </w:r>
      <w:r w:rsidRPr="00D75B1B">
        <w:rPr>
          <w:lang w:val="en-GB"/>
        </w:rPr>
        <w:t xml:space="preserve">, chapter 2.2.2). </w:t>
      </w:r>
    </w:p>
    <w:p w:rsidR="00675B1D" w:rsidRPr="00D75B1B" w:rsidRDefault="00675B1D" w:rsidP="004C05DD">
      <w:pPr>
        <w:pStyle w:val="HStandard"/>
        <w:rPr>
          <w:lang w:val="en-GB"/>
        </w:rPr>
      </w:pPr>
      <w:r w:rsidRPr="00D75B1B">
        <w:rPr>
          <w:lang w:val="en-GB"/>
        </w:rPr>
        <w:t>During the review of the intervention logic the validity of proposed programme-specific NRN objectives and activities will be checked against any changes concerning the context to assess:</w:t>
      </w:r>
    </w:p>
    <w:p w:rsidR="00675B1D" w:rsidRPr="00D75B1B" w:rsidRDefault="00675B1D" w:rsidP="004C05DD">
      <w:pPr>
        <w:pStyle w:val="Hlistbullet2"/>
        <w:rPr>
          <w:lang w:val="en-GB"/>
        </w:rPr>
      </w:pPr>
      <w:r w:rsidRPr="00D75B1B">
        <w:rPr>
          <w:lang w:val="en-GB"/>
        </w:rP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D75B1B">
        <w:rPr>
          <w:b/>
          <w:color w:val="E7E6E6" w:themeColor="background2"/>
          <w:lang w:val="en-GB"/>
        </w:rPr>
        <w:t>PART I</w:t>
      </w:r>
      <w:r w:rsidRPr="00D75B1B">
        <w:rPr>
          <w:lang w:val="en-GB"/>
        </w:rPr>
        <w:t>, Chapter 2.2.2);</w:t>
      </w:r>
    </w:p>
    <w:p w:rsidR="00675B1D" w:rsidRPr="00D75B1B" w:rsidRDefault="00675B1D" w:rsidP="004C05DD">
      <w:pPr>
        <w:pStyle w:val="Hlistbullet2"/>
        <w:rPr>
          <w:lang w:val="en-GB"/>
        </w:rPr>
      </w:pPr>
      <w:r w:rsidRPr="00D75B1B">
        <w:rPr>
          <w:lang w:val="en-GB"/>
        </w:rPr>
        <w:t>whether the respective level of hierarchy (overall, specific and operational objectives) and their inter-linkages are clear;</w:t>
      </w:r>
    </w:p>
    <w:p w:rsidR="00675B1D" w:rsidRPr="00D75B1B" w:rsidRDefault="00675B1D" w:rsidP="004C05DD">
      <w:pPr>
        <w:pStyle w:val="Hlistbullet2"/>
        <w:rPr>
          <w:lang w:val="en-GB"/>
        </w:rPr>
      </w:pPr>
      <w:r w:rsidRPr="00D75B1B">
        <w:rPr>
          <w:lang w:val="en-GB"/>
        </w:rPr>
        <w:t>the extent to which NRN objectives can plausibly be achieved with the groups of actions;</w:t>
      </w:r>
    </w:p>
    <w:p w:rsidR="00675B1D" w:rsidRPr="00D75B1B" w:rsidRDefault="00675B1D" w:rsidP="004C05DD">
      <w:pPr>
        <w:pStyle w:val="Hlistbullet2"/>
        <w:rPr>
          <w:lang w:val="en-GB"/>
        </w:rPr>
      </w:pPr>
      <w:r w:rsidRPr="00D75B1B">
        <w:rPr>
          <w:lang w:val="en-GB"/>
        </w:rPr>
        <w:t>whether the NRN(P) objectives are sufficiently clear and tangible as to be measured by RACER</w:t>
      </w:r>
      <w:r w:rsidRPr="00D75B1B">
        <w:rPr>
          <w:rFonts w:ascii="ZWAdobeF" w:hAnsi="ZWAdobeF"/>
          <w:color w:val="auto"/>
          <w:sz w:val="2"/>
          <w:lang w:val="en-GB"/>
        </w:rPr>
        <w:t>89F</w:t>
      </w:r>
      <w:r w:rsidRPr="00E64639">
        <w:rPr>
          <w:rStyle w:val="FootnoteReference"/>
        </w:rPr>
        <w:footnoteReference w:id="90"/>
      </w:r>
      <w:r w:rsidRPr="00D75B1B">
        <w:rPr>
          <w:lang w:val="en-GB"/>
        </w:rPr>
        <w:t xml:space="preserve"> programme-specific indicators.</w:t>
      </w:r>
    </w:p>
    <w:p w:rsidR="00675B1D" w:rsidRPr="00D75B1B" w:rsidRDefault="00675B1D" w:rsidP="004C05DD">
      <w:pPr>
        <w:pStyle w:val="HHeading5"/>
        <w:rPr>
          <w:color w:val="ED7D31" w:themeColor="accent2"/>
          <w:lang w:val="en-GB"/>
        </w:rPr>
      </w:pPr>
      <w:r w:rsidRPr="00D75B1B">
        <w:rPr>
          <w:color w:val="ED7D31" w:themeColor="accent2"/>
          <w:lang w:val="en-GB"/>
        </w:rPr>
        <w:lastRenderedPageBreak/>
        <w:t xml:space="preserve">Step 3 - Revisit the chain between the NRN expected effects: outputs, results and impacts </w:t>
      </w:r>
    </w:p>
    <w:p w:rsidR="00675B1D" w:rsidRPr="00D75B1B" w:rsidRDefault="00675B1D" w:rsidP="004C05DD">
      <w:pPr>
        <w:pStyle w:val="HStandard"/>
        <w:rPr>
          <w:lang w:val="en-GB"/>
        </w:rPr>
      </w:pPr>
      <w:r w:rsidRPr="00D75B1B">
        <w:rPr>
          <w:lang w:val="en-GB"/>
        </w:rP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sidRPr="00D75B1B">
        <w:rPr>
          <w:b/>
          <w:color w:val="E7E6E6" w:themeColor="background2"/>
          <w:lang w:val="en-GB"/>
        </w:rPr>
        <w:t>PART III</w:t>
      </w:r>
      <w:r w:rsidRPr="00D75B1B">
        <w:rPr>
          <w:lang w:val="en-GB"/>
        </w:rPr>
        <w:t xml:space="preserve"> of the guidelines.</w:t>
      </w:r>
    </w:p>
    <w:p w:rsidR="00675B1D" w:rsidRPr="00D75B1B" w:rsidRDefault="00675B1D" w:rsidP="004C05DD">
      <w:pPr>
        <w:pStyle w:val="HStandard"/>
        <w:rPr>
          <w:lang w:val="en-GB"/>
        </w:rPr>
      </w:pPr>
      <w:r w:rsidRPr="00D75B1B">
        <w:rPr>
          <w:lang w:val="en-GB"/>
        </w:rPr>
        <w:t>Expected NRN effects are ideally defined during the preparation of NRN evaluation, but can be completed also during the structuring phase, respecting the possible changes in the context situation.</w:t>
      </w:r>
    </w:p>
    <w:p w:rsidR="00675B1D" w:rsidRPr="00D75B1B" w:rsidRDefault="00675B1D" w:rsidP="004C05DD">
      <w:pPr>
        <w:pStyle w:val="HHeading5"/>
        <w:rPr>
          <w:color w:val="ED7D31" w:themeColor="accent2"/>
          <w:lang w:val="en-GB"/>
        </w:rPr>
      </w:pPr>
      <w:r w:rsidRPr="00D75B1B">
        <w:rPr>
          <w:color w:val="ED7D31" w:themeColor="accent2"/>
          <w:lang w:val="en-GB"/>
        </w:rPr>
        <w:t>Step 4 - Check the horizontal and vertical consistency between NRN objectives and expected effects</w:t>
      </w:r>
    </w:p>
    <w:p w:rsidR="00675B1D" w:rsidRPr="00D75B1B" w:rsidRDefault="00675B1D" w:rsidP="004C05DD">
      <w:pPr>
        <w:pStyle w:val="HStandard"/>
        <w:rPr>
          <w:lang w:val="en-GB"/>
        </w:rPr>
      </w:pPr>
      <w:r w:rsidRPr="00D75B1B">
        <w:rPr>
          <w:lang w:val="en-GB"/>
        </w:rP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sidRPr="00D75B1B">
        <w:rPr>
          <w:b/>
          <w:color w:val="E7E6E6" w:themeColor="background2"/>
          <w:lang w:val="en-GB"/>
        </w:rPr>
        <w:t>PART I</w:t>
      </w:r>
      <w:r w:rsidRPr="00D75B1B">
        <w:rPr>
          <w:lang w:val="en-GB"/>
        </w:rPr>
        <w:t>, chapter 2.2.2.</w:t>
      </w:r>
    </w:p>
    <w:p w:rsidR="00675B1D" w:rsidRPr="00D75B1B" w:rsidRDefault="00675B1D" w:rsidP="004C05DD">
      <w:pPr>
        <w:pStyle w:val="HStandard"/>
        <w:rPr>
          <w:lang w:val="en-GB"/>
        </w:rPr>
      </w:pPr>
      <w:r w:rsidRPr="00D75B1B">
        <w:rPr>
          <w:lang w:val="en-GB"/>
        </w:rPr>
        <w:t xml:space="preserve">Besides the internal consistency of the NRN intervention logic, the evaluator should check also the external consistency of NRN intervention logic with the RDP and the EU objectives (See </w:t>
      </w:r>
      <w:r w:rsidRPr="00E64639">
        <w:fldChar w:fldCharType="begin" w:fldLock="1"/>
      </w:r>
      <w:r w:rsidRPr="00D75B1B">
        <w:rPr>
          <w:lang w:val="en-GB"/>
        </w:rPr>
        <w:instrText xml:space="preserve"> REF _Ref451784678 \r \h  \* MERGEFORMAT </w:instrText>
      </w:r>
      <w:r w:rsidRPr="00E64639">
        <w:fldChar w:fldCharType="separate"/>
      </w:r>
      <w:r w:rsidRPr="00D75B1B">
        <w:rPr>
          <w:lang w:val="en-GB"/>
        </w:rPr>
        <w:t>Figure 5</w:t>
      </w:r>
      <w:r w:rsidRPr="00E64639">
        <w:fldChar w:fldCharType="end"/>
      </w:r>
      <w:r w:rsidRPr="00D75B1B">
        <w:rPr>
          <w:lang w:val="en-GB"/>
        </w:rPr>
        <w:t xml:space="preserve"> and </w:t>
      </w:r>
      <w:r w:rsidRPr="00E64639">
        <w:fldChar w:fldCharType="begin" w:fldLock="1"/>
      </w:r>
      <w:r w:rsidRPr="00D75B1B">
        <w:rPr>
          <w:lang w:val="en-GB"/>
        </w:rPr>
        <w:instrText xml:space="preserve"> REF _Ref451784688 \r \h  \* MERGEFORMAT </w:instrText>
      </w:r>
      <w:r w:rsidRPr="00E64639">
        <w:fldChar w:fldCharType="separate"/>
      </w:r>
      <w:r w:rsidRPr="00D75B1B">
        <w:rPr>
          <w:lang w:val="en-GB"/>
        </w:rPr>
        <w:t>Figure 6</w:t>
      </w:r>
      <w:r w:rsidRPr="00E64639">
        <w:fldChar w:fldCharType="end"/>
      </w:r>
      <w:r w:rsidRPr="00D75B1B">
        <w:rPr>
          <w:lang w:val="en-GB"/>
        </w:rP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rsidRPr="00E64639">
        <w:fldChar w:fldCharType="begin" w:fldLock="1"/>
      </w:r>
      <w:r w:rsidRPr="00D75B1B">
        <w:rPr>
          <w:lang w:val="en-GB"/>
        </w:rPr>
        <w:instrText xml:space="preserve"> REF _Ref451784699 \r \h  \* MERGEFORMAT </w:instrText>
      </w:r>
      <w:r w:rsidRPr="00E64639">
        <w:fldChar w:fldCharType="separate"/>
      </w:r>
      <w:r w:rsidRPr="00D75B1B">
        <w:rPr>
          <w:lang w:val="en-GB"/>
        </w:rPr>
        <w:t>Figure 5</w:t>
      </w:r>
      <w:r w:rsidRPr="00E64639">
        <w:fldChar w:fldCharType="end"/>
      </w:r>
      <w:r w:rsidRPr="00D75B1B">
        <w:rPr>
          <w:lang w:val="en-GB"/>
        </w:rPr>
        <w:t xml:space="preserve"> in Chapter 1.4.2). If inconsistencies are found in the above checks, the missing elements should be developed by the evaluator.</w:t>
      </w:r>
    </w:p>
    <w:p w:rsidR="00675B1D" w:rsidRPr="00D75B1B" w:rsidRDefault="00675B1D" w:rsidP="00975D9B">
      <w:pPr>
        <w:pStyle w:val="HHeading5"/>
        <w:rPr>
          <w:lang w:val="en-GB"/>
        </w:rPr>
      </w:pPr>
      <w:r w:rsidRPr="00D75B1B">
        <w:rPr>
          <w:lang w:val="en-GB"/>
        </w:rPr>
        <w:t>NRN unexpected effects</w:t>
      </w:r>
    </w:p>
    <w:p w:rsidR="00675B1D" w:rsidRPr="00D75B1B" w:rsidRDefault="00675B1D" w:rsidP="004C05DD">
      <w:pPr>
        <w:pStyle w:val="HStandard"/>
        <w:rPr>
          <w:lang w:val="en-GB"/>
        </w:rPr>
      </w:pPr>
      <w:r w:rsidRPr="00D75B1B">
        <w:rPr>
          <w:lang w:val="en-GB"/>
        </w:rPr>
        <w:t>In addition to the expected or intended effects, NRN activities usually also generate unexpected or unintended effects</w:t>
      </w:r>
      <w:r w:rsidRPr="00D75B1B">
        <w:rPr>
          <w:rFonts w:ascii="ZWAdobeF" w:hAnsi="ZWAdobeF"/>
          <w:color w:val="auto"/>
          <w:sz w:val="2"/>
          <w:lang w:val="en-GB"/>
        </w:rPr>
        <w:t>90F</w:t>
      </w:r>
      <w:r w:rsidRPr="00E64639">
        <w:rPr>
          <w:rStyle w:val="FootnoteReference"/>
        </w:rPr>
        <w:footnoteReference w:id="91"/>
      </w:r>
      <w:r w:rsidRPr="00D75B1B">
        <w:rPr>
          <w:lang w:val="en-GB"/>
        </w:rP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675B1D" w:rsidRPr="00D75B1B" w:rsidRDefault="00675B1D" w:rsidP="004C05DD">
      <w:pPr>
        <w:pStyle w:val="HStandard"/>
        <w:rPr>
          <w:lang w:val="en-GB"/>
        </w:rPr>
      </w:pPr>
      <w:r w:rsidRPr="00D75B1B">
        <w:rPr>
          <w:lang w:val="en-GB"/>
        </w:rP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675B1D" w:rsidRPr="00D75B1B" w:rsidRDefault="00675B1D" w:rsidP="004C05DD">
      <w:pPr>
        <w:pStyle w:val="HHeading5"/>
        <w:rPr>
          <w:color w:val="ED7D31" w:themeColor="accent2"/>
          <w:lang w:val="en-GB"/>
        </w:rPr>
      </w:pPr>
      <w:r w:rsidRPr="00D75B1B">
        <w:rPr>
          <w:color w:val="ED7D31" w:themeColor="accent2"/>
          <w:lang w:val="en-GB"/>
        </w:rPr>
        <w:t>Step 5: Redefine or adjust the intervention logic, if needed.</w:t>
      </w:r>
    </w:p>
    <w:p w:rsidR="00675B1D" w:rsidRPr="00D75B1B" w:rsidRDefault="00675B1D" w:rsidP="004C05DD">
      <w:pPr>
        <w:pStyle w:val="HStandard"/>
        <w:rPr>
          <w:lang w:val="en-GB"/>
        </w:rPr>
      </w:pPr>
      <w:r w:rsidRPr="00D75B1B">
        <w:rPr>
          <w:lang w:val="en-GB"/>
        </w:rPr>
        <w:t xml:space="preserve">The review of the NRN intervention logic may lead to changes. These changes might result in a fine-tuning of the NRN related programme-specific objectives, groups of actions and expected effects. It </w:t>
      </w:r>
      <w:r w:rsidRPr="00D75B1B">
        <w:rPr>
          <w:lang w:val="en-GB"/>
        </w:rPr>
        <w:lastRenderedPageBreak/>
        <w:t>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2A138A">
        <w:tc>
          <w:tcPr>
            <w:tcW w:w="9016" w:type="dxa"/>
            <w:shd w:val="clear" w:color="auto" w:fill="F5F4F4" w:themeFill="background2" w:themeFillTint="66"/>
          </w:tcPr>
          <w:p w:rsidR="00675B1D" w:rsidRPr="00E64639" w:rsidRDefault="00675B1D" w:rsidP="002A138A">
            <w:pPr>
              <w:pStyle w:val="HStandard"/>
              <w:rPr>
                <w:color w:val="7030A0"/>
                <w:highlight w:val="yellow"/>
              </w:rPr>
            </w:pPr>
            <w:r w:rsidRPr="00E64639">
              <w:rPr>
                <w:highlight w:val="yellow"/>
              </w:rPr>
              <w:t>Domande guida per il riesame della logica di intervento</w:t>
            </w:r>
            <w:r>
              <w:rPr>
                <w:highlight w:val="yellow"/>
              </w:rPr>
              <w:t>:</w:t>
            </w:r>
          </w:p>
          <w:p w:rsidR="00675B1D" w:rsidRPr="00E64639" w:rsidRDefault="00675B1D" w:rsidP="00675B1D">
            <w:pPr>
              <w:pStyle w:val="Hlistbullet2"/>
              <w:rPr>
                <w:highlight w:val="yellow"/>
              </w:rPr>
            </w:pPr>
            <w:r w:rsidRPr="00E64639">
              <w:rPr>
                <w:highlight w:val="yellow"/>
              </w:rPr>
              <w:t>esiste una teoria esplicita del cambiamento che sta alla base della logica di intervento specificata?</w:t>
            </w:r>
          </w:p>
          <w:p w:rsidR="00675B1D" w:rsidRPr="00E64639" w:rsidRDefault="00675B1D" w:rsidP="00675B1D">
            <w:pPr>
              <w:pStyle w:val="Hlistbullet2"/>
              <w:rPr>
                <w:highlight w:val="yellow"/>
              </w:rPr>
            </w:pPr>
            <w:r>
              <w:rPr>
                <w:highlight w:val="yellow"/>
              </w:rPr>
              <w:t>L</w:t>
            </w:r>
            <w:r w:rsidRPr="00E64639">
              <w:rPr>
                <w:highlight w:val="yellow"/>
              </w:rPr>
              <w:t>a logica di intervento è chiaramente definita o può almeno essere modellata a partire da ciò che è scritto nel programma o nei documenti concomitanti (come ad esempio il capitolato d'oneri per l'USR o l'offerta di servizio dell'offerente vincitore, ecc.)?</w:t>
            </w:r>
          </w:p>
          <w:p w:rsidR="00675B1D" w:rsidRPr="00E64639" w:rsidRDefault="00675B1D" w:rsidP="00675B1D">
            <w:pPr>
              <w:pStyle w:val="Hlistbullet2"/>
              <w:rPr>
                <w:highlight w:val="yellow"/>
              </w:rPr>
            </w:pPr>
            <w:r>
              <w:rPr>
                <w:highlight w:val="yellow"/>
              </w:rPr>
              <w:t>Q</w:t>
            </w:r>
            <w:r w:rsidRPr="00E64639">
              <w:rPr>
                <w:highlight w:val="yellow"/>
              </w:rPr>
              <w:t>uali cambiamenti significativi si possono osservare tra le parti interessate nella zona interessata dal programma o in un più ampio contesto socio-economico e politico?</w:t>
            </w:r>
          </w:p>
          <w:p w:rsidR="00675B1D" w:rsidRPr="00E64639" w:rsidRDefault="00675B1D" w:rsidP="00675B1D">
            <w:pPr>
              <w:pStyle w:val="Hlistbullet2"/>
              <w:rPr>
                <w:highlight w:val="yellow"/>
              </w:rPr>
            </w:pPr>
            <w:r>
              <w:rPr>
                <w:highlight w:val="yellow"/>
              </w:rPr>
              <w:t>G</w:t>
            </w:r>
            <w:r w:rsidRPr="00E64639">
              <w:rPr>
                <w:highlight w:val="yellow"/>
              </w:rPr>
              <w:t>li obiettivi stabiliti, nonché i risultati e gli impatti attesi, sono rilevanti per quanto riguarda il contesto (SWOT, esigenze)?</w:t>
            </w:r>
          </w:p>
          <w:p w:rsidR="00675B1D" w:rsidRPr="00E64639" w:rsidRDefault="00675B1D" w:rsidP="00675B1D">
            <w:pPr>
              <w:pStyle w:val="Hlistbullet2"/>
              <w:rPr>
                <w:highlight w:val="yellow"/>
              </w:rPr>
            </w:pPr>
            <w:r>
              <w:rPr>
                <w:highlight w:val="yellow"/>
              </w:rPr>
              <w:t>V</w:t>
            </w:r>
            <w:r w:rsidRPr="00E64639">
              <w:rPr>
                <w:highlight w:val="yellow"/>
              </w:rPr>
              <w:t>i sono contraddizioni o discrepanze tra le attività, previste, i prodotti, i risultati e gli impatti attesi (verticalmente) e gli obiettivi stabiliti (orizzontalmente)?</w:t>
            </w:r>
          </w:p>
        </w:tc>
      </w:tr>
    </w:tbl>
    <w:p w:rsidR="00675B1D" w:rsidRPr="00E64639" w:rsidRDefault="00675B1D" w:rsidP="00975D9B">
      <w:pPr>
        <w:pStyle w:val="HHeading5"/>
        <w:rPr>
          <w:highlight w:val="yellow"/>
        </w:rPr>
      </w:pPr>
      <w:r w:rsidRPr="00E64639">
        <w:rPr>
          <w:highlight w:val="yellow"/>
        </w:rPr>
        <w:t>Cosa fare e cosa non fare</w:t>
      </w:r>
    </w:p>
    <w:tbl>
      <w:tblPr>
        <w:tblStyle w:val="LightList-Accent5"/>
        <w:tblW w:w="0" w:type="auto"/>
        <w:tblLook w:val="04A0" w:firstRow="1" w:lastRow="0" w:firstColumn="1" w:lastColumn="0" w:noHBand="0" w:noVBand="1"/>
      </w:tblPr>
      <w:tblGrid>
        <w:gridCol w:w="4505"/>
        <w:gridCol w:w="4501"/>
      </w:tblGrid>
      <w:tr w:rsidR="00675B1D" w:rsidRPr="00E64639"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675B1D" w:rsidRPr="00E64639" w:rsidRDefault="00675B1D" w:rsidP="000A3387">
            <w:pPr>
              <w:pStyle w:val="HHeading5"/>
              <w:jc w:val="center"/>
              <w:rPr>
                <w:sz w:val="18"/>
                <w:szCs w:val="18"/>
                <w:highlight w:val="yellow"/>
              </w:rPr>
            </w:pPr>
            <w:r w:rsidRPr="00E64639">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675B1D" w:rsidRPr="00E64639" w:rsidRDefault="00675B1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sidRPr="00E64639">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0A3387">
            <w:pPr>
              <w:pStyle w:val="HHeading5"/>
              <w:rPr>
                <w:color w:val="FFC000" w:themeColor="accent4"/>
                <w:sz w:val="18"/>
                <w:szCs w:val="18"/>
                <w:highlight w:val="yellow"/>
              </w:rPr>
            </w:pPr>
            <w:r w:rsidRPr="00E64639">
              <w:rPr>
                <w:color w:val="FFC000" w:themeColor="accent4"/>
                <w:sz w:val="18"/>
                <w:highlight w:val="yellow"/>
              </w:rPr>
              <w:t>Considerare le circostanze mutevoli che possono aver influenzato la significatività della logica di intervento.</w:t>
            </w:r>
          </w:p>
          <w:p w:rsidR="00675B1D" w:rsidRPr="00E64639" w:rsidRDefault="00675B1D" w:rsidP="000A3387">
            <w:pPr>
              <w:pStyle w:val="HStandard"/>
              <w:rPr>
                <w:color w:val="FFC000" w:themeColor="accent4"/>
                <w:sz w:val="18"/>
                <w:szCs w:val="18"/>
                <w:highlight w:val="yellow"/>
              </w:rPr>
            </w:pPr>
            <w:r w:rsidRPr="00E64639">
              <w:rPr>
                <w:color w:val="FFC000" w:themeColor="accent4"/>
                <w:sz w:val="18"/>
                <w:highlight w:val="yellow"/>
              </w:rPr>
              <w:t xml:space="preserve">Chiarire come la RRN può contribuire agli obiettivi della politica di sviluppo rurale. </w:t>
            </w:r>
          </w:p>
          <w:p w:rsidR="00675B1D" w:rsidRPr="00E64639" w:rsidRDefault="00675B1D" w:rsidP="000A3387">
            <w:pPr>
              <w:pStyle w:val="HStandard"/>
              <w:rPr>
                <w:color w:val="FFC000" w:themeColor="accent4"/>
                <w:sz w:val="18"/>
                <w:szCs w:val="18"/>
                <w:highlight w:val="yellow"/>
              </w:rPr>
            </w:pPr>
            <w:r w:rsidRPr="00E64639">
              <w:rPr>
                <w:color w:val="FFC000" w:themeColor="accent4"/>
                <w:sz w:val="18"/>
                <w:highlight w:val="yellow"/>
              </w:rPr>
              <w:t>Concepire obiettivi e realizzazioni della RRN anche in termini di cambiamenti in relazione al capitale umano e sociale degli attori e delle zone rurali.</w:t>
            </w:r>
          </w:p>
          <w:p w:rsidR="00675B1D" w:rsidRPr="00E64639" w:rsidRDefault="00675B1D" w:rsidP="000A3387">
            <w:pPr>
              <w:pStyle w:val="HStandard"/>
              <w:rPr>
                <w:color w:val="FFC000" w:themeColor="accent4"/>
                <w:sz w:val="18"/>
                <w:szCs w:val="18"/>
                <w:highlight w:val="yellow"/>
              </w:rPr>
            </w:pPr>
            <w:r w:rsidRPr="00E64639">
              <w:rPr>
                <w:b w:val="0"/>
                <w:color w:val="FFC000" w:themeColor="accent4"/>
                <w:sz w:val="18"/>
                <w:highlight w:val="yellow"/>
              </w:rPr>
              <w:t>Considerare le complementarità e la coerenza con altri interventi simili (al di fuori del contesto della politica di sviluppo rurale).</w:t>
            </w:r>
          </w:p>
          <w:p w:rsidR="00675B1D" w:rsidRPr="00E64639" w:rsidRDefault="00675B1D" w:rsidP="000A3387">
            <w:pPr>
              <w:pStyle w:val="HStandard"/>
              <w:rPr>
                <w:color w:val="FFC000" w:themeColor="accent4"/>
                <w:sz w:val="18"/>
                <w:szCs w:val="18"/>
                <w:highlight w:val="yellow"/>
              </w:rPr>
            </w:pPr>
            <w:r w:rsidRPr="00E64639">
              <w:rPr>
                <w:b w:val="0"/>
                <w:color w:val="FFC000" w:themeColor="accent4"/>
                <w:sz w:val="18"/>
                <w:highlight w:val="yellow"/>
              </w:rPr>
              <w:t>Rimanere sempre pronti alle sorprese (benefici non intenzionali o effetti indesiderati).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sidRPr="00E64639">
              <w:rPr>
                <w:b w:val="0"/>
                <w:color w:val="ED7D31" w:themeColor="accent2"/>
                <w:sz w:val="18"/>
                <w:highlight w:val="yellow"/>
              </w:rPr>
              <w:t>Accettare la logica di intervento senza averla messa in discussione.</w:t>
            </w:r>
          </w:p>
          <w:p w:rsidR="00675B1D" w:rsidRPr="00E64639" w:rsidRDefault="00675B1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Collegare le attività della RRN direttamente alla realizzazione degli obiettivi del PSR.</w:t>
            </w:r>
          </w:p>
          <w:p w:rsidR="00675B1D" w:rsidRPr="00E64639" w:rsidRDefault="00675B1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Limitarsi a osservare gli effetti scritti sulla carta.</w:t>
            </w:r>
          </w:p>
          <w:p w:rsidR="00675B1D" w:rsidRPr="00E64639" w:rsidRDefault="00675B1D" w:rsidP="00FD7840">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E64639">
              <w:rPr>
                <w:color w:val="ED7D31" w:themeColor="accent2"/>
                <w:sz w:val="18"/>
                <w:highlight w:val="yellow"/>
              </w:rPr>
              <w:t>Prendere in considerazione i costi ombra degli interventi e ignorare il verificarsi di eventuali sorprese che potrebbero portare a effetti indesiderati.</w:t>
            </w:r>
          </w:p>
        </w:tc>
      </w:tr>
    </w:tbl>
    <w:p w:rsidR="00675B1D" w:rsidRPr="00E64639" w:rsidRDefault="00675B1D" w:rsidP="00975D9B">
      <w:pPr>
        <w:pStyle w:val="HHeading5"/>
      </w:pPr>
      <w:r w:rsidRPr="00E64639">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675B1D" w:rsidRPr="00D75B1B" w:rsidTr="004D1A84">
        <w:tc>
          <w:tcPr>
            <w:tcW w:w="9069" w:type="dxa"/>
            <w:shd w:val="clear" w:color="auto" w:fill="F5F4F4" w:themeFill="background2" w:themeFillTint="66"/>
          </w:tcPr>
          <w:p w:rsidR="00675B1D" w:rsidRPr="00D75B1B" w:rsidRDefault="00675B1D" w:rsidP="002A138A">
            <w:pPr>
              <w:pStyle w:val="HStandard"/>
              <w:jc w:val="left"/>
              <w:rPr>
                <w:sz w:val="16"/>
                <w:szCs w:val="16"/>
                <w:lang w:val="en-GB"/>
              </w:rPr>
            </w:pPr>
            <w:r w:rsidRPr="00D75B1B">
              <w:rPr>
                <w:sz w:val="16"/>
                <w:lang w:val="en-GB"/>
              </w:rPr>
              <w:t>Assessment of RDP results: How to prepare for reporting on evaluation in 2017, Chapter 5.1 Evaluation Helpdesk, April 2016</w:t>
            </w:r>
          </w:p>
          <w:p w:rsidR="00675B1D" w:rsidRPr="00D75B1B" w:rsidRDefault="00675B1D" w:rsidP="002A138A">
            <w:pPr>
              <w:pStyle w:val="HStandard"/>
              <w:jc w:val="left"/>
              <w:rPr>
                <w:rStyle w:val="Hyperlink"/>
                <w:rFonts w:eastAsiaTheme="majorEastAsia"/>
                <w:sz w:val="16"/>
                <w:szCs w:val="16"/>
                <w:lang w:val="en-GB"/>
              </w:rPr>
            </w:pPr>
            <w:r w:rsidRPr="00D75B1B">
              <w:rPr>
                <w:sz w:val="16"/>
                <w:lang w:val="en-GB"/>
              </w:rPr>
              <w:t xml:space="preserve">Capturing the success of your RDP: Guidelines for the ex post evaluation of 2007-2013 RDP, PART II, Chapters 1.4 and 1.5, link: </w:t>
            </w:r>
            <w:hyperlink r:id="rId40">
              <w:r w:rsidRPr="00D75B1B">
                <w:rPr>
                  <w:rStyle w:val="Hyperlink"/>
                  <w:rFonts w:eastAsiaTheme="majorEastAsia"/>
                  <w:sz w:val="16"/>
                  <w:lang w:val="en-GB"/>
                </w:rPr>
                <w:t>http://enrd.ec.europa.eu/enrd-static/evaluation/library/evaluation-helpdesk-publications/en/evaluation-helpdesk-publications_en.html</w:t>
              </w:r>
            </w:hyperlink>
          </w:p>
          <w:p w:rsidR="00675B1D" w:rsidRPr="00D75B1B" w:rsidRDefault="00675B1D" w:rsidP="002A138A">
            <w:pPr>
              <w:pStyle w:val="HStandard"/>
              <w:jc w:val="left"/>
              <w:rPr>
                <w:rStyle w:val="Hyperlink"/>
                <w:rFonts w:eastAsiaTheme="majorEastAsia"/>
                <w:color w:val="262626"/>
                <w:sz w:val="16"/>
                <w:szCs w:val="16"/>
                <w:lang w:val="en-GB"/>
              </w:rPr>
            </w:pPr>
            <w:r w:rsidRPr="00D75B1B">
              <w:rPr>
                <w:rStyle w:val="Hyperlink"/>
                <w:rFonts w:eastAsiaTheme="majorEastAsia"/>
                <w:color w:val="262626"/>
                <w:sz w:val="16"/>
                <w:lang w:val="en-GB"/>
              </w:rPr>
              <w:t xml:space="preserve">Getting the most from your RDP: Guidelines for the ex ante evaluation of 2014-2020 RDPs, Chapter 5.4, </w:t>
            </w:r>
            <w:hyperlink r:id="rId41">
              <w:r w:rsidRPr="00D75B1B">
                <w:rPr>
                  <w:rStyle w:val="Hyperlink"/>
                  <w:rFonts w:eastAsiaTheme="majorEastAsia"/>
                  <w:sz w:val="16"/>
                  <w:lang w:val="en-GB"/>
                </w:rPr>
                <w:t>http://enrd.ec.europa.eu/enrd-static/evaluation/library/evaluation-helpdesk-publications/en/evaluation-helpdesk-publications_en.html</w:t>
              </w:r>
            </w:hyperlink>
            <w:r w:rsidRPr="00D75B1B">
              <w:rPr>
                <w:rStyle w:val="Hyperlink"/>
                <w:rFonts w:eastAsiaTheme="majorEastAsia"/>
                <w:color w:val="262626"/>
                <w:sz w:val="16"/>
                <w:lang w:val="en-GB"/>
              </w:rPr>
              <w:t xml:space="preserve">, </w:t>
            </w:r>
          </w:p>
          <w:p w:rsidR="00675B1D" w:rsidRPr="00D75B1B" w:rsidRDefault="00675B1D" w:rsidP="002A138A">
            <w:pPr>
              <w:pStyle w:val="HStandard"/>
              <w:jc w:val="left"/>
              <w:rPr>
                <w:rStyle w:val="Hyperlink"/>
                <w:rFonts w:eastAsiaTheme="majorEastAsia"/>
                <w:color w:val="262626"/>
                <w:sz w:val="16"/>
                <w:szCs w:val="16"/>
                <w:lang w:val="en-GB"/>
              </w:rPr>
            </w:pPr>
            <w:r w:rsidRPr="00D75B1B">
              <w:rPr>
                <w:rStyle w:val="Hyperlink"/>
                <w:rFonts w:eastAsiaTheme="majorEastAsia"/>
                <w:color w:val="262626"/>
                <w:sz w:val="16"/>
                <w:lang w:val="en-GB"/>
              </w:rPr>
              <w:lastRenderedPageBreak/>
              <w:t>On the NRN intervention logic:</w:t>
            </w:r>
          </w:p>
          <w:p w:rsidR="00675B1D" w:rsidRPr="00E64639" w:rsidRDefault="00675B1D" w:rsidP="002A138A">
            <w:pPr>
              <w:pStyle w:val="HStandard"/>
              <w:jc w:val="left"/>
              <w:rPr>
                <w:rStyle w:val="Hyperlink"/>
                <w:rFonts w:eastAsiaTheme="majorEastAsia"/>
                <w:color w:val="262626"/>
                <w:sz w:val="16"/>
                <w:szCs w:val="16"/>
              </w:rPr>
            </w:pPr>
            <w:r w:rsidRPr="00D75B1B">
              <w:rPr>
                <w:rStyle w:val="Hyperlink"/>
                <w:rFonts w:eastAsiaTheme="majorEastAsia"/>
                <w:color w:val="262626"/>
                <w:sz w:val="16"/>
                <w:lang w:val="en-GB"/>
              </w:rPr>
              <w:t>ENRD 2014: NRN Guidebook, 3</w:t>
            </w:r>
            <w:r w:rsidRPr="00D75B1B">
              <w:rPr>
                <w:rStyle w:val="Hyperlink"/>
                <w:rFonts w:eastAsiaTheme="majorEastAsia"/>
                <w:color w:val="262626"/>
                <w:sz w:val="16"/>
                <w:vertAlign w:val="superscript"/>
                <w:lang w:val="en-GB"/>
              </w:rPr>
              <w:t>rd</w:t>
            </w:r>
            <w:r w:rsidRPr="00D75B1B">
              <w:rPr>
                <w:rStyle w:val="Hyperlink"/>
                <w:rFonts w:eastAsiaTheme="majorEastAsia"/>
                <w:color w:val="262626"/>
                <w:sz w:val="16"/>
                <w:lang w:val="en-GB"/>
              </w:rPr>
              <w:t xml:space="preserve"> chapter on Setting up and Starting a Network. </w:t>
            </w:r>
            <w:hyperlink r:id="rId42">
              <w:r w:rsidRPr="00E64639">
                <w:rPr>
                  <w:rStyle w:val="Hyperlink"/>
                  <w:rFonts w:eastAsiaTheme="majorEastAsia"/>
                  <w:sz w:val="16"/>
                </w:rPr>
                <w:t>http://enrd.ec.europa.eu/enrd-static/app_templates/enrd_assets/pdf/guidebook/nrn_handbook_webversion.pdf</w:t>
              </w:r>
            </w:hyperlink>
            <w:r w:rsidRPr="00E64639">
              <w:rPr>
                <w:rStyle w:val="Hyperlink"/>
                <w:rFonts w:eastAsiaTheme="majorEastAsia"/>
                <w:color w:val="262626"/>
                <w:sz w:val="16"/>
              </w:rPr>
              <w:t xml:space="preserve"> </w:t>
            </w:r>
          </w:p>
          <w:p w:rsidR="00675B1D" w:rsidRPr="00D75B1B" w:rsidRDefault="00675B1D" w:rsidP="002A138A">
            <w:pPr>
              <w:pStyle w:val="HStandard"/>
              <w:jc w:val="left"/>
              <w:rPr>
                <w:rStyle w:val="Hyperlink"/>
                <w:rFonts w:eastAsiaTheme="majorEastAsia"/>
                <w:color w:val="262626"/>
                <w:sz w:val="16"/>
                <w:szCs w:val="16"/>
                <w:lang w:val="en-GB"/>
              </w:rPr>
            </w:pPr>
            <w:r w:rsidRPr="00D75B1B">
              <w:rPr>
                <w:rStyle w:val="Hyperlink"/>
                <w:rFonts w:eastAsiaTheme="majorEastAsia"/>
                <w:color w:val="262626"/>
                <w:sz w:val="16"/>
                <w:lang w:val="en-GB"/>
              </w:rPr>
              <w:t>On the theory of change and realistic evaluation:</w:t>
            </w:r>
          </w:p>
          <w:p w:rsidR="00675B1D" w:rsidRPr="00D75B1B" w:rsidRDefault="00675B1D" w:rsidP="002A138A">
            <w:pPr>
              <w:pStyle w:val="HStandard"/>
              <w:jc w:val="left"/>
              <w:rPr>
                <w:rStyle w:val="Hyperlink"/>
                <w:rFonts w:eastAsiaTheme="majorEastAsia"/>
                <w:color w:val="262626"/>
                <w:sz w:val="16"/>
                <w:szCs w:val="16"/>
                <w:lang w:val="en-GB"/>
              </w:rPr>
            </w:pPr>
            <w:r w:rsidRPr="00D75B1B">
              <w:rPr>
                <w:rStyle w:val="Hyperlink"/>
                <w:rFonts w:eastAsiaTheme="majorEastAsia"/>
                <w:color w:val="262626"/>
                <w:sz w:val="16"/>
                <w:lang w:val="en-GB"/>
              </w:rPr>
              <w:t xml:space="preserve">Avril Blamey and Mhairi Mackenzie, 2007: Theory of Change and Realistic Evaluation: Peas in a Pod or Apples and Oranges? Sage. Web resource: </w:t>
            </w:r>
            <w:hyperlink r:id="rId43">
              <w:r w:rsidRPr="00D75B1B">
                <w:rPr>
                  <w:rStyle w:val="Hyperlink"/>
                  <w:rFonts w:eastAsiaTheme="majorEastAsia"/>
                  <w:sz w:val="16"/>
                  <w:lang w:val="en-GB"/>
                </w:rPr>
                <w:t>http://evi.sagepub.com/content/13/4/439.full.pdf</w:t>
              </w:r>
            </w:hyperlink>
            <w:r w:rsidRPr="00D75B1B">
              <w:rPr>
                <w:rStyle w:val="Hyperlink"/>
                <w:rFonts w:eastAsiaTheme="majorEastAsia"/>
                <w:color w:val="262626"/>
                <w:sz w:val="16"/>
                <w:lang w:val="en-GB"/>
              </w:rPr>
              <w:t xml:space="preserve"> </w:t>
            </w:r>
          </w:p>
          <w:p w:rsidR="00675B1D" w:rsidRPr="00D75B1B" w:rsidRDefault="00675B1D" w:rsidP="002A138A">
            <w:pPr>
              <w:pStyle w:val="HStandard"/>
              <w:jc w:val="left"/>
              <w:rPr>
                <w:rFonts w:eastAsiaTheme="majorEastAsia"/>
                <w:lang w:val="en-GB"/>
              </w:rPr>
            </w:pPr>
            <w:r w:rsidRPr="00D75B1B">
              <w:rPr>
                <w:rStyle w:val="Hyperlink"/>
                <w:rFonts w:eastAsiaTheme="majorEastAsia"/>
                <w:color w:val="262626"/>
                <w:sz w:val="16"/>
                <w:lang w:val="en-GB"/>
              </w:rPr>
              <w:t>Ray Payson and Nick Tilley,1997: Realistic Evaluation, Sage, 1997. Web resource (2004):</w:t>
            </w:r>
            <w:r w:rsidRPr="00D75B1B">
              <w:rPr>
                <w:sz w:val="16"/>
                <w:lang w:val="en-GB"/>
              </w:rPr>
              <w:t xml:space="preserve"> </w:t>
            </w:r>
            <w:hyperlink r:id="rId44">
              <w:r w:rsidRPr="00D75B1B">
                <w:rPr>
                  <w:rStyle w:val="Hyperlink"/>
                  <w:rFonts w:eastAsiaTheme="majorEastAsia"/>
                  <w:sz w:val="16"/>
                  <w:lang w:val="en-GB"/>
                </w:rPr>
                <w:t>http://www.communitymatters.com.au/RE_chapter.pdf</w:t>
              </w:r>
            </w:hyperlink>
            <w:r w:rsidRPr="00D75B1B">
              <w:rPr>
                <w:rStyle w:val="Hyperlink"/>
                <w:rFonts w:eastAsiaTheme="majorEastAsia"/>
                <w:color w:val="262626"/>
                <w:lang w:val="en-GB"/>
              </w:rPr>
              <w:t xml:space="preserve"> </w:t>
            </w:r>
          </w:p>
        </w:tc>
      </w:tr>
    </w:tbl>
    <w:p w:rsidR="00675B1D" w:rsidRPr="00E64639" w:rsidRDefault="00675B1D" w:rsidP="00642574">
      <w:pPr>
        <w:pStyle w:val="HHeading3"/>
        <w:rPr>
          <w:highlight w:val="yellow"/>
        </w:rPr>
      </w:pPr>
      <w:bookmarkStart w:id="184" w:name="_Toc443491680"/>
      <w:bookmarkStart w:id="185" w:name="_Toc434744504"/>
      <w:bookmarkStart w:id="186" w:name="_Toc436140054"/>
      <w:bookmarkStart w:id="187" w:name="_Toc443491681"/>
      <w:bookmarkStart w:id="188" w:name="_Toc453079766"/>
      <w:bookmarkEnd w:id="184"/>
      <w:r w:rsidRPr="00E64639">
        <w:rPr>
          <w:highlight w:val="yellow"/>
        </w:rPr>
        <w:lastRenderedPageBreak/>
        <w:t>Riesame della coerenza degli elementi di valutazione con la logica di intervento della RRN</w:t>
      </w:r>
      <w:bookmarkEnd w:id="185"/>
      <w:bookmarkEnd w:id="186"/>
      <w:bookmarkEnd w:id="187"/>
      <w:bookmarkEnd w:id="188"/>
    </w:p>
    <w:p w:rsidR="00675B1D" w:rsidRPr="00D75B1B" w:rsidRDefault="00675B1D" w:rsidP="00320BBA">
      <w:pPr>
        <w:pStyle w:val="HStandard"/>
        <w:rPr>
          <w:b/>
          <w:i/>
          <w:color w:val="538135" w:themeColor="accent6" w:themeShade="BF"/>
          <w:lang w:val="en-GB"/>
        </w:rPr>
      </w:pPr>
      <w:r w:rsidRPr="00D75B1B">
        <w:rPr>
          <w:lang w:val="en-GB"/>
        </w:rP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675B1D" w:rsidRPr="00E64639" w:rsidRDefault="00675B1D" w:rsidP="00975D9B">
      <w:pPr>
        <w:pStyle w:val="HHeading5"/>
        <w:rPr>
          <w:highlight w:val="yellow"/>
        </w:rPr>
      </w:pPr>
      <w:r w:rsidRPr="00E64639">
        <w:rPr>
          <w:highlight w:val="yellow"/>
        </w:rPr>
        <w:t>Quali sono le tappe principali per scegliere la strategia di valutazione?</w:t>
      </w:r>
    </w:p>
    <w:p w:rsidR="00675B1D" w:rsidRPr="00E64639" w:rsidRDefault="00675B1D" w:rsidP="00320BBA">
      <w:pPr>
        <w:pStyle w:val="HStandard"/>
        <w:rPr>
          <w:highlight w:val="yellow"/>
        </w:rPr>
      </w:pPr>
      <w:r w:rsidRPr="00E64639">
        <w:rPr>
          <w:highlight w:val="yellow"/>
        </w:rPr>
        <w:t xml:space="preserve">Le tappe consigliate e il risultato atteso sono i seguenti: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675B1D" w:rsidRPr="00E64639" w:rsidTr="002A138A">
        <w:trPr>
          <w:trHeight w:val="625"/>
        </w:trPr>
        <w:tc>
          <w:tcPr>
            <w:tcW w:w="1271" w:type="dxa"/>
            <w:shd w:val="clear" w:color="auto" w:fill="E7E6E6" w:themeFill="background2"/>
          </w:tcPr>
          <w:p w:rsidR="00675B1D" w:rsidRPr="00E64639" w:rsidRDefault="00675B1D" w:rsidP="002A138A">
            <w:pPr>
              <w:pStyle w:val="HStandard"/>
              <w:jc w:val="center"/>
              <w:rPr>
                <w:b/>
                <w:color w:val="5B9BD5" w:themeColor="accent1"/>
                <w:sz w:val="18"/>
                <w:szCs w:val="18"/>
                <w:highlight w:val="yellow"/>
              </w:rPr>
            </w:pPr>
            <w:r w:rsidRPr="00E64639">
              <w:rPr>
                <w:b/>
                <w:color w:val="5B9BD5" w:themeColor="accent1"/>
                <w:sz w:val="18"/>
                <w:highlight w:val="yellow"/>
              </w:rPr>
              <w:t>1</w:t>
            </w:r>
          </w:p>
        </w:tc>
        <w:tc>
          <w:tcPr>
            <w:tcW w:w="7745" w:type="dxa"/>
          </w:tcPr>
          <w:p w:rsidR="00675B1D" w:rsidRPr="00E64639" w:rsidRDefault="00675B1D" w:rsidP="00FD7840">
            <w:pPr>
              <w:pStyle w:val="HStandard"/>
              <w:rPr>
                <w:sz w:val="18"/>
                <w:szCs w:val="18"/>
                <w:highlight w:val="yellow"/>
              </w:rPr>
            </w:pPr>
            <w:r w:rsidRPr="00E64639">
              <w:rPr>
                <w:sz w:val="18"/>
                <w:highlight w:val="yellow"/>
              </w:rPr>
              <w:t>controllare se gli indicatori supplementari sono ancora rilevanti per rispondere al questionario valutativo comune; formularne di nuovi se non lo sono;</w:t>
            </w:r>
          </w:p>
        </w:tc>
      </w:tr>
      <w:tr w:rsidR="00675B1D" w:rsidRPr="00E64639" w:rsidTr="002A138A">
        <w:trPr>
          <w:trHeight w:val="630"/>
        </w:trPr>
        <w:tc>
          <w:tcPr>
            <w:tcW w:w="1271" w:type="dxa"/>
            <w:shd w:val="clear" w:color="auto" w:fill="E7E6E6" w:themeFill="background2"/>
          </w:tcPr>
          <w:p w:rsidR="00675B1D" w:rsidRPr="00E64639" w:rsidRDefault="00675B1D" w:rsidP="002A138A">
            <w:pPr>
              <w:pStyle w:val="HStandard"/>
              <w:jc w:val="center"/>
              <w:rPr>
                <w:b/>
                <w:color w:val="5B9BD5" w:themeColor="accent1"/>
                <w:sz w:val="18"/>
                <w:szCs w:val="18"/>
                <w:highlight w:val="yellow"/>
              </w:rPr>
            </w:pPr>
            <w:r w:rsidRPr="00E64639">
              <w:rPr>
                <w:b/>
                <w:color w:val="5B9BD5" w:themeColor="accent1"/>
                <w:sz w:val="18"/>
                <w:highlight w:val="yellow"/>
              </w:rPr>
              <w:t>2</w:t>
            </w:r>
          </w:p>
        </w:tc>
        <w:tc>
          <w:tcPr>
            <w:tcW w:w="7745" w:type="dxa"/>
          </w:tcPr>
          <w:p w:rsidR="00675B1D" w:rsidRPr="00E64639" w:rsidRDefault="00675B1D" w:rsidP="00FD7840">
            <w:pPr>
              <w:pStyle w:val="HStandard"/>
              <w:rPr>
                <w:sz w:val="18"/>
                <w:szCs w:val="18"/>
                <w:highlight w:val="yellow"/>
              </w:rPr>
            </w:pPr>
            <w:r w:rsidRPr="00E64639">
              <w:rPr>
                <w:sz w:val="18"/>
                <w:highlight w:val="yellow"/>
              </w:rPr>
              <w:t xml:space="preserve">controllare se le domande di valutazione specifiche del programma e gli indicatori esistenti sono ancora rilevanti. Qualora non lo siano, riformularli o rimuoverli dal sistema; </w:t>
            </w:r>
          </w:p>
        </w:tc>
      </w:tr>
      <w:tr w:rsidR="00675B1D" w:rsidRPr="00E64639" w:rsidTr="002A138A">
        <w:tc>
          <w:tcPr>
            <w:tcW w:w="1271" w:type="dxa"/>
            <w:shd w:val="clear" w:color="auto" w:fill="E7E6E6" w:themeFill="background2"/>
          </w:tcPr>
          <w:p w:rsidR="00675B1D" w:rsidRPr="00E64639" w:rsidRDefault="00675B1D" w:rsidP="002A138A">
            <w:pPr>
              <w:pStyle w:val="HStandard"/>
              <w:jc w:val="center"/>
              <w:rPr>
                <w:b/>
                <w:color w:val="5B9BD5" w:themeColor="accent1"/>
                <w:sz w:val="18"/>
                <w:szCs w:val="18"/>
                <w:highlight w:val="yellow"/>
              </w:rPr>
            </w:pPr>
            <w:r w:rsidRPr="00E64639">
              <w:rPr>
                <w:b/>
                <w:color w:val="5B9BD5" w:themeColor="accent1"/>
                <w:sz w:val="18"/>
                <w:highlight w:val="yellow"/>
              </w:rPr>
              <w:t>3</w:t>
            </w:r>
          </w:p>
        </w:tc>
        <w:tc>
          <w:tcPr>
            <w:tcW w:w="7745" w:type="dxa"/>
          </w:tcPr>
          <w:p w:rsidR="00675B1D" w:rsidRPr="00E64639" w:rsidRDefault="00675B1D" w:rsidP="00E64639">
            <w:pPr>
              <w:pStyle w:val="Hlistbullet"/>
              <w:numPr>
                <w:ilvl w:val="0"/>
                <w:numId w:val="0"/>
              </w:numPr>
              <w:tabs>
                <w:tab w:val="left" w:pos="0"/>
              </w:tabs>
              <w:spacing w:before="0" w:line="280" w:lineRule="atLeast"/>
              <w:rPr>
                <w:sz w:val="18"/>
                <w:szCs w:val="18"/>
                <w:highlight w:val="yellow"/>
              </w:rPr>
            </w:pPr>
            <w:r w:rsidRPr="00E64639">
              <w:rPr>
                <w:sz w:val="18"/>
                <w:highlight w:val="yellow"/>
              </w:rPr>
              <w:t>formulare nuove domande di valutazione specifiche del programma, se necessario (ad esempio, se sono stati aggiunti nuovi obiettivi della RRN) e sviluppare indicatori</w:t>
            </w:r>
            <w:r w:rsidRPr="00E64639">
              <w:rPr>
                <w:sz w:val="18"/>
                <w:highlight w:val="yellow"/>
                <w:vertAlign w:val="superscript"/>
              </w:rPr>
              <w:footnoteReference w:id="92"/>
            </w:r>
            <w:r w:rsidRPr="00E64639">
              <w:rPr>
                <w:sz w:val="18"/>
                <w:highlight w:val="yellow"/>
              </w:rPr>
              <w:t xml:space="preserve"> che permetteranno di rispondere a tali domande;</w:t>
            </w:r>
          </w:p>
        </w:tc>
      </w:tr>
      <w:tr w:rsidR="00675B1D" w:rsidRPr="00E64639" w:rsidTr="002A138A">
        <w:tc>
          <w:tcPr>
            <w:tcW w:w="1271" w:type="dxa"/>
            <w:shd w:val="clear" w:color="auto" w:fill="E7E6E6" w:themeFill="background2"/>
          </w:tcPr>
          <w:p w:rsidR="00675B1D" w:rsidRPr="00E64639" w:rsidRDefault="00675B1D" w:rsidP="002A138A">
            <w:pPr>
              <w:pStyle w:val="HStandard"/>
              <w:jc w:val="center"/>
              <w:rPr>
                <w:b/>
                <w:color w:val="5B9BD5" w:themeColor="accent1"/>
                <w:sz w:val="18"/>
                <w:szCs w:val="18"/>
                <w:highlight w:val="yellow"/>
              </w:rPr>
            </w:pPr>
            <w:r w:rsidRPr="00E64639">
              <w:rPr>
                <w:b/>
                <w:color w:val="5B9BD5" w:themeColor="accent1"/>
                <w:sz w:val="18"/>
                <w:highlight w:val="yellow"/>
              </w:rPr>
              <w:t>4</w:t>
            </w:r>
          </w:p>
        </w:tc>
        <w:tc>
          <w:tcPr>
            <w:tcW w:w="7745" w:type="dxa"/>
          </w:tcPr>
          <w:p w:rsidR="00675B1D" w:rsidRPr="00E64639" w:rsidRDefault="00675B1D" w:rsidP="00F55EBA">
            <w:pPr>
              <w:pStyle w:val="Hlistbullet"/>
              <w:numPr>
                <w:ilvl w:val="0"/>
                <w:numId w:val="0"/>
              </w:numPr>
              <w:tabs>
                <w:tab w:val="left" w:pos="34"/>
              </w:tabs>
              <w:spacing w:before="0" w:line="280" w:lineRule="atLeast"/>
              <w:ind w:left="34"/>
              <w:rPr>
                <w:sz w:val="18"/>
                <w:szCs w:val="18"/>
                <w:highlight w:val="yellow"/>
              </w:rPr>
            </w:pPr>
            <w:r w:rsidRPr="00E64639">
              <w:rPr>
                <w:sz w:val="18"/>
                <w:highlight w:val="yellow"/>
              </w:rPr>
              <w:t xml:space="preserve">controllare nuovamente la coerenza tra la logica di intervento della RRN, i questionari valutativi e gli indicatori di valutazione </w:t>
            </w:r>
          </w:p>
        </w:tc>
      </w:tr>
      <w:tr w:rsidR="00675B1D" w:rsidRPr="00E64639" w:rsidTr="002A138A">
        <w:tc>
          <w:tcPr>
            <w:tcW w:w="9016" w:type="dxa"/>
            <w:gridSpan w:val="2"/>
          </w:tcPr>
          <w:p w:rsidR="00675B1D" w:rsidRPr="00E64639" w:rsidRDefault="00675B1D" w:rsidP="00FD7840">
            <w:pPr>
              <w:pStyle w:val="HStandard"/>
              <w:rPr>
                <w:b/>
                <w:i/>
                <w:sz w:val="18"/>
                <w:szCs w:val="18"/>
              </w:rPr>
            </w:pPr>
            <w:r w:rsidRPr="00E64639">
              <w:rPr>
                <w:b/>
                <w:sz w:val="18"/>
                <w:highlight w:val="yellow"/>
              </w:rPr>
              <w:t>Risultato atteso:</w:t>
            </w:r>
            <w:r w:rsidRPr="00E64639">
              <w:rPr>
                <w:b/>
                <w:i/>
                <w:sz w:val="18"/>
                <w:highlight w:val="yellow"/>
              </w:rPr>
              <w:t xml:space="preserve"> </w:t>
            </w:r>
            <w:r w:rsidRPr="00E64639">
              <w:rPr>
                <w:sz w:val="18"/>
                <w:highlight w:val="yellow"/>
              </w:rPr>
              <w:t>un quadro di valutazione coerente della RRN (</w:t>
            </w:r>
            <w:r w:rsidRPr="00E64639">
              <w:rPr>
                <w:sz w:val="18"/>
                <w:szCs w:val="18"/>
                <w:highlight w:val="yellow"/>
              </w:rPr>
              <w:fldChar w:fldCharType="begin" w:fldLock="1"/>
            </w:r>
            <w:r w:rsidRPr="00E64639">
              <w:rPr>
                <w:sz w:val="18"/>
                <w:szCs w:val="18"/>
                <w:highlight w:val="yellow"/>
              </w:rPr>
              <w:instrText xml:space="preserve"> REF _Ref451784713 \r \h  \* MERGEFORMAT </w:instrText>
            </w:r>
            <w:r w:rsidRPr="00E64639">
              <w:rPr>
                <w:sz w:val="18"/>
                <w:szCs w:val="18"/>
                <w:highlight w:val="yellow"/>
              </w:rPr>
            </w:r>
            <w:r w:rsidRPr="00E64639">
              <w:rPr>
                <w:sz w:val="18"/>
                <w:szCs w:val="18"/>
                <w:highlight w:val="yellow"/>
              </w:rPr>
              <w:fldChar w:fldCharType="separate"/>
            </w:r>
            <w:r w:rsidRPr="00E64639">
              <w:rPr>
                <w:sz w:val="18"/>
                <w:szCs w:val="18"/>
                <w:highlight w:val="yellow"/>
              </w:rPr>
              <w:t>Figura 9</w:t>
            </w:r>
            <w:r w:rsidRPr="00E64639">
              <w:rPr>
                <w:sz w:val="18"/>
                <w:szCs w:val="18"/>
                <w:highlight w:val="yellow"/>
              </w:rPr>
              <w:fldChar w:fldCharType="end"/>
            </w:r>
            <w:r w:rsidRPr="00E64639">
              <w:rPr>
                <w:sz w:val="18"/>
                <w:highlight w:val="yellow"/>
              </w:rPr>
              <w:t>)</w:t>
            </w:r>
          </w:p>
        </w:tc>
      </w:tr>
    </w:tbl>
    <w:p w:rsidR="00675B1D" w:rsidRPr="00D75B1B" w:rsidRDefault="00675B1D" w:rsidP="004D1A84">
      <w:pPr>
        <w:pStyle w:val="HStandard"/>
        <w:rPr>
          <w:lang w:val="en-GB"/>
        </w:rPr>
      </w:pPr>
      <w:r w:rsidRPr="00D75B1B">
        <w:rPr>
          <w:lang w:val="en-GB"/>
        </w:rP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sidRPr="00D75B1B">
        <w:rPr>
          <w:b/>
          <w:color w:val="E7E6E6" w:themeColor="background2"/>
          <w:lang w:val="en-GB"/>
        </w:rPr>
        <w:t>PART I</w:t>
      </w:r>
      <w:r w:rsidRPr="00D75B1B">
        <w:rPr>
          <w:lang w:val="en-GB"/>
        </w:rP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4D1A84">
        <w:tc>
          <w:tcPr>
            <w:tcW w:w="9016" w:type="dxa"/>
            <w:shd w:val="clear" w:color="auto" w:fill="F5F4F4" w:themeFill="background2" w:themeFillTint="66"/>
          </w:tcPr>
          <w:p w:rsidR="00675B1D" w:rsidRPr="00E64639" w:rsidRDefault="00675B1D" w:rsidP="004D1A84">
            <w:pPr>
              <w:pStyle w:val="HStandard"/>
              <w:rPr>
                <w:highlight w:val="yellow"/>
              </w:rPr>
            </w:pPr>
            <w:bookmarkStart w:id="189" w:name="_Toc434744505"/>
            <w:bookmarkStart w:id="190" w:name="_Toc434744506"/>
            <w:bookmarkStart w:id="191" w:name="_Toc436140055"/>
            <w:bookmarkEnd w:id="189"/>
            <w:r w:rsidRPr="00E64639">
              <w:rPr>
                <w:highlight w:val="yellow"/>
              </w:rPr>
              <w:t>Domande guida per la verifica della coerenza degli elementi di valutazione con la logica di intervento</w:t>
            </w:r>
            <w:r>
              <w:rPr>
                <w:highlight w:val="yellow"/>
              </w:rPr>
              <w:t>:</w:t>
            </w:r>
          </w:p>
          <w:p w:rsidR="00675B1D" w:rsidRPr="00E64639" w:rsidRDefault="00675B1D" w:rsidP="00675B1D">
            <w:pPr>
              <w:pStyle w:val="Hlistbullet2"/>
              <w:rPr>
                <w:highlight w:val="yellow"/>
              </w:rPr>
            </w:pPr>
            <w:r w:rsidRPr="00E64639">
              <w:rPr>
                <w:highlight w:val="yellow"/>
              </w:rPr>
              <w:t>le domande di valutazione chiedono effettivamente ciò che vogliamo sapere?</w:t>
            </w:r>
          </w:p>
          <w:p w:rsidR="00675B1D" w:rsidRPr="00E64639" w:rsidRDefault="00675B1D" w:rsidP="00675B1D">
            <w:pPr>
              <w:pStyle w:val="Hlistbullet2"/>
              <w:rPr>
                <w:highlight w:val="yellow"/>
              </w:rPr>
            </w:pPr>
            <w:r>
              <w:rPr>
                <w:highlight w:val="yellow"/>
              </w:rPr>
              <w:t>C</w:t>
            </w:r>
            <w:r w:rsidRPr="00E64639">
              <w:rPr>
                <w:highlight w:val="yellow"/>
              </w:rPr>
              <w:t>i sono domande di valutazione mancanti o ridondanti?</w:t>
            </w:r>
          </w:p>
          <w:p w:rsidR="00675B1D" w:rsidRPr="00E64639" w:rsidRDefault="00675B1D" w:rsidP="00675B1D">
            <w:pPr>
              <w:pStyle w:val="Hlistbullet2"/>
              <w:rPr>
                <w:highlight w:val="yellow"/>
              </w:rPr>
            </w:pPr>
            <w:r>
              <w:rPr>
                <w:highlight w:val="yellow"/>
              </w:rPr>
              <w:t>G</w:t>
            </w:r>
            <w:r w:rsidRPr="00E64639">
              <w:rPr>
                <w:highlight w:val="yellow"/>
              </w:rPr>
              <w:t>li indicatori coprono gli aspetti che vogliamo conoscere?</w:t>
            </w:r>
          </w:p>
          <w:p w:rsidR="00675B1D" w:rsidRPr="00E64639" w:rsidRDefault="00675B1D" w:rsidP="00675B1D">
            <w:pPr>
              <w:pStyle w:val="Hlistbullet2"/>
              <w:rPr>
                <w:highlight w:val="yellow"/>
              </w:rPr>
            </w:pPr>
            <w:r>
              <w:rPr>
                <w:highlight w:val="yellow"/>
              </w:rPr>
              <w:lastRenderedPageBreak/>
              <w:t>G</w:t>
            </w:r>
            <w:r w:rsidRPr="00E64639">
              <w:rPr>
                <w:highlight w:val="yellow"/>
              </w:rPr>
              <w:t>li indicatori specificano sufficientemente le domande di valutazione e i criteri di giudizio?</w:t>
            </w:r>
          </w:p>
          <w:p w:rsidR="00675B1D" w:rsidRPr="00E64639" w:rsidRDefault="00675B1D" w:rsidP="00675B1D">
            <w:pPr>
              <w:pStyle w:val="Hlistbullet2"/>
              <w:rPr>
                <w:highlight w:val="yellow"/>
              </w:rPr>
            </w:pPr>
            <w:r>
              <w:rPr>
                <w:highlight w:val="yellow"/>
              </w:rPr>
              <w:t>G</w:t>
            </w:r>
            <w:r w:rsidRPr="00E64639">
              <w:rPr>
                <w:highlight w:val="yellow"/>
              </w:rPr>
              <w:t xml:space="preserve">li indicatori sono in grado di fornire prove sufficienti per rispondere alle domande di valutazione? </w:t>
            </w:r>
          </w:p>
          <w:p w:rsidR="00675B1D" w:rsidRPr="00E64639" w:rsidRDefault="00675B1D" w:rsidP="00675B1D">
            <w:pPr>
              <w:pStyle w:val="Hlistbullet2"/>
              <w:rPr>
                <w:highlight w:val="yellow"/>
              </w:rPr>
            </w:pPr>
            <w:r>
              <w:rPr>
                <w:highlight w:val="yellow"/>
              </w:rPr>
              <w:t>G</w:t>
            </w:r>
            <w:r w:rsidRPr="00E64639">
              <w:rPr>
                <w:highlight w:val="yellow"/>
              </w:rPr>
              <w:t>li indicatori sono RACER?</w:t>
            </w:r>
          </w:p>
        </w:tc>
      </w:tr>
    </w:tbl>
    <w:p w:rsidR="00675B1D" w:rsidRPr="00E64639" w:rsidRDefault="00675B1D" w:rsidP="00320BBA">
      <w:pPr>
        <w:pStyle w:val="HHeading5"/>
        <w:rPr>
          <w:highlight w:val="yellow"/>
        </w:rPr>
      </w:pPr>
      <w:r w:rsidRPr="00E64639">
        <w:rPr>
          <w:highlight w:val="yellow"/>
        </w:rPr>
        <w:lastRenderedPageBreak/>
        <w:t>Cosa fare e cosa non fare</w:t>
      </w:r>
    </w:p>
    <w:tbl>
      <w:tblPr>
        <w:tblStyle w:val="LightList-Accent5"/>
        <w:tblW w:w="0" w:type="auto"/>
        <w:tblLook w:val="04A0" w:firstRow="1" w:lastRow="0" w:firstColumn="1" w:lastColumn="0" w:noHBand="0" w:noVBand="1"/>
      </w:tblPr>
      <w:tblGrid>
        <w:gridCol w:w="4505"/>
        <w:gridCol w:w="4501"/>
      </w:tblGrid>
      <w:tr w:rsidR="00675B1D" w:rsidRPr="00E64639"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675B1D" w:rsidRPr="00E64639" w:rsidRDefault="00675B1D" w:rsidP="000A3387">
            <w:pPr>
              <w:pStyle w:val="HHeading5"/>
              <w:jc w:val="center"/>
              <w:rPr>
                <w:sz w:val="18"/>
                <w:szCs w:val="18"/>
                <w:highlight w:val="yellow"/>
              </w:rPr>
            </w:pPr>
            <w:r w:rsidRPr="00E64639">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675B1D" w:rsidRPr="00E64639" w:rsidRDefault="00675B1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sidRPr="00E64639">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Costruire una architettura di valutazione complessiva, adeguando gli elementi di valutazione alla logica di intervento, in caso di necessità.</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Assicurarsi che le domande di valutazione coprano effettivamente tutti gli aspetti che vogliamo conoscere in merito al contributo della RRN allo sviluppo rurale.</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color w:val="FFC000" w:themeColor="accent4"/>
                <w:sz w:val="18"/>
                <w:highlight w:val="yellow"/>
              </w:rPr>
              <w:t>Essere consapevoli del fatto che gli indicatori servono per raccogliere prove necessarie per rispondere alle domande di valutazione.</w:t>
            </w:r>
          </w:p>
          <w:p w:rsidR="00675B1D" w:rsidRPr="00E64639" w:rsidRDefault="00675B1D" w:rsidP="000A3387">
            <w:pPr>
              <w:pStyle w:val="HStandard"/>
              <w:rPr>
                <w:color w:val="FFC000" w:themeColor="accent4"/>
                <w:sz w:val="18"/>
                <w:szCs w:val="18"/>
                <w:highlight w:val="yellow"/>
              </w:rPr>
            </w:pPr>
            <w:r w:rsidRPr="00E64639">
              <w:rPr>
                <w:b w:val="0"/>
                <w:color w:val="FFC000" w:themeColor="accent4"/>
                <w:sz w:val="18"/>
                <w:highlight w:val="yellow"/>
              </w:rPr>
              <w:t>Utilizzare l'approccio RACER nello sviluppo degli indicatori.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b w:val="0"/>
                <w:color w:val="ED7D31" w:themeColor="accent2"/>
                <w:sz w:val="18"/>
                <w:highlight w:val="yellow"/>
              </w:rPr>
              <w:t>Accettare le domande di valutazione e gli indicatori senza metterli in discussione.</w:t>
            </w:r>
          </w:p>
          <w:p w:rsidR="00675B1D" w:rsidRPr="00E64639" w:rsidRDefault="00675B1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E64639">
              <w:rPr>
                <w:color w:val="ED7D31" w:themeColor="accent2"/>
                <w:sz w:val="18"/>
                <w:highlight w:val="yellow"/>
              </w:rPr>
              <w:t>Formulare domande di valutazione senza specificarle con criteri di giudizio e collegarle agli indicatori.</w:t>
            </w:r>
          </w:p>
        </w:tc>
      </w:tr>
    </w:tbl>
    <w:p w:rsidR="00675B1D" w:rsidRPr="00E64639" w:rsidRDefault="00675B1D" w:rsidP="004D1A84">
      <w:pPr>
        <w:pStyle w:val="HHeading5"/>
      </w:pPr>
      <w:r w:rsidRPr="00E64639">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675B1D" w:rsidRPr="00D75B1B" w:rsidTr="004C05DD">
        <w:tc>
          <w:tcPr>
            <w:tcW w:w="9069" w:type="dxa"/>
            <w:shd w:val="clear" w:color="auto" w:fill="FAF9F9" w:themeFill="background2" w:themeFillTint="33"/>
          </w:tcPr>
          <w:p w:rsidR="00675B1D" w:rsidRPr="00D75B1B" w:rsidRDefault="00675B1D" w:rsidP="004D1A84">
            <w:pPr>
              <w:pStyle w:val="HStandard"/>
              <w:jc w:val="left"/>
              <w:rPr>
                <w:sz w:val="16"/>
                <w:szCs w:val="16"/>
                <w:lang w:val="en-GB"/>
              </w:rPr>
            </w:pPr>
            <w:r w:rsidRPr="00D75B1B">
              <w:rPr>
                <w:sz w:val="16"/>
                <w:lang w:val="en-GB"/>
              </w:rPr>
              <w:t>Assessment of RDP results: How to prepare for reporting on evaluation in 2017, Chapter 5.1 Evaluation Helpdesk, April 2016</w:t>
            </w:r>
          </w:p>
          <w:p w:rsidR="00675B1D" w:rsidRPr="00D75B1B" w:rsidRDefault="00675B1D" w:rsidP="00C0080B">
            <w:pPr>
              <w:pStyle w:val="HStandard"/>
              <w:jc w:val="left"/>
              <w:rPr>
                <w:lang w:val="en-GB"/>
              </w:rPr>
            </w:pPr>
            <w:r w:rsidRPr="00D75B1B">
              <w:rPr>
                <w:sz w:val="16"/>
                <w:lang w:val="en-GB"/>
              </w:rPr>
              <w:t>Italian NRNP: Examples for mapping IL, EQs and Indicators in the Case Study presented by the evaluator Francesca Angori during the Helpdesk seminar:</w:t>
            </w:r>
            <w:r w:rsidRPr="00D75B1B">
              <w:rPr>
                <w:i/>
                <w:sz w:val="16"/>
                <w:lang w:val="en-GB"/>
              </w:rPr>
              <w:t xml:space="preserve"> “National rural networks: How to show their benefits.” </w:t>
            </w:r>
            <w:r w:rsidRPr="00D75B1B">
              <w:rPr>
                <w:sz w:val="16"/>
                <w:lang w:val="en-GB"/>
              </w:rPr>
              <w:t xml:space="preserve">Rome/IT, 10/11 April 2014. </w:t>
            </w:r>
            <w:hyperlink r:id="rId45">
              <w:r w:rsidRPr="00D75B1B">
                <w:rPr>
                  <w:rStyle w:val="Hyperlink"/>
                  <w:sz w:val="16"/>
                  <w:lang w:val="en-GB"/>
                </w:rPr>
                <w:t>http://enrd.ec.europa.eu/enrd-static/app_templates/enrd_assets/pdf/evaluation/national-rural-networks/GPW10_Italy.pdf</w:t>
              </w:r>
            </w:hyperlink>
            <w:r w:rsidRPr="00D75B1B">
              <w:rPr>
                <w:lang w:val="en-GB"/>
              </w:rPr>
              <w:t xml:space="preserve"> </w:t>
            </w:r>
          </w:p>
        </w:tc>
      </w:tr>
    </w:tbl>
    <w:p w:rsidR="00675B1D" w:rsidRPr="00E64639" w:rsidRDefault="00675B1D" w:rsidP="00642574">
      <w:pPr>
        <w:pStyle w:val="HHeading3"/>
        <w:rPr>
          <w:highlight w:val="yellow"/>
        </w:rPr>
      </w:pPr>
      <w:bookmarkStart w:id="192" w:name="_Toc443491683"/>
      <w:bookmarkStart w:id="193" w:name="_Toc453079767"/>
      <w:r w:rsidRPr="00E64639">
        <w:rPr>
          <w:highlight w:val="yellow"/>
        </w:rPr>
        <w:t>Scegliere una strategia e metodi di valutazione adeguati per le RRN</w:t>
      </w:r>
      <w:bookmarkEnd w:id="190"/>
      <w:bookmarkEnd w:id="191"/>
      <w:bookmarkEnd w:id="192"/>
      <w:bookmarkEnd w:id="193"/>
    </w:p>
    <w:p w:rsidR="00675B1D" w:rsidRPr="00D75B1B" w:rsidRDefault="00675B1D" w:rsidP="004D1A84">
      <w:pPr>
        <w:pStyle w:val="HStandard"/>
        <w:rPr>
          <w:color w:val="538135" w:themeColor="accent6" w:themeShade="BF"/>
          <w:lang w:val="en-GB"/>
        </w:rPr>
      </w:pPr>
      <w:r w:rsidRPr="00D75B1B">
        <w:rPr>
          <w:lang w:val="en-GB"/>
        </w:rP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675B1D" w:rsidRPr="00D75B1B" w:rsidRDefault="00675B1D" w:rsidP="004D1A84">
      <w:pPr>
        <w:pStyle w:val="HHeading5"/>
        <w:rPr>
          <w:lang w:val="en-GB"/>
        </w:rPr>
      </w:pPr>
      <w:r w:rsidRPr="00D75B1B">
        <w:rPr>
          <w:lang w:val="en-GB"/>
        </w:rPr>
        <w:t>How to distinguish the evaluation approaches from the methods and tools?</w:t>
      </w:r>
    </w:p>
    <w:p w:rsidR="00675B1D" w:rsidRPr="00D75B1B" w:rsidRDefault="00675B1D" w:rsidP="004D1A84">
      <w:pPr>
        <w:pStyle w:val="HStandard"/>
        <w:rPr>
          <w:lang w:val="en-GB"/>
        </w:rPr>
      </w:pPr>
      <w:r w:rsidRPr="00D75B1B">
        <w:rPr>
          <w:lang w:val="en-GB"/>
        </w:rP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675B1D" w:rsidRPr="00D75B1B" w:rsidRDefault="00675B1D" w:rsidP="004D1A84">
      <w:pPr>
        <w:pStyle w:val="Hlistbullet2"/>
        <w:rPr>
          <w:lang w:val="en-GB"/>
        </w:rPr>
      </w:pPr>
      <w:r w:rsidRPr="00D75B1B">
        <w:rPr>
          <w:lang w:val="en-GB"/>
        </w:rPr>
        <w:t xml:space="preserve">The choice of the </w:t>
      </w:r>
      <w:r w:rsidRPr="00D75B1B">
        <w:rPr>
          <w:b/>
          <w:lang w:val="en-GB"/>
        </w:rPr>
        <w:t>approach</w:t>
      </w:r>
      <w:r w:rsidRPr="00D75B1B">
        <w:rPr>
          <w:lang w:val="en-GB"/>
        </w:rP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675B1D" w:rsidRPr="00E64639" w:rsidRDefault="00675B1D" w:rsidP="004D1A84">
      <w:pPr>
        <w:pStyle w:val="Hlistbullet2"/>
        <w:numPr>
          <w:ilvl w:val="0"/>
          <w:numId w:val="0"/>
        </w:numPr>
        <w:ind w:left="641"/>
      </w:pPr>
      <w:r w:rsidRPr="00E64639">
        <w:sym w:font="Wingdings" w:char="F0E0"/>
      </w:r>
      <w:r w:rsidRPr="00E64639">
        <w:t xml:space="preserve"> Example: Mixed quantitative and qualitative approach.</w:t>
      </w:r>
    </w:p>
    <w:p w:rsidR="00675B1D" w:rsidRPr="00D75B1B" w:rsidRDefault="00675B1D" w:rsidP="004D1A84">
      <w:pPr>
        <w:pStyle w:val="Hlistbullet2"/>
        <w:rPr>
          <w:lang w:val="en-GB"/>
        </w:rPr>
      </w:pPr>
      <w:r w:rsidRPr="00D75B1B">
        <w:rPr>
          <w:lang w:val="en-GB"/>
        </w:rPr>
        <w:t xml:space="preserve">The choice of the </w:t>
      </w:r>
      <w:r w:rsidRPr="00D75B1B">
        <w:rPr>
          <w:b/>
          <w:lang w:val="en-GB"/>
        </w:rPr>
        <w:t>method</w:t>
      </w:r>
      <w:r w:rsidRPr="00D75B1B">
        <w:rPr>
          <w:lang w:val="en-GB"/>
        </w:rPr>
        <w:t xml:space="preserve"> or </w:t>
      </w:r>
      <w:r w:rsidRPr="00D75B1B">
        <w:rPr>
          <w:b/>
          <w:lang w:val="en-GB"/>
        </w:rPr>
        <w:t xml:space="preserve">methodology </w:t>
      </w:r>
      <w:r w:rsidRPr="00D75B1B">
        <w:rPr>
          <w:lang w:val="en-GB"/>
        </w:rPr>
        <w:t xml:space="preserve">defines the avenue, the ways and means, of the evaluation process. It is guided by questions like: “Considering the chosen approach, what </w:t>
      </w:r>
      <w:r w:rsidRPr="00D75B1B">
        <w:rPr>
          <w:lang w:val="en-GB"/>
        </w:rPr>
        <w:lastRenderedPageBreak/>
        <w:t xml:space="preserve">method or mix of methods do we have at hand?” – “How can we address the purpose and thematic focus of the evaluation?” </w:t>
      </w:r>
    </w:p>
    <w:p w:rsidR="00675B1D" w:rsidRPr="00E64639" w:rsidRDefault="00675B1D" w:rsidP="004D1A84">
      <w:pPr>
        <w:pStyle w:val="Hlistbullet2"/>
        <w:numPr>
          <w:ilvl w:val="0"/>
          <w:numId w:val="0"/>
        </w:numPr>
        <w:ind w:left="641"/>
      </w:pPr>
      <w:r w:rsidRPr="00E64639">
        <w:sym w:font="Wingdings" w:char="F0E0"/>
      </w:r>
      <w:r w:rsidRPr="00E64639">
        <w:t xml:space="preserve"> Example: Social Network Analysis.</w:t>
      </w:r>
    </w:p>
    <w:p w:rsidR="00675B1D" w:rsidRPr="00D75B1B" w:rsidRDefault="00675B1D" w:rsidP="004D1A84">
      <w:pPr>
        <w:pStyle w:val="Hlistbullet2"/>
        <w:rPr>
          <w:lang w:val="en-GB"/>
        </w:rPr>
      </w:pPr>
      <w:r w:rsidRPr="00D75B1B">
        <w:rPr>
          <w:b/>
          <w:lang w:val="en-GB"/>
        </w:rPr>
        <w:t xml:space="preserve">Tools </w:t>
      </w:r>
      <w:r w:rsidRPr="00D75B1B">
        <w:rPr>
          <w:lang w:val="en-GB"/>
        </w:rPr>
        <w:t>are the basic technical elements of methods, which we use in collecting evaluation evidence.</w:t>
      </w:r>
    </w:p>
    <w:p w:rsidR="00675B1D" w:rsidRPr="00D75B1B" w:rsidRDefault="00675B1D" w:rsidP="004D1A84">
      <w:pPr>
        <w:pStyle w:val="Hlistbullet2"/>
        <w:numPr>
          <w:ilvl w:val="0"/>
          <w:numId w:val="0"/>
        </w:numPr>
        <w:ind w:left="641"/>
        <w:rPr>
          <w:lang w:val="en-GB"/>
        </w:rPr>
      </w:pPr>
      <w:r w:rsidRPr="00E64639">
        <w:sym w:font="Wingdings" w:char="F0E0"/>
      </w:r>
      <w:r w:rsidRPr="00D75B1B">
        <w:rPr>
          <w:lang w:val="en-GB"/>
        </w:rPr>
        <w:t xml:space="preserve"> Example: Standard online questionnaire.</w:t>
      </w:r>
    </w:p>
    <w:p w:rsidR="00675B1D" w:rsidRPr="00D75B1B" w:rsidRDefault="00675B1D" w:rsidP="00320BBA">
      <w:pPr>
        <w:pStyle w:val="HHeading5"/>
        <w:rPr>
          <w:color w:val="538135" w:themeColor="accent6" w:themeShade="BF"/>
          <w:lang w:val="en-GB"/>
        </w:rPr>
      </w:pPr>
      <w:bookmarkStart w:id="194" w:name="_Toc433481229"/>
      <w:bookmarkStart w:id="195" w:name="_Toc433718137"/>
      <w:bookmarkStart w:id="196" w:name="_Toc434744507"/>
      <w:bookmarkStart w:id="197" w:name="_Toc436140056"/>
      <w:r w:rsidRPr="00D75B1B">
        <w:rPr>
          <w:color w:val="538135" w:themeColor="accent6" w:themeShade="BF"/>
          <w:lang w:val="en-GB"/>
        </w:rPr>
        <w:t>Choosing an evaluation approach</w:t>
      </w:r>
      <w:bookmarkEnd w:id="194"/>
      <w:bookmarkEnd w:id="195"/>
      <w:bookmarkEnd w:id="196"/>
      <w:r w:rsidRPr="00D75B1B">
        <w:rPr>
          <w:color w:val="538135" w:themeColor="accent6" w:themeShade="BF"/>
          <w:lang w:val="en-GB"/>
        </w:rPr>
        <w:t xml:space="preserve"> for NRN</w:t>
      </w:r>
      <w:bookmarkEnd w:id="197"/>
      <w:r w:rsidRPr="00D75B1B">
        <w:rPr>
          <w:color w:val="538135" w:themeColor="accent6" w:themeShade="BF"/>
          <w:lang w:val="en-GB"/>
        </w:rPr>
        <w:t xml:space="preserve">s </w:t>
      </w:r>
    </w:p>
    <w:p w:rsidR="00675B1D" w:rsidRPr="00D75B1B" w:rsidRDefault="00675B1D" w:rsidP="00340AD4">
      <w:pPr>
        <w:pStyle w:val="Heading6"/>
        <w:rPr>
          <w:lang w:val="en-GB"/>
        </w:rPr>
      </w:pPr>
      <w:r w:rsidRPr="00D75B1B">
        <w:rPr>
          <w:lang w:val="en-GB"/>
        </w:rPr>
        <w:t>What is required by the legal framework and what is up to the discretion of the Member States?</w:t>
      </w:r>
    </w:p>
    <w:p w:rsidR="00675B1D" w:rsidRPr="00D75B1B" w:rsidRDefault="00675B1D" w:rsidP="00975D9B">
      <w:pPr>
        <w:pStyle w:val="HStandard"/>
        <w:rPr>
          <w:lang w:val="en-GB"/>
        </w:rPr>
      </w:pPr>
      <w:r w:rsidRPr="00D75B1B">
        <w:rPr>
          <w:lang w:val="en-GB"/>
        </w:rPr>
        <w:t>The appropriate evaluation approach will in most cases consist of a mix of methods determined by:</w:t>
      </w:r>
    </w:p>
    <w:p w:rsidR="00675B1D" w:rsidRPr="00D75B1B" w:rsidRDefault="00675B1D" w:rsidP="00975D9B">
      <w:pPr>
        <w:pStyle w:val="Hlistbullet2"/>
        <w:rPr>
          <w:lang w:val="en-GB"/>
        </w:rPr>
      </w:pPr>
      <w:r w:rsidRPr="00D75B1B">
        <w:rPr>
          <w:lang w:val="en-GB"/>
        </w:rPr>
        <w:t>type of evaluation required (2017, 2019 and ex post),</w:t>
      </w:r>
    </w:p>
    <w:p w:rsidR="00675B1D" w:rsidRPr="00D75B1B" w:rsidRDefault="00675B1D" w:rsidP="00975D9B">
      <w:pPr>
        <w:pStyle w:val="Hlistbullet2"/>
        <w:rPr>
          <w:lang w:val="en-GB"/>
        </w:rPr>
      </w:pPr>
      <w:r w:rsidRPr="00D75B1B">
        <w:rPr>
          <w:lang w:val="en-GB"/>
        </w:rPr>
        <w:t>thematic priorities of the NRN’s activities,</w:t>
      </w:r>
    </w:p>
    <w:p w:rsidR="00675B1D" w:rsidRPr="00D75B1B" w:rsidRDefault="00675B1D" w:rsidP="00975D9B">
      <w:pPr>
        <w:pStyle w:val="Hlistbullet2"/>
        <w:rPr>
          <w:lang w:val="en-GB"/>
        </w:rPr>
      </w:pPr>
      <w:r w:rsidRPr="00D75B1B">
        <w:rPr>
          <w:lang w:val="en-GB"/>
        </w:rPr>
        <w:t>purpose and interest of the managing authorities and other stakeholders.</w:t>
      </w:r>
    </w:p>
    <w:p w:rsidR="00675B1D" w:rsidRPr="00D75B1B" w:rsidRDefault="00675B1D" w:rsidP="00975D9B">
      <w:pPr>
        <w:pStyle w:val="HStandard"/>
        <w:rPr>
          <w:lang w:val="en-GB"/>
        </w:rPr>
      </w:pPr>
      <w:r w:rsidRPr="00D75B1B">
        <w:rPr>
          <w:lang w:val="en-GB"/>
        </w:rPr>
        <w:t xml:space="preserve">The </w:t>
      </w:r>
      <w:r w:rsidRPr="00D75B1B">
        <w:rPr>
          <w:b/>
          <w:lang w:val="en-GB"/>
        </w:rPr>
        <w:t>legal framework</w:t>
      </w:r>
      <w:r w:rsidRPr="00D75B1B">
        <w:rPr>
          <w:lang w:val="en-GB"/>
        </w:rPr>
        <w:t xml:space="preserve"> requires focusing the NRN evaluation in 2017 on the quantification of programme achievements while using the NRN common output and programme-specific result indicators, and answering the common evaluation question linked to the NRN.</w:t>
      </w:r>
    </w:p>
    <w:p w:rsidR="00675B1D" w:rsidRPr="00D75B1B" w:rsidRDefault="00675B1D" w:rsidP="00975D9B">
      <w:pPr>
        <w:pStyle w:val="HStandard"/>
        <w:rPr>
          <w:lang w:val="en-GB"/>
        </w:rPr>
      </w:pPr>
      <w:r w:rsidRPr="00D75B1B">
        <w:rPr>
          <w:lang w:val="en-GB"/>
        </w:rP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w:t>
      </w:r>
      <w:r w:rsidRPr="00D75B1B">
        <w:rPr>
          <w:lang w:val="en-GB"/>
        </w:rPr>
        <w:noBreakHyphen/>
        <w:t xml:space="preserve"> specific result and impact indicators related to the NRN.</w:t>
      </w:r>
    </w:p>
    <w:p w:rsidR="00675B1D" w:rsidRPr="00D75B1B" w:rsidRDefault="00675B1D" w:rsidP="00975D9B">
      <w:pPr>
        <w:pStyle w:val="HStandard"/>
        <w:rPr>
          <w:lang w:val="en-GB"/>
        </w:rPr>
      </w:pPr>
      <w:r w:rsidRPr="00D75B1B">
        <w:rPr>
          <w:lang w:val="en-GB"/>
        </w:rPr>
        <w:t>The ex post evaluation requires the assessment of NRN(P) results and impacts against the backdrop of NRN objectives, RDP and horizontal CAP objectives.</w:t>
      </w:r>
    </w:p>
    <w:p w:rsidR="00675B1D" w:rsidRPr="00D75B1B" w:rsidRDefault="00675B1D" w:rsidP="00975D9B">
      <w:pPr>
        <w:pStyle w:val="HStandard"/>
        <w:rPr>
          <w:lang w:val="en-GB"/>
        </w:rPr>
      </w:pPr>
      <w:r w:rsidRPr="00D75B1B">
        <w:rPr>
          <w:lang w:val="en-GB"/>
        </w:rPr>
        <w:t xml:space="preserve">It is up to the </w:t>
      </w:r>
      <w:r w:rsidRPr="00D75B1B">
        <w:rPr>
          <w:b/>
          <w:lang w:val="en-GB"/>
        </w:rPr>
        <w:t>discretion of Member States</w:t>
      </w:r>
      <w:r w:rsidRPr="00D75B1B">
        <w:rPr>
          <w:lang w:val="en-GB"/>
        </w:rPr>
        <w:t xml:space="preserve"> to define: </w:t>
      </w:r>
    </w:p>
    <w:p w:rsidR="00675B1D" w:rsidRPr="00D75B1B" w:rsidRDefault="00675B1D" w:rsidP="00975D9B">
      <w:pPr>
        <w:pStyle w:val="Hlistbullet2"/>
        <w:rPr>
          <w:lang w:val="en-GB"/>
        </w:rPr>
      </w:pPr>
      <w:r w:rsidRPr="00D75B1B">
        <w:rPr>
          <w:lang w:val="en-GB"/>
        </w:rPr>
        <w:t>specific evaluation topics in respect to the NRN in the evaluation plan;</w:t>
      </w:r>
    </w:p>
    <w:p w:rsidR="00675B1D" w:rsidRPr="00D75B1B" w:rsidRDefault="00675B1D" w:rsidP="00975D9B">
      <w:pPr>
        <w:pStyle w:val="Hlistbullet2"/>
        <w:rPr>
          <w:lang w:val="en-GB"/>
        </w:rPr>
      </w:pPr>
      <w:r w:rsidRPr="00D75B1B">
        <w:rPr>
          <w:lang w:val="en-GB"/>
        </w:rPr>
        <w:t>NRN related programme-specific evaluation questions and indicators;</w:t>
      </w:r>
    </w:p>
    <w:p w:rsidR="00675B1D" w:rsidRPr="00D75B1B" w:rsidRDefault="00675B1D" w:rsidP="00975D9B">
      <w:pPr>
        <w:pStyle w:val="Hlistbullet2"/>
        <w:rPr>
          <w:lang w:val="en-GB"/>
        </w:rPr>
      </w:pPr>
      <w:r w:rsidRPr="00D75B1B">
        <w:rPr>
          <w:lang w:val="en-GB"/>
        </w:rPr>
        <w:t>scope and features of the monitoring and evaluation framework of the NRN, possibly connected to self-assessment;</w:t>
      </w:r>
    </w:p>
    <w:p w:rsidR="00675B1D" w:rsidRPr="00D75B1B" w:rsidRDefault="00675B1D" w:rsidP="00975D9B">
      <w:pPr>
        <w:pStyle w:val="Hlistbullet2"/>
        <w:rPr>
          <w:lang w:val="en-GB"/>
        </w:rPr>
      </w:pPr>
      <w:r w:rsidRPr="00D75B1B">
        <w:rPr>
          <w:lang w:val="en-GB"/>
        </w:rPr>
        <w:t>the evaluation approach in the Terms of Reference, which gets fine-tuned by the evaluator. In some cases, the Member States will go so far as to prescribe methodologies and tools, in other cases this will be left to the choice and competencies of the evaluator;</w:t>
      </w:r>
    </w:p>
    <w:p w:rsidR="00675B1D" w:rsidRPr="00D75B1B" w:rsidRDefault="00675B1D" w:rsidP="00975D9B">
      <w:pPr>
        <w:pStyle w:val="Hlistbullet2"/>
        <w:rPr>
          <w:lang w:val="en-GB"/>
        </w:rPr>
      </w:pPr>
      <w:r w:rsidRPr="00D75B1B">
        <w:rPr>
          <w:lang w:val="en-GB"/>
        </w:rPr>
        <w:t>specific evaluation activities, such as ongoing evaluation, and accompanying research and studies covering particular themes.</w:t>
      </w:r>
    </w:p>
    <w:p w:rsidR="00675B1D" w:rsidRPr="00D75B1B" w:rsidRDefault="00675B1D" w:rsidP="00975D9B">
      <w:pPr>
        <w:pStyle w:val="HStandard"/>
        <w:rPr>
          <w:lang w:val="en-GB"/>
        </w:rPr>
      </w:pPr>
      <w:r w:rsidRPr="00D75B1B">
        <w:rPr>
          <w:lang w:val="en-GB"/>
        </w:rP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675B1D" w:rsidRPr="00D75B1B" w:rsidRDefault="00675B1D" w:rsidP="00320BBA">
      <w:pPr>
        <w:pStyle w:val="HStandard"/>
        <w:rPr>
          <w:color w:val="538135" w:themeColor="accent6" w:themeShade="BF"/>
          <w:lang w:val="en-GB"/>
        </w:rPr>
      </w:pPr>
      <w:r w:rsidRPr="00D75B1B">
        <w:rPr>
          <w:lang w:val="en-GB"/>
        </w:rPr>
        <w:t>In any event, proportionality should be taken into account. The effort to apply the evaluation methods should match with the scope and scale of NRN tasks and operations.</w:t>
      </w:r>
    </w:p>
    <w:p w:rsidR="00675B1D" w:rsidRPr="00E64639" w:rsidRDefault="00675B1D" w:rsidP="00340AD4">
      <w:pPr>
        <w:pStyle w:val="Heading6"/>
      </w:pPr>
      <w:r w:rsidRPr="00E64639">
        <w:rPr>
          <w:highlight w:val="yellow"/>
        </w:rPr>
        <w:t>Quali sono le tappe principali per scegliere la strategia di valutazione?</w:t>
      </w:r>
    </w:p>
    <w:p w:rsidR="00675B1D" w:rsidRPr="00E64639" w:rsidRDefault="00675B1D" w:rsidP="00975D9B">
      <w:pPr>
        <w:pStyle w:val="HStandard"/>
      </w:pPr>
      <w:r w:rsidRPr="00D75B1B">
        <w:rPr>
          <w:lang w:val="en-GB"/>
        </w:rPr>
        <w:lastRenderedPageBreak/>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sidRPr="00E64639">
        <w:rPr>
          <w:highlight w:val="yellow"/>
        </w:rPr>
        <w:t>Le tappe di lavoro consigliate e il risultato atteso sono i seguenti:</w:t>
      </w:r>
    </w:p>
    <w:p w:rsidR="00675B1D" w:rsidRPr="00E64639" w:rsidRDefault="00675B1D">
      <w:pPr>
        <w:spacing w:after="0" w:line="240" w:lineRule="auto"/>
        <w:rPr>
          <w:rFonts w:cs="Arial"/>
          <w:color w:val="576C88" w:themeColor="text2" w:themeTint="D9"/>
          <w:sz w:val="20"/>
          <w:szCs w:val="20"/>
        </w:rPr>
      </w:pPr>
      <w:r w:rsidRPr="00E64639">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E64639" w:rsidTr="00975D9B">
        <w:tc>
          <w:tcPr>
            <w:tcW w:w="988" w:type="dxa"/>
            <w:shd w:val="clear" w:color="auto" w:fill="E7E6E6" w:themeFill="background2"/>
          </w:tcPr>
          <w:p w:rsidR="00675B1D" w:rsidRPr="00E64639" w:rsidRDefault="00675B1D" w:rsidP="00975D9B">
            <w:pPr>
              <w:pStyle w:val="HStandard"/>
              <w:jc w:val="center"/>
              <w:rPr>
                <w:b/>
                <w:color w:val="5B9BD5" w:themeColor="accent1"/>
                <w:sz w:val="18"/>
                <w:szCs w:val="18"/>
                <w:highlight w:val="yellow"/>
              </w:rPr>
            </w:pPr>
            <w:r w:rsidRPr="00E64639">
              <w:rPr>
                <w:b/>
                <w:color w:val="5B9BD5" w:themeColor="accent1"/>
                <w:sz w:val="18"/>
                <w:highlight w:val="yellow"/>
              </w:rPr>
              <w:lastRenderedPageBreak/>
              <w:t>1</w:t>
            </w:r>
          </w:p>
        </w:tc>
        <w:tc>
          <w:tcPr>
            <w:tcW w:w="8028" w:type="dxa"/>
          </w:tcPr>
          <w:p w:rsidR="00675B1D" w:rsidRPr="00E64639" w:rsidRDefault="00675B1D" w:rsidP="004C05DD">
            <w:pPr>
              <w:pStyle w:val="HStandard"/>
              <w:rPr>
                <w:b/>
                <w:i/>
                <w:sz w:val="18"/>
                <w:szCs w:val="18"/>
                <w:highlight w:val="yellow"/>
              </w:rPr>
            </w:pPr>
            <w:r w:rsidRPr="00E64639">
              <w:rPr>
                <w:sz w:val="18"/>
                <w:highlight w:val="yellow"/>
              </w:rPr>
              <w:t>identificare la portata della valutazione della RRN;</w:t>
            </w:r>
          </w:p>
        </w:tc>
      </w:tr>
      <w:tr w:rsidR="00675B1D" w:rsidRPr="00E64639" w:rsidTr="00975D9B">
        <w:tc>
          <w:tcPr>
            <w:tcW w:w="988" w:type="dxa"/>
            <w:shd w:val="clear" w:color="auto" w:fill="E7E6E6" w:themeFill="background2"/>
          </w:tcPr>
          <w:p w:rsidR="00675B1D" w:rsidRPr="00E64639" w:rsidRDefault="00675B1D" w:rsidP="00975D9B">
            <w:pPr>
              <w:pStyle w:val="HStandard"/>
              <w:jc w:val="center"/>
              <w:rPr>
                <w:b/>
                <w:color w:val="5B9BD5" w:themeColor="accent1"/>
                <w:sz w:val="18"/>
                <w:szCs w:val="18"/>
                <w:highlight w:val="yellow"/>
              </w:rPr>
            </w:pPr>
            <w:r w:rsidRPr="00E64639">
              <w:rPr>
                <w:b/>
                <w:color w:val="5B9BD5" w:themeColor="accent1"/>
                <w:sz w:val="18"/>
                <w:highlight w:val="yellow"/>
              </w:rPr>
              <w:t>2</w:t>
            </w:r>
          </w:p>
        </w:tc>
        <w:tc>
          <w:tcPr>
            <w:tcW w:w="8028" w:type="dxa"/>
          </w:tcPr>
          <w:p w:rsidR="00675B1D" w:rsidRPr="00E64639" w:rsidRDefault="00675B1D" w:rsidP="004C05DD">
            <w:pPr>
              <w:pStyle w:val="HStandard"/>
              <w:spacing w:after="0"/>
              <w:rPr>
                <w:sz w:val="18"/>
                <w:szCs w:val="18"/>
                <w:highlight w:val="yellow"/>
              </w:rPr>
            </w:pPr>
            <w:r w:rsidRPr="00E64639">
              <w:rPr>
                <w:sz w:val="18"/>
                <w:highlight w:val="yellow"/>
              </w:rPr>
              <w:t>comprendere le sfide poste dalla valutazione dei risultati e degli impatti della RRN;</w:t>
            </w:r>
          </w:p>
        </w:tc>
      </w:tr>
      <w:tr w:rsidR="00675B1D" w:rsidRPr="00E64639" w:rsidTr="00975D9B">
        <w:tc>
          <w:tcPr>
            <w:tcW w:w="988" w:type="dxa"/>
            <w:shd w:val="clear" w:color="auto" w:fill="E7E6E6" w:themeFill="background2"/>
          </w:tcPr>
          <w:p w:rsidR="00675B1D" w:rsidRPr="00E64639" w:rsidRDefault="00675B1D" w:rsidP="00975D9B">
            <w:pPr>
              <w:pStyle w:val="HStandard"/>
              <w:jc w:val="center"/>
              <w:rPr>
                <w:b/>
                <w:color w:val="5B9BD5" w:themeColor="accent1"/>
                <w:sz w:val="18"/>
                <w:szCs w:val="18"/>
                <w:highlight w:val="yellow"/>
              </w:rPr>
            </w:pPr>
            <w:r w:rsidRPr="00E64639">
              <w:rPr>
                <w:b/>
                <w:color w:val="5B9BD5" w:themeColor="accent1"/>
                <w:sz w:val="18"/>
                <w:highlight w:val="yellow"/>
              </w:rPr>
              <w:t>3</w:t>
            </w:r>
          </w:p>
        </w:tc>
        <w:tc>
          <w:tcPr>
            <w:tcW w:w="8028" w:type="dxa"/>
          </w:tcPr>
          <w:p w:rsidR="00675B1D" w:rsidRPr="00E64639" w:rsidRDefault="00675B1D" w:rsidP="004C05DD">
            <w:pPr>
              <w:spacing w:line="280" w:lineRule="atLeast"/>
              <w:rPr>
                <w:color w:val="576C88" w:themeColor="text2" w:themeTint="D9"/>
                <w:szCs w:val="18"/>
                <w:highlight w:val="yellow"/>
              </w:rPr>
            </w:pPr>
            <w:r w:rsidRPr="00E64639">
              <w:rPr>
                <w:color w:val="576C88" w:themeColor="text2" w:themeTint="D9"/>
                <w:highlight w:val="yellow"/>
              </w:rPr>
              <w:t>ottenere una panoramica delle possibili strategie di valutazione per la RRN e i loro vantaggi comparativi;</w:t>
            </w:r>
          </w:p>
        </w:tc>
      </w:tr>
      <w:tr w:rsidR="00675B1D" w:rsidRPr="00E64639" w:rsidTr="00975D9B">
        <w:tc>
          <w:tcPr>
            <w:tcW w:w="988" w:type="dxa"/>
            <w:shd w:val="clear" w:color="auto" w:fill="E7E6E6" w:themeFill="background2"/>
          </w:tcPr>
          <w:p w:rsidR="00675B1D" w:rsidRPr="00E64639" w:rsidRDefault="00675B1D" w:rsidP="00975D9B">
            <w:pPr>
              <w:pStyle w:val="HStandard"/>
              <w:jc w:val="center"/>
              <w:rPr>
                <w:b/>
                <w:color w:val="5B9BD5" w:themeColor="accent1"/>
                <w:sz w:val="18"/>
                <w:szCs w:val="18"/>
                <w:highlight w:val="yellow"/>
              </w:rPr>
            </w:pPr>
            <w:r w:rsidRPr="00E64639">
              <w:rPr>
                <w:b/>
                <w:color w:val="5B9BD5" w:themeColor="accent1"/>
                <w:sz w:val="18"/>
                <w:highlight w:val="yellow"/>
              </w:rPr>
              <w:t>4</w:t>
            </w:r>
          </w:p>
        </w:tc>
        <w:tc>
          <w:tcPr>
            <w:tcW w:w="8028" w:type="dxa"/>
          </w:tcPr>
          <w:p w:rsidR="00675B1D" w:rsidRPr="00E64639" w:rsidRDefault="00675B1D" w:rsidP="004C05DD">
            <w:pPr>
              <w:pStyle w:val="HStandard"/>
              <w:rPr>
                <w:b/>
                <w:i/>
                <w:sz w:val="18"/>
                <w:szCs w:val="18"/>
                <w:highlight w:val="yellow"/>
              </w:rPr>
            </w:pPr>
            <w:r w:rsidRPr="00E64639">
              <w:rPr>
                <w:sz w:val="18"/>
                <w:highlight w:val="yellow"/>
              </w:rPr>
              <w:t>decidere la strategia di valutazione della RRN</w:t>
            </w:r>
          </w:p>
        </w:tc>
      </w:tr>
      <w:tr w:rsidR="00675B1D" w:rsidRPr="00E64639" w:rsidTr="00975D9B">
        <w:tc>
          <w:tcPr>
            <w:tcW w:w="9016" w:type="dxa"/>
            <w:gridSpan w:val="2"/>
          </w:tcPr>
          <w:p w:rsidR="00675B1D" w:rsidRPr="00E64639" w:rsidRDefault="00675B1D" w:rsidP="00752ABF">
            <w:pPr>
              <w:pStyle w:val="HStandard"/>
              <w:rPr>
                <w:b/>
                <w:i/>
                <w:sz w:val="18"/>
                <w:szCs w:val="18"/>
              </w:rPr>
            </w:pPr>
            <w:r w:rsidRPr="00E64639">
              <w:rPr>
                <w:b/>
                <w:sz w:val="18"/>
                <w:highlight w:val="yellow"/>
              </w:rPr>
              <w:t>Risultato atteso:</w:t>
            </w:r>
            <w:r w:rsidRPr="00E64639">
              <w:rPr>
                <w:b/>
                <w:i/>
                <w:sz w:val="18"/>
                <w:highlight w:val="yellow"/>
              </w:rPr>
              <w:t xml:space="preserve"> </w:t>
            </w:r>
            <w:r w:rsidRPr="00E64639">
              <w:rPr>
                <w:sz w:val="18"/>
                <w:highlight w:val="yellow"/>
              </w:rPr>
              <w:t>decisione in merito alla strategia di valutazione</w:t>
            </w:r>
          </w:p>
        </w:tc>
      </w:tr>
    </w:tbl>
    <w:p w:rsidR="00675B1D" w:rsidRPr="00D75B1B" w:rsidRDefault="00675B1D" w:rsidP="00975D9B">
      <w:pPr>
        <w:pStyle w:val="HStandard"/>
        <w:rPr>
          <w:lang w:val="en-GB"/>
        </w:rPr>
      </w:pPr>
      <w:r w:rsidRPr="00D75B1B">
        <w:rPr>
          <w:lang w:val="en-GB"/>
        </w:rPr>
        <w:t>Steps in choosing the evaluation approach are detailed below.</w:t>
      </w:r>
    </w:p>
    <w:p w:rsidR="00675B1D" w:rsidRPr="00D75B1B" w:rsidRDefault="00675B1D" w:rsidP="007046A4">
      <w:pPr>
        <w:pStyle w:val="HStandard"/>
        <w:rPr>
          <w:b/>
          <w:lang w:val="en-GB"/>
        </w:rPr>
      </w:pPr>
      <w:r w:rsidRPr="00D75B1B">
        <w:rPr>
          <w:b/>
          <w:color w:val="ED7D31" w:themeColor="accent2"/>
          <w:lang w:val="en-GB"/>
        </w:rPr>
        <w:t>Step 1 - Identify the scope of the NRN evaluation</w:t>
      </w:r>
    </w:p>
    <w:p w:rsidR="00675B1D" w:rsidRPr="00D75B1B" w:rsidRDefault="00675B1D" w:rsidP="00340AD4">
      <w:pPr>
        <w:pStyle w:val="HStandard"/>
        <w:rPr>
          <w:lang w:val="en-GB"/>
        </w:rPr>
      </w:pPr>
      <w:r w:rsidRPr="00D75B1B">
        <w:rPr>
          <w:lang w:val="en-GB"/>
        </w:rP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675B1D" w:rsidRPr="00D75B1B" w:rsidRDefault="00675B1D" w:rsidP="00340AD4">
      <w:pPr>
        <w:pStyle w:val="HStandard"/>
        <w:rPr>
          <w:lang w:val="en-GB"/>
        </w:rPr>
      </w:pPr>
      <w:r w:rsidRPr="00D75B1B">
        <w:rPr>
          <w:lang w:val="en-GB"/>
        </w:rP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675B1D" w:rsidRPr="00D75B1B" w:rsidRDefault="00675B1D" w:rsidP="007046A4">
      <w:pPr>
        <w:pStyle w:val="HStandard"/>
        <w:rPr>
          <w:b/>
          <w:color w:val="ED7D31" w:themeColor="accent2"/>
          <w:lang w:val="en-GB"/>
        </w:rPr>
      </w:pPr>
      <w:r w:rsidRPr="00D75B1B">
        <w:rPr>
          <w:b/>
          <w:color w:val="ED7D31" w:themeColor="accent2"/>
          <w:lang w:val="en-GB"/>
        </w:rPr>
        <w:t>Step 2 - Understand the challenges in assessing NRN results and impacts</w:t>
      </w:r>
    </w:p>
    <w:p w:rsidR="00675B1D" w:rsidRPr="00D75B1B" w:rsidRDefault="00675B1D" w:rsidP="00340AD4">
      <w:pPr>
        <w:pStyle w:val="HStandard"/>
        <w:rPr>
          <w:lang w:val="en-GB"/>
        </w:rPr>
      </w:pPr>
      <w:r w:rsidRPr="00D75B1B">
        <w:rPr>
          <w:lang w:val="en-GB"/>
        </w:rPr>
        <w:t>Before selecting the evaluation approach, the evaluator needs to have a full picture of the challenges associated with the specificities of NRNs, including inter alia</w:t>
      </w:r>
      <w:r w:rsidRPr="00D75B1B">
        <w:rPr>
          <w:rFonts w:ascii="ZWAdobeF" w:hAnsi="ZWAdobeF"/>
          <w:color w:val="auto"/>
          <w:sz w:val="2"/>
          <w:lang w:val="en-GB"/>
        </w:rPr>
        <w:t>92F</w:t>
      </w:r>
      <w:r w:rsidRPr="00E64639">
        <w:rPr>
          <w:rStyle w:val="FootnoteReference"/>
        </w:rPr>
        <w:footnoteReference w:id="93"/>
      </w:r>
      <w:r w:rsidRPr="00D75B1B">
        <w:rPr>
          <w:lang w:val="en-GB"/>
        </w:rPr>
        <w:t>:</w:t>
      </w:r>
    </w:p>
    <w:p w:rsidR="00675B1D" w:rsidRPr="00D75B1B" w:rsidRDefault="00675B1D" w:rsidP="00340AD4">
      <w:pPr>
        <w:pStyle w:val="Hlistbullet2"/>
        <w:rPr>
          <w:lang w:val="en-GB"/>
        </w:rPr>
      </w:pPr>
      <w:bookmarkStart w:id="198" w:name="_Toc434744508"/>
      <w:r w:rsidRPr="00D75B1B">
        <w:rPr>
          <w:lang w:val="en-GB"/>
        </w:rP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D75B1B">
        <w:rPr>
          <w:rFonts w:ascii="ZWAdobeF" w:hAnsi="ZWAdobeF"/>
          <w:color w:val="auto"/>
          <w:sz w:val="2"/>
          <w:lang w:val="en-GB"/>
        </w:rPr>
        <w:t>93F</w:t>
      </w:r>
      <w:r w:rsidRPr="00E64639">
        <w:rPr>
          <w:rStyle w:val="FootnoteReference"/>
        </w:rPr>
        <w:footnoteReference w:id="94"/>
      </w:r>
      <w:r w:rsidRPr="00D75B1B">
        <w:rPr>
          <w:lang w:val="en-GB"/>
        </w:rPr>
        <w:t>.</w:t>
      </w:r>
      <w:bookmarkEnd w:id="198"/>
    </w:p>
    <w:p w:rsidR="00675B1D" w:rsidRPr="00D75B1B" w:rsidRDefault="00675B1D" w:rsidP="00340AD4">
      <w:pPr>
        <w:pStyle w:val="Hlistbullet2"/>
        <w:rPr>
          <w:lang w:val="en-GB"/>
        </w:rPr>
      </w:pPr>
      <w:bookmarkStart w:id="199" w:name="_Toc434744509"/>
      <w:r w:rsidRPr="00D75B1B">
        <w:rPr>
          <w:lang w:val="en-GB"/>
        </w:rPr>
        <w:t>The scope of NRN activities can be very broad, since events and training activities may permeate all aspects of rural development policy (competitiveness, environment, socio-economic development), potentially generating results in all these spheres.</w:t>
      </w:r>
      <w:bookmarkEnd w:id="199"/>
    </w:p>
    <w:p w:rsidR="00675B1D" w:rsidRPr="00D75B1B" w:rsidRDefault="00675B1D" w:rsidP="00340AD4">
      <w:pPr>
        <w:pStyle w:val="Hlistbullet2"/>
        <w:rPr>
          <w:i/>
          <w:lang w:val="en-GB"/>
        </w:rPr>
      </w:pPr>
      <w:bookmarkStart w:id="200" w:name="_Toc434744510"/>
      <w:r w:rsidRPr="00D75B1B">
        <w:rPr>
          <w:lang w:val="en-GB"/>
        </w:rPr>
        <w:t>The assessment of NRN results and impacts should chisel out causal relations between NRN(P) activities and indicator values, notwithstanding the difficulties to observe intangible changes.</w:t>
      </w:r>
      <w:bookmarkEnd w:id="200"/>
      <w:r w:rsidRPr="00D75B1B">
        <w:rPr>
          <w:lang w:val="en-GB"/>
        </w:rPr>
        <w:t xml:space="preserve"> Put as a question: </w:t>
      </w:r>
      <w:r w:rsidRPr="00D75B1B">
        <w:rPr>
          <w:i/>
          <w:lang w:val="en-GB"/>
        </w:rPr>
        <w:t>“To what extent are observed changes expressed in indicators´ values due to the NRN’s activities or what changes would have happened without them?”</w:t>
      </w:r>
    </w:p>
    <w:p w:rsidR="00675B1D" w:rsidRPr="00D75B1B" w:rsidRDefault="00675B1D" w:rsidP="00340AD4">
      <w:pPr>
        <w:pStyle w:val="Hlistbullet2"/>
        <w:rPr>
          <w:lang w:val="en-GB"/>
        </w:rPr>
      </w:pPr>
      <w:bookmarkStart w:id="201" w:name="_Toc434744511"/>
      <w:r w:rsidRPr="00D75B1B">
        <w:rPr>
          <w:lang w:val="en-GB"/>
        </w:rP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01"/>
    </w:p>
    <w:p w:rsidR="00675B1D" w:rsidRPr="00D75B1B" w:rsidRDefault="00675B1D" w:rsidP="00340AD4">
      <w:pPr>
        <w:pStyle w:val="Hlistbullet2"/>
        <w:rPr>
          <w:lang w:val="en-GB"/>
        </w:rPr>
      </w:pPr>
      <w:bookmarkStart w:id="202" w:name="_Toc434744512"/>
      <w:r w:rsidRPr="00D75B1B">
        <w:rPr>
          <w:lang w:val="en-GB"/>
        </w:rPr>
        <w:t>In some cases, the NRN is merely considered as an auxiliary device to promote RDP measures, disregarding other NRN objectives (e.g. the generation of new knowledge, the contribution to rural innovation).</w:t>
      </w:r>
      <w:bookmarkEnd w:id="202"/>
      <w:r w:rsidRPr="00D75B1B">
        <w:rPr>
          <w:lang w:val="en-GB"/>
        </w:rPr>
        <w:t xml:space="preserve"> </w:t>
      </w:r>
    </w:p>
    <w:p w:rsidR="00675B1D" w:rsidRPr="00D75B1B" w:rsidRDefault="00675B1D" w:rsidP="00340AD4">
      <w:pPr>
        <w:pStyle w:val="Hlistbullet2"/>
        <w:rPr>
          <w:lang w:val="en-GB"/>
        </w:rPr>
      </w:pPr>
      <w:bookmarkStart w:id="203" w:name="_Toc434744513"/>
      <w:r w:rsidRPr="00D75B1B">
        <w:rPr>
          <w:lang w:val="en-GB"/>
        </w:rP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675B1D" w:rsidRPr="00D75B1B" w:rsidRDefault="00675B1D" w:rsidP="00340AD4">
      <w:pPr>
        <w:pStyle w:val="Hlistbullet2"/>
        <w:rPr>
          <w:lang w:val="en-GB"/>
        </w:rPr>
      </w:pPr>
      <w:r w:rsidRPr="00D75B1B">
        <w:rPr>
          <w:lang w:val="en-GB"/>
        </w:rP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03"/>
    </w:p>
    <w:p w:rsidR="00675B1D" w:rsidRPr="00D75B1B" w:rsidRDefault="00675B1D" w:rsidP="007046A4">
      <w:pPr>
        <w:pStyle w:val="HStandard"/>
        <w:rPr>
          <w:b/>
          <w:color w:val="ED7D31" w:themeColor="accent2"/>
          <w:lang w:val="en-GB"/>
        </w:rPr>
      </w:pPr>
      <w:r w:rsidRPr="00D75B1B">
        <w:rPr>
          <w:b/>
          <w:color w:val="ED7D31" w:themeColor="accent2"/>
          <w:lang w:val="en-GB"/>
        </w:rPr>
        <w:t>Step 3 - Obtain an overview of possible evaluation approaches for the NRN and their comparative advantages</w:t>
      </w:r>
    </w:p>
    <w:p w:rsidR="00675B1D" w:rsidRPr="00D75B1B" w:rsidRDefault="00675B1D" w:rsidP="00340AD4">
      <w:pPr>
        <w:pStyle w:val="HStandard"/>
        <w:rPr>
          <w:lang w:val="en-GB"/>
        </w:rPr>
      </w:pPr>
      <w:r w:rsidRPr="00D75B1B">
        <w:rPr>
          <w:lang w:val="en-GB"/>
        </w:rP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675B1D" w:rsidRPr="00D75B1B" w:rsidRDefault="00675B1D" w:rsidP="00340AD4">
      <w:pPr>
        <w:pStyle w:val="HStandard"/>
        <w:rPr>
          <w:lang w:val="en-GB"/>
        </w:rPr>
      </w:pPr>
      <w:r w:rsidRPr="00D75B1B">
        <w:rPr>
          <w:lang w:val="en-GB"/>
        </w:rPr>
        <w:t xml:space="preserve">The solution for sound NRN(P) evaluations is to rely on a well-designed mix of quantitative and qualitative approaches. </w:t>
      </w:r>
      <w:r w:rsidRPr="00E64639">
        <w:fldChar w:fldCharType="begin" w:fldLock="1"/>
      </w:r>
      <w:r w:rsidRPr="00D75B1B">
        <w:rPr>
          <w:lang w:val="en-GB"/>
        </w:rPr>
        <w:instrText xml:space="preserve"> REF _Ref451785030 \r \h  \* MERGEFORMAT </w:instrText>
      </w:r>
      <w:r w:rsidRPr="00E64639">
        <w:fldChar w:fldCharType="separate"/>
      </w:r>
      <w:r w:rsidRPr="00D75B1B">
        <w:rPr>
          <w:lang w:val="en-GB"/>
        </w:rPr>
        <w:t>Table 11</w:t>
      </w:r>
      <w:r w:rsidRPr="00E64639">
        <w:fldChar w:fldCharType="end"/>
      </w:r>
      <w:r w:rsidRPr="00D75B1B">
        <w:rPr>
          <w:lang w:val="en-GB"/>
        </w:rPr>
        <w:t xml:space="preserve"> provides an overview of the advantages and drawbacks of qualitative and quantitative approaches in the context of NRN(P) evaluations.</w:t>
      </w:r>
    </w:p>
    <w:p w:rsidR="00675B1D" w:rsidRPr="00D75B1B" w:rsidRDefault="00675B1D" w:rsidP="00340AD4">
      <w:pPr>
        <w:pStyle w:val="HHeadingtables"/>
        <w:rPr>
          <w:lang w:val="en-GB"/>
        </w:rPr>
      </w:pPr>
      <w:bookmarkStart w:id="204" w:name="_Toc436140067"/>
      <w:bookmarkStart w:id="205" w:name="_Toc436383153"/>
      <w:bookmarkStart w:id="206" w:name="_Toc451781915"/>
      <w:bookmarkStart w:id="207" w:name="_Ref451785030"/>
      <w:r w:rsidRPr="00D75B1B">
        <w:rPr>
          <w:lang w:val="en-GB"/>
        </w:rPr>
        <w:t xml:space="preserve">Overview </w:t>
      </w:r>
      <w:bookmarkEnd w:id="204"/>
      <w:bookmarkEnd w:id="205"/>
      <w:r w:rsidRPr="00D75B1B">
        <w:rPr>
          <w:lang w:val="en-GB"/>
        </w:rPr>
        <w:t>of the qualitative and quantitative evaluation approaches</w:t>
      </w:r>
      <w:bookmarkEnd w:id="206"/>
      <w:bookmarkEnd w:id="207"/>
      <w:r w:rsidRPr="00D75B1B">
        <w:rPr>
          <w:lang w:val="en-GB"/>
        </w:rP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675B1D" w:rsidRPr="00D75B1B" w:rsidTr="004C05DD">
        <w:trPr>
          <w:trHeight w:val="53"/>
          <w:tblHeader/>
          <w:jc w:val="center"/>
        </w:trPr>
        <w:tc>
          <w:tcPr>
            <w:tcW w:w="1441" w:type="dxa"/>
            <w:vMerge w:val="restart"/>
            <w:shd w:val="clear" w:color="auto" w:fill="E7E6E6" w:themeFill="background2"/>
          </w:tcPr>
          <w:p w:rsidR="00675B1D" w:rsidRPr="00E64639" w:rsidRDefault="00675B1D" w:rsidP="004C05DD">
            <w:pPr>
              <w:pStyle w:val="Htableleftbolt"/>
              <w:rPr>
                <w:color w:val="5B9BD5" w:themeColor="accent1"/>
              </w:rPr>
            </w:pPr>
            <w:r w:rsidRPr="00E64639">
              <w:rPr>
                <w:color w:val="5B9BD5" w:themeColor="accent1"/>
              </w:rPr>
              <w:t>Evaluation approach</w:t>
            </w:r>
          </w:p>
        </w:tc>
        <w:tc>
          <w:tcPr>
            <w:tcW w:w="5953" w:type="dxa"/>
            <w:gridSpan w:val="2"/>
            <w:shd w:val="clear" w:color="auto" w:fill="E7E6E6" w:themeFill="background2"/>
          </w:tcPr>
          <w:p w:rsidR="00675B1D" w:rsidRPr="00D75B1B" w:rsidRDefault="00675B1D" w:rsidP="004C05DD">
            <w:pPr>
              <w:pStyle w:val="Htableleftbolt"/>
              <w:jc w:val="center"/>
              <w:rPr>
                <w:color w:val="5B9BD5" w:themeColor="accent1"/>
                <w:lang w:val="en-GB"/>
              </w:rPr>
            </w:pPr>
            <w:r w:rsidRPr="00D75B1B">
              <w:rPr>
                <w:color w:val="5B9BD5" w:themeColor="accent1"/>
                <w:lang w:val="en-GB"/>
              </w:rPr>
              <w:t>Suitability for the evaluation of NRN(P)</w:t>
            </w:r>
          </w:p>
        </w:tc>
        <w:tc>
          <w:tcPr>
            <w:tcW w:w="2422" w:type="dxa"/>
            <w:shd w:val="clear" w:color="auto" w:fill="E7E6E6" w:themeFill="background2"/>
          </w:tcPr>
          <w:p w:rsidR="00675B1D" w:rsidRPr="00D75B1B" w:rsidRDefault="00675B1D" w:rsidP="004C05DD">
            <w:pPr>
              <w:pStyle w:val="Htableleftbolt"/>
              <w:rPr>
                <w:color w:val="5B9BD5" w:themeColor="accent1"/>
                <w:lang w:val="en-GB"/>
              </w:rPr>
            </w:pPr>
            <w:r w:rsidRPr="00D75B1B">
              <w:rPr>
                <w:color w:val="5B9BD5" w:themeColor="accent1"/>
                <w:lang w:val="en-GB"/>
              </w:rPr>
              <w:t>Examples of where to use</w:t>
            </w:r>
          </w:p>
        </w:tc>
      </w:tr>
      <w:tr w:rsidR="00675B1D" w:rsidRPr="00E64639" w:rsidTr="004C05DD">
        <w:trPr>
          <w:trHeight w:val="53"/>
          <w:tblHeader/>
          <w:jc w:val="center"/>
        </w:trPr>
        <w:tc>
          <w:tcPr>
            <w:tcW w:w="1441" w:type="dxa"/>
            <w:vMerge/>
            <w:shd w:val="clear" w:color="auto" w:fill="E7E6E6" w:themeFill="background2"/>
          </w:tcPr>
          <w:p w:rsidR="00675B1D" w:rsidRPr="00D75B1B" w:rsidRDefault="00675B1D" w:rsidP="004C05DD">
            <w:pPr>
              <w:pStyle w:val="Htableleftbolt"/>
              <w:rPr>
                <w:color w:val="5B9BD5" w:themeColor="accent1"/>
                <w:lang w:val="en-GB"/>
              </w:rPr>
            </w:pPr>
          </w:p>
        </w:tc>
        <w:tc>
          <w:tcPr>
            <w:tcW w:w="3131" w:type="dxa"/>
            <w:shd w:val="clear" w:color="auto" w:fill="E7E6E6" w:themeFill="background2"/>
          </w:tcPr>
          <w:p w:rsidR="00675B1D" w:rsidRPr="00E64639" w:rsidRDefault="00675B1D" w:rsidP="004C05DD">
            <w:pPr>
              <w:pStyle w:val="Htableleftbolt"/>
              <w:rPr>
                <w:color w:val="5B9BD5" w:themeColor="accent1"/>
              </w:rPr>
            </w:pPr>
            <w:r w:rsidRPr="00E64639">
              <w:rPr>
                <w:color w:val="5B9BD5" w:themeColor="accent1"/>
              </w:rPr>
              <w:t>Advantages</w:t>
            </w:r>
          </w:p>
        </w:tc>
        <w:tc>
          <w:tcPr>
            <w:tcW w:w="2822" w:type="dxa"/>
            <w:shd w:val="clear" w:color="auto" w:fill="E7E6E6" w:themeFill="background2"/>
          </w:tcPr>
          <w:p w:rsidR="00675B1D" w:rsidRPr="00E64639" w:rsidRDefault="00675B1D" w:rsidP="004C05DD">
            <w:pPr>
              <w:pStyle w:val="Htableleftbolt"/>
              <w:rPr>
                <w:color w:val="5B9BD5" w:themeColor="accent1"/>
              </w:rPr>
            </w:pPr>
            <w:r w:rsidRPr="00E64639">
              <w:rPr>
                <w:color w:val="5B9BD5" w:themeColor="accent1"/>
              </w:rPr>
              <w:t>Drawbacks</w:t>
            </w:r>
          </w:p>
        </w:tc>
        <w:tc>
          <w:tcPr>
            <w:tcW w:w="2422" w:type="dxa"/>
            <w:shd w:val="clear" w:color="auto" w:fill="E7E6E6" w:themeFill="background2"/>
          </w:tcPr>
          <w:p w:rsidR="00675B1D" w:rsidRPr="00E64639" w:rsidRDefault="00675B1D" w:rsidP="004C05DD">
            <w:pPr>
              <w:pStyle w:val="Htableleftbolt"/>
              <w:rPr>
                <w:color w:val="5B9BD5" w:themeColor="accent1"/>
              </w:rPr>
            </w:pPr>
          </w:p>
        </w:tc>
      </w:tr>
      <w:tr w:rsidR="00675B1D" w:rsidRPr="00D75B1B" w:rsidTr="004C05DD">
        <w:trPr>
          <w:jc w:val="center"/>
        </w:trPr>
        <w:tc>
          <w:tcPr>
            <w:tcW w:w="1441" w:type="dxa"/>
            <w:shd w:val="clear" w:color="auto" w:fill="auto"/>
          </w:tcPr>
          <w:p w:rsidR="00675B1D" w:rsidRPr="00E64639" w:rsidRDefault="00675B1D" w:rsidP="004C05DD">
            <w:pPr>
              <w:pStyle w:val="Htableleft"/>
              <w:rPr>
                <w:color w:val="576C88" w:themeColor="text2" w:themeTint="D9"/>
              </w:rPr>
            </w:pPr>
            <w:r w:rsidRPr="00E64639">
              <w:rPr>
                <w:color w:val="576C88" w:themeColor="text2" w:themeTint="D9"/>
              </w:rPr>
              <w:t xml:space="preserve">Qualitative approach </w:t>
            </w:r>
          </w:p>
        </w:tc>
        <w:tc>
          <w:tcPr>
            <w:tcW w:w="3131" w:type="dxa"/>
            <w:shd w:val="clear" w:color="auto" w:fill="auto"/>
          </w:tcPr>
          <w:p w:rsidR="00675B1D" w:rsidRPr="00D75B1B" w:rsidRDefault="00675B1D" w:rsidP="004C05DD">
            <w:pPr>
              <w:pStyle w:val="Htableleft"/>
              <w:rPr>
                <w:color w:val="576C88" w:themeColor="text2" w:themeTint="D9"/>
                <w:lang w:val="en-GB"/>
              </w:rPr>
            </w:pPr>
            <w:r w:rsidRPr="00D75B1B">
              <w:rPr>
                <w:color w:val="576C88" w:themeColor="text2" w:themeTint="D9"/>
                <w:lang w:val="en-GB"/>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675B1D" w:rsidRPr="00D75B1B" w:rsidRDefault="00675B1D" w:rsidP="004C05DD">
            <w:pPr>
              <w:pStyle w:val="Htableleft"/>
              <w:rPr>
                <w:color w:val="576C88" w:themeColor="text2" w:themeTint="D9"/>
                <w:lang w:val="en-GB"/>
              </w:rPr>
            </w:pPr>
            <w:r w:rsidRPr="00D75B1B">
              <w:rPr>
                <w:color w:val="576C88" w:themeColor="text2" w:themeTint="D9"/>
                <w:lang w:val="en-GB"/>
              </w:rPr>
              <w:t>The results are not always precise. The approach heavily relies on methods that offer subjective information (interviews, participant surveys, questionnaires).</w:t>
            </w:r>
          </w:p>
          <w:p w:rsidR="00675B1D" w:rsidRPr="00D75B1B" w:rsidRDefault="00675B1D" w:rsidP="004C05DD">
            <w:pPr>
              <w:pStyle w:val="Htableleft"/>
              <w:rPr>
                <w:color w:val="576C88" w:themeColor="text2" w:themeTint="D9"/>
                <w:lang w:val="en-GB"/>
              </w:rPr>
            </w:pPr>
          </w:p>
        </w:tc>
        <w:tc>
          <w:tcPr>
            <w:tcW w:w="2422" w:type="dxa"/>
            <w:shd w:val="clear" w:color="auto" w:fill="auto"/>
          </w:tcPr>
          <w:p w:rsidR="00675B1D" w:rsidRPr="00E64639" w:rsidRDefault="00675B1D" w:rsidP="004C05DD">
            <w:pPr>
              <w:pStyle w:val="Htableleft"/>
              <w:rPr>
                <w:color w:val="576C88" w:themeColor="text2" w:themeTint="D9"/>
              </w:rPr>
            </w:pPr>
            <w:r w:rsidRPr="00E64639">
              <w:rPr>
                <w:color w:val="576C88" w:themeColor="text2" w:themeTint="D9"/>
              </w:rPr>
              <w:t xml:space="preserve">The results and impacts of </w:t>
            </w:r>
          </w:p>
          <w:p w:rsidR="00675B1D" w:rsidRPr="00E64639" w:rsidRDefault="00675B1D" w:rsidP="00675B1D">
            <w:pPr>
              <w:pStyle w:val="Htableleft"/>
              <w:numPr>
                <w:ilvl w:val="0"/>
                <w:numId w:val="17"/>
              </w:numPr>
              <w:rPr>
                <w:color w:val="576C88" w:themeColor="text2" w:themeTint="D9"/>
              </w:rPr>
            </w:pPr>
            <w:r w:rsidRPr="00E64639">
              <w:rPr>
                <w:color w:val="576C88" w:themeColor="text2" w:themeTint="D9"/>
              </w:rPr>
              <w:t>good practice collection;</w:t>
            </w:r>
          </w:p>
          <w:p w:rsidR="00675B1D" w:rsidRPr="00D75B1B" w:rsidRDefault="00675B1D" w:rsidP="00675B1D">
            <w:pPr>
              <w:pStyle w:val="Htableleft"/>
              <w:numPr>
                <w:ilvl w:val="0"/>
                <w:numId w:val="17"/>
              </w:numPr>
              <w:rPr>
                <w:color w:val="576C88" w:themeColor="text2" w:themeTint="D9"/>
                <w:lang w:val="en-GB"/>
              </w:rPr>
            </w:pPr>
            <w:r w:rsidRPr="00D75B1B">
              <w:rPr>
                <w:color w:val="576C88" w:themeColor="text2" w:themeTint="D9"/>
                <w:lang w:val="en-GB"/>
              </w:rPr>
              <w:t>the generation or exchange of new knowledge;</w:t>
            </w:r>
          </w:p>
          <w:p w:rsidR="00675B1D" w:rsidRPr="00D75B1B" w:rsidRDefault="00675B1D" w:rsidP="00675B1D">
            <w:pPr>
              <w:pStyle w:val="Htableleft"/>
              <w:numPr>
                <w:ilvl w:val="0"/>
                <w:numId w:val="17"/>
              </w:numPr>
              <w:rPr>
                <w:color w:val="576C88" w:themeColor="text2" w:themeTint="D9"/>
                <w:lang w:val="en-GB"/>
              </w:rPr>
            </w:pPr>
            <w:r w:rsidRPr="00D75B1B">
              <w:rPr>
                <w:color w:val="576C88" w:themeColor="text2" w:themeTint="D9"/>
                <w:lang w:val="en-GB"/>
              </w:rPr>
              <w:t>the participation in ENRD activities.</w:t>
            </w:r>
          </w:p>
        </w:tc>
      </w:tr>
      <w:tr w:rsidR="00675B1D" w:rsidRPr="00E64639" w:rsidTr="004C05DD">
        <w:trPr>
          <w:jc w:val="center"/>
        </w:trPr>
        <w:tc>
          <w:tcPr>
            <w:tcW w:w="1441" w:type="dxa"/>
            <w:shd w:val="clear" w:color="auto" w:fill="auto"/>
          </w:tcPr>
          <w:p w:rsidR="00675B1D" w:rsidRPr="00E64639" w:rsidRDefault="00675B1D" w:rsidP="004C05DD">
            <w:pPr>
              <w:pStyle w:val="Htableleft"/>
              <w:rPr>
                <w:color w:val="576C88" w:themeColor="text2" w:themeTint="D9"/>
              </w:rPr>
            </w:pPr>
            <w:r w:rsidRPr="00E64639">
              <w:rPr>
                <w:color w:val="576C88" w:themeColor="text2" w:themeTint="D9"/>
              </w:rPr>
              <w:t>Quantitative approach</w:t>
            </w:r>
          </w:p>
        </w:tc>
        <w:tc>
          <w:tcPr>
            <w:tcW w:w="3131" w:type="dxa"/>
            <w:shd w:val="clear" w:color="auto" w:fill="auto"/>
          </w:tcPr>
          <w:p w:rsidR="00675B1D" w:rsidRPr="00D75B1B" w:rsidRDefault="00675B1D" w:rsidP="004C05DD">
            <w:pPr>
              <w:pStyle w:val="Htableleft"/>
              <w:rPr>
                <w:color w:val="576C88" w:themeColor="text2" w:themeTint="D9"/>
                <w:lang w:val="en-GB"/>
              </w:rPr>
            </w:pPr>
            <w:r w:rsidRPr="00D75B1B">
              <w:rPr>
                <w:color w:val="576C88" w:themeColor="text2" w:themeTint="D9"/>
                <w:lang w:val="en-GB"/>
              </w:rPr>
              <w:t>The quantitative approach allows the assessment of net effects of precisely delimited NRN activities and make comparisons of evaluation results across NRNs/countries easier.</w:t>
            </w:r>
          </w:p>
        </w:tc>
        <w:tc>
          <w:tcPr>
            <w:tcW w:w="2822" w:type="dxa"/>
            <w:shd w:val="clear" w:color="auto" w:fill="auto"/>
          </w:tcPr>
          <w:p w:rsidR="00675B1D" w:rsidRPr="00E64639" w:rsidRDefault="00675B1D" w:rsidP="004C05DD">
            <w:pPr>
              <w:pStyle w:val="Htableleft"/>
              <w:rPr>
                <w:color w:val="576C88" w:themeColor="text2" w:themeTint="D9"/>
              </w:rPr>
            </w:pPr>
            <w:r w:rsidRPr="00E64639">
              <w:rPr>
                <w:color w:val="576C88" w:themeColor="text2" w:themeTint="D9"/>
              </w:rPr>
              <w:t xml:space="preserve">There are difficulties </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t>to quantify changes in the human and social capital;</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t>to delimitate beneficiaries from non-beneficiaries in many areas of NRN interventions, at least in quantitative terms</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t>to obtain data for NRN activities which are meaningful in relation to the stipulated added value of NRN;</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t>to number activities and outputs in a context of matchless and nonrecurring interventions;</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lastRenderedPageBreak/>
              <w:t>to net out any observed effects by pondering the influence of other interventions;</w:t>
            </w:r>
          </w:p>
          <w:p w:rsidR="00675B1D" w:rsidRPr="00D75B1B" w:rsidRDefault="00675B1D" w:rsidP="00675B1D">
            <w:pPr>
              <w:pStyle w:val="Htablebullet"/>
              <w:rPr>
                <w:color w:val="576C88" w:themeColor="text2" w:themeTint="D9"/>
                <w:lang w:val="en-GB"/>
              </w:rPr>
            </w:pPr>
            <w:r w:rsidRPr="00D75B1B">
              <w:rPr>
                <w:color w:val="576C88" w:themeColor="text2" w:themeTint="D9"/>
                <w:lang w:val="en-GB"/>
              </w:rPr>
              <w:t>to get reliable quantitative data over a longer period of time (as in the past mostly qualitative information on NRN has been collected).</w:t>
            </w:r>
          </w:p>
        </w:tc>
        <w:tc>
          <w:tcPr>
            <w:tcW w:w="2422" w:type="dxa"/>
            <w:shd w:val="clear" w:color="auto" w:fill="auto"/>
          </w:tcPr>
          <w:p w:rsidR="00675B1D" w:rsidRPr="00D75B1B" w:rsidRDefault="00675B1D" w:rsidP="00675B1D">
            <w:pPr>
              <w:pStyle w:val="Htableleft"/>
              <w:numPr>
                <w:ilvl w:val="0"/>
                <w:numId w:val="17"/>
              </w:numPr>
              <w:rPr>
                <w:lang w:val="en-GB"/>
              </w:rPr>
            </w:pPr>
            <w:r w:rsidRPr="00D75B1B">
              <w:rPr>
                <w:color w:val="576C88" w:themeColor="text2" w:themeTint="D9"/>
                <w:lang w:val="en-GB"/>
              </w:rPr>
              <w:lastRenderedPageBreak/>
              <w:t>Outputs of NRN activities, e.g. the three common output indicators;</w:t>
            </w:r>
          </w:p>
          <w:p w:rsidR="00675B1D" w:rsidRPr="00D75B1B" w:rsidRDefault="00675B1D" w:rsidP="00675B1D">
            <w:pPr>
              <w:pStyle w:val="Htableleft"/>
              <w:numPr>
                <w:ilvl w:val="0"/>
                <w:numId w:val="17"/>
              </w:numPr>
              <w:rPr>
                <w:lang w:val="en-GB"/>
              </w:rPr>
            </w:pPr>
            <w:r w:rsidRPr="00D75B1B">
              <w:rPr>
                <w:color w:val="576C88" w:themeColor="text2" w:themeTint="D9"/>
                <w:lang w:val="en-GB"/>
              </w:rPr>
              <w:t>Results of NRN activities where the use of outputs can be clearly attributed to certain beneficiaries or users</w:t>
            </w:r>
            <w:r w:rsidRPr="00D75B1B">
              <w:rPr>
                <w:lang w:val="en-GB"/>
              </w:rPr>
              <w:t xml:space="preserve">, e.g. </w:t>
            </w:r>
          </w:p>
          <w:p w:rsidR="00675B1D" w:rsidRPr="00D75B1B" w:rsidRDefault="00675B1D" w:rsidP="00675B1D">
            <w:pPr>
              <w:pStyle w:val="Htableleft"/>
              <w:numPr>
                <w:ilvl w:val="1"/>
                <w:numId w:val="17"/>
              </w:numPr>
              <w:ind w:left="624" w:hanging="284"/>
              <w:rPr>
                <w:lang w:val="en-GB"/>
              </w:rPr>
            </w:pPr>
            <w:r w:rsidRPr="00D75B1B">
              <w:rPr>
                <w:lang w:val="en-GB"/>
              </w:rPr>
              <w:t>the degree of information enquired among readers of newsletters;</w:t>
            </w:r>
          </w:p>
          <w:p w:rsidR="00675B1D" w:rsidRPr="00D75B1B" w:rsidRDefault="00675B1D" w:rsidP="00675B1D">
            <w:pPr>
              <w:pStyle w:val="Htableleft"/>
              <w:numPr>
                <w:ilvl w:val="1"/>
                <w:numId w:val="17"/>
              </w:numPr>
              <w:ind w:left="624" w:hanging="284"/>
              <w:rPr>
                <w:lang w:val="en-GB"/>
              </w:rPr>
            </w:pPr>
            <w:r w:rsidRPr="00D75B1B">
              <w:rPr>
                <w:lang w:val="en-GB"/>
              </w:rPr>
              <w:t xml:space="preserve">the degree of satisfaction of </w:t>
            </w:r>
            <w:r w:rsidRPr="00D75B1B">
              <w:rPr>
                <w:lang w:val="en-GB"/>
              </w:rPr>
              <w:lastRenderedPageBreak/>
              <w:t>inquirers in search for support;</w:t>
            </w:r>
          </w:p>
          <w:p w:rsidR="00675B1D" w:rsidRPr="00D75B1B" w:rsidRDefault="00675B1D" w:rsidP="00675B1D">
            <w:pPr>
              <w:pStyle w:val="Htableleft"/>
              <w:numPr>
                <w:ilvl w:val="1"/>
                <w:numId w:val="17"/>
              </w:numPr>
              <w:ind w:left="624" w:hanging="284"/>
              <w:rPr>
                <w:lang w:val="en-GB"/>
              </w:rPr>
            </w:pPr>
            <w:r w:rsidRPr="00D75B1B">
              <w:rPr>
                <w:lang w:val="en-GB"/>
              </w:rPr>
              <w:t>the degree of use of the website, distinguished by offers (downloads, blogs…)</w:t>
            </w:r>
          </w:p>
          <w:p w:rsidR="00675B1D" w:rsidRPr="00E64639" w:rsidRDefault="00675B1D" w:rsidP="004C05DD">
            <w:pPr>
              <w:pStyle w:val="Htableleft"/>
            </w:pPr>
            <w:r w:rsidRPr="00E64639">
              <w:t xml:space="preserve">Measuring involvement of stakeholders </w:t>
            </w:r>
          </w:p>
        </w:tc>
      </w:tr>
    </w:tbl>
    <w:p w:rsidR="00675B1D" w:rsidRPr="00D75B1B" w:rsidRDefault="00675B1D" w:rsidP="00340AD4">
      <w:pPr>
        <w:pStyle w:val="HStandard"/>
        <w:rPr>
          <w:lang w:val="en-GB"/>
        </w:rPr>
      </w:pPr>
      <w:r w:rsidRPr="00D75B1B">
        <w:rPr>
          <w:b/>
          <w:lang w:val="en-GB"/>
        </w:rPr>
        <w:lastRenderedPageBreak/>
        <w:t xml:space="preserve">Mixing of both approaches </w:t>
      </w:r>
      <w:r w:rsidRPr="00D75B1B">
        <w:rPr>
          <w:lang w:val="en-GB"/>
        </w:rP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675B1D" w:rsidRPr="00D75B1B" w:rsidRDefault="00675B1D" w:rsidP="007046A4">
      <w:pPr>
        <w:pStyle w:val="HStandard"/>
        <w:rPr>
          <w:b/>
          <w:color w:val="ED7D31" w:themeColor="accent2"/>
          <w:lang w:val="en-GB"/>
        </w:rPr>
      </w:pPr>
      <w:r w:rsidRPr="00D75B1B">
        <w:rPr>
          <w:b/>
          <w:color w:val="ED7D31" w:themeColor="accent2"/>
          <w:lang w:val="en-GB"/>
        </w:rPr>
        <w:t>Step 4 - Decide on the NRN evaluation approach</w:t>
      </w:r>
    </w:p>
    <w:p w:rsidR="00675B1D" w:rsidRPr="00D75B1B" w:rsidRDefault="00675B1D" w:rsidP="00340AD4">
      <w:pPr>
        <w:pStyle w:val="HStandard"/>
        <w:rPr>
          <w:lang w:val="en-GB"/>
        </w:rPr>
      </w:pPr>
      <w:r w:rsidRPr="00D75B1B">
        <w:rPr>
          <w:lang w:val="en-GB"/>
        </w:rPr>
        <w:t>Apart from considering the advantages and drawbacks of different evaluation approaches, the selection of a robust evaluation approach should account for:</w:t>
      </w:r>
    </w:p>
    <w:p w:rsidR="00675B1D" w:rsidRPr="00D75B1B" w:rsidRDefault="00675B1D" w:rsidP="00340AD4">
      <w:pPr>
        <w:pStyle w:val="Hlistbullet2"/>
        <w:rPr>
          <w:lang w:val="en-GB"/>
        </w:rPr>
      </w:pPr>
      <w:r w:rsidRPr="00D75B1B">
        <w:rPr>
          <w:lang w:val="en-GB"/>
        </w:rPr>
        <w:t xml:space="preserve">the validity of results offered by the evaluation approach, </w:t>
      </w:r>
    </w:p>
    <w:p w:rsidR="00675B1D" w:rsidRPr="00E64639" w:rsidRDefault="00675B1D" w:rsidP="00340AD4">
      <w:pPr>
        <w:pStyle w:val="Hlistbullet2"/>
      </w:pPr>
      <w:r w:rsidRPr="00E64639">
        <w:t xml:space="preserve">the scale of measurement, </w:t>
      </w:r>
    </w:p>
    <w:p w:rsidR="00675B1D" w:rsidRPr="00D75B1B" w:rsidRDefault="00675B1D" w:rsidP="00340AD4">
      <w:pPr>
        <w:pStyle w:val="Hlistbullet2"/>
        <w:rPr>
          <w:lang w:val="en-GB"/>
        </w:rPr>
      </w:pPr>
      <w:r w:rsidRPr="00D75B1B">
        <w:rPr>
          <w:lang w:val="en-GB"/>
        </w:rPr>
        <w:t>the possibility to model output, result and impact indicators into a coherent cause-effect structure,</w:t>
      </w:r>
    </w:p>
    <w:p w:rsidR="00675B1D" w:rsidRPr="00D75B1B" w:rsidRDefault="00675B1D" w:rsidP="00340AD4">
      <w:pPr>
        <w:pStyle w:val="Hlistbullet2"/>
        <w:rPr>
          <w:lang w:val="en-GB"/>
        </w:rPr>
      </w:pPr>
      <w:r w:rsidRPr="00D75B1B">
        <w:rPr>
          <w:lang w:val="en-GB"/>
        </w:rPr>
        <w:t xml:space="preserve">the ability to analyse the counterfactual where it seems to be feasible, </w:t>
      </w:r>
    </w:p>
    <w:p w:rsidR="00675B1D" w:rsidRPr="00D75B1B" w:rsidRDefault="00675B1D" w:rsidP="00340AD4">
      <w:pPr>
        <w:pStyle w:val="Hlistbullet2"/>
        <w:rPr>
          <w:lang w:val="en-GB"/>
        </w:rPr>
      </w:pPr>
      <w:r w:rsidRPr="00D75B1B">
        <w:rPr>
          <w:lang w:val="en-GB"/>
        </w:rPr>
        <w:t>the ability to capture unintended effects and</w:t>
      </w:r>
    </w:p>
    <w:p w:rsidR="00675B1D" w:rsidRPr="00D75B1B" w:rsidRDefault="00675B1D" w:rsidP="00340AD4">
      <w:pPr>
        <w:pStyle w:val="Hlistbullet2"/>
        <w:rPr>
          <w:lang w:val="en-GB"/>
        </w:rPr>
      </w:pPr>
      <w:r w:rsidRPr="00D75B1B">
        <w:rPr>
          <w:lang w:val="en-GB"/>
        </w:rPr>
        <w:t>the antecedents and the actual time horizon of the intervention</w:t>
      </w:r>
      <w:r w:rsidRPr="00D75B1B">
        <w:rPr>
          <w:rFonts w:ascii="ZWAdobeF" w:hAnsi="ZWAdobeF"/>
          <w:color w:val="auto"/>
          <w:sz w:val="2"/>
          <w:lang w:val="en-GB"/>
        </w:rPr>
        <w:t>94F</w:t>
      </w:r>
      <w:r w:rsidRPr="00E64639">
        <w:rPr>
          <w:rStyle w:val="FootnoteReference"/>
        </w:rPr>
        <w:footnoteReference w:id="95"/>
      </w:r>
      <w:r w:rsidRPr="00D75B1B">
        <w:rPr>
          <w:lang w:val="en-GB"/>
        </w:rPr>
        <w:t>.</w:t>
      </w:r>
    </w:p>
    <w:p w:rsidR="00675B1D" w:rsidRPr="00D75B1B" w:rsidRDefault="00675B1D" w:rsidP="00340AD4">
      <w:pPr>
        <w:pStyle w:val="HStandard"/>
        <w:rPr>
          <w:lang w:val="en-GB"/>
        </w:rPr>
      </w:pPr>
      <w:r w:rsidRPr="00D75B1B">
        <w:rPr>
          <w:lang w:val="en-GB"/>
        </w:rPr>
        <w:t xml:space="preserve">Given the complexity of NRN evaluation, a </w:t>
      </w:r>
      <w:r w:rsidRPr="00D75B1B">
        <w:rPr>
          <w:b/>
          <w:lang w:val="en-GB"/>
        </w:rPr>
        <w:t>mixed approach</w:t>
      </w:r>
      <w:r w:rsidRPr="00D75B1B">
        <w:rPr>
          <w:lang w:val="en-GB"/>
        </w:rPr>
        <w:t>, combining qualitative with quantitative methods will be the appropriate choice.</w:t>
      </w:r>
    </w:p>
    <w:p w:rsidR="00675B1D" w:rsidRPr="00D75B1B" w:rsidRDefault="00675B1D" w:rsidP="00340AD4">
      <w:pPr>
        <w:pStyle w:val="HStandard"/>
        <w:rPr>
          <w:lang w:val="en-GB"/>
        </w:rPr>
      </w:pPr>
      <w:r w:rsidRPr="00D75B1B">
        <w:rPr>
          <w:lang w:val="en-GB"/>
        </w:rPr>
        <w:t xml:space="preserve">Particularly at the higher level of NRN objectives, at the level of NRN results and impacts, the character of NRNs implies a strong emphasis on qualitative evaluation: </w:t>
      </w:r>
    </w:p>
    <w:p w:rsidR="00675B1D" w:rsidRPr="00D75B1B" w:rsidRDefault="00675B1D" w:rsidP="00340AD4">
      <w:pPr>
        <w:pStyle w:val="Hlistbullet2"/>
        <w:rPr>
          <w:lang w:val="en-GB"/>
        </w:rPr>
      </w:pPr>
      <w:r w:rsidRPr="00D75B1B">
        <w:rPr>
          <w:lang w:val="en-GB"/>
        </w:rPr>
        <w:t xml:space="preserve">firstly, because the sphere of activities and influence of the NRN goes beyond the RDP beneficiaries and affects the wider range of the rural actors; </w:t>
      </w:r>
    </w:p>
    <w:p w:rsidR="00675B1D" w:rsidRPr="00D75B1B" w:rsidRDefault="00675B1D" w:rsidP="00340AD4">
      <w:pPr>
        <w:pStyle w:val="Hlistbullet2"/>
        <w:rPr>
          <w:lang w:val="en-GB"/>
        </w:rPr>
      </w:pPr>
      <w:r w:rsidRPr="00D75B1B">
        <w:rPr>
          <w:lang w:val="en-GB"/>
        </w:rP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675B1D" w:rsidRPr="00D75B1B" w:rsidRDefault="00675B1D">
      <w:pPr>
        <w:spacing w:after="0" w:line="240" w:lineRule="auto"/>
        <w:rPr>
          <w:b/>
          <w:bCs/>
          <w:color w:val="576C88" w:themeColor="text2" w:themeTint="D9"/>
          <w:sz w:val="20"/>
        </w:rPr>
      </w:pPr>
      <w:r w:rsidRPr="00D75B1B">
        <w:br w:type="page"/>
      </w:r>
    </w:p>
    <w:p w:rsidR="00675B1D" w:rsidRPr="00D75B1B" w:rsidRDefault="00675B1D" w:rsidP="00340AD4">
      <w:pPr>
        <w:pStyle w:val="Heading6"/>
        <w:rPr>
          <w:lang w:val="en-GB"/>
        </w:rPr>
      </w:pPr>
      <w:r w:rsidRPr="00D75B1B">
        <w:rPr>
          <w:lang w:val="en-GB"/>
        </w:rPr>
        <w:lastRenderedPageBreak/>
        <w:t>Counterfactual assessment: where and when?</w:t>
      </w:r>
    </w:p>
    <w:p w:rsidR="00675B1D" w:rsidRPr="00D75B1B" w:rsidRDefault="00675B1D" w:rsidP="00340AD4">
      <w:pPr>
        <w:pStyle w:val="HStandard"/>
        <w:rPr>
          <w:lang w:val="en-GB"/>
        </w:rPr>
      </w:pPr>
      <w:r w:rsidRPr="00D75B1B">
        <w:rPr>
          <w:lang w:val="en-GB"/>
        </w:rPr>
        <w:t>Sound evaluation practices require the counterfactual to attribute observable effects to programme interventions</w:t>
      </w:r>
      <w:r w:rsidRPr="00D75B1B">
        <w:rPr>
          <w:rFonts w:ascii="ZWAdobeF" w:hAnsi="ZWAdobeF"/>
          <w:color w:val="auto"/>
          <w:sz w:val="2"/>
          <w:lang w:val="en-GB"/>
        </w:rPr>
        <w:t>95F</w:t>
      </w:r>
      <w:r w:rsidRPr="00E64639">
        <w:rPr>
          <w:rStyle w:val="FootnoteReference"/>
        </w:rPr>
        <w:footnoteReference w:id="96"/>
      </w:r>
      <w:r w:rsidRPr="00D75B1B">
        <w:rPr>
          <w:lang w:val="en-GB"/>
        </w:rP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675B1D" w:rsidRPr="00D75B1B" w:rsidRDefault="00675B1D" w:rsidP="00340AD4">
      <w:pPr>
        <w:pStyle w:val="HStandard"/>
        <w:rPr>
          <w:b/>
          <w:lang w:val="en-GB"/>
        </w:rPr>
      </w:pPr>
      <w:r w:rsidRPr="00D75B1B">
        <w:rPr>
          <w:lang w:val="en-GB"/>
        </w:rPr>
        <w:t>All in all, the more targeted and standardised the type of intervention is, the more appropriate and feasible will be the counterfactual assessment</w:t>
      </w:r>
      <w:r w:rsidRPr="00D75B1B">
        <w:rPr>
          <w:rFonts w:ascii="ZWAdobeF" w:hAnsi="ZWAdobeF"/>
          <w:color w:val="auto"/>
          <w:sz w:val="2"/>
          <w:lang w:val="en-GB"/>
        </w:rPr>
        <w:t>96F</w:t>
      </w:r>
      <w:r w:rsidRPr="00E64639">
        <w:rPr>
          <w:rStyle w:val="FootnoteReference"/>
        </w:rPr>
        <w:footnoteReference w:id="97"/>
      </w:r>
      <w:r w:rsidRPr="00D75B1B">
        <w:rPr>
          <w:lang w:val="en-GB"/>
        </w:rP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D75B1B">
        <w:rPr>
          <w:rFonts w:ascii="ZWAdobeF" w:hAnsi="ZWAdobeF"/>
          <w:color w:val="auto"/>
          <w:sz w:val="2"/>
          <w:lang w:val="en-GB"/>
        </w:rPr>
        <w:t>97F</w:t>
      </w:r>
      <w:r w:rsidRPr="00E64639">
        <w:rPr>
          <w:rStyle w:val="FootnoteReference"/>
        </w:rPr>
        <w:footnoteReference w:id="98"/>
      </w:r>
      <w:bookmarkStart w:id="208" w:name="_Toc434744515"/>
      <w:bookmarkStart w:id="209" w:name="_Toc433481230"/>
      <w:bookmarkStart w:id="210" w:name="_Toc433718138"/>
      <w:bookmarkStart w:id="211" w:name="_Toc436140057"/>
      <w:r w:rsidRPr="00D75B1B">
        <w:rPr>
          <w:lang w:val="en-GB"/>
        </w:rPr>
        <w:t>.</w:t>
      </w:r>
    </w:p>
    <w:p w:rsidR="00675B1D" w:rsidRPr="00D75B1B" w:rsidRDefault="00675B1D" w:rsidP="00340AD4">
      <w:pPr>
        <w:pStyle w:val="Heading6"/>
        <w:rPr>
          <w:lang w:val="en-GB"/>
        </w:rPr>
      </w:pPr>
      <w:r w:rsidRPr="00D75B1B">
        <w:rPr>
          <w:lang w:val="en-GB"/>
        </w:rPr>
        <w:t>Choosing evaluation methods for NRNs</w:t>
      </w:r>
      <w:bookmarkEnd w:id="208"/>
      <w:bookmarkEnd w:id="209"/>
      <w:bookmarkEnd w:id="210"/>
      <w:bookmarkEnd w:id="211"/>
    </w:p>
    <w:p w:rsidR="00675B1D" w:rsidRPr="00D75B1B" w:rsidRDefault="00675B1D" w:rsidP="00340AD4">
      <w:pPr>
        <w:pStyle w:val="HStandard"/>
        <w:rPr>
          <w:lang w:val="en-GB"/>
        </w:rPr>
      </w:pPr>
      <w:r w:rsidRPr="00D75B1B">
        <w:rPr>
          <w:lang w:val="en-GB"/>
        </w:rPr>
        <w:t xml:space="preserve">Choosing a mixed-methods approach means to systematically adopt various perspectives and observation devices. The Helpdesk’s Guidance on </w:t>
      </w:r>
      <w:r w:rsidRPr="00D75B1B">
        <w:rPr>
          <w:i/>
          <w:lang w:val="en-GB"/>
        </w:rPr>
        <w:t>“Capturing the Impacts of LEADER and of measures to improve the quality of life in rural areas”</w:t>
      </w:r>
      <w:r w:rsidRPr="00D75B1B">
        <w:rPr>
          <w:rFonts w:ascii="ZWAdobeF" w:hAnsi="ZWAdobeF"/>
          <w:color w:val="auto"/>
          <w:sz w:val="2"/>
          <w:lang w:val="en-GB"/>
        </w:rPr>
        <w:t>98F</w:t>
      </w:r>
      <w:r w:rsidRPr="00E64639">
        <w:rPr>
          <w:rStyle w:val="FootnoteReference"/>
        </w:rPr>
        <w:footnoteReference w:id="99"/>
      </w:r>
      <w:r w:rsidRPr="00D75B1B">
        <w:rPr>
          <w:lang w:val="en-GB"/>
        </w:rPr>
        <w:t xml:space="preserve"> devotes a whole chapter to “matching complexity with triangulation”. A closer look at the term reveals that </w:t>
      </w:r>
      <w:r w:rsidRPr="00D75B1B">
        <w:rPr>
          <w:b/>
          <w:lang w:val="en-GB"/>
        </w:rPr>
        <w:t>triangulation</w:t>
      </w:r>
      <w:r w:rsidRPr="00D75B1B">
        <w:rPr>
          <w:lang w:val="en-GB"/>
        </w:rPr>
        <w:t xml:space="preserve"> can refer to different aspects:</w:t>
      </w:r>
    </w:p>
    <w:p w:rsidR="00675B1D" w:rsidRPr="00D75B1B" w:rsidRDefault="00675B1D" w:rsidP="00340AD4">
      <w:pPr>
        <w:pStyle w:val="Hlistbullet2"/>
        <w:rPr>
          <w:lang w:val="en-GB"/>
        </w:rPr>
      </w:pPr>
      <w:r w:rsidRPr="00D75B1B">
        <w:rPr>
          <w:lang w:val="en-GB"/>
        </w:rPr>
        <w:t>Evaluator triangulation involves a broad range of competences within the evaluation team;</w:t>
      </w:r>
    </w:p>
    <w:p w:rsidR="00675B1D" w:rsidRPr="00D75B1B" w:rsidRDefault="00675B1D" w:rsidP="00340AD4">
      <w:pPr>
        <w:pStyle w:val="Hlistbullet2"/>
        <w:rPr>
          <w:lang w:val="en-GB"/>
        </w:rPr>
      </w:pPr>
      <w:r w:rsidRPr="00D75B1B">
        <w:rPr>
          <w:lang w:val="en-GB"/>
        </w:rPr>
        <w:t>Methodological triangulation, which means using more than one method to gather data (such as interviews, questionnaires, focus groups and documentary analysis);</w:t>
      </w:r>
    </w:p>
    <w:p w:rsidR="00675B1D" w:rsidRPr="00D75B1B" w:rsidRDefault="00675B1D" w:rsidP="00340AD4">
      <w:pPr>
        <w:pStyle w:val="Hlistbullet2"/>
        <w:rPr>
          <w:lang w:val="en-GB"/>
        </w:rPr>
      </w:pPr>
      <w:r w:rsidRPr="00D75B1B">
        <w:rPr>
          <w:lang w:val="en-GB"/>
        </w:rPr>
        <w:t>Data triangulation in respect to space and people.</w:t>
      </w:r>
    </w:p>
    <w:p w:rsidR="00675B1D" w:rsidRPr="00E64639" w:rsidRDefault="00675B1D" w:rsidP="00340AD4">
      <w:pPr>
        <w:pStyle w:val="Heading6"/>
        <w:rPr>
          <w:highlight w:val="yellow"/>
        </w:rPr>
      </w:pPr>
      <w:r w:rsidRPr="00E64639">
        <w:rPr>
          <w:highlight w:val="yellow"/>
        </w:rPr>
        <w:t>Quali sono i metodi adatti per la valutazione delle RRN?</w:t>
      </w:r>
    </w:p>
    <w:p w:rsidR="00675B1D" w:rsidRPr="00E64639" w:rsidRDefault="00675B1D" w:rsidP="00F333A5">
      <w:pPr>
        <w:pStyle w:val="HStandard"/>
        <w:rPr>
          <w:highlight w:val="yellow"/>
        </w:rPr>
      </w:pPr>
      <w:r w:rsidRPr="00E64639">
        <w:rPr>
          <w:highlight w:val="yellow"/>
        </w:rPr>
        <w:t>La</w:t>
      </w:r>
      <w:r w:rsidRPr="00E64639">
        <w:rPr>
          <w:highlight w:val="yellow"/>
        </w:rPr>
        <w:fldChar w:fldCharType="begin" w:fldLock="1"/>
      </w:r>
      <w:r w:rsidRPr="00E64639">
        <w:rPr>
          <w:highlight w:val="yellow"/>
        </w:rPr>
        <w:instrText xml:space="preserve"> REF _Ref433724277 \r \h  \* MERGEFORMAT </w:instrText>
      </w:r>
      <w:r w:rsidRPr="00E64639">
        <w:rPr>
          <w:highlight w:val="yellow"/>
        </w:rPr>
      </w:r>
      <w:r w:rsidRPr="00E64639">
        <w:rPr>
          <w:highlight w:val="yellow"/>
        </w:rPr>
        <w:fldChar w:fldCharType="separate"/>
      </w:r>
      <w:r w:rsidRPr="00E64639">
        <w:rPr>
          <w:sz w:val="18"/>
          <w:szCs w:val="18"/>
          <w:highlight w:val="yellow"/>
        </w:rPr>
        <w:t xml:space="preserve"> Figura </w:t>
      </w:r>
      <w:r w:rsidRPr="00E64639">
        <w:rPr>
          <w:highlight w:val="yellow"/>
        </w:rPr>
        <w:t>19</w:t>
      </w:r>
      <w:r w:rsidRPr="00E64639">
        <w:rPr>
          <w:highlight w:val="yellow"/>
        </w:rPr>
        <w:fldChar w:fldCharType="end"/>
      </w:r>
      <w:r w:rsidRPr="00E64639">
        <w:rPr>
          <w:highlight w:val="yellow"/>
        </w:rPr>
        <w:t xml:space="preserve"> mostra i metodi che possono essere raccomandati per la valutazione degli interventi dei PSR, senza alcuna pretesa di fornire una panoramica completa. Gli approcci metodologici solidi sono costituiti da insiemi di vari metodi, al fine di ottenere un quadro multidimensionale di quello che sta accadendo in realtà.</w:t>
      </w:r>
    </w:p>
    <w:p w:rsidR="00675B1D" w:rsidRPr="00E64639" w:rsidRDefault="00675B1D">
      <w:pPr>
        <w:spacing w:after="0" w:line="240" w:lineRule="auto"/>
        <w:rPr>
          <w:rFonts w:cs="Arial"/>
          <w:color w:val="576C88" w:themeColor="text2" w:themeTint="D9"/>
          <w:sz w:val="20"/>
          <w:szCs w:val="20"/>
          <w:highlight w:val="yellow"/>
        </w:rPr>
      </w:pPr>
      <w:r w:rsidRPr="00E64639">
        <w:br w:type="page"/>
      </w:r>
    </w:p>
    <w:p w:rsidR="00675B1D" w:rsidRPr="00E64639" w:rsidRDefault="00675B1D" w:rsidP="00F333A5">
      <w:pPr>
        <w:pStyle w:val="HHeadingfigures"/>
        <w:ind w:left="0"/>
        <w:rPr>
          <w:highlight w:val="yellow"/>
        </w:rPr>
      </w:pPr>
      <w:bookmarkStart w:id="212" w:name="_Ref433724277"/>
      <w:bookmarkStart w:id="213" w:name="_Toc436140076"/>
      <w:bookmarkStart w:id="214" w:name="_Toc436383168"/>
      <w:bookmarkStart w:id="215" w:name="_Toc451781938"/>
      <w:r w:rsidRPr="00E64639">
        <w:rPr>
          <w:highlight w:val="yellow"/>
        </w:rPr>
        <w:lastRenderedPageBreak/>
        <w:t>Metodi per la valutazione delle RRN</w:t>
      </w:r>
      <w:bookmarkEnd w:id="212"/>
      <w:bookmarkEnd w:id="213"/>
      <w:bookmarkEnd w:id="214"/>
      <w:bookmarkEnd w:id="215"/>
      <w:r w:rsidRPr="00E64639">
        <w:rPr>
          <w:highlight w:val="yellow"/>
        </w:rPr>
        <w:t xml:space="preserve"> (/dei PRRN)</w:t>
      </w:r>
    </w:p>
    <w:p w:rsidR="00675B1D" w:rsidRPr="00E64639" w:rsidRDefault="00675B1D" w:rsidP="00320BBA">
      <w:pPr>
        <w:jc w:val="center"/>
        <w:rPr>
          <w:highlight w:val="yellow"/>
        </w:rPr>
      </w:pPr>
      <w:r w:rsidRPr="00E64639">
        <w:rPr>
          <w:noProof/>
          <w:lang w:eastAsia="en-GB"/>
        </w:rPr>
        <w:drawing>
          <wp:inline distT="0" distB="0" distL="0" distR="0" wp14:anchorId="7684A9D6" wp14:editId="304050E0">
            <wp:extent cx="5731510" cy="4248150"/>
            <wp:effectExtent l="0" t="0" r="2540" b="0"/>
            <wp:docPr id="1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01 - fig 2.em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248150"/>
                    </a:xfrm>
                    <a:prstGeom prst="rect">
                      <a:avLst/>
                    </a:prstGeom>
                  </pic:spPr>
                </pic:pic>
              </a:graphicData>
            </a:graphic>
          </wp:inline>
        </w:drawing>
      </w:r>
    </w:p>
    <w:p w:rsidR="00675B1D" w:rsidRPr="00E64639" w:rsidRDefault="00675B1D" w:rsidP="00320BBA">
      <w:pPr>
        <w:pStyle w:val="HSource"/>
        <w:rPr>
          <w:highlight w:val="yellow"/>
        </w:rPr>
      </w:pPr>
      <w:r w:rsidRPr="00E64639">
        <w:rPr>
          <w:highlight w:val="yellow"/>
        </w:rPr>
        <w:t>Fonte: Helpdesk europeo della valutazione per lo sviluppo rurale 2016</w:t>
      </w:r>
    </w:p>
    <w:p w:rsidR="00675B1D" w:rsidRPr="00E64639" w:rsidRDefault="00675B1D" w:rsidP="00340AD4">
      <w:pPr>
        <w:pStyle w:val="HStandard"/>
        <w:rPr>
          <w:highlight w:val="yellow"/>
        </w:rPr>
      </w:pPr>
      <w:r w:rsidRPr="00E64639">
        <w:rPr>
          <w:highlight w:val="yellow"/>
        </w:rPr>
        <w:t xml:space="preserve">I metodi nel campo giallo possono essere approssimativamente suddivisi in: </w:t>
      </w:r>
    </w:p>
    <w:p w:rsidR="00675B1D" w:rsidRPr="00E64639" w:rsidRDefault="00675B1D" w:rsidP="00340AD4">
      <w:pPr>
        <w:pStyle w:val="Hlistbullet2"/>
        <w:rPr>
          <w:highlight w:val="yellow"/>
        </w:rPr>
      </w:pPr>
      <w:r w:rsidRPr="00E64639">
        <w:rPr>
          <w:highlight w:val="yellow"/>
        </w:rPr>
        <w:t>indagini</w:t>
      </w:r>
    </w:p>
    <w:p w:rsidR="00675B1D" w:rsidRPr="00E64639" w:rsidRDefault="00675B1D" w:rsidP="00340AD4">
      <w:pPr>
        <w:pStyle w:val="Hlistbullet2"/>
        <w:rPr>
          <w:highlight w:val="yellow"/>
        </w:rPr>
      </w:pPr>
      <w:r w:rsidRPr="00E64639">
        <w:rPr>
          <w:highlight w:val="yellow"/>
        </w:rPr>
        <w:t>metodi basati sul dialogo</w:t>
      </w:r>
    </w:p>
    <w:p w:rsidR="00675B1D" w:rsidRPr="00E64639" w:rsidRDefault="00675B1D" w:rsidP="00340AD4">
      <w:pPr>
        <w:pStyle w:val="Hlistbullet2"/>
        <w:rPr>
          <w:highlight w:val="yellow"/>
        </w:rPr>
      </w:pPr>
      <w:r w:rsidRPr="00E64639">
        <w:rPr>
          <w:highlight w:val="yellow"/>
        </w:rPr>
        <w:t>metodi analitici</w:t>
      </w:r>
    </w:p>
    <w:p w:rsidR="00675B1D" w:rsidRPr="00E64639" w:rsidRDefault="00675B1D" w:rsidP="00340AD4">
      <w:pPr>
        <w:pStyle w:val="Hlistbullet2"/>
        <w:rPr>
          <w:highlight w:val="yellow"/>
        </w:rPr>
      </w:pPr>
      <w:r w:rsidRPr="00E64639">
        <w:rPr>
          <w:highlight w:val="yellow"/>
        </w:rPr>
        <w:t>metodi diagnostici.</w:t>
      </w:r>
    </w:p>
    <w:p w:rsidR="00675B1D" w:rsidRPr="00E64639" w:rsidRDefault="00675B1D" w:rsidP="00340AD4">
      <w:pPr>
        <w:pStyle w:val="HStandard"/>
        <w:rPr>
          <w:highlight w:val="yellow"/>
        </w:rPr>
      </w:pPr>
      <w:r w:rsidRPr="00E64639">
        <w:rPr>
          <w:highlight w:val="yellow"/>
        </w:rPr>
        <w:t xml:space="preserve">Le </w:t>
      </w:r>
      <w:r w:rsidRPr="00E64639">
        <w:rPr>
          <w:b/>
          <w:highlight w:val="yellow"/>
          <w:u w:val="single"/>
        </w:rPr>
        <w:t>indagini</w:t>
      </w:r>
      <w:r w:rsidRPr="00E64639">
        <w:rPr>
          <w:highlight w:val="yellow"/>
        </w:rPr>
        <w:t xml:space="preserve"> possono essere basate su: </w:t>
      </w:r>
    </w:p>
    <w:p w:rsidR="00675B1D" w:rsidRPr="00E64639" w:rsidRDefault="00675B1D" w:rsidP="00340AD4">
      <w:pPr>
        <w:pStyle w:val="Hlistbullet2"/>
        <w:rPr>
          <w:highlight w:val="yellow"/>
        </w:rPr>
      </w:pPr>
      <w:r w:rsidRPr="00E64639">
        <w:rPr>
          <w:b/>
          <w:highlight w:val="yellow"/>
        </w:rPr>
        <w:t>interviste basate su questionario standardizzato</w:t>
      </w:r>
      <w:r w:rsidRPr="00E64639">
        <w:rPr>
          <w:highlight w:val="yellow"/>
        </w:rPr>
        <w:t>, rivolgendosi ai partecipanti e alle parti interessate della rete, effettuando una successiva analisi statistica; solitamente i questionari vengono inviati, completati e rispediti online utilizzando uno degli strumenti disponibili online</w:t>
      </w:r>
      <w:r w:rsidRPr="00E64639">
        <w:rPr>
          <w:rStyle w:val="FootnoteReference"/>
          <w:highlight w:val="yellow"/>
        </w:rPr>
        <w:footnoteReference w:id="100"/>
      </w:r>
      <w:r w:rsidRPr="00E64639">
        <w:rPr>
          <w:highlight w:val="yellow"/>
        </w:rPr>
        <w:t>, spesso gratuiti;</w:t>
      </w:r>
    </w:p>
    <w:p w:rsidR="00675B1D" w:rsidRPr="00E64639" w:rsidRDefault="00675B1D" w:rsidP="00320BBA">
      <w:pPr>
        <w:pStyle w:val="Hlistbullet"/>
        <w:numPr>
          <w:ilvl w:val="1"/>
          <w:numId w:val="2"/>
        </w:numPr>
        <w:tabs>
          <w:tab w:val="left" w:pos="567"/>
        </w:tabs>
        <w:ind w:left="1037" w:hanging="357"/>
        <w:rPr>
          <w:highlight w:val="yellow"/>
        </w:rPr>
      </w:pPr>
      <w:r w:rsidRPr="00E64639">
        <w:rPr>
          <w:highlight w:val="yellow"/>
        </w:rPr>
        <w:t>Esempio: indagine online che coinvolge i leader e i responsabili dei GAL relativa al tipo e all'intensità del loro coinvolgimento nelle attività della RRN, nonché la loro soddisfazione e possibili attività di seguito.</w:t>
      </w:r>
    </w:p>
    <w:p w:rsidR="00675B1D" w:rsidRPr="00E64639" w:rsidRDefault="00675B1D" w:rsidP="00340AD4">
      <w:pPr>
        <w:pStyle w:val="Hlistbullet2"/>
        <w:rPr>
          <w:highlight w:val="yellow"/>
        </w:rPr>
      </w:pPr>
      <w:r w:rsidRPr="00E64639">
        <w:rPr>
          <w:b/>
          <w:highlight w:val="yellow"/>
        </w:rPr>
        <w:t>interviste semistrutturate (approfondite)</w:t>
      </w:r>
      <w:r w:rsidRPr="00E64639">
        <w:rPr>
          <w:highlight w:val="yellow"/>
        </w:rPr>
        <w:t xml:space="preserve"> tenute con esperti, parti interessate o beneficiari e volte a esaminare direttamente i loro punti di vista in merito alle domande di valutazione; solitamente implicano contesti faccia a faccia, ma si possono tenere anche al telefono o via Skype;</w:t>
      </w:r>
    </w:p>
    <w:p w:rsidR="00675B1D" w:rsidRPr="00E64639" w:rsidRDefault="00675B1D" w:rsidP="00320BBA">
      <w:pPr>
        <w:pStyle w:val="Hlistbullet"/>
        <w:numPr>
          <w:ilvl w:val="1"/>
          <w:numId w:val="2"/>
        </w:numPr>
        <w:tabs>
          <w:tab w:val="left" w:pos="567"/>
        </w:tabs>
        <w:spacing w:before="0" w:line="280" w:lineRule="atLeast"/>
        <w:ind w:left="1037" w:hanging="357"/>
        <w:rPr>
          <w:highlight w:val="yellow"/>
        </w:rPr>
      </w:pPr>
      <w:r w:rsidRPr="00E64639">
        <w:rPr>
          <w:highlight w:val="yellow"/>
        </w:rPr>
        <w:lastRenderedPageBreak/>
        <w:t>Esempio: interviste individuali con rappresentanti selezionati dell'autorità di gestione e degli organismi di attuazione in merito al loro parere sulle realizzazioni della RRN in relazione agli esiti attesi.</w:t>
      </w:r>
    </w:p>
    <w:p w:rsidR="00675B1D" w:rsidRPr="00E64639" w:rsidRDefault="00675B1D" w:rsidP="00340AD4">
      <w:pPr>
        <w:pStyle w:val="Hlistbullet2"/>
        <w:rPr>
          <w:highlight w:val="yellow"/>
        </w:rPr>
      </w:pPr>
      <w:r w:rsidRPr="00E64639">
        <w:rPr>
          <w:highlight w:val="yellow"/>
        </w:rPr>
        <w:t>interviste Repertory Grid</w:t>
      </w:r>
      <w:r w:rsidRPr="00E64639">
        <w:rPr>
          <w:rStyle w:val="FootnoteReference"/>
          <w:highlight w:val="yellow"/>
        </w:rPr>
        <w:footnoteReference w:id="101"/>
      </w:r>
      <w:r w:rsidRPr="00E64639">
        <w:rPr>
          <w:highlight w:val="yellow"/>
        </w:rPr>
        <w:t xml:space="preserve"> (griglia di repertorio) che permettono un'elaborazione quantitativa delle informazioni qualitative acquisite da un numero relativamente ridotto di intervistati; le «griglie di repertorio» servono come strumenti per esaminare i costrutti personali (visioni del mondo, valori e atteggiamenti) che, da un punto di vista psicologico-sociale, guidano le nostre azioni, ossia i nostri modelli di comportamento. </w:t>
      </w:r>
      <w:r w:rsidRPr="00E64639">
        <w:rPr>
          <w:highlight w:val="yellow"/>
        </w:rPr>
        <w:sym w:font="Wingdings" w:char="F0E0"/>
      </w:r>
      <w:r w:rsidRPr="00E64639">
        <w:rPr>
          <w:highlight w:val="yellow"/>
        </w:rPr>
        <w:t xml:space="preserve"> Cfr. anche </w:t>
      </w:r>
      <w:r w:rsidRPr="00E64639">
        <w:rPr>
          <w:b/>
          <w:color w:val="E7E6E6" w:themeColor="background2"/>
          <w:highlight w:val="yellow"/>
        </w:rPr>
        <w:t>PARTE III</w:t>
      </w:r>
      <w:r w:rsidRPr="00E64639">
        <w:rPr>
          <w:highlight w:val="yellow"/>
        </w:rPr>
        <w:t xml:space="preserve"> del presente documento di orientamento.</w:t>
      </w:r>
    </w:p>
    <w:p w:rsidR="00675B1D" w:rsidRPr="00E64639" w:rsidRDefault="00675B1D" w:rsidP="00340AD4">
      <w:pPr>
        <w:pStyle w:val="Hlistbullet"/>
        <w:numPr>
          <w:ilvl w:val="1"/>
          <w:numId w:val="2"/>
        </w:numPr>
        <w:tabs>
          <w:tab w:val="left" w:pos="567"/>
        </w:tabs>
        <w:spacing w:before="0" w:after="120" w:line="280" w:lineRule="atLeast"/>
        <w:ind w:left="1037" w:hanging="357"/>
        <w:rPr>
          <w:highlight w:val="yellow"/>
        </w:rPr>
      </w:pPr>
      <w:r w:rsidRPr="00E64639">
        <w:rPr>
          <w:highlight w:val="yellow"/>
        </w:rPr>
        <w:t>Esempio: interviste Repertory Grid di membri selezionati della rete (ad esempio, il «nucleo interno», come indicato da una precedente analisi delle reti sociali) in merito ai loro atteggiamenti verso la qualità e l'evoluzione della rete (conviene ripeterla almeno due volte – ad esempio, 2017 e 2019).</w:t>
      </w:r>
    </w:p>
    <w:p w:rsidR="00675B1D" w:rsidRPr="00E64639" w:rsidRDefault="00675B1D" w:rsidP="00340AD4">
      <w:pPr>
        <w:pStyle w:val="HStandard"/>
        <w:rPr>
          <w:highlight w:val="yellow"/>
        </w:rPr>
      </w:pPr>
      <w:r w:rsidRPr="00E64639">
        <w:rPr>
          <w:highlight w:val="yellow"/>
        </w:rPr>
        <w:t>Le interviste basate su questionario standardizzato, ma anche le interviste semistrutturate, consentono di raccogliere informazioni fattuali, nonché pareri e dichiarazioni di valore. Queste dichiarazioni soggettive possono essere quantificate per l'elaborazione statistica utilizzando l'assegnazione di punteggi (ad esempio % di realizzazione), la classificazione (ordinamento in base alle preferenze) o scale Likert che offrono diverse posizioni tra due valori estremi (ad esempio da «pessimo» a «molto buono»). L'assegnazione di un punteggio o l'utilizzo di una scala consentono un confronto contestualizzato sulla base di giudizi soggettivi (in particolare per gli indicatori di impatto)</w:t>
      </w:r>
      <w:r w:rsidRPr="00E64639">
        <w:rPr>
          <w:rStyle w:val="FootnoteReference"/>
          <w:highlight w:val="yellow"/>
        </w:rPr>
        <w:footnoteReference w:id="102"/>
      </w:r>
      <w:r w:rsidRPr="00E64639">
        <w:rPr>
          <w:highlight w:val="yellow"/>
        </w:rPr>
        <w:t>.</w:t>
      </w:r>
    </w:p>
    <w:p w:rsidR="00675B1D" w:rsidRPr="00E64639" w:rsidRDefault="00675B1D" w:rsidP="00320BBA">
      <w:pPr>
        <w:pStyle w:val="HStandard"/>
        <w:spacing w:after="0"/>
        <w:rPr>
          <w:highlight w:val="yellow"/>
        </w:rPr>
      </w:pPr>
      <w:r w:rsidRPr="00E64639">
        <w:rPr>
          <w:highlight w:val="yellow"/>
          <w:u w:val="single"/>
        </w:rPr>
        <w:t xml:space="preserve">I </w:t>
      </w:r>
      <w:r w:rsidRPr="00E64639">
        <w:rPr>
          <w:b/>
          <w:highlight w:val="yellow"/>
          <w:u w:val="single"/>
        </w:rPr>
        <w:t>metodi partecipativi o basati sul dialogo</w:t>
      </w:r>
      <w:r w:rsidRPr="00E64639">
        <w:rPr>
          <w:highlight w:val="yellow"/>
        </w:rPr>
        <w:t xml:space="preserve"> puntano sulla «intelligenza collettiva»</w:t>
      </w:r>
      <w:r w:rsidRPr="00E64639">
        <w:rPr>
          <w:rFonts w:ascii="ZWAdobeF" w:hAnsi="ZWAdobeF"/>
          <w:color w:val="auto"/>
          <w:sz w:val="2"/>
          <w:highlight w:val="yellow"/>
        </w:rPr>
        <w:t>102F</w:t>
      </w:r>
      <w:r w:rsidRPr="00E64639">
        <w:rPr>
          <w:rStyle w:val="FootnoteReference"/>
          <w:highlight w:val="yellow"/>
        </w:rPr>
        <w:footnoteReference w:id="103"/>
      </w:r>
      <w:r w:rsidRPr="00E64639">
        <w:rPr>
          <w:highlight w:val="yellow"/>
        </w:rPr>
        <w:t xml:space="preserve"> o sulla «intuizione di gruppo»</w:t>
      </w:r>
      <w:r w:rsidRPr="00E64639">
        <w:rPr>
          <w:rStyle w:val="FootnoteReference"/>
          <w:highlight w:val="yellow"/>
        </w:rPr>
        <w:footnoteReference w:id="104"/>
      </w:r>
      <w:r w:rsidRPr="00E64639">
        <w:rPr>
          <w:highlight w:val="yellow"/>
        </w:rPr>
        <w:t xml:space="preserve"> che integrano le opinioni individuali e le risultanze fattuali raccolte nell'ambito delle indagini. </w:t>
      </w:r>
    </w:p>
    <w:p w:rsidR="00675B1D" w:rsidRPr="00E64639" w:rsidRDefault="00675B1D" w:rsidP="00340AD4">
      <w:pPr>
        <w:pStyle w:val="Hlistbullet2"/>
        <w:rPr>
          <w:highlight w:val="yellow"/>
        </w:rPr>
      </w:pPr>
      <w:r w:rsidRPr="00E64639">
        <w:rPr>
          <w:highlight w:val="yellow"/>
        </w:rPr>
        <w:t xml:space="preserve">I metodi partecipativi e basati sul dialogo costituiscono un elemento di collegamento per </w:t>
      </w:r>
      <w:r w:rsidRPr="00E64639">
        <w:rPr>
          <w:b/>
          <w:highlight w:val="yellow"/>
        </w:rPr>
        <w:t>pratiche di autovalutazione,</w:t>
      </w:r>
      <w:r w:rsidRPr="00E64639">
        <w:rPr>
          <w:highlight w:val="yellow"/>
        </w:rPr>
        <w:t xml:space="preserve"> che possono includere riunioni di coordinamento o monitoraggio presso i gruppi di lavoro tematici e metodologici, sostenute da dati di monitoraggio continuamente aggiornati. I risultati aggregati delle sessioni di autovalutazione e delle schede di riscontro possono essere utilizzati come materiale di discussione per contesti di dialogo modulabili coadiuvati dal valutatore esterno.</w:t>
      </w:r>
    </w:p>
    <w:p w:rsidR="00675B1D" w:rsidRPr="00E64639" w:rsidRDefault="00675B1D" w:rsidP="00320BBA">
      <w:pPr>
        <w:pStyle w:val="Hlistbullet"/>
        <w:numPr>
          <w:ilvl w:val="1"/>
          <w:numId w:val="2"/>
        </w:numPr>
        <w:tabs>
          <w:tab w:val="left" w:pos="567"/>
        </w:tabs>
        <w:spacing w:before="0" w:line="280" w:lineRule="atLeast"/>
        <w:ind w:left="1037" w:hanging="357"/>
        <w:rPr>
          <w:highlight w:val="yellow"/>
        </w:rPr>
      </w:pPr>
      <w:r w:rsidRPr="00E64639">
        <w:rPr>
          <w:highlight w:val="yellow"/>
        </w:rPr>
        <w:t xml:space="preserve">Esempio: sessione di riflessione sulla strategia annuale con animatore esterno, che facciano il punto sulle realizzazioni e le lacune dell'anno trascorso utilizzando dati di monitoraggio, studi di accompagnamento e indagini interne anche come spunti di riflessione; l'animatore può proporre forme di dialogo, contesti e contributori esterni non convenzionali, al fine di esaminare l'uso del pensiero laterale; le sessioni di riflessione del 2017, del 2019 e successive alla chiusura potrebbero alimentare direttamente le rispettive valutazioni. </w:t>
      </w:r>
    </w:p>
    <w:p w:rsidR="00675B1D" w:rsidRPr="00E64639" w:rsidRDefault="00675B1D" w:rsidP="00340AD4">
      <w:pPr>
        <w:pStyle w:val="Hlistbullet2"/>
        <w:rPr>
          <w:highlight w:val="yellow"/>
        </w:rPr>
      </w:pPr>
      <w:r w:rsidRPr="00E64639">
        <w:rPr>
          <w:highlight w:val="yellow"/>
        </w:rPr>
        <w:t xml:space="preserve">I </w:t>
      </w:r>
      <w:r w:rsidRPr="00E64639">
        <w:rPr>
          <w:b/>
          <w:highlight w:val="yellow"/>
        </w:rPr>
        <w:t xml:space="preserve">gruppi specifici di discussione </w:t>
      </w:r>
      <w:r w:rsidRPr="00E64639">
        <w:rPr>
          <w:highlight w:val="yellow"/>
        </w:rPr>
        <w:t xml:space="preserve">sono ampiamente utilizzati come formato per i metodi di valutazione basati sul dialogo. A parte le serie di gruppi specifici di discussione che si estendono per un certo tempo, gli stessi possono essere organizzati secondo una architettura a due livelli (gruppi specifici di discussione a cascata a due livelli decisionali, ad esempio a livello di GAL e di rappresentanti della RRN); tali gruppi possono concentrarsi su determinate aree tematiche oppure dedicarsi a esplorare questioni trasversali; in ogni caso, crescono in termini di qualità se la loro composizione è sufficientemente diversificata e se non ci sono troppi partecipanti (da 5 </w:t>
      </w:r>
      <w:r w:rsidRPr="00E64639">
        <w:rPr>
          <w:highlight w:val="yellow"/>
        </w:rPr>
        <w:lastRenderedPageBreak/>
        <w:t>a 12 persone per riunione di gruppo, o eventi di gruppo più ampi con corrispondenti contesti di suddivisione in base alla dimensione del gruppo interessato); ultimo aspetto, ma non meno importante, questi gruppi dovrebbero essere animati da un moderatore esterno (ossia i valutatori o, qualora manchino le necessarie competenze, da qualcuno che agisca per loro conto). Anche le riunioni del comitato direttivo di valutazione, qualora esistente, possono essere organizzate in linea di principio come una riunione di gruppi specifici di discussione a due livelli.</w:t>
      </w:r>
    </w:p>
    <w:p w:rsidR="00675B1D" w:rsidRPr="00E64639" w:rsidRDefault="00675B1D" w:rsidP="00340AD4">
      <w:pPr>
        <w:pStyle w:val="Hlistbullet"/>
        <w:numPr>
          <w:ilvl w:val="1"/>
          <w:numId w:val="2"/>
        </w:numPr>
        <w:tabs>
          <w:tab w:val="left" w:pos="567"/>
        </w:tabs>
        <w:spacing w:before="0" w:after="120" w:line="280" w:lineRule="atLeast"/>
        <w:ind w:left="1037" w:hanging="357"/>
        <w:rPr>
          <w:highlight w:val="yellow"/>
        </w:rPr>
      </w:pPr>
      <w:r w:rsidRPr="00E64639">
        <w:rPr>
          <w:highlight w:val="yellow"/>
        </w:rPr>
        <w:t xml:space="preserve">Esempio: costituzione di gruppi di persone con una elevata diversità di prospettive, al fine di convalidare specifici segmenti delle attività della RRN (ad esempio comunicazione e pubblicazioni/architetture di seminari ed eventi/promozione dell'innovazione); questi gruppi possono sovrapporsi, ossia, in tal caso, due gruppi convaliderebbero indipendentemente lo stesso tema (per offrire un quadro multidimensionale della situazione). </w:t>
      </w:r>
    </w:p>
    <w:p w:rsidR="00675B1D" w:rsidRPr="00E64639" w:rsidRDefault="00675B1D" w:rsidP="00320BBA">
      <w:pPr>
        <w:pStyle w:val="HStandard"/>
        <w:spacing w:after="0"/>
        <w:rPr>
          <w:highlight w:val="yellow"/>
        </w:rPr>
      </w:pPr>
      <w:r w:rsidRPr="00E64639">
        <w:rPr>
          <w:highlight w:val="yellow"/>
        </w:rPr>
        <w:t xml:space="preserve">I </w:t>
      </w:r>
      <w:r w:rsidRPr="00E64639">
        <w:rPr>
          <w:b/>
          <w:highlight w:val="yellow"/>
          <w:u w:val="single"/>
        </w:rPr>
        <w:t>metodi analitici</w:t>
      </w:r>
      <w:r w:rsidRPr="00E64639">
        <w:rPr>
          <w:highlight w:val="yellow"/>
        </w:rPr>
        <w:t xml:space="preserve"> sono utilizzati principalmente per cogliere l'efficacia e l'efficienza degli interventi. </w:t>
      </w:r>
    </w:p>
    <w:p w:rsidR="00675B1D" w:rsidRPr="00E64639" w:rsidRDefault="00675B1D" w:rsidP="00340AD4">
      <w:pPr>
        <w:pStyle w:val="Hlistbullet2"/>
        <w:rPr>
          <w:highlight w:val="yellow"/>
        </w:rPr>
      </w:pPr>
      <w:r w:rsidRPr="00E64639">
        <w:rPr>
          <w:highlight w:val="yellow"/>
        </w:rPr>
        <w:t xml:space="preserve">I prodotti delle RRN possono essere individuati tramite </w:t>
      </w:r>
      <w:r w:rsidRPr="00E64639">
        <w:rPr>
          <w:b/>
          <w:highlight w:val="yellow"/>
        </w:rPr>
        <w:t>analisi costi-benefici</w:t>
      </w:r>
      <w:r w:rsidRPr="00E64639">
        <w:rPr>
          <w:highlight w:val="yellow"/>
        </w:rPr>
        <w:t xml:space="preserve"> (ad esempio, in merito alla produzione e diffusione di opuscoli, riviste, ecc.; oppure organizzazione di corsi di formazione e seminari per le parti interessate).</w:t>
      </w:r>
    </w:p>
    <w:p w:rsidR="00675B1D" w:rsidRPr="00E64639" w:rsidRDefault="00675B1D" w:rsidP="00320BBA">
      <w:pPr>
        <w:pStyle w:val="Hlistbullet"/>
        <w:numPr>
          <w:ilvl w:val="1"/>
          <w:numId w:val="2"/>
        </w:numPr>
        <w:tabs>
          <w:tab w:val="left" w:pos="567"/>
        </w:tabs>
        <w:spacing w:before="0" w:line="280" w:lineRule="atLeast"/>
        <w:ind w:left="1037" w:hanging="357"/>
        <w:rPr>
          <w:highlight w:val="yellow"/>
        </w:rPr>
      </w:pPr>
      <w:r w:rsidRPr="00E64639">
        <w:rPr>
          <w:highlight w:val="yellow"/>
        </w:rPr>
        <w:t>Esempio: l'analisi costi-benefici del costo totale sostenuto per i corsi di formazione, misurato rispetto al numero dei partecipanti e il grado (valore di scala) di soddisfazione.</w:t>
      </w:r>
    </w:p>
    <w:p w:rsidR="00675B1D" w:rsidRPr="00E64639" w:rsidRDefault="00675B1D" w:rsidP="00E57366">
      <w:pPr>
        <w:pStyle w:val="Hlistbullet2"/>
        <w:rPr>
          <w:highlight w:val="yellow"/>
        </w:rPr>
      </w:pPr>
      <w:r w:rsidRPr="00E64639">
        <w:rPr>
          <w:highlight w:val="yellow"/>
        </w:rPr>
        <w:t>Dato che si suppone che le attività delle RRN inneschino cambiamenti comportamentali negli utenti dei prodotti della RRN, metodi puramente quantitativi non saranno sufficienti per cogliere questo livello di esiti; questo obiettivo si potrebbe raggiungere effettuando un'analisi costo-efficacia. Mentre la parte dei costi è ancora espressa in termini monetari (come nell'analisi costi-benefici), la parte dell'effetto viene rilevata tramite una serie di indicatori qualitativi che possono essere in parte gli indicatori specifici del programma, ma anche variabili specifiche selezionate unicamente a tale fine.</w:t>
      </w:r>
    </w:p>
    <w:p w:rsidR="00675B1D" w:rsidRPr="00E64639" w:rsidRDefault="00675B1D" w:rsidP="00340AD4">
      <w:pPr>
        <w:pStyle w:val="Hlistbullet2"/>
        <w:numPr>
          <w:ilvl w:val="1"/>
          <w:numId w:val="2"/>
        </w:numPr>
        <w:tabs>
          <w:tab w:val="left" w:pos="567"/>
        </w:tabs>
        <w:spacing w:before="0" w:after="120" w:line="280" w:lineRule="atLeast"/>
        <w:ind w:left="1037" w:hanging="357"/>
        <w:rPr>
          <w:highlight w:val="yellow"/>
        </w:rPr>
      </w:pPr>
      <w:r w:rsidRPr="00E64639">
        <w:rPr>
          <w:highlight w:val="yellow"/>
        </w:rPr>
        <w:t>Esempio: l'analisi costo-efficacia del costo totale sostenuto per i corsi di formazione e la successiva adozione e applicazione dei contenuti della formazione, misurate anche in termini di domanda aggiuntiva per accompagnare una consulenza o un intervento di coaching.</w:t>
      </w:r>
    </w:p>
    <w:p w:rsidR="00675B1D" w:rsidRPr="00E64639" w:rsidRDefault="00675B1D" w:rsidP="00320BBA">
      <w:pPr>
        <w:pStyle w:val="HStandard"/>
        <w:spacing w:after="0"/>
        <w:rPr>
          <w:highlight w:val="yellow"/>
        </w:rPr>
      </w:pPr>
      <w:r w:rsidRPr="00E64639">
        <w:rPr>
          <w:highlight w:val="yellow"/>
        </w:rPr>
        <w:t xml:space="preserve">I </w:t>
      </w:r>
      <w:r w:rsidRPr="00E64639">
        <w:rPr>
          <w:b/>
          <w:highlight w:val="yellow"/>
          <w:u w:val="single"/>
        </w:rPr>
        <w:t>metodi diagnostici</w:t>
      </w:r>
      <w:r w:rsidRPr="00E64639">
        <w:rPr>
          <w:highlight w:val="yellow"/>
        </w:rPr>
        <w:t xml:space="preserve"> includono vari metodi che vanno dall'euristica pura a quelli supportati da software computazionale:</w:t>
      </w:r>
    </w:p>
    <w:p w:rsidR="00675B1D" w:rsidRPr="00E64639" w:rsidRDefault="00675B1D" w:rsidP="00340AD4">
      <w:pPr>
        <w:pStyle w:val="Hlistbullet2"/>
        <w:rPr>
          <w:highlight w:val="yellow"/>
        </w:rPr>
      </w:pPr>
      <w:r w:rsidRPr="00E64639">
        <w:rPr>
          <w:b/>
          <w:highlight w:val="yellow"/>
        </w:rPr>
        <w:t>analisi funzionale delle reti</w:t>
      </w:r>
      <w:r w:rsidRPr="00E64639">
        <w:rPr>
          <w:rStyle w:val="FootnoteReference"/>
          <w:highlight w:val="yellow"/>
        </w:rPr>
        <w:footnoteReference w:id="105"/>
      </w:r>
      <w:r w:rsidRPr="00E64639">
        <w:rPr>
          <w:highlight w:val="yellow"/>
        </w:rPr>
        <w:t xml:space="preserve">: Questo metodo analizza le reti attraverso le loro unità di sostegno alla rete (USR) secondo sei funzioni tipiche (ossia: filtrare, amplificare, investire e fornire, convocare, creare comunità e facilitare), e due «sovra-funzioni» o ruoli (il ruolo agenzia e il ruolo supporto), la cui combinazione determina i modi che l'USR utilizza per intervenire nella rete. In pratica, la maggior parte delle reti politiche hanno alcune caratteristiche di entrambi i ruoli (cfr. anche </w:t>
      </w:r>
      <w:r w:rsidRPr="00E64639">
        <w:rPr>
          <w:b/>
          <w:color w:val="E7E6E6" w:themeColor="background2"/>
          <w:highlight w:val="yellow"/>
        </w:rPr>
        <w:t>PARTE III</w:t>
      </w:r>
      <w:r w:rsidRPr="00E64639">
        <w:rPr>
          <w:highlight w:val="yellow"/>
        </w:rPr>
        <w:t>).</w:t>
      </w:r>
    </w:p>
    <w:p w:rsidR="00675B1D" w:rsidRPr="00E64639" w:rsidRDefault="00675B1D" w:rsidP="00320BBA">
      <w:pPr>
        <w:pStyle w:val="Hlistbullet"/>
        <w:numPr>
          <w:ilvl w:val="1"/>
          <w:numId w:val="2"/>
        </w:numPr>
        <w:tabs>
          <w:tab w:val="left" w:pos="567"/>
        </w:tabs>
        <w:spacing w:before="0" w:line="280" w:lineRule="atLeast"/>
        <w:ind w:left="1037" w:hanging="357"/>
        <w:rPr>
          <w:highlight w:val="yellow"/>
        </w:rPr>
      </w:pPr>
      <w:r w:rsidRPr="00E64639">
        <w:rPr>
          <w:highlight w:val="yellow"/>
        </w:rPr>
        <w:t>Esempio: Questa analisi potrebbe essere condotta sulla base di un'ampia indagine online combinata con una serie di interviste approfondite con le parti interessate selezionate, o un gruppo specifico di discussione, utilizzando i risultati preliminari dell'indagine online come elementi di ingresso per la seconda azione.</w:t>
      </w:r>
    </w:p>
    <w:p w:rsidR="00675B1D" w:rsidRPr="00E64639" w:rsidRDefault="00675B1D" w:rsidP="00E57366">
      <w:pPr>
        <w:pStyle w:val="Hlistbullet2"/>
        <w:rPr>
          <w:highlight w:val="yellow"/>
        </w:rPr>
      </w:pPr>
      <w:r w:rsidRPr="00E64639">
        <w:rPr>
          <w:b/>
          <w:highlight w:val="yellow"/>
        </w:rPr>
        <w:t>analisi delle parti interessate</w:t>
      </w:r>
      <w:r w:rsidRPr="00E64639">
        <w:rPr>
          <w:rStyle w:val="FootnoteReference"/>
          <w:highlight w:val="yellow"/>
        </w:rPr>
        <w:footnoteReference w:id="106"/>
      </w:r>
      <w:r w:rsidRPr="00E64639">
        <w:rPr>
          <w:highlight w:val="yellow"/>
        </w:rPr>
        <w:t xml:space="preserve">: l'analisi delle parti interessate è il processo tramite il quale si rilevano gli individui o i gruppi che possono influenzare o essere influenzati da un'azione pianificata, e si catalogano gli stessi in base alla loro influenza sull'azione e all'impatto che l'azione avrà su di loro. (cfr. anche </w:t>
      </w:r>
      <w:r w:rsidRPr="00E64639">
        <w:rPr>
          <w:b/>
          <w:color w:val="E7E6E6" w:themeColor="background2"/>
          <w:highlight w:val="yellow"/>
        </w:rPr>
        <w:t>PARTE III</w:t>
      </w:r>
      <w:r w:rsidRPr="00E64639">
        <w:rPr>
          <w:highlight w:val="yellow"/>
        </w:rPr>
        <w:t>).</w:t>
      </w:r>
    </w:p>
    <w:p w:rsidR="00675B1D" w:rsidRPr="00E64639" w:rsidRDefault="00675B1D" w:rsidP="00E57366">
      <w:pPr>
        <w:pStyle w:val="Hlistbullet"/>
        <w:numPr>
          <w:ilvl w:val="1"/>
          <w:numId w:val="2"/>
        </w:numPr>
        <w:tabs>
          <w:tab w:val="left" w:pos="567"/>
        </w:tabs>
        <w:spacing w:before="0" w:after="120" w:line="280" w:lineRule="atLeast"/>
        <w:ind w:left="1037" w:hanging="357"/>
        <w:rPr>
          <w:highlight w:val="yellow"/>
        </w:rPr>
      </w:pPr>
      <w:r w:rsidRPr="00E64639">
        <w:rPr>
          <w:highlight w:val="yellow"/>
        </w:rPr>
        <w:lastRenderedPageBreak/>
        <w:t>Esempio: ciò potrebbe essere fatto come un esercizio di autovalutazione, ad esempio volto a fornire suggerimenti per la valutazione del 2017 e da ripetere in un momento successivo, ad esempio durante la valutazione del 2019 o subito dopo la chiusura.</w:t>
      </w:r>
    </w:p>
    <w:p w:rsidR="00675B1D" w:rsidRPr="00E64639" w:rsidRDefault="00675B1D" w:rsidP="00E57366">
      <w:pPr>
        <w:pStyle w:val="Hlistbullet2"/>
        <w:rPr>
          <w:highlight w:val="yellow"/>
        </w:rPr>
      </w:pPr>
      <w:r w:rsidRPr="00E64639">
        <w:rPr>
          <w:b/>
          <w:highlight w:val="yellow"/>
        </w:rPr>
        <w:t>analisi delle reti sociali</w:t>
      </w:r>
      <w:r w:rsidRPr="00E64639">
        <w:rPr>
          <w:rStyle w:val="FootnoteReference"/>
          <w:highlight w:val="yellow"/>
        </w:rPr>
        <w:footnoteReference w:id="107"/>
      </w:r>
      <w:r w:rsidRPr="00E64639">
        <w:rPr>
          <w:highlight w:val="yellow"/>
        </w:rPr>
        <w:t xml:space="preserve">: l'analisi delle reti sociali si basa sull'idea che gli attori collegati in rete (ossia i nodi) e le loro azioni siano interdipendenti. I legami tra gli attori sono visti come canali per il trasferimento o il flusso di risorse (informazioni, influenza, denaro, ecc.) e la rete stessa è vista come una fonte di opportunità o vincoli in relazione al comportamento degli attori. L'analisi delle reti sociali consiste nella mappatura e nella misurazione delle relazioni e dei flussi di risorse tra gli attori. Grazie all'aiuto di software di analisi delle reti sociali, è possibile ottenere una rappresentazione visiva (sotto forma di un grafico di rete) e un'analisi matematica delle relazioni tra gli attori (cfr. anche </w:t>
      </w:r>
      <w:r w:rsidRPr="00E64639">
        <w:rPr>
          <w:b/>
          <w:color w:val="E7E6E6" w:themeColor="background2"/>
          <w:highlight w:val="yellow"/>
        </w:rPr>
        <w:t>PARTE III</w:t>
      </w:r>
      <w:r w:rsidRPr="00E64639">
        <w:rPr>
          <w:highlight w:val="yellow"/>
        </w:rPr>
        <w:t>).</w:t>
      </w:r>
    </w:p>
    <w:p w:rsidR="00675B1D" w:rsidRPr="00E64639" w:rsidRDefault="00675B1D" w:rsidP="00E57366">
      <w:pPr>
        <w:pStyle w:val="Hlistbullet"/>
        <w:numPr>
          <w:ilvl w:val="1"/>
          <w:numId w:val="2"/>
        </w:numPr>
        <w:tabs>
          <w:tab w:val="left" w:pos="567"/>
        </w:tabs>
        <w:spacing w:before="0" w:after="120" w:line="280" w:lineRule="atLeast"/>
        <w:ind w:left="1037" w:hanging="357"/>
        <w:rPr>
          <w:highlight w:val="yellow"/>
        </w:rPr>
      </w:pPr>
      <w:r w:rsidRPr="00E64639">
        <w:rPr>
          <w:highlight w:val="yellow"/>
        </w:rPr>
        <w:t>Esempio: condurre analisi delle reti sociali su aspetti tematici specifici (ad esempio, secondo i tre obiettivi della PAC dell'UE oppure le sei priorità), cercando le trame delle reti tematiche (ad esempio, identificando gli attori chiave) e le sovrapposizioni tra le stesse (ad esempio, identificando i connettori chiave), e discuterli nell'ambito di un gruppo specifico di discussione.</w:t>
      </w:r>
    </w:p>
    <w:p w:rsidR="00675B1D" w:rsidRPr="00E64639" w:rsidRDefault="00675B1D" w:rsidP="003E4E39">
      <w:pPr>
        <w:pStyle w:val="HStandard"/>
        <w:rPr>
          <w:highlight w:val="yellow"/>
        </w:rPr>
      </w:pPr>
      <w:r w:rsidRPr="00E64639">
        <w:rPr>
          <w:highlight w:val="yellow"/>
        </w:rPr>
        <w:t>Strumenti più diagnostici per valutare la capacità innovativa e di apprendimento delle organizzazioni e delle reti sono presentati nel manuale GIZ sulla gestione della cooperazione</w:t>
      </w:r>
      <w:r w:rsidRPr="00E64639">
        <w:rPr>
          <w:rStyle w:val="FootnoteReference"/>
          <w:highlight w:val="yellow"/>
        </w:rPr>
        <w:footnoteReference w:id="108"/>
      </w:r>
      <w:r w:rsidRPr="00E64639">
        <w:rPr>
          <w:highlight w:val="yellow"/>
        </w:rPr>
        <w:t xml:space="preserve">. L'esplorazione della capacità di innovazione e apprendimento può concentrarsi su alcuni aspetti predefiniti dal CMES. Tuttavia, può essere concepita come un processo più completo e interattivo finalizzato alla comprensione dei modelli sistemici sottostanti i cambiamenti osservati (cfr. anche </w:t>
      </w:r>
      <w:r w:rsidRPr="00E64639">
        <w:rPr>
          <w:b/>
          <w:color w:val="E7E6E6" w:themeColor="background2"/>
          <w:highlight w:val="yellow"/>
        </w:rPr>
        <w:t>PARTE III</w:t>
      </w:r>
      <w:r w:rsidRPr="00E64639">
        <w:rPr>
          <w:highlight w:val="yellow"/>
        </w:rPr>
        <w:t>).</w:t>
      </w:r>
    </w:p>
    <w:p w:rsidR="00675B1D" w:rsidRPr="00E64639" w:rsidRDefault="00675B1D" w:rsidP="00E57366">
      <w:pPr>
        <w:pStyle w:val="Heading6"/>
        <w:rPr>
          <w:highlight w:val="yellow"/>
        </w:rPr>
      </w:pPr>
      <w:r w:rsidRPr="00E64639">
        <w:rPr>
          <w:highlight w:val="yellow"/>
        </w:rPr>
        <w:t>Cosa dire in merito agli studi di casi?</w:t>
      </w:r>
    </w:p>
    <w:p w:rsidR="00675B1D" w:rsidRPr="00E64639" w:rsidRDefault="00675B1D" w:rsidP="00E57366">
      <w:pPr>
        <w:pStyle w:val="HStandard"/>
        <w:rPr>
          <w:highlight w:val="yellow"/>
        </w:rPr>
      </w:pPr>
      <w:r w:rsidRPr="00E64639">
        <w:rPr>
          <w:highlight w:val="yellow"/>
        </w:rPr>
        <w:t xml:space="preserve">Solitamente i </w:t>
      </w:r>
      <w:r w:rsidRPr="00E64639">
        <w:rPr>
          <w:b/>
          <w:highlight w:val="yellow"/>
        </w:rPr>
        <w:t>casi di studio</w:t>
      </w:r>
      <w:r w:rsidRPr="00E64639">
        <w:rPr>
          <w:highlight w:val="yellow"/>
        </w:rPr>
        <w:t xml:space="preserve"> integrano vari metodi. Offrono una vasta gamma di possibilità di mescolare metodi quantitativi a metodi qualitativi: da analisi costo-efficacia comparative a narrazioni euristiche. Esistono molti modi diversi di progettare uno studio di casi. Gli «studi di casi specifici di determinate questioni» si riferiscono all'indagine tematica di questioni che richiedono uno sguardo più attento al fine di affrontare particolari preoccupazioni di valutazione. In ogni fase, uno studio di casi comporta una buona dose di interpretazione e di giudizi da parte dei valutatori:</w:t>
      </w:r>
    </w:p>
    <w:p w:rsidR="00675B1D" w:rsidRPr="00E64639" w:rsidRDefault="00675B1D" w:rsidP="00E57366">
      <w:pPr>
        <w:pStyle w:val="Hlistbullet2"/>
        <w:rPr>
          <w:highlight w:val="yellow"/>
        </w:rPr>
      </w:pPr>
      <w:r w:rsidRPr="00E64639">
        <w:rPr>
          <w:highlight w:val="yellow"/>
        </w:rPr>
        <w:t>che cosa rende una questione rilevante per uno studio di casi?</w:t>
      </w:r>
    </w:p>
    <w:p w:rsidR="00675B1D" w:rsidRPr="00E64639" w:rsidRDefault="00675B1D" w:rsidP="00E57366">
      <w:pPr>
        <w:pStyle w:val="Hlistbullet2"/>
        <w:rPr>
          <w:highlight w:val="yellow"/>
        </w:rPr>
      </w:pPr>
      <w:r w:rsidRPr="00E64639">
        <w:rPr>
          <w:highlight w:val="yellow"/>
        </w:rPr>
        <w:t>come si dovrebbero selezionare i casi specifici?</w:t>
      </w:r>
    </w:p>
    <w:p w:rsidR="00675B1D" w:rsidRPr="00E64639" w:rsidRDefault="00675B1D" w:rsidP="00E57366">
      <w:pPr>
        <w:pStyle w:val="Hlistbullet2"/>
        <w:rPr>
          <w:highlight w:val="yellow"/>
        </w:rPr>
      </w:pPr>
      <w:r w:rsidRPr="00E64639">
        <w:rPr>
          <w:highlight w:val="yellow"/>
        </w:rPr>
        <w:t>quali modelli si dovrebbero applicare al fine di inserire i risultati empirici in un contesto esplicativo?</w:t>
      </w:r>
    </w:p>
    <w:p w:rsidR="00675B1D" w:rsidRPr="00E64639" w:rsidRDefault="00675B1D" w:rsidP="00E57366">
      <w:pPr>
        <w:pStyle w:val="Hlistbullet2"/>
        <w:rPr>
          <w:highlight w:val="yellow"/>
        </w:rPr>
      </w:pPr>
      <w:r w:rsidRPr="00E64639">
        <w:rPr>
          <w:highlight w:val="yellow"/>
        </w:rPr>
        <w:t>quali lezioni generalizzate consentono le risultanze?</w:t>
      </w:r>
    </w:p>
    <w:p w:rsidR="00675B1D" w:rsidRPr="00E64639" w:rsidRDefault="00675B1D" w:rsidP="00E57366">
      <w:pPr>
        <w:pStyle w:val="HStandard"/>
        <w:rPr>
          <w:highlight w:val="yellow"/>
        </w:rPr>
      </w:pPr>
      <w:r w:rsidRPr="00E64639">
        <w:rPr>
          <w:highlight w:val="yellow"/>
        </w:rPr>
        <w:t>Gli studi di casi costituiscono mezzi adeguati per integrare le indagini e per trattare le questioni più complicate: oltre alla mera osservazione del cambiamento, permettono di scavare più in profondità in modo da capire perché e come le cose si sono evolute in un certo modo. Gli studi di casi possono anche essere utilizzati per esplorare l'ipotesi di causa-effetto o effetti a catena. Considerando il tempo necessario per effettuare buoni studi di casi, si raccomanda di condurre tali studi in accompagnamento all'attuazione di PSR/PRRN (ad esempio, in collaborazione con un istituto di ricerca, un'università o un istituto di istruzione secondaria) e di utilizzarne le risultanze come materiale per le valutazioni, piuttosto che condurli come parte della valutazione stessa.</w:t>
      </w:r>
    </w:p>
    <w:p w:rsidR="00675B1D" w:rsidRPr="00E64639" w:rsidRDefault="00675B1D" w:rsidP="00E57366">
      <w:pPr>
        <w:pStyle w:val="HStandard"/>
        <w:rPr>
          <w:highlight w:val="yellow"/>
        </w:rPr>
      </w:pPr>
      <w:r w:rsidRPr="00E64639">
        <w:rPr>
          <w:highlight w:val="yellow"/>
        </w:rPr>
        <w:lastRenderedPageBreak/>
        <w:t xml:space="preserve">Oltre ad utilizzare metodi consolidati, il valutatore dovrebbe provare metodi non convenzionali tramite i quali le risultanze potrebbero essere affinate o anche esplorate più in profondità. Il capitolato d'oneri dovrebbe mantenere aperta la possibilità di applicare metodi derivati dalla ricerca-azione, dall'antropologia culturale, da studi educativi o sviluppo organizzativo, come ad esempio: </w:t>
      </w:r>
    </w:p>
    <w:p w:rsidR="00675B1D" w:rsidRPr="00E64639" w:rsidRDefault="00675B1D" w:rsidP="00E57366">
      <w:pPr>
        <w:pStyle w:val="Hlistbullet2"/>
        <w:rPr>
          <w:highlight w:val="yellow"/>
        </w:rPr>
      </w:pPr>
      <w:r w:rsidRPr="00E64639">
        <w:rPr>
          <w:highlight w:val="yellow"/>
        </w:rPr>
        <w:t>analisi di immagini (interpretazione di video e fotografie tramite le quali gli attori rurali esprimono la propria percezione di quanto accade nella loro zona);</w:t>
      </w:r>
    </w:p>
    <w:p w:rsidR="00675B1D" w:rsidRPr="00E64639" w:rsidRDefault="00675B1D" w:rsidP="00E57366">
      <w:pPr>
        <w:pStyle w:val="Hlistbullet2"/>
        <w:rPr>
          <w:highlight w:val="yellow"/>
        </w:rPr>
      </w:pPr>
      <w:r w:rsidRPr="00E64639">
        <w:rPr>
          <w:highlight w:val="yellow"/>
        </w:rPr>
        <w:t>analisi di testo (interpretazione linguistica e culturale dei modelli di linguaggio usato nelle comunicazioni e pubblicazioni interne);</w:t>
      </w:r>
    </w:p>
    <w:p w:rsidR="00675B1D" w:rsidRPr="00E64639" w:rsidRDefault="00675B1D" w:rsidP="00E57366">
      <w:pPr>
        <w:pStyle w:val="Hlistbullet2"/>
        <w:rPr>
          <w:highlight w:val="yellow"/>
        </w:rPr>
      </w:pPr>
      <w:r w:rsidRPr="00E64639">
        <w:rPr>
          <w:highlight w:val="yellow"/>
        </w:rPr>
        <w:t xml:space="preserve">tecnica di incidenza critica (applicata ai gruppi specifici di discussione, all'analisi di testo, ecc.); </w:t>
      </w:r>
    </w:p>
    <w:p w:rsidR="00675B1D" w:rsidRPr="00E64639" w:rsidRDefault="00675B1D" w:rsidP="00E57366">
      <w:pPr>
        <w:pStyle w:val="Hlistbullet2"/>
        <w:rPr>
          <w:highlight w:val="yellow"/>
        </w:rPr>
      </w:pPr>
      <w:r w:rsidRPr="00E64639">
        <w:rPr>
          <w:highlight w:val="yellow"/>
        </w:rPr>
        <w:t>costellazioni sistemiche</w:t>
      </w:r>
      <w:r w:rsidRPr="00E64639">
        <w:rPr>
          <w:rStyle w:val="FootnoteReference"/>
          <w:highlight w:val="yellow"/>
        </w:rPr>
        <w:footnoteReference w:id="109"/>
      </w:r>
      <w:r w:rsidRPr="00E64639">
        <w:rPr>
          <w:highlight w:val="yellow"/>
        </w:rPr>
        <w:t>, role-play</w:t>
      </w:r>
      <w:r w:rsidRPr="00E64639">
        <w:rPr>
          <w:rStyle w:val="FootnoteReference"/>
          <w:highlight w:val="yellow"/>
        </w:rPr>
        <w:footnoteReference w:id="110"/>
      </w:r>
      <w:r w:rsidRPr="00E64639">
        <w:rPr>
          <w:highlight w:val="yellow"/>
        </w:rPr>
        <w:t xml:space="preserve"> e altri metodi socio-metrici</w:t>
      </w:r>
      <w:r w:rsidRPr="00E64639">
        <w:rPr>
          <w:rStyle w:val="FootnoteReference"/>
          <w:highlight w:val="yellow"/>
        </w:rPr>
        <w:footnoteReference w:id="111"/>
      </w:r>
      <w:r w:rsidRPr="00E64639">
        <w:rPr>
          <w:highlight w:val="yellow"/>
        </w:rPr>
        <w:t>.</w:t>
      </w:r>
    </w:p>
    <w:p w:rsidR="00675B1D" w:rsidRPr="00E64639" w:rsidRDefault="00675B1D" w:rsidP="00E57366">
      <w:pPr>
        <w:pStyle w:val="HStandard"/>
      </w:pPr>
      <w:r w:rsidRPr="00E64639">
        <w:rPr>
          <w:highlight w:val="yellow"/>
        </w:rPr>
        <w:t>Tutti questi, e ulteriori metodi non convenzionali, possono altresì essere integrati nel monitoraggio complessivo e nell'architettura di valutazione globale, ad esempio nelle pratiche di autovalutazione.</w:t>
      </w:r>
    </w:p>
    <w:p w:rsidR="00675B1D" w:rsidRPr="00E64639" w:rsidRDefault="00675B1D" w:rsidP="00E57366">
      <w:pPr>
        <w:pStyle w:val="Heading6"/>
      </w:pPr>
      <w:bookmarkStart w:id="216" w:name="_Toc433481231"/>
      <w:bookmarkStart w:id="217" w:name="_Toc433718139"/>
      <w:bookmarkStart w:id="218" w:name="_Toc434744516"/>
      <w:bookmarkStart w:id="219" w:name="_Toc436140058"/>
      <w:r w:rsidRPr="00E64639">
        <w:rPr>
          <w:highlight w:val="yellow"/>
        </w:rPr>
        <w:t>Quali sono le tappe principali nella scelta dei metodi di valutazione per le RRN</w:t>
      </w:r>
      <w:bookmarkEnd w:id="216"/>
      <w:bookmarkEnd w:id="217"/>
      <w:bookmarkEnd w:id="218"/>
      <w:bookmarkEnd w:id="219"/>
      <w:r w:rsidRPr="00E64639">
        <w:rPr>
          <w:highlight w:val="yellow"/>
        </w:rPr>
        <w:t>?</w:t>
      </w:r>
    </w:p>
    <w:p w:rsidR="00675B1D" w:rsidRPr="00E64639" w:rsidRDefault="00675B1D" w:rsidP="00E57366">
      <w:pPr>
        <w:pStyle w:val="HStandard"/>
        <w:rPr>
          <w:highlight w:val="yellow"/>
        </w:rPr>
      </w:pPr>
      <w:r w:rsidRPr="00D75B1B">
        <w:rPr>
          <w:lang w:val="en-GB"/>
        </w:rPr>
        <w:t xml:space="preserve">Following the selection of the evaluation approach and the review of different evaluation methods, the evaluator should select the evaluation methods. </w:t>
      </w:r>
      <w:r w:rsidRPr="00E64639">
        <w:rPr>
          <w:highlight w:val="yellow"/>
        </w:rPr>
        <w:t>Le tappe di lavoro consigliate e il risultato atteso sono i seguenti: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675B1D" w:rsidRPr="00E64639" w:rsidTr="00E57366">
        <w:tc>
          <w:tcPr>
            <w:tcW w:w="846" w:type="dxa"/>
            <w:shd w:val="clear" w:color="auto" w:fill="E7E6E6" w:themeFill="background2"/>
          </w:tcPr>
          <w:p w:rsidR="00675B1D" w:rsidRPr="00E64639" w:rsidRDefault="00675B1D" w:rsidP="00E57366">
            <w:pPr>
              <w:pStyle w:val="Hlistbullet"/>
              <w:numPr>
                <w:ilvl w:val="0"/>
                <w:numId w:val="0"/>
              </w:numPr>
              <w:spacing w:before="0" w:line="280" w:lineRule="atLeast"/>
              <w:jc w:val="center"/>
              <w:rPr>
                <w:b/>
                <w:color w:val="5B9BD5" w:themeColor="accent1"/>
                <w:sz w:val="18"/>
                <w:szCs w:val="18"/>
                <w:highlight w:val="yellow"/>
              </w:rPr>
            </w:pPr>
            <w:r w:rsidRPr="00E64639">
              <w:rPr>
                <w:b/>
                <w:color w:val="5B9BD5" w:themeColor="accent1"/>
                <w:sz w:val="18"/>
                <w:highlight w:val="yellow"/>
              </w:rPr>
              <w:t>1</w:t>
            </w:r>
          </w:p>
        </w:tc>
        <w:tc>
          <w:tcPr>
            <w:tcW w:w="8170" w:type="dxa"/>
          </w:tcPr>
          <w:p w:rsidR="00675B1D" w:rsidRPr="00E64639" w:rsidRDefault="00675B1D" w:rsidP="00E57366">
            <w:pPr>
              <w:pStyle w:val="Hlistbullet"/>
              <w:numPr>
                <w:ilvl w:val="0"/>
                <w:numId w:val="0"/>
              </w:numPr>
              <w:spacing w:before="0" w:line="280" w:lineRule="atLeast"/>
              <w:rPr>
                <w:sz w:val="18"/>
                <w:szCs w:val="18"/>
                <w:highlight w:val="yellow"/>
              </w:rPr>
            </w:pPr>
            <w:r w:rsidRPr="00E64639">
              <w:rPr>
                <w:sz w:val="18"/>
                <w:highlight w:val="yellow"/>
              </w:rPr>
              <w:t xml:space="preserve">verificare l'applicabilità del metodo; </w:t>
            </w:r>
          </w:p>
        </w:tc>
      </w:tr>
      <w:tr w:rsidR="00675B1D" w:rsidRPr="00E64639" w:rsidTr="00E57366">
        <w:tc>
          <w:tcPr>
            <w:tcW w:w="846" w:type="dxa"/>
            <w:shd w:val="clear" w:color="auto" w:fill="E7E6E6" w:themeFill="background2"/>
          </w:tcPr>
          <w:p w:rsidR="00675B1D" w:rsidRPr="00E64639" w:rsidRDefault="00675B1D" w:rsidP="00E57366">
            <w:pPr>
              <w:pStyle w:val="Hlistbullet"/>
              <w:numPr>
                <w:ilvl w:val="0"/>
                <w:numId w:val="0"/>
              </w:numPr>
              <w:spacing w:before="0" w:line="280" w:lineRule="atLeast"/>
              <w:jc w:val="center"/>
              <w:rPr>
                <w:b/>
                <w:color w:val="5B9BD5" w:themeColor="accent1"/>
                <w:sz w:val="18"/>
                <w:szCs w:val="18"/>
                <w:highlight w:val="yellow"/>
              </w:rPr>
            </w:pPr>
            <w:r w:rsidRPr="00E64639">
              <w:rPr>
                <w:b/>
                <w:color w:val="5B9BD5" w:themeColor="accent1"/>
                <w:sz w:val="18"/>
                <w:highlight w:val="yellow"/>
              </w:rPr>
              <w:t>2</w:t>
            </w:r>
          </w:p>
        </w:tc>
        <w:tc>
          <w:tcPr>
            <w:tcW w:w="8170" w:type="dxa"/>
          </w:tcPr>
          <w:p w:rsidR="00675B1D" w:rsidRPr="00E64639" w:rsidRDefault="00675B1D" w:rsidP="004C05DD">
            <w:pPr>
              <w:pStyle w:val="Hlistbullet"/>
              <w:numPr>
                <w:ilvl w:val="0"/>
                <w:numId w:val="0"/>
              </w:numPr>
              <w:spacing w:before="0" w:line="280" w:lineRule="atLeast"/>
              <w:rPr>
                <w:sz w:val="18"/>
                <w:szCs w:val="18"/>
                <w:highlight w:val="yellow"/>
              </w:rPr>
            </w:pPr>
            <w:r w:rsidRPr="00E64639">
              <w:rPr>
                <w:sz w:val="18"/>
                <w:highlight w:val="yellow"/>
              </w:rPr>
              <w:t>riesaminare la capacità del metodo di soddisfare gli standard di valutazione (rigore, credibilità, affidabilità, solidità, validità e trasparenza);</w:t>
            </w:r>
          </w:p>
        </w:tc>
      </w:tr>
      <w:tr w:rsidR="00675B1D" w:rsidRPr="00E64639" w:rsidTr="00E57366">
        <w:tc>
          <w:tcPr>
            <w:tcW w:w="846" w:type="dxa"/>
            <w:shd w:val="clear" w:color="auto" w:fill="E7E6E6" w:themeFill="background2"/>
          </w:tcPr>
          <w:p w:rsidR="00675B1D" w:rsidRPr="00E64639" w:rsidRDefault="00675B1D" w:rsidP="00E57366">
            <w:pPr>
              <w:pStyle w:val="Hlistbullet"/>
              <w:numPr>
                <w:ilvl w:val="0"/>
                <w:numId w:val="0"/>
              </w:numPr>
              <w:spacing w:before="0" w:line="280" w:lineRule="atLeast"/>
              <w:jc w:val="center"/>
              <w:rPr>
                <w:b/>
                <w:color w:val="5B9BD5" w:themeColor="accent1"/>
                <w:sz w:val="18"/>
                <w:szCs w:val="18"/>
                <w:highlight w:val="yellow"/>
              </w:rPr>
            </w:pPr>
            <w:r w:rsidRPr="00E64639">
              <w:rPr>
                <w:b/>
                <w:color w:val="5B9BD5" w:themeColor="accent1"/>
                <w:sz w:val="18"/>
                <w:highlight w:val="yellow"/>
              </w:rPr>
              <w:t>3</w:t>
            </w:r>
          </w:p>
        </w:tc>
        <w:tc>
          <w:tcPr>
            <w:tcW w:w="8170" w:type="dxa"/>
          </w:tcPr>
          <w:p w:rsidR="00675B1D" w:rsidRPr="00E64639" w:rsidRDefault="00675B1D" w:rsidP="004C05DD">
            <w:pPr>
              <w:pStyle w:val="Hlistbullet"/>
              <w:numPr>
                <w:ilvl w:val="0"/>
                <w:numId w:val="0"/>
              </w:numPr>
              <w:spacing w:before="0" w:line="280" w:lineRule="atLeast"/>
              <w:ind w:left="644" w:hanging="360"/>
              <w:rPr>
                <w:sz w:val="18"/>
                <w:szCs w:val="18"/>
                <w:highlight w:val="yellow"/>
              </w:rPr>
            </w:pPr>
            <w:r w:rsidRPr="00E64639">
              <w:rPr>
                <w:sz w:val="18"/>
                <w:highlight w:val="yellow"/>
              </w:rPr>
              <w:t>riesaminare i criteri specifici della RRN per la selezione dei metodi di valutazione, come ad esempio la capacità di:</w:t>
            </w:r>
          </w:p>
          <w:p w:rsidR="00675B1D" w:rsidRPr="00E64639" w:rsidRDefault="00675B1D" w:rsidP="00675B1D">
            <w:pPr>
              <w:pStyle w:val="Hlistbullet"/>
              <w:numPr>
                <w:ilvl w:val="1"/>
                <w:numId w:val="18"/>
              </w:numPr>
              <w:tabs>
                <w:tab w:val="left" w:pos="567"/>
              </w:tabs>
              <w:spacing w:before="0" w:line="280" w:lineRule="atLeast"/>
              <w:rPr>
                <w:sz w:val="18"/>
                <w:szCs w:val="18"/>
                <w:highlight w:val="yellow"/>
              </w:rPr>
            </w:pPr>
            <w:r w:rsidRPr="00E64639">
              <w:rPr>
                <w:sz w:val="18"/>
                <w:highlight w:val="yellow"/>
              </w:rPr>
              <w:t>fornire risposte affidabili alle domande di valutazione definite dall'amministrazione aggiudicatrice (AG/RRN/USR);</w:t>
            </w:r>
          </w:p>
          <w:p w:rsidR="00675B1D" w:rsidRPr="00E64639" w:rsidRDefault="00675B1D" w:rsidP="00675B1D">
            <w:pPr>
              <w:pStyle w:val="Hlistbullet"/>
              <w:numPr>
                <w:ilvl w:val="1"/>
                <w:numId w:val="18"/>
              </w:numPr>
              <w:tabs>
                <w:tab w:val="left" w:pos="567"/>
              </w:tabs>
              <w:spacing w:before="0" w:line="280" w:lineRule="atLeast"/>
              <w:rPr>
                <w:sz w:val="18"/>
                <w:szCs w:val="18"/>
                <w:highlight w:val="yellow"/>
              </w:rPr>
            </w:pPr>
            <w:r w:rsidRPr="00E64639">
              <w:rPr>
                <w:sz w:val="18"/>
                <w:highlight w:val="yellow"/>
              </w:rPr>
              <w:t>cogliere il contributo della RRN allo sviluppo rurale;</w:t>
            </w:r>
          </w:p>
          <w:p w:rsidR="00675B1D" w:rsidRPr="00E64639" w:rsidRDefault="00675B1D" w:rsidP="00675B1D">
            <w:pPr>
              <w:pStyle w:val="Hlistbullet"/>
              <w:numPr>
                <w:ilvl w:val="1"/>
                <w:numId w:val="18"/>
              </w:numPr>
              <w:tabs>
                <w:tab w:val="left" w:pos="567"/>
              </w:tabs>
              <w:spacing w:before="0" w:line="280" w:lineRule="atLeast"/>
              <w:rPr>
                <w:sz w:val="18"/>
                <w:szCs w:val="18"/>
                <w:highlight w:val="yellow"/>
              </w:rPr>
            </w:pPr>
            <w:r w:rsidRPr="00E64639">
              <w:rPr>
                <w:sz w:val="18"/>
                <w:highlight w:val="yellow"/>
              </w:rPr>
              <w:t>definire la distinzione tra realizzazioni della RRN e realizzazioni del PSR;</w:t>
            </w:r>
          </w:p>
          <w:p w:rsidR="00675B1D" w:rsidRPr="00E64639" w:rsidRDefault="00675B1D" w:rsidP="00675B1D">
            <w:pPr>
              <w:pStyle w:val="Hlistbullet"/>
              <w:numPr>
                <w:ilvl w:val="1"/>
                <w:numId w:val="18"/>
              </w:numPr>
              <w:tabs>
                <w:tab w:val="left" w:pos="567"/>
              </w:tabs>
              <w:spacing w:before="0" w:line="280" w:lineRule="atLeast"/>
              <w:rPr>
                <w:sz w:val="18"/>
                <w:szCs w:val="18"/>
                <w:highlight w:val="yellow"/>
              </w:rPr>
            </w:pPr>
            <w:r w:rsidRPr="00E64639">
              <w:rPr>
                <w:sz w:val="18"/>
                <w:highlight w:val="yellow"/>
              </w:rPr>
              <w:t>cogliere i risultati, gli impatti e, in ultima analisi, il valore aggiunto della RRN;</w:t>
            </w:r>
          </w:p>
          <w:p w:rsidR="00675B1D" w:rsidRPr="00E64639" w:rsidRDefault="00675B1D" w:rsidP="00675B1D">
            <w:pPr>
              <w:pStyle w:val="Hlistbullet"/>
              <w:numPr>
                <w:ilvl w:val="1"/>
                <w:numId w:val="18"/>
              </w:numPr>
              <w:tabs>
                <w:tab w:val="left" w:pos="567"/>
              </w:tabs>
              <w:spacing w:before="0" w:line="280" w:lineRule="atLeast"/>
              <w:rPr>
                <w:sz w:val="18"/>
                <w:szCs w:val="18"/>
                <w:highlight w:val="yellow"/>
              </w:rPr>
            </w:pPr>
            <w:r w:rsidRPr="00E64639">
              <w:rPr>
                <w:sz w:val="18"/>
                <w:highlight w:val="yellow"/>
              </w:rPr>
              <w:t>misurare l'efficienza e l'efficacia della rete rurale.</w:t>
            </w:r>
          </w:p>
        </w:tc>
      </w:tr>
      <w:tr w:rsidR="00675B1D" w:rsidRPr="00E64639" w:rsidTr="00E57366">
        <w:tc>
          <w:tcPr>
            <w:tcW w:w="846" w:type="dxa"/>
            <w:shd w:val="clear" w:color="auto" w:fill="E7E6E6" w:themeFill="background2"/>
          </w:tcPr>
          <w:p w:rsidR="00675B1D" w:rsidRPr="00E64639" w:rsidRDefault="00675B1D" w:rsidP="00E57366">
            <w:pPr>
              <w:pStyle w:val="Hlistbullet"/>
              <w:numPr>
                <w:ilvl w:val="0"/>
                <w:numId w:val="0"/>
              </w:numPr>
              <w:spacing w:before="0" w:line="280" w:lineRule="atLeast"/>
              <w:jc w:val="center"/>
              <w:rPr>
                <w:b/>
                <w:color w:val="5B9BD5" w:themeColor="accent1"/>
                <w:sz w:val="18"/>
                <w:szCs w:val="18"/>
                <w:highlight w:val="yellow"/>
              </w:rPr>
            </w:pPr>
            <w:r w:rsidRPr="00E64639">
              <w:rPr>
                <w:b/>
                <w:color w:val="5B9BD5" w:themeColor="accent1"/>
                <w:sz w:val="18"/>
                <w:highlight w:val="yellow"/>
              </w:rPr>
              <w:t>4</w:t>
            </w:r>
          </w:p>
        </w:tc>
        <w:tc>
          <w:tcPr>
            <w:tcW w:w="8170" w:type="dxa"/>
          </w:tcPr>
          <w:p w:rsidR="00675B1D" w:rsidRPr="00E64639" w:rsidRDefault="00675B1D" w:rsidP="00E57366">
            <w:pPr>
              <w:pStyle w:val="Hlistbullet"/>
              <w:numPr>
                <w:ilvl w:val="0"/>
                <w:numId w:val="0"/>
              </w:numPr>
              <w:spacing w:before="0" w:line="280" w:lineRule="atLeast"/>
              <w:rPr>
                <w:sz w:val="18"/>
                <w:szCs w:val="18"/>
                <w:highlight w:val="yellow"/>
              </w:rPr>
            </w:pPr>
            <w:r w:rsidRPr="00E64639">
              <w:rPr>
                <w:sz w:val="18"/>
                <w:highlight w:val="yellow"/>
              </w:rPr>
              <w:t>considerare il bilancio, i dati e i vincoli temporali;</w:t>
            </w:r>
          </w:p>
        </w:tc>
      </w:tr>
      <w:tr w:rsidR="00675B1D" w:rsidRPr="00E64639" w:rsidTr="00E57366">
        <w:tc>
          <w:tcPr>
            <w:tcW w:w="846" w:type="dxa"/>
            <w:shd w:val="clear" w:color="auto" w:fill="E7E6E6" w:themeFill="background2"/>
          </w:tcPr>
          <w:p w:rsidR="00675B1D" w:rsidRPr="00E64639" w:rsidRDefault="00675B1D" w:rsidP="00E57366">
            <w:pPr>
              <w:pStyle w:val="Hlistbullet"/>
              <w:numPr>
                <w:ilvl w:val="0"/>
                <w:numId w:val="0"/>
              </w:numPr>
              <w:spacing w:before="0" w:line="280" w:lineRule="atLeast"/>
              <w:jc w:val="center"/>
              <w:rPr>
                <w:b/>
                <w:color w:val="5B9BD5" w:themeColor="accent1"/>
                <w:sz w:val="18"/>
                <w:szCs w:val="18"/>
                <w:highlight w:val="yellow"/>
              </w:rPr>
            </w:pPr>
            <w:r w:rsidRPr="00E64639">
              <w:rPr>
                <w:b/>
                <w:color w:val="5B9BD5" w:themeColor="accent1"/>
                <w:sz w:val="18"/>
                <w:highlight w:val="yellow"/>
              </w:rPr>
              <w:t>5</w:t>
            </w:r>
          </w:p>
        </w:tc>
        <w:tc>
          <w:tcPr>
            <w:tcW w:w="8170" w:type="dxa"/>
          </w:tcPr>
          <w:p w:rsidR="00675B1D" w:rsidRPr="00E64639" w:rsidRDefault="00675B1D" w:rsidP="004C1F1B">
            <w:pPr>
              <w:pStyle w:val="Hlistbullet"/>
              <w:numPr>
                <w:ilvl w:val="0"/>
                <w:numId w:val="0"/>
              </w:numPr>
              <w:spacing w:before="0" w:line="280" w:lineRule="atLeast"/>
              <w:rPr>
                <w:sz w:val="18"/>
                <w:szCs w:val="18"/>
                <w:highlight w:val="yellow"/>
              </w:rPr>
            </w:pPr>
            <w:r w:rsidRPr="00E64639">
              <w:rPr>
                <w:sz w:val="18"/>
                <w:highlight w:val="yellow"/>
              </w:rPr>
              <w:t>selezionare la serie di metodi adeguata</w:t>
            </w:r>
            <w:r w:rsidRPr="00E64639">
              <w:rPr>
                <w:rStyle w:val="FootnoteReference"/>
                <w:highlight w:val="yellow"/>
              </w:rPr>
              <w:footnoteReference w:id="112"/>
            </w:r>
            <w:r w:rsidRPr="00E64639">
              <w:rPr>
                <w:sz w:val="18"/>
                <w:highlight w:val="yellow"/>
              </w:rPr>
              <w:t>. Inoltre, la selezione di un determinato metodo dovrebbe essere basata sulla capacità di spiegare la causalità, eliminare possibili effetti di selezione, isolare l'effetto del programma da altri fattori, ecc.</w:t>
            </w:r>
          </w:p>
        </w:tc>
      </w:tr>
      <w:tr w:rsidR="00675B1D" w:rsidRPr="00E64639" w:rsidTr="00E57366">
        <w:tc>
          <w:tcPr>
            <w:tcW w:w="9016" w:type="dxa"/>
            <w:gridSpan w:val="2"/>
          </w:tcPr>
          <w:p w:rsidR="00675B1D" w:rsidRPr="00E64639" w:rsidRDefault="00675B1D" w:rsidP="00CF021B">
            <w:pPr>
              <w:pStyle w:val="Hlistbullet"/>
              <w:numPr>
                <w:ilvl w:val="0"/>
                <w:numId w:val="0"/>
              </w:numPr>
              <w:spacing w:before="0" w:line="280" w:lineRule="atLeast"/>
              <w:rPr>
                <w:b/>
                <w:sz w:val="18"/>
                <w:szCs w:val="18"/>
              </w:rPr>
            </w:pPr>
            <w:r w:rsidRPr="00E64639">
              <w:rPr>
                <w:b/>
                <w:sz w:val="18"/>
                <w:highlight w:val="yellow"/>
              </w:rPr>
              <w:t xml:space="preserve">Risultato atteso: </w:t>
            </w:r>
            <w:r w:rsidRPr="00E64639">
              <w:rPr>
                <w:sz w:val="18"/>
                <w:highlight w:val="yellow"/>
              </w:rPr>
              <w:t>selezione dei metodi di valutazione</w:t>
            </w:r>
          </w:p>
        </w:tc>
      </w:tr>
    </w:tbl>
    <w:p w:rsidR="00675B1D" w:rsidRPr="00D75B1B" w:rsidRDefault="00675B1D" w:rsidP="00E57366">
      <w:pPr>
        <w:pStyle w:val="HStandard"/>
        <w:spacing w:after="240"/>
        <w:rPr>
          <w:lang w:val="en-GB"/>
        </w:rPr>
      </w:pPr>
      <w:r w:rsidRPr="00E64639">
        <w:rPr>
          <w:color w:val="E7E6E6" w:themeColor="background2"/>
        </w:rPr>
        <w:sym w:font="Wingdings" w:char="F046"/>
      </w:r>
      <w:r w:rsidRPr="00D75B1B">
        <w:rPr>
          <w:lang w:val="en-GB"/>
        </w:rPr>
        <w:t xml:space="preserve"> </w:t>
      </w:r>
      <w:r w:rsidRPr="00D75B1B">
        <w:rPr>
          <w:b/>
          <w:color w:val="E7E6E6" w:themeColor="background2"/>
          <w:lang w:val="en-GB"/>
        </w:rPr>
        <w:t>PART III</w:t>
      </w:r>
      <w:r w:rsidRPr="00D75B1B">
        <w:rPr>
          <w:lang w:val="en-GB"/>
        </w:rP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E57366">
        <w:tc>
          <w:tcPr>
            <w:tcW w:w="9016" w:type="dxa"/>
            <w:shd w:val="clear" w:color="auto" w:fill="F5F4F4" w:themeFill="background2" w:themeFillTint="66"/>
          </w:tcPr>
          <w:p w:rsidR="00675B1D" w:rsidRPr="00E64639" w:rsidRDefault="00675B1D" w:rsidP="00E57366">
            <w:pPr>
              <w:pStyle w:val="HStandard"/>
              <w:rPr>
                <w:highlight w:val="yellow"/>
              </w:rPr>
            </w:pPr>
            <w:r w:rsidRPr="00E64639">
              <w:rPr>
                <w:highlight w:val="yellow"/>
              </w:rPr>
              <w:t>Domande guida per la scelta di una strategia e metodi di valutazione adeguati:</w:t>
            </w:r>
          </w:p>
          <w:p w:rsidR="00675B1D" w:rsidRPr="00E64639" w:rsidRDefault="00675B1D" w:rsidP="00675B1D">
            <w:pPr>
              <w:pStyle w:val="Hlistbullet2"/>
              <w:rPr>
                <w:highlight w:val="yellow"/>
              </w:rPr>
            </w:pPr>
            <w:r w:rsidRPr="00E64639">
              <w:rPr>
                <w:highlight w:val="yellow"/>
              </w:rPr>
              <w:t>quale strategia e quali metodi di valutazione si allineano meglio con le esigenze di valutazione relative alla RRN?</w:t>
            </w:r>
          </w:p>
          <w:p w:rsidR="00675B1D" w:rsidRPr="00E64639" w:rsidRDefault="00675B1D" w:rsidP="00675B1D">
            <w:pPr>
              <w:pStyle w:val="Hlistbullet2"/>
              <w:rPr>
                <w:highlight w:val="yellow"/>
              </w:rPr>
            </w:pPr>
            <w:r>
              <w:rPr>
                <w:highlight w:val="yellow"/>
              </w:rPr>
              <w:lastRenderedPageBreak/>
              <w:t>Q</w:t>
            </w:r>
            <w:r w:rsidRPr="00E64639">
              <w:rPr>
                <w:highlight w:val="yellow"/>
              </w:rPr>
              <w:t>uale strategia e quali metodi contribuiscono a cogliere il valore aggiunto generato dalle RRN che va al di là degli obiettivi comuni e specifici del programma immaginati?</w:t>
            </w:r>
          </w:p>
          <w:p w:rsidR="00675B1D" w:rsidRPr="00E64639" w:rsidRDefault="00675B1D" w:rsidP="00675B1D">
            <w:pPr>
              <w:pStyle w:val="Hlistbullet2"/>
              <w:rPr>
                <w:highlight w:val="yellow"/>
              </w:rPr>
            </w:pPr>
            <w:r>
              <w:rPr>
                <w:highlight w:val="yellow"/>
              </w:rPr>
              <w:t>Q</w:t>
            </w:r>
            <w:r w:rsidRPr="00E64639">
              <w:rPr>
                <w:highlight w:val="yellow"/>
              </w:rPr>
              <w:t>uale strategia e quali metodi sono più adatti per valutare gli effetti intangibili delle RRN?</w:t>
            </w:r>
          </w:p>
          <w:p w:rsidR="00675B1D" w:rsidRPr="00E64639" w:rsidRDefault="00675B1D" w:rsidP="00675B1D">
            <w:pPr>
              <w:pStyle w:val="Hlistbullet2"/>
              <w:rPr>
                <w:highlight w:val="yellow"/>
              </w:rPr>
            </w:pPr>
            <w:r>
              <w:rPr>
                <w:highlight w:val="yellow"/>
              </w:rPr>
              <w:t>Q</w:t>
            </w:r>
            <w:r w:rsidRPr="00E64639">
              <w:rPr>
                <w:highlight w:val="yellow"/>
              </w:rPr>
              <w:t>uale strategia e quali metodi contribuiscono a coinvolgere le principali parti interessate e a rafforzare i legami di rete tra di loro?</w:t>
            </w:r>
          </w:p>
          <w:p w:rsidR="00675B1D" w:rsidRPr="00E64639" w:rsidRDefault="00675B1D" w:rsidP="00675B1D">
            <w:pPr>
              <w:pStyle w:val="Hlistbullet2"/>
              <w:rPr>
                <w:highlight w:val="yellow"/>
              </w:rPr>
            </w:pPr>
            <w:r>
              <w:rPr>
                <w:highlight w:val="yellow"/>
              </w:rPr>
              <w:t>Q</w:t>
            </w:r>
            <w:r w:rsidRPr="00E64639">
              <w:rPr>
                <w:highlight w:val="yellow"/>
              </w:rPr>
              <w:t>uale strategia e quali metodi promettono di dare risultanze della valutazione più affidabili, in considerazione del carattere altamente immateriale del capitale umano e sociale?</w:t>
            </w:r>
          </w:p>
        </w:tc>
      </w:tr>
    </w:tbl>
    <w:p w:rsidR="00675B1D" w:rsidRPr="00E64639" w:rsidRDefault="00675B1D" w:rsidP="00320BBA">
      <w:pPr>
        <w:pStyle w:val="HHeading5"/>
        <w:rPr>
          <w:highlight w:val="yellow"/>
        </w:rPr>
      </w:pPr>
      <w:r w:rsidRPr="00E64639">
        <w:rPr>
          <w:highlight w:val="yellow"/>
        </w:rPr>
        <w:lastRenderedPageBreak/>
        <w:t>Cosa fare e cosa non fare</w:t>
      </w:r>
    </w:p>
    <w:tbl>
      <w:tblPr>
        <w:tblStyle w:val="LightList-Accent5"/>
        <w:tblW w:w="0" w:type="auto"/>
        <w:tblLook w:val="04A0" w:firstRow="1" w:lastRow="0" w:firstColumn="1" w:lastColumn="0" w:noHBand="0" w:noVBand="1"/>
      </w:tblPr>
      <w:tblGrid>
        <w:gridCol w:w="4500"/>
        <w:gridCol w:w="4506"/>
      </w:tblGrid>
      <w:tr w:rsidR="00675B1D" w:rsidRPr="00E64639"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675B1D" w:rsidRPr="00E64639" w:rsidRDefault="00675B1D" w:rsidP="000A3387">
            <w:pPr>
              <w:pStyle w:val="HHeading5"/>
              <w:jc w:val="center"/>
              <w:rPr>
                <w:sz w:val="18"/>
                <w:szCs w:val="18"/>
                <w:highlight w:val="yellow"/>
              </w:rPr>
            </w:pPr>
            <w:r w:rsidRPr="00E64639">
              <w:rPr>
                <w:noProof/>
                <w:sz w:val="18"/>
                <w:szCs w:val="18"/>
                <w:highlight w:val="yellow"/>
                <w:lang w:val="en-GB" w:eastAsia="en-GB" w:bidi="ar-SA"/>
              </w:rPr>
              <w:drawing>
                <wp:inline distT="0" distB="0" distL="0" distR="0" wp14:anchorId="115F85FE" wp14:editId="18A4098D">
                  <wp:extent cx="360000" cy="36000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675B1D" w:rsidRPr="00E64639" w:rsidRDefault="00675B1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sidRPr="00E64639">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Adottare un approccio misto quali-quantitativo, con una varietà di metodi diversi e l'integrazione di prospettive diverse.</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Abbinare lo sforzo e il costo della valutazione alla portata e alla dimensione delle attività della RRN.</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Considerare il monitoraggio, l'autovalutazione e la valutazione come componenti di un'architettura di apprendimento completa.</w:t>
            </w:r>
          </w:p>
          <w:p w:rsidR="00675B1D" w:rsidRPr="00E64639" w:rsidRDefault="00675B1D" w:rsidP="000A3387">
            <w:pPr>
              <w:pStyle w:val="HStandard"/>
              <w:rPr>
                <w:color w:val="FFC000" w:themeColor="accent4"/>
                <w:sz w:val="18"/>
                <w:szCs w:val="18"/>
                <w:highlight w:val="yellow"/>
              </w:rPr>
            </w:pPr>
            <w:r w:rsidRPr="00E64639">
              <w:rPr>
                <w:b w:val="0"/>
                <w:color w:val="FFC000" w:themeColor="accent4"/>
                <w:sz w:val="18"/>
                <w:highlight w:val="yellow"/>
              </w:rPr>
              <w:t>Sperimentare con metodi non convenzionali, in aggiunta a quelli consolidati.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sidRPr="00E64639">
              <w:rPr>
                <w:b w:val="0"/>
                <w:color w:val="ED7D31" w:themeColor="accent2"/>
                <w:sz w:val="18"/>
                <w:highlight w:val="yellow"/>
              </w:rPr>
              <w:t>Dare eccessiva importanza alla misurazione puramente quantitativa.</w:t>
            </w:r>
          </w:p>
          <w:p w:rsidR="00675B1D" w:rsidRPr="00E64639" w:rsidRDefault="00675B1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Raffigurare semplici relazioni causa-effetto, senza ricollegare le risultanze alla «teoria del cambiamento» globale che sta alla base della logica di intervento.</w:t>
            </w:r>
          </w:p>
          <w:p w:rsidR="00675B1D" w:rsidRPr="00E64639" w:rsidRDefault="00675B1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E64639">
              <w:rPr>
                <w:color w:val="ED7D31" w:themeColor="accent2"/>
                <w:sz w:val="18"/>
                <w:highlight w:val="yellow"/>
              </w:rPr>
              <w:t>Ignorare tutti i risultati provenienti dalle pratiche di autovalutazione o dagli studi di accompagnamento.</w:t>
            </w:r>
          </w:p>
        </w:tc>
      </w:tr>
    </w:tbl>
    <w:p w:rsidR="00675B1D" w:rsidRPr="00E64639" w:rsidRDefault="00675B1D" w:rsidP="00320BBA">
      <w:pPr>
        <w:pStyle w:val="HHeading5"/>
      </w:pPr>
      <w:r w:rsidRPr="00E64639">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675B1D" w:rsidRPr="00D75B1B" w:rsidTr="004C05DD">
        <w:tc>
          <w:tcPr>
            <w:tcW w:w="9918" w:type="dxa"/>
            <w:shd w:val="clear" w:color="auto" w:fill="FAF9F9" w:themeFill="background2" w:themeFillTint="33"/>
          </w:tcPr>
          <w:p w:rsidR="00675B1D" w:rsidRPr="00D75B1B" w:rsidRDefault="00675B1D" w:rsidP="00E57366">
            <w:pPr>
              <w:pStyle w:val="HStandard"/>
              <w:rPr>
                <w:sz w:val="16"/>
                <w:szCs w:val="16"/>
                <w:lang w:val="en-GB"/>
              </w:rPr>
            </w:pPr>
            <w:r w:rsidRPr="00D75B1B">
              <w:rPr>
                <w:sz w:val="16"/>
                <w:lang w:val="en-GB"/>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r w:rsidRPr="00D75B1B">
                <w:rPr>
                  <w:rStyle w:val="Hyperlink"/>
                  <w:sz w:val="16"/>
                  <w:lang w:val="en-GB"/>
                </w:rPr>
                <w:t>The Guidelines for ex post evaluation of RDP 2007 - 2013</w:t>
              </w:r>
            </w:hyperlink>
            <w:r w:rsidRPr="00D75B1B">
              <w:rPr>
                <w:sz w:val="16"/>
                <w:lang w:val="en-GB"/>
              </w:rPr>
              <w:t>, Evaluation Helpdesk, Brussels, 2014.</w:t>
            </w:r>
          </w:p>
          <w:p w:rsidR="00675B1D" w:rsidRPr="00D75B1B" w:rsidRDefault="00675B1D" w:rsidP="00E57366">
            <w:pPr>
              <w:pStyle w:val="HStandard"/>
              <w:rPr>
                <w:sz w:val="16"/>
                <w:szCs w:val="16"/>
                <w:lang w:val="en-GB"/>
              </w:rPr>
            </w:pPr>
            <w:r w:rsidRPr="00D75B1B">
              <w:rPr>
                <w:sz w:val="16"/>
                <w:lang w:val="en-GB"/>
              </w:rPr>
              <w:t>Concerning the assessment of impacts:</w:t>
            </w:r>
          </w:p>
          <w:p w:rsidR="00675B1D" w:rsidRPr="00D75B1B" w:rsidRDefault="00675B1D" w:rsidP="00E57366">
            <w:pPr>
              <w:pStyle w:val="HStandard"/>
              <w:rPr>
                <w:sz w:val="16"/>
                <w:szCs w:val="16"/>
                <w:lang w:val="en-GB"/>
              </w:rPr>
            </w:pPr>
            <w:r w:rsidRPr="00D75B1B">
              <w:rPr>
                <w:sz w:val="16"/>
                <w:lang w:val="en-GB"/>
              </w:rPr>
              <w:t>Working Paper of the Rural Evaluation Helpdesk (July 2010): Approaches for assessing the impacts of the Rural Development Programmes in the context of multiple intervening factors, p. 26 ff.</w:t>
            </w:r>
          </w:p>
          <w:p w:rsidR="00675B1D" w:rsidRPr="00D75B1B" w:rsidRDefault="00675B1D" w:rsidP="00E57366">
            <w:pPr>
              <w:pStyle w:val="HStandard"/>
              <w:rPr>
                <w:sz w:val="16"/>
                <w:szCs w:val="16"/>
                <w:lang w:val="en-GB"/>
              </w:rPr>
            </w:pPr>
            <w:r w:rsidRPr="00D75B1B">
              <w:rPr>
                <w:sz w:val="16"/>
                <w:lang w:val="en-GB"/>
              </w:rPr>
              <w:t>Assessment of RDP results: How to prepare for reporting on evaluation in 2017, Evaluation Helpdesk, April 2016</w:t>
            </w:r>
          </w:p>
        </w:tc>
      </w:tr>
    </w:tbl>
    <w:p w:rsidR="00675B1D" w:rsidRPr="00E64639" w:rsidRDefault="00675B1D" w:rsidP="00642574">
      <w:pPr>
        <w:pStyle w:val="HHeading3"/>
        <w:rPr>
          <w:highlight w:val="yellow"/>
        </w:rPr>
      </w:pPr>
      <w:bookmarkStart w:id="220" w:name="_Toc434744517"/>
      <w:bookmarkStart w:id="221" w:name="_Toc436140059"/>
      <w:bookmarkStart w:id="222" w:name="_Toc443491684"/>
      <w:bookmarkStart w:id="223" w:name="_Toc453079768"/>
      <w:r w:rsidRPr="00E64639">
        <w:rPr>
          <w:highlight w:val="yellow"/>
        </w:rPr>
        <w:t>Stabilire il sistema per raccogliere le prove per la valutazione</w:t>
      </w:r>
      <w:bookmarkEnd w:id="220"/>
      <w:bookmarkEnd w:id="221"/>
      <w:bookmarkEnd w:id="222"/>
      <w:bookmarkEnd w:id="223"/>
      <w:r w:rsidRPr="00E64639">
        <w:rPr>
          <w:highlight w:val="yellow"/>
        </w:rPr>
        <w:t xml:space="preserve"> </w:t>
      </w:r>
    </w:p>
    <w:p w:rsidR="00675B1D" w:rsidRPr="00D75B1B" w:rsidRDefault="00675B1D" w:rsidP="00216BE4">
      <w:pPr>
        <w:pStyle w:val="HStandard"/>
        <w:rPr>
          <w:lang w:val="en-GB"/>
        </w:rPr>
      </w:pPr>
      <w:r w:rsidRPr="00D75B1B">
        <w:rPr>
          <w:lang w:val="en-GB"/>
        </w:rP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675B1D" w:rsidRPr="00D75B1B" w:rsidRDefault="00675B1D" w:rsidP="00216BE4">
      <w:pPr>
        <w:pStyle w:val="HStandard"/>
        <w:rPr>
          <w:lang w:val="en-GB"/>
        </w:rPr>
      </w:pPr>
      <w:r w:rsidRPr="00D75B1B">
        <w:rPr>
          <w:lang w:val="en-GB"/>
        </w:rPr>
        <w:t xml:space="preserve">There are four discernible options concerning available data sources for NRNs: </w:t>
      </w:r>
    </w:p>
    <w:p w:rsidR="00675B1D" w:rsidRPr="00D75B1B" w:rsidRDefault="00675B1D" w:rsidP="007517DC">
      <w:pPr>
        <w:pStyle w:val="Hlistabc"/>
        <w:numPr>
          <w:ilvl w:val="0"/>
          <w:numId w:val="19"/>
        </w:numPr>
        <w:rPr>
          <w:lang w:val="en-GB"/>
        </w:rPr>
      </w:pPr>
      <w:r w:rsidRPr="00D75B1B">
        <w:rPr>
          <w:lang w:val="en-GB"/>
        </w:rP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675B1D" w:rsidRPr="00D75B1B" w:rsidRDefault="00675B1D" w:rsidP="00216BE4">
      <w:pPr>
        <w:pStyle w:val="Hlistabc2"/>
        <w:rPr>
          <w:lang w:val="en-GB"/>
        </w:rPr>
      </w:pPr>
      <w:r w:rsidRPr="00D75B1B">
        <w:rPr>
          <w:lang w:val="en-GB"/>
        </w:rPr>
        <w:t xml:space="preserve">In cases where programme authorities have developed NRN(P)-specific result and impact indicators at the RDP design phase, relevant data can be incorporated in the data infrastructure </w:t>
      </w:r>
      <w:r w:rsidRPr="00D75B1B">
        <w:rPr>
          <w:lang w:val="en-GB"/>
        </w:rPr>
        <w:lastRenderedPageBreak/>
        <w:t>developed for monitoring purposes by the MA. This would become the basis for the collection, storage and management of all programme data.</w:t>
      </w:r>
    </w:p>
    <w:p w:rsidR="00675B1D" w:rsidRPr="00D75B1B" w:rsidRDefault="00675B1D" w:rsidP="00216BE4">
      <w:pPr>
        <w:pStyle w:val="Hlistabc2"/>
        <w:rPr>
          <w:lang w:val="en-GB"/>
        </w:rPr>
      </w:pPr>
      <w:r w:rsidRPr="00D75B1B">
        <w:rPr>
          <w:lang w:val="en-GB"/>
        </w:rP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675B1D" w:rsidRPr="00D75B1B" w:rsidRDefault="00675B1D" w:rsidP="00216BE4">
      <w:pPr>
        <w:pStyle w:val="Hlistabc2"/>
        <w:rPr>
          <w:lang w:val="en-GB"/>
        </w:rPr>
      </w:pPr>
      <w:r w:rsidRPr="00D75B1B">
        <w:rPr>
          <w:lang w:val="en-GB"/>
        </w:rPr>
        <w:t>There are also cases of NRNs which have developed their own monitoring system (separately from that of the MA) to collect information on their operations through their own database.</w:t>
      </w:r>
    </w:p>
    <w:p w:rsidR="00675B1D" w:rsidRPr="00D75B1B" w:rsidRDefault="00675B1D" w:rsidP="00216BE4">
      <w:pPr>
        <w:pStyle w:val="HStandard"/>
        <w:rPr>
          <w:lang w:val="en-GB"/>
        </w:rPr>
      </w:pPr>
      <w:r w:rsidRPr="00D75B1B">
        <w:rPr>
          <w:lang w:val="en-GB"/>
        </w:rPr>
        <w:t>Whatever the chosen or available option for collecting and storing data, there should be some harmonisation and coordination of all of the above to avoid duplication of data and effort.</w:t>
      </w:r>
    </w:p>
    <w:p w:rsidR="00675B1D" w:rsidRPr="00D75B1B" w:rsidRDefault="00675B1D" w:rsidP="00216BE4">
      <w:pPr>
        <w:pStyle w:val="HStandard"/>
        <w:rPr>
          <w:lang w:val="en-GB"/>
        </w:rPr>
      </w:pPr>
      <w:r w:rsidRPr="00D75B1B">
        <w:rPr>
          <w:lang w:val="en-GB"/>
        </w:rP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sidRPr="00D75B1B">
        <w:rPr>
          <w:rFonts w:ascii="ZWAdobeF" w:hAnsi="ZWAdobeF"/>
          <w:color w:val="auto"/>
          <w:sz w:val="2"/>
          <w:lang w:val="en-GB"/>
        </w:rPr>
        <w:t>112F</w:t>
      </w:r>
      <w:r w:rsidRPr="00E64639">
        <w:rPr>
          <w:rStyle w:val="FootnoteReference"/>
        </w:rPr>
        <w:footnoteReference w:id="113"/>
      </w:r>
      <w:r w:rsidRPr="00D75B1B">
        <w:rPr>
          <w:lang w:val="en-GB"/>
        </w:rPr>
        <w:t>.</w:t>
      </w:r>
    </w:p>
    <w:p w:rsidR="00675B1D" w:rsidRPr="00D75B1B" w:rsidRDefault="00675B1D" w:rsidP="00216BE4">
      <w:pPr>
        <w:pStyle w:val="HStandard"/>
        <w:rPr>
          <w:lang w:val="en-GB"/>
        </w:rPr>
      </w:pPr>
      <w:r w:rsidRPr="00D75B1B">
        <w:rPr>
          <w:lang w:val="en-GB"/>
        </w:rP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675B1D" w:rsidRPr="00D75B1B" w:rsidRDefault="00675B1D" w:rsidP="000A3387">
      <w:pPr>
        <w:pStyle w:val="Heading6"/>
        <w:rPr>
          <w:lang w:val="en-GB"/>
        </w:rPr>
      </w:pPr>
      <w:bookmarkStart w:id="224" w:name="_Toc434744518"/>
      <w:bookmarkStart w:id="225" w:name="_Toc436140060"/>
      <w:r w:rsidRPr="00D75B1B">
        <w:rPr>
          <w:lang w:val="en-GB"/>
        </w:rPr>
        <w:t>What are the issues to be considered in relation to data/information needs and sources for NRNs</w:t>
      </w:r>
      <w:bookmarkEnd w:id="224"/>
      <w:bookmarkEnd w:id="225"/>
      <w:r w:rsidRPr="00D75B1B">
        <w:rPr>
          <w:lang w:val="en-GB"/>
        </w:rPr>
        <w:t>?</w:t>
      </w:r>
    </w:p>
    <w:p w:rsidR="00675B1D" w:rsidRPr="00D75B1B" w:rsidRDefault="00675B1D" w:rsidP="00216BE4">
      <w:pPr>
        <w:pStyle w:val="HStandard"/>
        <w:rPr>
          <w:lang w:val="en-GB"/>
        </w:rPr>
      </w:pPr>
      <w:r w:rsidRPr="00D75B1B">
        <w:rPr>
          <w:lang w:val="en-GB"/>
        </w:rPr>
        <w:t xml:space="preserve">Information for NRN results and impacts should be captured where NRN effects are expected: </w:t>
      </w:r>
    </w:p>
    <w:p w:rsidR="00675B1D" w:rsidRPr="00D75B1B" w:rsidRDefault="00675B1D" w:rsidP="000A3387">
      <w:pPr>
        <w:pStyle w:val="Hlistbullet2"/>
        <w:rPr>
          <w:lang w:val="en-GB"/>
        </w:rPr>
      </w:pPr>
      <w:r w:rsidRPr="00D75B1B">
        <w:rPr>
          <w:lang w:val="en-GB"/>
        </w:rPr>
        <w:t>At the level of individuals (micro level) participating in the network activities, where they acquire knowledge and information in order to conduct their work more effectively;</w:t>
      </w:r>
    </w:p>
    <w:p w:rsidR="00675B1D" w:rsidRPr="00D75B1B" w:rsidRDefault="00675B1D" w:rsidP="000A3387">
      <w:pPr>
        <w:pStyle w:val="Hlistbullet2"/>
        <w:rPr>
          <w:lang w:val="en-GB"/>
        </w:rPr>
      </w:pPr>
      <w:r w:rsidRPr="00D75B1B">
        <w:rPr>
          <w:lang w:val="en-GB"/>
        </w:rPr>
        <w:t xml:space="preserve">At the level of NRN groups of stakeholders and their organisations (meso level), where effects in relation to building capacities to achieve the NRN and RDP objectives can be expected; </w:t>
      </w:r>
    </w:p>
    <w:p w:rsidR="00675B1D" w:rsidRPr="00D75B1B" w:rsidRDefault="00675B1D" w:rsidP="000A3387">
      <w:pPr>
        <w:pStyle w:val="Hlistbullet2"/>
        <w:rPr>
          <w:lang w:val="en-GB"/>
        </w:rPr>
      </w:pPr>
      <w:r w:rsidRPr="00D75B1B">
        <w:rPr>
          <w:lang w:val="en-GB"/>
        </w:rPr>
        <w:t>At the level of rural areas (macro level), where effects for example on the improvement of the governance in the rural areas in a broader sense can be expected.</w:t>
      </w:r>
    </w:p>
    <w:p w:rsidR="00675B1D" w:rsidRPr="00D75B1B" w:rsidRDefault="00675B1D" w:rsidP="00216BE4">
      <w:pPr>
        <w:pStyle w:val="HStandard"/>
        <w:rPr>
          <w:lang w:val="en-GB"/>
        </w:rPr>
      </w:pPr>
      <w:r w:rsidRPr="00D75B1B">
        <w:rPr>
          <w:lang w:val="en-GB"/>
        </w:rPr>
        <w:t xml:space="preserve">Each type of information requires specific collection methods, for instance: </w:t>
      </w:r>
    </w:p>
    <w:p w:rsidR="00675B1D" w:rsidRPr="00D75B1B" w:rsidRDefault="00675B1D" w:rsidP="00216BE4">
      <w:pPr>
        <w:pStyle w:val="Hlistbullet2"/>
        <w:rPr>
          <w:lang w:val="en-GB"/>
        </w:rPr>
      </w:pPr>
      <w:r w:rsidRPr="00D75B1B">
        <w:rPr>
          <w:lang w:val="en-GB"/>
        </w:rPr>
        <w:t xml:space="preserve">Data &amp; information relating to participation and satisfaction, e.g. via assessment sheets, questionnaires, etc. directly or almost directly at network activities; </w:t>
      </w:r>
    </w:p>
    <w:p w:rsidR="00675B1D" w:rsidRPr="00D75B1B" w:rsidRDefault="00675B1D" w:rsidP="00216BE4">
      <w:pPr>
        <w:pStyle w:val="Hlistbullet2"/>
        <w:rPr>
          <w:lang w:val="en-GB"/>
        </w:rPr>
      </w:pPr>
      <w:r w:rsidRPr="00D75B1B">
        <w:rPr>
          <w:lang w:val="en-GB"/>
        </w:rP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675B1D" w:rsidRPr="00D75B1B" w:rsidRDefault="00675B1D" w:rsidP="00216BE4">
      <w:pPr>
        <w:pStyle w:val="Hlistbullet2"/>
        <w:rPr>
          <w:lang w:val="en-GB"/>
        </w:rPr>
      </w:pPr>
      <w:r w:rsidRPr="00D75B1B">
        <w:rPr>
          <w:lang w:val="en-GB"/>
        </w:rP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675B1D" w:rsidRPr="00D75B1B" w:rsidRDefault="00675B1D" w:rsidP="00216BE4">
      <w:pPr>
        <w:pStyle w:val="HStandard"/>
        <w:rPr>
          <w:lang w:val="en-GB"/>
        </w:rPr>
      </w:pPr>
      <w:r w:rsidRPr="00D75B1B">
        <w:rPr>
          <w:lang w:val="en-GB"/>
        </w:rPr>
        <w:t xml:space="preserve">In a schematic way the following data needs and sources can be discerned: </w:t>
      </w:r>
    </w:p>
    <w:p w:rsidR="00675B1D" w:rsidRPr="00D75B1B" w:rsidRDefault="00675B1D" w:rsidP="00216BE4">
      <w:pPr>
        <w:pStyle w:val="Hlistbullet2"/>
        <w:rPr>
          <w:lang w:val="en-GB"/>
        </w:rPr>
      </w:pPr>
      <w:r w:rsidRPr="00D75B1B">
        <w:rPr>
          <w:lang w:val="en-GB"/>
        </w:rPr>
        <w:lastRenderedPageBreak/>
        <w:t>Quantitative data for input and output indicators (monitoring based on the operations database). Data on result indicators already defined during the programme design phase may also be included in the monitoring system.</w:t>
      </w:r>
    </w:p>
    <w:p w:rsidR="00675B1D" w:rsidRPr="00D75B1B" w:rsidRDefault="00675B1D" w:rsidP="00216BE4">
      <w:pPr>
        <w:pStyle w:val="Hlistbullet2"/>
        <w:rPr>
          <w:lang w:val="en-GB"/>
        </w:rPr>
      </w:pPr>
      <w:r w:rsidRPr="00D75B1B">
        <w:rPr>
          <w:lang w:val="en-GB"/>
        </w:rPr>
        <w:t>Quantitative data and qualitative information for result indicators collected from NRN beneficiaries (surveys, focus groups, case studies, etc.) by the NSU (self-assessment) or during the evaluation.</w:t>
      </w:r>
    </w:p>
    <w:p w:rsidR="00675B1D" w:rsidRPr="00D75B1B" w:rsidRDefault="00675B1D" w:rsidP="00216BE4">
      <w:pPr>
        <w:pStyle w:val="Hlistbullet2"/>
        <w:rPr>
          <w:lang w:val="en-GB"/>
        </w:rPr>
      </w:pPr>
      <w:r w:rsidRPr="00D75B1B">
        <w:rPr>
          <w:lang w:val="en-GB"/>
        </w:rP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sidRPr="00D75B1B">
        <w:rPr>
          <w:i/>
          <w:lang w:val="en-GB"/>
        </w:rPr>
        <w:t>‘Number of actors (by type) participating in the implementation of RDPs as a consequence of the NRN activities’</w:t>
      </w:r>
      <w:r w:rsidRPr="00D75B1B">
        <w:rPr>
          <w:lang w:val="en-GB"/>
        </w:rPr>
        <w:t xml:space="preserve"> developed for the Spanish NRN).</w:t>
      </w:r>
    </w:p>
    <w:p w:rsidR="00675B1D" w:rsidRPr="00E64639" w:rsidRDefault="00675B1D" w:rsidP="000A3387">
      <w:pPr>
        <w:pStyle w:val="Heading6"/>
        <w:rPr>
          <w:highlight w:val="yellow"/>
        </w:rPr>
      </w:pPr>
      <w:bookmarkStart w:id="226" w:name="_Toc434744519"/>
      <w:bookmarkStart w:id="227" w:name="_Toc436140061"/>
      <w:r w:rsidRPr="00E64639">
        <w:rPr>
          <w:highlight w:val="yellow"/>
        </w:rPr>
        <w:t xml:space="preserve">Quali sono le tappe principali nell'istituzione di un sistema per la raccolta di dati e informazioni? </w:t>
      </w:r>
      <w:bookmarkEnd w:id="226"/>
      <w:bookmarkEnd w:id="227"/>
    </w:p>
    <w:p w:rsidR="00675B1D" w:rsidRPr="00E64639" w:rsidRDefault="00675B1D" w:rsidP="00216BE4">
      <w:pPr>
        <w:pStyle w:val="HStandard"/>
        <w:rPr>
          <w:highlight w:val="yellow"/>
        </w:rPr>
      </w:pPr>
      <w:r w:rsidRPr="00D75B1B">
        <w:rPr>
          <w:lang w:val="en-GB"/>
        </w:rP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sidRPr="00E64639">
        <w:rPr>
          <w:highlight w:val="yellow"/>
        </w:rPr>
        <w:t>Le tappe di lavoro consigliate e i risultati attesi sono i seguenti: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675B1D" w:rsidRPr="00E64639" w:rsidTr="00C2517E">
        <w:tc>
          <w:tcPr>
            <w:tcW w:w="988" w:type="dxa"/>
            <w:shd w:val="clear" w:color="auto" w:fill="E7E6E6" w:themeFill="background2"/>
          </w:tcPr>
          <w:p w:rsidR="00675B1D" w:rsidRPr="00E64639" w:rsidRDefault="00675B1D" w:rsidP="00C2517E">
            <w:pPr>
              <w:pStyle w:val="HStandard"/>
              <w:spacing w:after="0"/>
              <w:jc w:val="center"/>
              <w:rPr>
                <w:b/>
                <w:color w:val="5B9BD5" w:themeColor="accent1"/>
                <w:sz w:val="18"/>
                <w:szCs w:val="18"/>
                <w:highlight w:val="yellow"/>
              </w:rPr>
            </w:pPr>
            <w:r w:rsidRPr="00E64639">
              <w:rPr>
                <w:b/>
                <w:color w:val="5B9BD5" w:themeColor="accent1"/>
                <w:sz w:val="18"/>
                <w:highlight w:val="yellow"/>
              </w:rPr>
              <w:t>1</w:t>
            </w:r>
          </w:p>
        </w:tc>
        <w:tc>
          <w:tcPr>
            <w:tcW w:w="8028" w:type="dxa"/>
          </w:tcPr>
          <w:p w:rsidR="00675B1D" w:rsidRPr="00E64639" w:rsidRDefault="00675B1D" w:rsidP="00264A34">
            <w:pPr>
              <w:pStyle w:val="Hlistbullet"/>
              <w:numPr>
                <w:ilvl w:val="0"/>
                <w:numId w:val="0"/>
              </w:numPr>
              <w:spacing w:before="0" w:line="280" w:lineRule="atLeast"/>
              <w:ind w:left="284"/>
              <w:rPr>
                <w:highlight w:val="yellow"/>
              </w:rPr>
            </w:pPr>
            <w:r w:rsidRPr="00E64639">
              <w:rPr>
                <w:sz w:val="18"/>
                <w:highlight w:val="yellow"/>
              </w:rPr>
              <w:t>identificare le esigenze e le fonti di dati (in linea con gli indicatori e i metodi di valutazione scelti);</w:t>
            </w:r>
          </w:p>
        </w:tc>
      </w:tr>
      <w:tr w:rsidR="00675B1D" w:rsidRPr="00E64639" w:rsidTr="00C2517E">
        <w:tc>
          <w:tcPr>
            <w:tcW w:w="988" w:type="dxa"/>
            <w:shd w:val="clear" w:color="auto" w:fill="E7E6E6" w:themeFill="background2"/>
          </w:tcPr>
          <w:p w:rsidR="00675B1D" w:rsidRPr="00E64639" w:rsidRDefault="00675B1D" w:rsidP="00C2517E">
            <w:pPr>
              <w:pStyle w:val="HStandard"/>
              <w:spacing w:after="0"/>
              <w:jc w:val="center"/>
              <w:rPr>
                <w:b/>
                <w:color w:val="5B9BD5" w:themeColor="accent1"/>
                <w:sz w:val="18"/>
                <w:szCs w:val="18"/>
                <w:highlight w:val="yellow"/>
              </w:rPr>
            </w:pPr>
            <w:r w:rsidRPr="00E64639">
              <w:rPr>
                <w:b/>
                <w:color w:val="5B9BD5" w:themeColor="accent1"/>
                <w:sz w:val="18"/>
                <w:highlight w:val="yellow"/>
              </w:rPr>
              <w:t>2</w:t>
            </w:r>
          </w:p>
        </w:tc>
        <w:tc>
          <w:tcPr>
            <w:tcW w:w="8028" w:type="dxa"/>
          </w:tcPr>
          <w:p w:rsidR="00675B1D" w:rsidRPr="00E64639" w:rsidRDefault="00675B1D" w:rsidP="007046A4">
            <w:pPr>
              <w:pStyle w:val="Hlistbullet"/>
              <w:numPr>
                <w:ilvl w:val="0"/>
                <w:numId w:val="0"/>
              </w:numPr>
              <w:spacing w:before="0" w:line="280" w:lineRule="atLeast"/>
              <w:ind w:left="644" w:hanging="360"/>
              <w:rPr>
                <w:highlight w:val="yellow"/>
              </w:rPr>
            </w:pPr>
            <w:r w:rsidRPr="00E64639">
              <w:rPr>
                <w:sz w:val="18"/>
                <w:highlight w:val="yellow"/>
              </w:rPr>
              <w:t>riesaminare i dati e le fonti esistenti;</w:t>
            </w:r>
          </w:p>
        </w:tc>
      </w:tr>
      <w:tr w:rsidR="00675B1D" w:rsidRPr="00E64639" w:rsidTr="00C2517E">
        <w:tc>
          <w:tcPr>
            <w:tcW w:w="988" w:type="dxa"/>
            <w:shd w:val="clear" w:color="auto" w:fill="E7E6E6" w:themeFill="background2"/>
          </w:tcPr>
          <w:p w:rsidR="00675B1D" w:rsidRPr="00E64639" w:rsidRDefault="00675B1D" w:rsidP="00C2517E">
            <w:pPr>
              <w:pStyle w:val="HStandard"/>
              <w:spacing w:after="0"/>
              <w:jc w:val="center"/>
              <w:rPr>
                <w:b/>
                <w:color w:val="5B9BD5" w:themeColor="accent1"/>
                <w:sz w:val="18"/>
                <w:szCs w:val="18"/>
                <w:highlight w:val="yellow"/>
              </w:rPr>
            </w:pPr>
            <w:r w:rsidRPr="00E64639">
              <w:rPr>
                <w:b/>
                <w:color w:val="5B9BD5" w:themeColor="accent1"/>
                <w:sz w:val="18"/>
                <w:highlight w:val="yellow"/>
              </w:rPr>
              <w:t>3</w:t>
            </w:r>
          </w:p>
        </w:tc>
        <w:tc>
          <w:tcPr>
            <w:tcW w:w="8028" w:type="dxa"/>
          </w:tcPr>
          <w:p w:rsidR="00675B1D" w:rsidRPr="00E64639" w:rsidRDefault="00675B1D" w:rsidP="007046A4">
            <w:pPr>
              <w:pStyle w:val="Hlistbullet2"/>
              <w:numPr>
                <w:ilvl w:val="0"/>
                <w:numId w:val="0"/>
              </w:numPr>
              <w:spacing w:before="0" w:after="0" w:line="280" w:lineRule="atLeast"/>
              <w:ind w:left="644" w:hanging="360"/>
              <w:rPr>
                <w:highlight w:val="yellow"/>
              </w:rPr>
            </w:pPr>
            <w:r w:rsidRPr="00E64639">
              <w:rPr>
                <w:sz w:val="18"/>
                <w:highlight w:val="yellow"/>
              </w:rPr>
              <w:t>decidere in merito a ulteriori dati da raccogliere.</w:t>
            </w:r>
          </w:p>
        </w:tc>
      </w:tr>
      <w:tr w:rsidR="00675B1D" w:rsidRPr="00E64639" w:rsidTr="00216BE4">
        <w:tc>
          <w:tcPr>
            <w:tcW w:w="9016" w:type="dxa"/>
            <w:gridSpan w:val="2"/>
          </w:tcPr>
          <w:p w:rsidR="00675B1D" w:rsidRPr="00E64639" w:rsidRDefault="00675B1D" w:rsidP="00264A34">
            <w:pPr>
              <w:pStyle w:val="HStandard"/>
              <w:spacing w:after="0"/>
              <w:rPr>
                <w:sz w:val="18"/>
                <w:szCs w:val="18"/>
              </w:rPr>
            </w:pPr>
            <w:r w:rsidRPr="00E64639">
              <w:rPr>
                <w:b/>
                <w:sz w:val="18"/>
                <w:highlight w:val="yellow"/>
              </w:rPr>
              <w:t>Risultato atteso</w:t>
            </w:r>
            <w:r w:rsidRPr="00E64639">
              <w:rPr>
                <w:sz w:val="18"/>
                <w:highlight w:val="yellow"/>
              </w:rPr>
              <w:t>: inventario delle fonti di dati e informazione esistenti, identificazione delle lacune nei dati e disposizioni per risolverle</w:t>
            </w:r>
          </w:p>
        </w:tc>
      </w:tr>
    </w:tbl>
    <w:p w:rsidR="00675B1D" w:rsidRPr="00D75B1B" w:rsidRDefault="00675B1D" w:rsidP="00C2517E">
      <w:pPr>
        <w:pStyle w:val="HStandard"/>
        <w:rPr>
          <w:lang w:val="en-GB"/>
        </w:rPr>
      </w:pPr>
      <w:r w:rsidRPr="00D75B1B">
        <w:rPr>
          <w:lang w:val="en-GB"/>
        </w:rPr>
        <w:t>The steps in establishing the system for collection of data and information is detailed below.</w:t>
      </w:r>
    </w:p>
    <w:p w:rsidR="00675B1D" w:rsidRPr="00D75B1B" w:rsidRDefault="00675B1D" w:rsidP="007046A4">
      <w:pPr>
        <w:pStyle w:val="HStandard"/>
        <w:rPr>
          <w:b/>
          <w:color w:val="ED7D31" w:themeColor="accent2"/>
          <w:lang w:val="en-GB"/>
        </w:rPr>
      </w:pPr>
      <w:r w:rsidRPr="00D75B1B">
        <w:rPr>
          <w:b/>
          <w:color w:val="ED7D31" w:themeColor="accent2"/>
          <w:lang w:val="en-GB"/>
        </w:rPr>
        <w:t>Step 1 - Identify data needs and sources</w:t>
      </w:r>
    </w:p>
    <w:p w:rsidR="00675B1D" w:rsidRPr="00D75B1B" w:rsidRDefault="00675B1D" w:rsidP="00C2517E">
      <w:pPr>
        <w:pStyle w:val="HStandard"/>
        <w:rPr>
          <w:lang w:val="en-GB"/>
        </w:rPr>
      </w:pPr>
      <w:r w:rsidRPr="00D75B1B">
        <w:rPr>
          <w:lang w:val="en-GB"/>
        </w:rP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D75B1B">
        <w:rPr>
          <w:b/>
          <w:color w:val="E7E6E6" w:themeColor="background2"/>
          <w:lang w:val="en-GB"/>
        </w:rPr>
        <w:t>PART I</w:t>
      </w:r>
      <w:r w:rsidRPr="00D75B1B">
        <w:rPr>
          <w:lang w:val="en-GB"/>
        </w:rPr>
        <w:t xml:space="preserve"> of this document). In this case the evaluator should get access to all available data and information from the MA or the NSU. </w:t>
      </w:r>
    </w:p>
    <w:p w:rsidR="00675B1D" w:rsidRPr="00D75B1B" w:rsidRDefault="00675B1D" w:rsidP="00C2517E">
      <w:pPr>
        <w:pStyle w:val="HStandard"/>
        <w:rPr>
          <w:lang w:val="en-GB"/>
        </w:rPr>
      </w:pPr>
      <w:r w:rsidRPr="00D75B1B">
        <w:rPr>
          <w:lang w:val="en-GB"/>
        </w:rPr>
        <w:t>In cases were the evaluator is supposed to choose the evaluation approach and methodology, the probability that data needs are covered by the available information will be lower.</w:t>
      </w:r>
    </w:p>
    <w:p w:rsidR="00675B1D" w:rsidRPr="00D75B1B" w:rsidRDefault="00675B1D" w:rsidP="00320BBA">
      <w:pPr>
        <w:pStyle w:val="HStandard"/>
        <w:spacing w:after="0"/>
        <w:rPr>
          <w:lang w:val="en-GB"/>
        </w:rPr>
      </w:pPr>
      <w:r w:rsidRPr="00E64639">
        <w:fldChar w:fldCharType="begin" w:fldLock="1"/>
      </w:r>
      <w:r w:rsidRPr="00D75B1B">
        <w:rPr>
          <w:lang w:val="en-GB"/>
        </w:rPr>
        <w:instrText xml:space="preserve"> REF _Ref451785052 \r \h  \* MERGEFORMAT </w:instrText>
      </w:r>
      <w:r w:rsidRPr="00E64639">
        <w:fldChar w:fldCharType="separate"/>
      </w:r>
      <w:r w:rsidRPr="00D75B1B">
        <w:rPr>
          <w:lang w:val="en-GB"/>
        </w:rPr>
        <w:t>Table 12</w:t>
      </w:r>
      <w:r w:rsidRPr="00E64639">
        <w:fldChar w:fldCharType="end"/>
      </w:r>
      <w:r w:rsidRPr="00D75B1B">
        <w:rPr>
          <w:lang w:val="en-GB"/>
        </w:rPr>
        <w:t xml:space="preserve"> gives an indicative overview of which data are needed for which types of methods. </w:t>
      </w:r>
    </w:p>
    <w:p w:rsidR="00675B1D" w:rsidRPr="00D75B1B" w:rsidRDefault="00675B1D">
      <w:pPr>
        <w:spacing w:after="0" w:line="240" w:lineRule="auto"/>
        <w:rPr>
          <w:rFonts w:cs="Arial"/>
          <w:color w:val="576C88" w:themeColor="text2" w:themeTint="D9"/>
          <w:sz w:val="20"/>
          <w:szCs w:val="20"/>
        </w:rPr>
      </w:pPr>
      <w:r w:rsidRPr="00D75B1B">
        <w:br w:type="page"/>
      </w:r>
    </w:p>
    <w:p w:rsidR="00675B1D" w:rsidRPr="00D75B1B" w:rsidRDefault="00675B1D" w:rsidP="00C2517E">
      <w:pPr>
        <w:pStyle w:val="HHeadingtables"/>
        <w:rPr>
          <w:lang w:val="en-GB"/>
        </w:rPr>
      </w:pPr>
      <w:bookmarkStart w:id="228" w:name="_Toc436140068"/>
      <w:bookmarkStart w:id="229" w:name="_Toc436383154"/>
      <w:bookmarkStart w:id="230" w:name="_Toc451781916"/>
      <w:bookmarkStart w:id="231" w:name="_Ref451785052"/>
      <w:r w:rsidRPr="00D75B1B">
        <w:rPr>
          <w:lang w:val="en-GB"/>
        </w:rPr>
        <w:lastRenderedPageBreak/>
        <w:t>Type of data required for different evaluation methods</w:t>
      </w:r>
      <w:bookmarkEnd w:id="228"/>
      <w:bookmarkEnd w:id="229"/>
      <w:bookmarkEnd w:id="230"/>
      <w:bookmarkEnd w:id="23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675B1D" w:rsidRPr="00E64639" w:rsidTr="004C05DD">
        <w:tc>
          <w:tcPr>
            <w:tcW w:w="1763" w:type="dxa"/>
            <w:shd w:val="clear" w:color="auto" w:fill="E7E6E6" w:themeFill="background2"/>
          </w:tcPr>
          <w:p w:rsidR="00675B1D" w:rsidRPr="00E64639" w:rsidRDefault="00675B1D" w:rsidP="00C2517E">
            <w:pPr>
              <w:pStyle w:val="Htableleftbolt"/>
              <w:jc w:val="center"/>
              <w:rPr>
                <w:color w:val="5B9BD5" w:themeColor="accent1"/>
                <w:sz w:val="18"/>
                <w:szCs w:val="18"/>
              </w:rPr>
            </w:pPr>
            <w:r w:rsidRPr="00E64639">
              <w:rPr>
                <w:color w:val="5B9BD5" w:themeColor="accent1"/>
                <w:sz w:val="18"/>
              </w:rPr>
              <w:t>Method</w:t>
            </w:r>
          </w:p>
        </w:tc>
        <w:tc>
          <w:tcPr>
            <w:tcW w:w="2392" w:type="dxa"/>
            <w:shd w:val="clear" w:color="auto" w:fill="E7E6E6" w:themeFill="background2"/>
          </w:tcPr>
          <w:p w:rsidR="00675B1D" w:rsidRPr="00E64639" w:rsidRDefault="00675B1D" w:rsidP="00C2517E">
            <w:pPr>
              <w:pStyle w:val="Htableleftbolt"/>
              <w:jc w:val="center"/>
              <w:rPr>
                <w:color w:val="5B9BD5" w:themeColor="accent1"/>
                <w:sz w:val="18"/>
                <w:szCs w:val="18"/>
              </w:rPr>
            </w:pPr>
            <w:r w:rsidRPr="00E64639">
              <w:rPr>
                <w:color w:val="5B9BD5" w:themeColor="accent1"/>
                <w:sz w:val="18"/>
              </w:rPr>
              <w:t>Type of data</w:t>
            </w:r>
          </w:p>
        </w:tc>
        <w:tc>
          <w:tcPr>
            <w:tcW w:w="2264" w:type="dxa"/>
            <w:shd w:val="clear" w:color="auto" w:fill="E7E6E6" w:themeFill="background2"/>
          </w:tcPr>
          <w:p w:rsidR="00675B1D" w:rsidRPr="00E64639" w:rsidRDefault="00675B1D" w:rsidP="00C2517E">
            <w:pPr>
              <w:pStyle w:val="Htableleftbolt"/>
              <w:jc w:val="center"/>
              <w:rPr>
                <w:color w:val="5B9BD5" w:themeColor="accent1"/>
                <w:sz w:val="18"/>
                <w:szCs w:val="18"/>
              </w:rPr>
            </w:pPr>
            <w:r w:rsidRPr="00E64639">
              <w:rPr>
                <w:color w:val="5B9BD5" w:themeColor="accent1"/>
                <w:sz w:val="18"/>
              </w:rPr>
              <w:t>Collection</w:t>
            </w:r>
          </w:p>
        </w:tc>
        <w:tc>
          <w:tcPr>
            <w:tcW w:w="2653" w:type="dxa"/>
            <w:shd w:val="clear" w:color="auto" w:fill="E7E6E6" w:themeFill="background2"/>
          </w:tcPr>
          <w:p w:rsidR="00675B1D" w:rsidRPr="00E64639" w:rsidRDefault="00675B1D" w:rsidP="00C2517E">
            <w:pPr>
              <w:pStyle w:val="Htableleftbolt"/>
              <w:jc w:val="center"/>
              <w:rPr>
                <w:color w:val="5B9BD5" w:themeColor="accent1"/>
                <w:sz w:val="18"/>
                <w:szCs w:val="18"/>
              </w:rPr>
            </w:pPr>
            <w:r w:rsidRPr="00E64639">
              <w:rPr>
                <w:color w:val="5B9BD5" w:themeColor="accent1"/>
                <w:sz w:val="18"/>
              </w:rPr>
              <w:t>Possible boundaries</w:t>
            </w:r>
          </w:p>
        </w:tc>
      </w:tr>
      <w:tr w:rsidR="00675B1D" w:rsidRPr="00D75B1B" w:rsidTr="004C05DD">
        <w:tc>
          <w:tcPr>
            <w:tcW w:w="1763" w:type="dxa"/>
            <w:shd w:val="clear" w:color="auto" w:fill="auto"/>
          </w:tcPr>
          <w:p w:rsidR="00675B1D" w:rsidRPr="00E64639" w:rsidRDefault="00675B1D" w:rsidP="004C05DD">
            <w:pPr>
              <w:pStyle w:val="Htableleft"/>
              <w:rPr>
                <w:color w:val="576C88" w:themeColor="text2" w:themeTint="D9"/>
                <w:szCs w:val="18"/>
              </w:rPr>
            </w:pPr>
            <w:r w:rsidRPr="00E64639">
              <w:rPr>
                <w:color w:val="576C88" w:themeColor="text2" w:themeTint="D9"/>
              </w:rPr>
              <w:t>Surveys (interviews)</w:t>
            </w:r>
          </w:p>
        </w:tc>
        <w:tc>
          <w:tcPr>
            <w:tcW w:w="2392"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Relevant interviewees (stakeholders, beneficiaries, experts, witnesses)</w:t>
            </w:r>
          </w:p>
        </w:tc>
        <w:tc>
          <w:tcPr>
            <w:tcW w:w="2264"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Desk research, information from stakeholders</w:t>
            </w:r>
          </w:p>
        </w:tc>
        <w:tc>
          <w:tcPr>
            <w:tcW w:w="265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It is essential to reflect on the boundaries of the system and the number of interviewees; “witnesses” can be valuable as control groups.</w:t>
            </w:r>
          </w:p>
        </w:tc>
      </w:tr>
      <w:tr w:rsidR="00675B1D" w:rsidRPr="00D75B1B" w:rsidTr="004C05DD">
        <w:tc>
          <w:tcPr>
            <w:tcW w:w="176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Dialogue-based methods (self-assessment methods and focus groups)</w:t>
            </w:r>
          </w:p>
        </w:tc>
        <w:tc>
          <w:tcPr>
            <w:tcW w:w="2392" w:type="dxa"/>
            <w:shd w:val="clear" w:color="auto" w:fill="auto"/>
          </w:tcPr>
          <w:p w:rsidR="00675B1D" w:rsidRPr="00E64639" w:rsidRDefault="00675B1D" w:rsidP="004C05DD">
            <w:pPr>
              <w:pStyle w:val="Htableleft"/>
              <w:rPr>
                <w:color w:val="576C88" w:themeColor="text2" w:themeTint="D9"/>
                <w:szCs w:val="18"/>
              </w:rPr>
            </w:pPr>
            <w:r w:rsidRPr="00E64639">
              <w:rPr>
                <w:color w:val="576C88" w:themeColor="text2" w:themeTint="D9"/>
              </w:rPr>
              <w:t>Potential participants and contributors</w:t>
            </w:r>
          </w:p>
        </w:tc>
        <w:tc>
          <w:tcPr>
            <w:tcW w:w="2264"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Desk research, information from stakeholders</w:t>
            </w:r>
          </w:p>
        </w:tc>
        <w:tc>
          <w:tcPr>
            <w:tcW w:w="265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Diversity of participants and modularity of dialogue settings are paramount.</w:t>
            </w:r>
          </w:p>
        </w:tc>
      </w:tr>
      <w:tr w:rsidR="00675B1D" w:rsidRPr="00D75B1B" w:rsidTr="004C05DD">
        <w:tc>
          <w:tcPr>
            <w:tcW w:w="176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Analytical methods (cost-benefit and cost-effectiveness analysis)</w:t>
            </w:r>
          </w:p>
        </w:tc>
        <w:tc>
          <w:tcPr>
            <w:tcW w:w="2392"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Quantitative data (volumes and funding) on specific interventions; beneficiaries and non-beneficiaries</w:t>
            </w:r>
          </w:p>
        </w:tc>
        <w:tc>
          <w:tcPr>
            <w:tcW w:w="2264"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Reports and monitoring data (from NRN(P) operation database but also from RDP implementation); project managers and beneficiaries</w:t>
            </w:r>
          </w:p>
        </w:tc>
        <w:tc>
          <w:tcPr>
            <w:tcW w:w="2653" w:type="dxa"/>
            <w:shd w:val="clear" w:color="auto" w:fill="auto"/>
          </w:tcPr>
          <w:p w:rsidR="00675B1D" w:rsidRPr="00D75B1B" w:rsidRDefault="00675B1D" w:rsidP="00BF3A20">
            <w:pPr>
              <w:pStyle w:val="Htableleft"/>
              <w:rPr>
                <w:color w:val="576C88" w:themeColor="text2" w:themeTint="D9"/>
                <w:szCs w:val="18"/>
                <w:lang w:val="en-GB"/>
              </w:rPr>
            </w:pPr>
            <w:r w:rsidRPr="00D75B1B">
              <w:rPr>
                <w:color w:val="576C88" w:themeColor="text2" w:themeTint="D9"/>
                <w:lang w:val="en-GB"/>
              </w:rPr>
              <w:t>Qualitative data complement quantitative data on the effectiveness side; RDP monitoring data is needed if the effects of NRN interventions are used to assess the quality of project implementation.</w:t>
            </w:r>
          </w:p>
        </w:tc>
      </w:tr>
      <w:tr w:rsidR="00675B1D" w:rsidRPr="00D75B1B" w:rsidTr="004C05DD">
        <w:tc>
          <w:tcPr>
            <w:tcW w:w="176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Diagnostic methods (Different network and organization diagnosis methods and Social Network Analysis)</w:t>
            </w:r>
          </w:p>
        </w:tc>
        <w:tc>
          <w:tcPr>
            <w:tcW w:w="2392"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Network participants, NSU team and non-members;</w:t>
            </w:r>
          </w:p>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For the SNA: relational data</w:t>
            </w:r>
          </w:p>
        </w:tc>
        <w:tc>
          <w:tcPr>
            <w:tcW w:w="2264" w:type="dxa"/>
            <w:shd w:val="clear" w:color="auto" w:fill="auto"/>
          </w:tcPr>
          <w:p w:rsidR="00675B1D" w:rsidRPr="00D75B1B" w:rsidRDefault="00675B1D" w:rsidP="004C05DD">
            <w:pPr>
              <w:pStyle w:val="Htableleft"/>
              <w:rPr>
                <w:color w:val="576C88" w:themeColor="text2" w:themeTint="D9"/>
                <w:szCs w:val="18"/>
                <w:lang w:val="fr-BE"/>
              </w:rPr>
            </w:pPr>
            <w:r w:rsidRPr="00D75B1B">
              <w:rPr>
                <w:color w:val="576C88" w:themeColor="text2" w:themeTint="D9"/>
                <w:lang w:val="fr-BE"/>
              </w:rPr>
              <w:t>Questionnaire; exploitation of written documents (statutes, rules, minutes…)</w:t>
            </w:r>
          </w:p>
        </w:tc>
        <w:tc>
          <w:tcPr>
            <w:tcW w:w="265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For the SNA: The boundary should be well considered. It has to cover most of the network, otherwise it would be unreliable.</w:t>
            </w:r>
          </w:p>
        </w:tc>
      </w:tr>
      <w:tr w:rsidR="00675B1D" w:rsidRPr="00D75B1B" w:rsidTr="004C05DD">
        <w:tc>
          <w:tcPr>
            <w:tcW w:w="1763" w:type="dxa"/>
            <w:shd w:val="clear" w:color="auto" w:fill="auto"/>
          </w:tcPr>
          <w:p w:rsidR="00675B1D" w:rsidRPr="00E64639" w:rsidRDefault="00675B1D" w:rsidP="004C05DD">
            <w:pPr>
              <w:pStyle w:val="Htableleft"/>
              <w:rPr>
                <w:color w:val="576C88" w:themeColor="text2" w:themeTint="D9"/>
                <w:szCs w:val="18"/>
              </w:rPr>
            </w:pPr>
            <w:r w:rsidRPr="00E64639">
              <w:rPr>
                <w:color w:val="576C88" w:themeColor="text2" w:themeTint="D9"/>
              </w:rPr>
              <w:t>Case studies</w:t>
            </w:r>
          </w:p>
        </w:tc>
        <w:tc>
          <w:tcPr>
            <w:tcW w:w="2392"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All kinds of relevant quantitative and qualitative data</w:t>
            </w:r>
          </w:p>
        </w:tc>
        <w:tc>
          <w:tcPr>
            <w:tcW w:w="2264"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Desk research, interviews, participatory observation</w:t>
            </w:r>
          </w:p>
        </w:tc>
        <w:tc>
          <w:tcPr>
            <w:tcW w:w="2653" w:type="dxa"/>
            <w:shd w:val="clear" w:color="auto" w:fill="auto"/>
          </w:tcPr>
          <w:p w:rsidR="00675B1D" w:rsidRPr="00D75B1B" w:rsidRDefault="00675B1D" w:rsidP="004C05DD">
            <w:pPr>
              <w:pStyle w:val="Htableleft"/>
              <w:rPr>
                <w:color w:val="576C88" w:themeColor="text2" w:themeTint="D9"/>
                <w:szCs w:val="18"/>
                <w:lang w:val="en-GB"/>
              </w:rPr>
            </w:pPr>
            <w:r w:rsidRPr="00D75B1B">
              <w:rPr>
                <w:color w:val="576C88" w:themeColor="text2" w:themeTint="D9"/>
                <w:lang w:val="en-GB"/>
              </w:rPr>
              <w:t>Collection of data time-consuming; could be commissioned to a study team prior to evaluation.</w:t>
            </w:r>
          </w:p>
        </w:tc>
      </w:tr>
    </w:tbl>
    <w:p w:rsidR="00675B1D" w:rsidRPr="00D75B1B" w:rsidRDefault="00675B1D" w:rsidP="007046A4">
      <w:pPr>
        <w:pStyle w:val="HStandard"/>
        <w:rPr>
          <w:b/>
          <w:color w:val="ED7D31" w:themeColor="accent2"/>
          <w:lang w:val="en-GB"/>
        </w:rPr>
      </w:pPr>
      <w:r w:rsidRPr="00D75B1B">
        <w:rPr>
          <w:b/>
          <w:color w:val="ED7D31" w:themeColor="accent2"/>
          <w:lang w:val="en-GB"/>
        </w:rPr>
        <w:t>Step 2 - Review existing data and sources</w:t>
      </w:r>
    </w:p>
    <w:p w:rsidR="00675B1D" w:rsidRPr="00D75B1B" w:rsidRDefault="00675B1D" w:rsidP="00C2517E">
      <w:pPr>
        <w:pStyle w:val="HStandard"/>
        <w:rPr>
          <w:lang w:val="en-GB"/>
        </w:rPr>
      </w:pPr>
      <w:r w:rsidRPr="00D75B1B">
        <w:rPr>
          <w:lang w:val="en-GB"/>
        </w:rPr>
        <w:t>The evaluator will review the existing data and information and their sources for the evaluation of NRN activities including:</w:t>
      </w:r>
    </w:p>
    <w:p w:rsidR="00675B1D" w:rsidRPr="00D75B1B" w:rsidRDefault="00675B1D" w:rsidP="00C2517E">
      <w:pPr>
        <w:pStyle w:val="Hlistbullet2"/>
        <w:rPr>
          <w:lang w:val="en-GB"/>
        </w:rPr>
      </w:pPr>
      <w:r w:rsidRPr="00D75B1B">
        <w:rPr>
          <w:lang w:val="en-GB"/>
        </w:rPr>
        <w:t xml:space="preserve">NRN action plans: for types of activities and their beneficiaries </w:t>
      </w:r>
    </w:p>
    <w:p w:rsidR="00675B1D" w:rsidRPr="00D75B1B" w:rsidRDefault="00675B1D" w:rsidP="00C2517E">
      <w:pPr>
        <w:pStyle w:val="Hlistbullet2"/>
        <w:rPr>
          <w:lang w:val="en-GB"/>
        </w:rPr>
      </w:pPr>
      <w:r w:rsidRPr="00D75B1B">
        <w:rPr>
          <w:lang w:val="en-GB"/>
        </w:rPr>
        <w:t>Reports: Periodic progress reports based on monitoring data, information on the implementation of NRN action plans;</w:t>
      </w:r>
    </w:p>
    <w:p w:rsidR="00675B1D" w:rsidRPr="00E64639" w:rsidRDefault="00675B1D" w:rsidP="00C2517E">
      <w:pPr>
        <w:pStyle w:val="Hlistbullet2"/>
      </w:pPr>
      <w:r w:rsidRPr="00E64639">
        <w:t>NRN self-assessment documentation;</w:t>
      </w:r>
    </w:p>
    <w:p w:rsidR="00675B1D" w:rsidRPr="00D75B1B" w:rsidRDefault="00675B1D" w:rsidP="00C2517E">
      <w:pPr>
        <w:pStyle w:val="Hlistbullet2"/>
        <w:rPr>
          <w:lang w:val="en-GB"/>
        </w:rPr>
      </w:pPr>
      <w:r w:rsidRPr="00D75B1B">
        <w:rPr>
          <w:lang w:val="en-GB"/>
        </w:rPr>
        <w:t>Thematic studies and evaluations of programmes that may include NRN activities: for instance, the example above on innovation can be subject to a thematic evaluation and the NRN contribution would be one component of such an evaluation;</w:t>
      </w:r>
    </w:p>
    <w:p w:rsidR="00675B1D" w:rsidRPr="00D75B1B" w:rsidRDefault="00675B1D" w:rsidP="00C2517E">
      <w:pPr>
        <w:pStyle w:val="Hlistbullet2"/>
        <w:rPr>
          <w:lang w:val="en-GB"/>
        </w:rPr>
      </w:pPr>
      <w:r w:rsidRPr="00D75B1B">
        <w:rPr>
          <w:lang w:val="en-GB"/>
        </w:rPr>
        <w:t>Readers and reports from events (conferences, workshops) organised by the NRN;</w:t>
      </w:r>
    </w:p>
    <w:p w:rsidR="00675B1D" w:rsidRPr="00D75B1B" w:rsidRDefault="00675B1D" w:rsidP="00C2517E">
      <w:pPr>
        <w:pStyle w:val="Hlistbullet2"/>
        <w:rPr>
          <w:lang w:val="en-GB"/>
        </w:rPr>
      </w:pPr>
      <w:r w:rsidRPr="00D75B1B">
        <w:rPr>
          <w:lang w:val="en-GB"/>
        </w:rPr>
        <w:t>Publications (journals, newsletters, circular e-mails, press releases, web-based communication);</w:t>
      </w:r>
    </w:p>
    <w:p w:rsidR="00675B1D" w:rsidRPr="00D75B1B" w:rsidRDefault="00675B1D" w:rsidP="00C2517E">
      <w:pPr>
        <w:pStyle w:val="Hlistbullet2"/>
        <w:rPr>
          <w:lang w:val="en-GB"/>
        </w:rPr>
      </w:pPr>
      <w:r w:rsidRPr="00D75B1B">
        <w:rPr>
          <w:lang w:val="en-GB"/>
        </w:rPr>
        <w:t>Minutes of network management meetings, written regulations;</w:t>
      </w:r>
    </w:p>
    <w:p w:rsidR="00675B1D" w:rsidRPr="00D75B1B" w:rsidRDefault="00675B1D" w:rsidP="00C2517E">
      <w:pPr>
        <w:pStyle w:val="Hlistbullet2"/>
        <w:rPr>
          <w:lang w:val="en-GB"/>
        </w:rPr>
      </w:pPr>
      <w:r w:rsidRPr="00D75B1B">
        <w:rPr>
          <w:lang w:val="en-GB"/>
        </w:rPr>
        <w:t>Use of the website (visits, % new visits, user submissions, user registrations, newsletter opt-ins, support incidents raised, projects added, new consultations, social media activity, content, countries)</w:t>
      </w:r>
      <w:r w:rsidRPr="00D75B1B">
        <w:rPr>
          <w:rFonts w:ascii="ZWAdobeF" w:hAnsi="ZWAdobeF"/>
          <w:color w:val="auto"/>
          <w:sz w:val="2"/>
          <w:lang w:val="en-GB"/>
        </w:rPr>
        <w:t>113F</w:t>
      </w:r>
      <w:r w:rsidRPr="00E64639">
        <w:rPr>
          <w:rStyle w:val="FootnoteReference"/>
        </w:rPr>
        <w:footnoteReference w:id="114"/>
      </w:r>
      <w:r w:rsidRPr="00D75B1B">
        <w:rPr>
          <w:lang w:val="en-GB"/>
        </w:rPr>
        <w:t>;</w:t>
      </w:r>
    </w:p>
    <w:p w:rsidR="00675B1D" w:rsidRPr="00D75B1B" w:rsidRDefault="00675B1D" w:rsidP="00C2517E">
      <w:pPr>
        <w:pStyle w:val="Hlistbullet2"/>
        <w:rPr>
          <w:lang w:val="en-GB"/>
        </w:rPr>
      </w:pPr>
      <w:r w:rsidRPr="00D75B1B">
        <w:rPr>
          <w:lang w:val="en-GB"/>
        </w:rPr>
        <w:lastRenderedPageBreak/>
        <w:t>Composition of the steering structure and role descriptions of stakeholders involved; and</w:t>
      </w:r>
    </w:p>
    <w:p w:rsidR="00675B1D" w:rsidRPr="00D75B1B" w:rsidRDefault="00675B1D" w:rsidP="00C2517E">
      <w:pPr>
        <w:pStyle w:val="Hlistbullet2"/>
        <w:rPr>
          <w:lang w:val="en-GB"/>
        </w:rPr>
      </w:pPr>
      <w:r w:rsidRPr="00D75B1B">
        <w:rPr>
          <w:lang w:val="en-GB"/>
        </w:rPr>
        <w:t>Budget sheets and financial monitoring data.</w:t>
      </w:r>
    </w:p>
    <w:p w:rsidR="00675B1D" w:rsidRPr="00D75B1B" w:rsidRDefault="00675B1D" w:rsidP="007046A4">
      <w:pPr>
        <w:pStyle w:val="HStandard"/>
        <w:rPr>
          <w:b/>
          <w:color w:val="ED7D31" w:themeColor="accent2"/>
          <w:lang w:val="en-GB"/>
        </w:rPr>
      </w:pPr>
      <w:r w:rsidRPr="00D75B1B">
        <w:rPr>
          <w:b/>
          <w:color w:val="ED7D31" w:themeColor="accent2"/>
          <w:lang w:val="en-GB"/>
        </w:rPr>
        <w:t>Step 3 - Decide on additional data to be collected</w:t>
      </w:r>
    </w:p>
    <w:p w:rsidR="00675B1D" w:rsidRPr="00D75B1B" w:rsidRDefault="00675B1D" w:rsidP="00C2517E">
      <w:pPr>
        <w:pStyle w:val="HStandard"/>
        <w:rPr>
          <w:lang w:val="en-GB"/>
        </w:rPr>
      </w:pPr>
      <w:r w:rsidRPr="00D75B1B">
        <w:rPr>
          <w:lang w:val="en-GB"/>
        </w:rP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675B1D" w:rsidRPr="00E64639" w:rsidRDefault="00675B1D" w:rsidP="00C2517E">
      <w:pPr>
        <w:pStyle w:val="HStandard"/>
      </w:pPr>
      <w:r w:rsidRPr="00D75B1B">
        <w:rPr>
          <w:lang w:val="en-GB"/>
        </w:rP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w:t>
      </w:r>
      <w:r w:rsidRPr="00E64639">
        <w:t xml:space="preserve">For example: </w:t>
      </w:r>
    </w:p>
    <w:p w:rsidR="00675B1D" w:rsidRPr="00D75B1B" w:rsidRDefault="00675B1D" w:rsidP="00C2517E">
      <w:pPr>
        <w:pStyle w:val="Hlistbullet2"/>
        <w:rPr>
          <w:lang w:val="en-GB"/>
        </w:rPr>
      </w:pPr>
      <w:r w:rsidRPr="00D75B1B">
        <w:rPr>
          <w:lang w:val="en-GB"/>
        </w:rPr>
        <w:t>Survey data based on personal interviews (either in the context of a standardised survey or as written notes or transcripts) including scorings (quantified qualitative information);</w:t>
      </w:r>
    </w:p>
    <w:p w:rsidR="00675B1D" w:rsidRPr="00E64639" w:rsidRDefault="00675B1D" w:rsidP="00C2517E">
      <w:pPr>
        <w:pStyle w:val="Hlistbullet2"/>
      </w:pPr>
      <w:r w:rsidRPr="00E64639">
        <w:t>Focus group records;</w:t>
      </w:r>
    </w:p>
    <w:p w:rsidR="00675B1D" w:rsidRPr="00D75B1B" w:rsidRDefault="00675B1D" w:rsidP="00C2517E">
      <w:pPr>
        <w:pStyle w:val="Hlistbullet2"/>
        <w:rPr>
          <w:lang w:val="en-GB"/>
        </w:rPr>
      </w:pPr>
      <w:r w:rsidRPr="00D75B1B">
        <w:rPr>
          <w:lang w:val="en-GB"/>
        </w:rPr>
        <w:t>RDP project monitoring data (in case the effect of the NRN interventions on projects shall be assessed);</w:t>
      </w:r>
    </w:p>
    <w:p w:rsidR="00675B1D" w:rsidRPr="00D75B1B" w:rsidRDefault="00675B1D" w:rsidP="00C2517E">
      <w:pPr>
        <w:pStyle w:val="Hlistbullet2"/>
        <w:rPr>
          <w:lang w:val="en-GB"/>
        </w:rPr>
      </w:pPr>
      <w:r w:rsidRPr="00D75B1B">
        <w:rPr>
          <w:lang w:val="en-GB"/>
        </w:rPr>
        <w:t>Social network diagrams, visualising the processed answers to socio-metric questionnaires (frequency and intensity of interactions, key roles in the network, etc.);</w:t>
      </w:r>
    </w:p>
    <w:p w:rsidR="00675B1D" w:rsidRPr="00D75B1B" w:rsidRDefault="00675B1D" w:rsidP="00C2517E">
      <w:pPr>
        <w:pStyle w:val="Hlistbullet2"/>
        <w:rPr>
          <w:lang w:val="en-GB"/>
        </w:rPr>
      </w:pPr>
      <w:r w:rsidRPr="00D75B1B">
        <w:rPr>
          <w:lang w:val="en-GB"/>
        </w:rPr>
        <w:t>Heuristic narratives (network or organisation diagnosis, picture and text analysis, stories of critical incidents, etc.);</w:t>
      </w:r>
    </w:p>
    <w:p w:rsidR="00675B1D" w:rsidRPr="00E64639" w:rsidRDefault="00675B1D" w:rsidP="00C2517E">
      <w:pPr>
        <w:pStyle w:val="Hlistbullet2"/>
      </w:pPr>
      <w:r w:rsidRPr="00E64639">
        <w:t>Pictures and videos;</w:t>
      </w:r>
    </w:p>
    <w:p w:rsidR="00675B1D" w:rsidRPr="00E64639" w:rsidRDefault="00675B1D" w:rsidP="00C2517E">
      <w:pPr>
        <w:pStyle w:val="Hlistbullet2"/>
      </w:pPr>
      <w:r w:rsidRPr="00E64639">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C2517E">
        <w:tc>
          <w:tcPr>
            <w:tcW w:w="9016" w:type="dxa"/>
            <w:shd w:val="clear" w:color="auto" w:fill="F5F4F4" w:themeFill="background2" w:themeFillTint="66"/>
          </w:tcPr>
          <w:p w:rsidR="00675B1D" w:rsidRPr="00E64639" w:rsidRDefault="00675B1D" w:rsidP="00C2517E">
            <w:pPr>
              <w:pStyle w:val="HStandard"/>
              <w:rPr>
                <w:highlight w:val="yellow"/>
              </w:rPr>
            </w:pPr>
            <w:r w:rsidRPr="00E64639">
              <w:rPr>
                <w:highlight w:val="yellow"/>
              </w:rPr>
              <w:t>Domande guida per la definizione del sistema di raccolta dei dati:</w:t>
            </w:r>
          </w:p>
          <w:p w:rsidR="00675B1D" w:rsidRPr="00E64639" w:rsidRDefault="00675B1D" w:rsidP="00675B1D">
            <w:pPr>
              <w:pStyle w:val="Hlistbullet2"/>
              <w:rPr>
                <w:highlight w:val="yellow"/>
              </w:rPr>
            </w:pPr>
            <w:r w:rsidRPr="00E64639">
              <w:rPr>
                <w:highlight w:val="yellow"/>
              </w:rPr>
              <w:t>di che tipo di dati e informazioni abbiamo bisogno per far funzionare il metodo selezionato?</w:t>
            </w:r>
          </w:p>
          <w:p w:rsidR="00675B1D" w:rsidRPr="00E64639" w:rsidRDefault="00675B1D" w:rsidP="00675B1D">
            <w:pPr>
              <w:pStyle w:val="Hlistbullet2"/>
              <w:rPr>
                <w:highlight w:val="yellow"/>
              </w:rPr>
            </w:pPr>
            <w:r>
              <w:rPr>
                <w:highlight w:val="yellow"/>
              </w:rPr>
              <w:t>I</w:t>
            </w:r>
            <w:r w:rsidRPr="00E64639">
              <w:rPr>
                <w:highlight w:val="yellow"/>
              </w:rPr>
              <w:t>n che misura i dati forniti dall'USR e dalla AG sono affidabili e completi?</w:t>
            </w:r>
          </w:p>
          <w:p w:rsidR="00675B1D" w:rsidRPr="00E64639" w:rsidRDefault="00675B1D" w:rsidP="00675B1D">
            <w:pPr>
              <w:pStyle w:val="Hlistbullet2"/>
              <w:rPr>
                <w:highlight w:val="yellow"/>
              </w:rPr>
            </w:pPr>
            <w:r>
              <w:rPr>
                <w:highlight w:val="yellow"/>
              </w:rPr>
              <w:t>Q</w:t>
            </w:r>
            <w:r w:rsidRPr="00E64639">
              <w:rPr>
                <w:highlight w:val="yellow"/>
              </w:rPr>
              <w:t>ualora questi dati non siano completamente disponibili o sufficientemente affidabili, quali alternative abbiamo per raccogliere dati aggiuntivi o per adeguare la metodologia?</w:t>
            </w:r>
          </w:p>
          <w:p w:rsidR="00675B1D" w:rsidRPr="00E64639" w:rsidRDefault="00675B1D" w:rsidP="00675B1D">
            <w:pPr>
              <w:pStyle w:val="Hlistbullet2"/>
              <w:rPr>
                <w:highlight w:val="yellow"/>
              </w:rPr>
            </w:pPr>
            <w:r>
              <w:rPr>
                <w:highlight w:val="yellow"/>
              </w:rPr>
              <w:t>E</w:t>
            </w:r>
            <w:r w:rsidRPr="00E64639">
              <w:rPr>
                <w:highlight w:val="yellow"/>
              </w:rPr>
              <w:t>siste un modo efficace in termini di costi per raccogliere i dati e le informazioni necessari?</w:t>
            </w:r>
          </w:p>
          <w:p w:rsidR="00675B1D" w:rsidRPr="00E64639" w:rsidRDefault="00675B1D" w:rsidP="00675B1D">
            <w:pPr>
              <w:pStyle w:val="Hlistbullet2"/>
              <w:rPr>
                <w:highlight w:val="yellow"/>
              </w:rPr>
            </w:pPr>
            <w:r>
              <w:rPr>
                <w:highlight w:val="yellow"/>
              </w:rPr>
              <w:t>Q</w:t>
            </w:r>
            <w:r w:rsidRPr="00E64639">
              <w:rPr>
                <w:highlight w:val="yellow"/>
              </w:rPr>
              <w:t>uali temi possono essere esplorati mediante un'analisi controfattuale e dove dovremmo cercare metodi approssimativi per stimare gli effetti netti?</w:t>
            </w:r>
          </w:p>
        </w:tc>
      </w:tr>
    </w:tbl>
    <w:p w:rsidR="00675B1D" w:rsidRPr="00E64639" w:rsidRDefault="00675B1D" w:rsidP="00320BBA">
      <w:pPr>
        <w:pStyle w:val="HHeading5"/>
        <w:rPr>
          <w:highlight w:val="yellow"/>
        </w:rPr>
      </w:pPr>
      <w:r w:rsidRPr="00E64639">
        <w:rPr>
          <w:highlight w:val="yellow"/>
        </w:rPr>
        <w:t>Cosa fare e cosa non fare</w:t>
      </w:r>
    </w:p>
    <w:tbl>
      <w:tblPr>
        <w:tblStyle w:val="LightList-Accent5"/>
        <w:tblW w:w="0" w:type="auto"/>
        <w:tblLook w:val="04A0" w:firstRow="1" w:lastRow="0" w:firstColumn="1" w:lastColumn="0" w:noHBand="0" w:noVBand="1"/>
      </w:tblPr>
      <w:tblGrid>
        <w:gridCol w:w="4500"/>
        <w:gridCol w:w="4506"/>
      </w:tblGrid>
      <w:tr w:rsidR="00675B1D" w:rsidRPr="00E64639"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675B1D" w:rsidRPr="00E64639" w:rsidRDefault="00675B1D" w:rsidP="000A3387">
            <w:pPr>
              <w:pStyle w:val="HHeading5"/>
              <w:jc w:val="center"/>
              <w:rPr>
                <w:highlight w:val="yellow"/>
              </w:rPr>
            </w:pPr>
            <w:r w:rsidRPr="00E64639">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675B1D" w:rsidRPr="00E64639" w:rsidRDefault="00675B1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sidRPr="00E64639">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Adottare un approccio misto, utilizzando una varietà di diversi tipi di dati e informazioni (qualitativi e quantitativi).</w:t>
            </w:r>
          </w:p>
          <w:p w:rsidR="00675B1D" w:rsidRPr="00E64639" w:rsidRDefault="00675B1D" w:rsidP="00D85357">
            <w:pPr>
              <w:pStyle w:val="HStandard"/>
              <w:rPr>
                <w:color w:val="FFC000" w:themeColor="accent4"/>
                <w:highlight w:val="yellow"/>
              </w:rPr>
            </w:pPr>
            <w:r w:rsidRPr="00E64639">
              <w:rPr>
                <w:b w:val="0"/>
                <w:color w:val="FFC000" w:themeColor="accent4"/>
                <w:sz w:val="18"/>
                <w:highlight w:val="yellow"/>
              </w:rPr>
              <w:t xml:space="preserve">Distinguere tra la raccolta di dati «mirata» (per sviluppare conoscenze rispetto a indicatori e domande di valutazione specifiche) e vaglio «diffuso» per </w:t>
            </w:r>
            <w:r w:rsidRPr="00E64639">
              <w:rPr>
                <w:b w:val="0"/>
                <w:color w:val="FFC000" w:themeColor="accent4"/>
                <w:sz w:val="18"/>
                <w:highlight w:val="yellow"/>
              </w:rPr>
              <w:lastRenderedPageBreak/>
              <w:t>prendere consapevolezza di importanti cambiamenti e tendenze in atto nel contesto.</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lastRenderedPageBreak/>
              <w:t>Raddoppiare gli sforzi di raccolta dei dati ignorando banche dati e informazioni esistenti.</w:t>
            </w:r>
          </w:p>
          <w:p w:rsidR="00675B1D" w:rsidRPr="00E64639" w:rsidRDefault="00675B1D" w:rsidP="00D85357">
            <w:pPr>
              <w:pStyle w:val="HStandard"/>
              <w:cnfStyle w:val="000000100000" w:firstRow="0" w:lastRow="0" w:firstColumn="0" w:lastColumn="0" w:oddVBand="0" w:evenVBand="0" w:oddHBand="1" w:evenHBand="0" w:firstRowFirstColumn="0" w:firstRowLastColumn="0" w:lastRowFirstColumn="0" w:lastRowLastColumn="0"/>
            </w:pPr>
            <w:r w:rsidRPr="00E64639">
              <w:rPr>
                <w:color w:val="ED7D31" w:themeColor="accent2"/>
                <w:sz w:val="18"/>
                <w:highlight w:val="yellow"/>
              </w:rPr>
              <w:t>Acquisire indistintamente tutti i dati e le informazioni, indipendentemente dalla loro rilevanza presunta rispetto agli indicatori e alle domande di valutazione.</w:t>
            </w:r>
          </w:p>
        </w:tc>
      </w:tr>
    </w:tbl>
    <w:p w:rsidR="00675B1D" w:rsidRPr="00E64639" w:rsidRDefault="00675B1D" w:rsidP="00320BBA">
      <w:pPr>
        <w:pStyle w:val="HHeading5"/>
      </w:pPr>
      <w:r w:rsidRPr="00E64639">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675B1D" w:rsidRPr="00D75B1B" w:rsidTr="004C05DD">
        <w:tc>
          <w:tcPr>
            <w:tcW w:w="9918" w:type="dxa"/>
            <w:shd w:val="clear" w:color="auto" w:fill="FAF9F9" w:themeFill="background2" w:themeFillTint="33"/>
          </w:tcPr>
          <w:p w:rsidR="00675B1D" w:rsidRPr="00D75B1B" w:rsidRDefault="00675B1D" w:rsidP="00C2517E">
            <w:pPr>
              <w:pStyle w:val="HStandard"/>
              <w:rPr>
                <w:sz w:val="16"/>
                <w:szCs w:val="16"/>
                <w:lang w:val="en-GB"/>
              </w:rPr>
            </w:pPr>
            <w:r w:rsidRPr="00D75B1B">
              <w:rPr>
                <w:sz w:val="16"/>
                <w:lang w:val="en-GB"/>
              </w:rPr>
              <w:t>Guidelines: Assessment of RDP results: How to prepare for reporting on evaluation in 2017, Chapter 6.2, Evaluation Helpdesk, April 2016</w:t>
            </w:r>
          </w:p>
          <w:p w:rsidR="00675B1D" w:rsidRPr="00D75B1B" w:rsidRDefault="00675B1D" w:rsidP="00C2517E">
            <w:pPr>
              <w:pStyle w:val="HStandard"/>
              <w:rPr>
                <w:rStyle w:val="Hyperlink"/>
                <w:rFonts w:eastAsiaTheme="majorEastAsia"/>
                <w:color w:val="262626"/>
                <w:sz w:val="16"/>
                <w:szCs w:val="16"/>
                <w:lang w:val="en-GB"/>
              </w:rPr>
            </w:pPr>
            <w:r w:rsidRPr="00D75B1B">
              <w:rPr>
                <w:rStyle w:val="Hyperlink"/>
                <w:rFonts w:eastAsiaTheme="majorEastAsia"/>
                <w:color w:val="262626"/>
                <w:sz w:val="16"/>
                <w:lang w:val="en-GB"/>
              </w:rPr>
              <w:t>On the integration of self-assessment and evaluation:</w:t>
            </w:r>
          </w:p>
          <w:p w:rsidR="00675B1D" w:rsidRPr="00E64639" w:rsidRDefault="00675B1D" w:rsidP="00C2517E">
            <w:pPr>
              <w:pStyle w:val="HStandard"/>
              <w:rPr>
                <w:rStyle w:val="Hyperlink"/>
                <w:rFonts w:eastAsiaTheme="majorEastAsia"/>
                <w:color w:val="262626"/>
                <w:sz w:val="16"/>
                <w:szCs w:val="16"/>
              </w:rPr>
            </w:pPr>
            <w:r w:rsidRPr="00D75B1B">
              <w:rPr>
                <w:rStyle w:val="Hyperlink"/>
                <w:rFonts w:eastAsiaTheme="majorEastAsia"/>
                <w:color w:val="262626"/>
                <w:sz w:val="16"/>
                <w:lang w:val="en-GB"/>
              </w:rPr>
              <w:t>ENRD 2014: NRN Guidebook, 4</w:t>
            </w:r>
            <w:r w:rsidRPr="00D75B1B">
              <w:rPr>
                <w:rStyle w:val="Hyperlink"/>
                <w:rFonts w:eastAsiaTheme="majorEastAsia"/>
                <w:color w:val="262626"/>
                <w:sz w:val="16"/>
                <w:vertAlign w:val="superscript"/>
                <w:lang w:val="en-GB"/>
              </w:rPr>
              <w:t xml:space="preserve">th </w:t>
            </w:r>
            <w:r w:rsidRPr="00D75B1B">
              <w:rPr>
                <w:rStyle w:val="Hyperlink"/>
                <w:rFonts w:eastAsiaTheme="majorEastAsia"/>
                <w:color w:val="262626"/>
                <w:sz w:val="16"/>
                <w:lang w:val="en-GB"/>
              </w:rPr>
              <w:t xml:space="preserve">chapter on NRN Self-assessment and Evaluation. </w:t>
            </w:r>
            <w:hyperlink r:id="rId48">
              <w:r w:rsidRPr="00E64639">
                <w:rPr>
                  <w:rStyle w:val="Hyperlink"/>
                  <w:rFonts w:eastAsiaTheme="majorEastAsia"/>
                  <w:sz w:val="16"/>
                </w:rPr>
                <w:t>http://enrd.ec.europa.eu/enrd-static/app_templates/enrd_assets/pdf/guidebook/nrn_handbook_webversion.pdf</w:t>
              </w:r>
            </w:hyperlink>
            <w:r w:rsidRPr="00E64639">
              <w:rPr>
                <w:rStyle w:val="Hyperlink"/>
                <w:rFonts w:eastAsiaTheme="majorEastAsia"/>
                <w:color w:val="262626"/>
                <w:sz w:val="16"/>
              </w:rPr>
              <w:t xml:space="preserve"> </w:t>
            </w:r>
          </w:p>
          <w:p w:rsidR="00675B1D" w:rsidRPr="00D75B1B" w:rsidRDefault="00675B1D" w:rsidP="00C2517E">
            <w:pPr>
              <w:pStyle w:val="HStandard"/>
              <w:rPr>
                <w:sz w:val="16"/>
                <w:szCs w:val="16"/>
                <w:lang w:val="en-GB"/>
              </w:rPr>
            </w:pPr>
            <w:r w:rsidRPr="00D75B1B">
              <w:rPr>
                <w:sz w:val="16"/>
                <w:lang w:val="en-GB"/>
              </w:rPr>
              <w:t>See also the ENRD website on NRN self-assessment tools:</w:t>
            </w:r>
          </w:p>
          <w:p w:rsidR="00675B1D" w:rsidRPr="00D75B1B" w:rsidRDefault="00675B1D" w:rsidP="00C2517E">
            <w:pPr>
              <w:pStyle w:val="HStandard"/>
              <w:rPr>
                <w:sz w:val="16"/>
                <w:szCs w:val="16"/>
                <w:lang w:val="en-GB"/>
              </w:rPr>
            </w:pPr>
            <w:hyperlink r:id="rId49">
              <w:r w:rsidRPr="00D75B1B">
                <w:rPr>
                  <w:rStyle w:val="Hyperlink"/>
                  <w:sz w:val="16"/>
                  <w:lang w:val="en-GB"/>
                </w:rPr>
                <w:t>http://enrd.ec.europa.eu/enrd-static/networks-and-networking/nrn-self-assessment-tool-kit/practical-tools-for-nrn-self-assessment/en/practical-tools-for-nrn-self-assessment_en.html</w:t>
              </w:r>
            </w:hyperlink>
            <w:r w:rsidRPr="00D75B1B">
              <w:rPr>
                <w:sz w:val="16"/>
                <w:lang w:val="en-GB"/>
              </w:rPr>
              <w:t xml:space="preserve"> </w:t>
            </w:r>
          </w:p>
        </w:tc>
      </w:tr>
    </w:tbl>
    <w:p w:rsidR="00675B1D" w:rsidRPr="00E64639" w:rsidRDefault="00675B1D" w:rsidP="00320535">
      <w:pPr>
        <w:pStyle w:val="HHeading2"/>
        <w:rPr>
          <w:highlight w:val="yellow"/>
        </w:rPr>
      </w:pPr>
      <w:bookmarkStart w:id="232" w:name="_Toc434744520"/>
      <w:bookmarkStart w:id="233" w:name="_Toc436140062"/>
      <w:bookmarkStart w:id="234" w:name="_Toc443491685"/>
      <w:bookmarkStart w:id="235" w:name="_Toc453079769"/>
      <w:r w:rsidRPr="00E64639">
        <w:rPr>
          <w:highlight w:val="yellow"/>
        </w:rPr>
        <w:t>OSSERVARE: Raccogliere le prove per la valutazione della RRN</w:t>
      </w:r>
      <w:bookmarkEnd w:id="232"/>
      <w:bookmarkEnd w:id="233"/>
      <w:bookmarkEnd w:id="234"/>
      <w:bookmarkEnd w:id="235"/>
    </w:p>
    <w:p w:rsidR="00675B1D" w:rsidRPr="00D75B1B" w:rsidRDefault="00675B1D" w:rsidP="00C2517E">
      <w:pPr>
        <w:pStyle w:val="HStandard"/>
        <w:rPr>
          <w:lang w:val="en-GB"/>
        </w:rPr>
      </w:pPr>
      <w:r w:rsidRPr="00D75B1B">
        <w:rPr>
          <w:lang w:val="en-GB"/>
        </w:rPr>
        <w:t>In the observing phase the evaluators collect and aggregate all the necessary data and information identified in the previous structuring phase.</w:t>
      </w:r>
    </w:p>
    <w:p w:rsidR="00675B1D" w:rsidRPr="00D75B1B" w:rsidRDefault="00675B1D" w:rsidP="00C2517E">
      <w:pPr>
        <w:pStyle w:val="HStandard"/>
        <w:rPr>
          <w:lang w:val="en-GB"/>
        </w:rPr>
      </w:pPr>
      <w:r w:rsidRPr="00D75B1B">
        <w:rPr>
          <w:lang w:val="en-GB"/>
        </w:rPr>
        <w:t>During the observing phase the evaluators should go through the following steps (</w:t>
      </w:r>
      <w:r w:rsidRPr="00E64639">
        <w:fldChar w:fldCharType="begin" w:fldLock="1"/>
      </w:r>
      <w:r w:rsidRPr="00D75B1B">
        <w:rPr>
          <w:lang w:val="en-GB"/>
        </w:rPr>
        <w:instrText xml:space="preserve"> REF _Ref451784748 \r \h  \* MERGEFORMAT </w:instrText>
      </w:r>
      <w:r w:rsidRPr="00E64639">
        <w:fldChar w:fldCharType="separate"/>
      </w:r>
      <w:r w:rsidRPr="00D75B1B">
        <w:rPr>
          <w:lang w:val="en-GB"/>
        </w:rPr>
        <w:t>Figure 20</w:t>
      </w:r>
      <w:r w:rsidRPr="00E64639">
        <w:fldChar w:fldCharType="end"/>
      </w:r>
      <w:r w:rsidRPr="00D75B1B">
        <w:rPr>
          <w:lang w:val="en-GB"/>
        </w:rPr>
        <w:t>):</w:t>
      </w:r>
    </w:p>
    <w:p w:rsidR="00675B1D" w:rsidRPr="00D75B1B" w:rsidRDefault="00675B1D" w:rsidP="00C2517E">
      <w:pPr>
        <w:pStyle w:val="Hlistbullet2"/>
        <w:rPr>
          <w:lang w:val="en-GB"/>
        </w:rPr>
      </w:pPr>
      <w:r w:rsidRPr="00D75B1B">
        <w:rPr>
          <w:lang w:val="en-GB"/>
        </w:rPr>
        <w:t>Development and application of tools needed for the collection of quantitative and qualitative data</w:t>
      </w:r>
    </w:p>
    <w:p w:rsidR="00675B1D" w:rsidRPr="00D75B1B" w:rsidRDefault="00675B1D" w:rsidP="00C2517E">
      <w:pPr>
        <w:pStyle w:val="Hlistbullet2"/>
        <w:rPr>
          <w:lang w:val="en-GB"/>
        </w:rPr>
      </w:pPr>
      <w:r w:rsidRPr="00D75B1B">
        <w:rPr>
          <w:lang w:val="en-GB"/>
        </w:rPr>
        <w:t>Description of the process of NRN implementation</w:t>
      </w:r>
    </w:p>
    <w:p w:rsidR="00675B1D" w:rsidRPr="00E64639" w:rsidRDefault="00675B1D" w:rsidP="00C2517E">
      <w:pPr>
        <w:pStyle w:val="Hlistbullet2"/>
      </w:pPr>
      <w:r w:rsidRPr="00E64639">
        <w:t>Consistency and completeness check</w:t>
      </w:r>
    </w:p>
    <w:p w:rsidR="00675B1D" w:rsidRPr="00E64639" w:rsidRDefault="00675B1D" w:rsidP="00C2517E">
      <w:pPr>
        <w:pStyle w:val="HHeadingfigures"/>
      </w:pPr>
      <w:bookmarkStart w:id="236" w:name="_Toc436383169"/>
      <w:bookmarkStart w:id="237" w:name="_Toc436140077"/>
      <w:bookmarkStart w:id="238" w:name="_Toc451781939"/>
      <w:bookmarkStart w:id="239" w:name="_Ref451784748"/>
      <w:r w:rsidRPr="00E64639">
        <w:t>The observing phase</w:t>
      </w:r>
      <w:bookmarkEnd w:id="236"/>
      <w:bookmarkEnd w:id="237"/>
      <w:bookmarkEnd w:id="238"/>
      <w:bookmarkEnd w:id="239"/>
    </w:p>
    <w:p w:rsidR="00675B1D" w:rsidRPr="00E64639" w:rsidRDefault="00675B1D" w:rsidP="00320BBA">
      <w:pPr>
        <w:jc w:val="center"/>
      </w:pPr>
      <w:r w:rsidRPr="00E64639">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E64639" w:rsidRDefault="00675B1D" w:rsidP="00320535">
      <w:pPr>
        <w:pStyle w:val="HHeading3"/>
        <w:rPr>
          <w:highlight w:val="yellow"/>
        </w:rPr>
      </w:pPr>
      <w:bookmarkStart w:id="240" w:name="_Toc433481235"/>
      <w:bookmarkStart w:id="241" w:name="_Toc443491686"/>
      <w:bookmarkStart w:id="242" w:name="_Toc453079770"/>
      <w:bookmarkEnd w:id="240"/>
      <w:r w:rsidRPr="00E64639">
        <w:rPr>
          <w:highlight w:val="yellow"/>
        </w:rPr>
        <w:t>Sviluppo e applicazione degli strumenti necessari per raccogliere dati quantitativi e qualitativi</w:t>
      </w:r>
      <w:bookmarkEnd w:id="241"/>
      <w:bookmarkEnd w:id="242"/>
    </w:p>
    <w:p w:rsidR="00675B1D" w:rsidRPr="00D75B1B" w:rsidRDefault="00675B1D" w:rsidP="00C2517E">
      <w:pPr>
        <w:pStyle w:val="HStandard"/>
        <w:rPr>
          <w:lang w:val="en-GB"/>
        </w:rPr>
      </w:pPr>
      <w:r w:rsidRPr="00D75B1B">
        <w:rPr>
          <w:lang w:val="en-GB"/>
        </w:rPr>
        <w:t xml:space="preserve">The monitoring system will provide the basic quantitative data with respect to output indicators for NRNs. For further programme-specific NRN-related output, result and impact indicators, a combination </w:t>
      </w:r>
      <w:r w:rsidRPr="00D75B1B">
        <w:rPr>
          <w:lang w:val="en-GB"/>
        </w:rPr>
        <w:lastRenderedPageBreak/>
        <w:t xml:space="preserve">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675B1D" w:rsidRPr="00D75B1B" w:rsidRDefault="00675B1D" w:rsidP="00C2517E">
      <w:pPr>
        <w:pStyle w:val="HStandard"/>
        <w:rPr>
          <w:lang w:val="en-GB"/>
        </w:rPr>
      </w:pPr>
      <w:r w:rsidRPr="00D75B1B">
        <w:rPr>
          <w:lang w:val="en-GB"/>
        </w:rP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675B1D" w:rsidRPr="00D75B1B" w:rsidRDefault="00675B1D" w:rsidP="00C2517E">
      <w:pPr>
        <w:pStyle w:val="HStandard"/>
        <w:rPr>
          <w:lang w:val="en-GB"/>
        </w:rPr>
      </w:pPr>
      <w:r w:rsidRPr="00D75B1B">
        <w:rPr>
          <w:lang w:val="en-GB"/>
        </w:rP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D75B1B">
        <w:rPr>
          <w:rFonts w:ascii="ZWAdobeF" w:hAnsi="ZWAdobeF"/>
          <w:color w:val="auto"/>
          <w:sz w:val="2"/>
          <w:lang w:val="en-GB"/>
        </w:rPr>
        <w:t>114F</w:t>
      </w:r>
      <w:r w:rsidRPr="00E64639">
        <w:rPr>
          <w:rStyle w:val="FootnoteReference"/>
        </w:rPr>
        <w:footnoteReference w:id="115"/>
      </w:r>
      <w:r w:rsidRPr="00D75B1B">
        <w:rPr>
          <w:lang w:val="en-GB"/>
        </w:rPr>
        <w:t xml:space="preserve">. If the thematic clustering of the NRN(P) action plan is not sufficiently discernible or practicable for the evaluation, the evaluator has to design a proper partition. </w:t>
      </w:r>
    </w:p>
    <w:p w:rsidR="00675B1D" w:rsidRPr="00D75B1B" w:rsidRDefault="00675B1D" w:rsidP="00320BBA">
      <w:pPr>
        <w:pStyle w:val="HStandard"/>
        <w:rPr>
          <w:lang w:val="en-GB"/>
        </w:rPr>
      </w:pPr>
      <w:r w:rsidRPr="00D75B1B">
        <w:rPr>
          <w:lang w:val="en-GB"/>
        </w:rPr>
        <w:t xml:space="preserve">The recommended data and information collected for each group of indicators are presented in </w:t>
      </w:r>
      <w:r w:rsidRPr="00E64639">
        <w:fldChar w:fldCharType="begin" w:fldLock="1"/>
      </w:r>
      <w:r w:rsidRPr="00D75B1B">
        <w:rPr>
          <w:lang w:val="en-GB"/>
        </w:rPr>
        <w:instrText xml:space="preserve"> REF _Ref451785067 \r \h  \* MERGEFORMAT </w:instrText>
      </w:r>
      <w:r w:rsidRPr="00E64639">
        <w:fldChar w:fldCharType="separate"/>
      </w:r>
      <w:r w:rsidRPr="00D75B1B">
        <w:rPr>
          <w:lang w:val="en-GB"/>
        </w:rPr>
        <w:t>Table 13</w:t>
      </w:r>
      <w:r w:rsidRPr="00E64639">
        <w:fldChar w:fldCharType="end"/>
      </w:r>
      <w:r w:rsidRPr="00D75B1B">
        <w:rPr>
          <w:lang w:val="en-GB"/>
        </w:rPr>
        <w:t>.</w:t>
      </w:r>
    </w:p>
    <w:p w:rsidR="00675B1D" w:rsidRPr="00E64639" w:rsidRDefault="00675B1D" w:rsidP="00F333A5">
      <w:pPr>
        <w:pStyle w:val="HHeadingtables"/>
        <w:ind w:left="0"/>
        <w:rPr>
          <w:highlight w:val="yellow"/>
        </w:rPr>
      </w:pPr>
      <w:bookmarkStart w:id="243" w:name="_Toc436140069"/>
      <w:bookmarkStart w:id="244" w:name="_Toc436383155"/>
      <w:bookmarkStart w:id="245" w:name="_Toc451781917"/>
      <w:bookmarkStart w:id="246" w:name="_Ref451785067"/>
      <w:r w:rsidRPr="00E64639">
        <w:rPr>
          <w:highlight w:val="yellow"/>
        </w:rPr>
        <w:t>Dati e informazioni di cui si consiglia la raccolta per la valutazione della RRN</w:t>
      </w:r>
      <w:bookmarkEnd w:id="243"/>
      <w:bookmarkEnd w:id="244"/>
      <w:r w:rsidRPr="00E64639">
        <w:rPr>
          <w:highlight w:val="yellow"/>
        </w:rPr>
        <w:t>, a seconda dei diversi metodi utilizzati</w:t>
      </w:r>
      <w:bookmarkEnd w:id="245"/>
      <w:bookmarkEnd w:id="246"/>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675B1D" w:rsidRPr="00E64639" w:rsidTr="004C05DD">
        <w:tc>
          <w:tcPr>
            <w:tcW w:w="1718" w:type="dxa"/>
            <w:shd w:val="clear" w:color="auto" w:fill="E7E6E6" w:themeFill="background2"/>
            <w:vAlign w:val="center"/>
          </w:tcPr>
          <w:p w:rsidR="00675B1D" w:rsidRPr="00E64639" w:rsidRDefault="00675B1D" w:rsidP="00C2517E">
            <w:pPr>
              <w:pStyle w:val="Htableleftbolt"/>
              <w:jc w:val="center"/>
              <w:rPr>
                <w:color w:val="5B9BD5" w:themeColor="accent1"/>
                <w:highlight w:val="yellow"/>
              </w:rPr>
            </w:pPr>
            <w:r w:rsidRPr="00E64639">
              <w:rPr>
                <w:color w:val="5B9BD5" w:themeColor="accent1"/>
                <w:highlight w:val="yellow"/>
              </w:rPr>
              <w:t>Gruppi di indicatori</w:t>
            </w:r>
          </w:p>
        </w:tc>
        <w:tc>
          <w:tcPr>
            <w:tcW w:w="7359" w:type="dxa"/>
            <w:shd w:val="clear" w:color="auto" w:fill="E7E6E6" w:themeFill="background2"/>
          </w:tcPr>
          <w:p w:rsidR="00675B1D" w:rsidRPr="00E64639" w:rsidRDefault="00675B1D" w:rsidP="00C2517E">
            <w:pPr>
              <w:pStyle w:val="Htableleftbolt"/>
              <w:jc w:val="center"/>
              <w:rPr>
                <w:color w:val="5B9BD5" w:themeColor="accent1"/>
                <w:highlight w:val="yellow"/>
              </w:rPr>
            </w:pPr>
            <w:r w:rsidRPr="00E64639">
              <w:rPr>
                <w:color w:val="5B9BD5" w:themeColor="accent1"/>
                <w:highlight w:val="yellow"/>
              </w:rPr>
              <w:t>Strumenti di raccolta dati e informazioni esistenti e consigliati</w:t>
            </w:r>
          </w:p>
        </w:tc>
      </w:tr>
      <w:tr w:rsidR="00675B1D" w:rsidRPr="00E64639" w:rsidTr="004C05DD">
        <w:tc>
          <w:tcPr>
            <w:tcW w:w="1718" w:type="dxa"/>
            <w:shd w:val="clear" w:color="auto" w:fill="auto"/>
            <w:vAlign w:val="center"/>
          </w:tcPr>
          <w:p w:rsidR="00675B1D" w:rsidRPr="00E64639" w:rsidRDefault="00675B1D" w:rsidP="004C05DD">
            <w:pPr>
              <w:pStyle w:val="Htableleft"/>
              <w:rPr>
                <w:color w:val="576C88" w:themeColor="text2" w:themeTint="D9"/>
                <w:highlight w:val="yellow"/>
              </w:rPr>
            </w:pPr>
            <w:r w:rsidRPr="00E64639">
              <w:rPr>
                <w:color w:val="576C88" w:themeColor="text2" w:themeTint="D9"/>
                <w:highlight w:val="yellow"/>
              </w:rPr>
              <w:t>Indicatori di input</w:t>
            </w:r>
          </w:p>
        </w:tc>
        <w:tc>
          <w:tcPr>
            <w:tcW w:w="7359" w:type="dxa"/>
            <w:shd w:val="clear" w:color="auto" w:fill="auto"/>
          </w:tcPr>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 xml:space="preserve">A disposizione: gli indicatori di input sono collegati alla dotazione finanziaria dei PSR/PRRN e ai pagamenti per le attività delle RRN. </w:t>
            </w:r>
          </w:p>
          <w:p w:rsidR="00675B1D" w:rsidRPr="00E64639" w:rsidRDefault="00675B1D" w:rsidP="00947DF6">
            <w:pPr>
              <w:pStyle w:val="Htableleft"/>
              <w:spacing w:before="0" w:after="0" w:line="240" w:lineRule="atLeast"/>
              <w:rPr>
                <w:color w:val="576C88" w:themeColor="text2" w:themeTint="D9"/>
                <w:highlight w:val="yellow"/>
              </w:rPr>
            </w:pPr>
            <w:r w:rsidRPr="00E64639">
              <w:rPr>
                <w:color w:val="576C88" w:themeColor="text2" w:themeTint="D9"/>
                <w:highlight w:val="yellow"/>
              </w:rPr>
              <w:t>I dati vengono raccolti dai sistemi di monitoraggio finanziari esistenti.</w:t>
            </w:r>
          </w:p>
        </w:tc>
      </w:tr>
      <w:tr w:rsidR="00675B1D" w:rsidRPr="00E64639" w:rsidTr="004C05DD">
        <w:tc>
          <w:tcPr>
            <w:tcW w:w="1718" w:type="dxa"/>
            <w:shd w:val="clear" w:color="auto" w:fill="auto"/>
            <w:vAlign w:val="center"/>
          </w:tcPr>
          <w:p w:rsidR="00675B1D" w:rsidRPr="00E64639" w:rsidRDefault="00675B1D" w:rsidP="004C05DD">
            <w:pPr>
              <w:pStyle w:val="Htableleft"/>
              <w:rPr>
                <w:color w:val="576C88" w:themeColor="text2" w:themeTint="D9"/>
                <w:highlight w:val="yellow"/>
              </w:rPr>
            </w:pPr>
            <w:r w:rsidRPr="00E64639">
              <w:rPr>
                <w:color w:val="576C88" w:themeColor="text2" w:themeTint="D9"/>
                <w:highlight w:val="yellow"/>
              </w:rPr>
              <w:t xml:space="preserve">Indicatori di prodotto </w:t>
            </w:r>
          </w:p>
        </w:tc>
        <w:tc>
          <w:tcPr>
            <w:tcW w:w="7359" w:type="dxa"/>
            <w:shd w:val="clear" w:color="auto" w:fill="auto"/>
          </w:tcPr>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A disposizione: dati per tre indicatori comuni di prodotto del sistema di monitoraggio (banca dati operazioni).</w:t>
            </w:r>
          </w:p>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Consigliati:</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 xml:space="preserve">dati di monitoraggio disaggregati, per tipo, (ad esempio per aree tematiche, quali innovazione, comunicazione, ambiente, silvicoltura, ecc.); </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 xml:space="preserve">strumenti di comunicazione, per tipologia (ad esempio pubblicazioni, newsletter, eventi, materiale promozionale, ecc.); </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attività della RESR alle quali la RRN ha partecipato, per tipo (eventi, seminari, conferenze, ecc.);</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dati e informazioni raccolti nel corso di altri studi di accompagnamento (monografie, studi di casi, collaborazione con università/scuole).</w:t>
            </w:r>
          </w:p>
        </w:tc>
      </w:tr>
      <w:tr w:rsidR="00675B1D" w:rsidRPr="00E64639" w:rsidTr="004C05DD">
        <w:tc>
          <w:tcPr>
            <w:tcW w:w="1718" w:type="dxa"/>
            <w:shd w:val="clear" w:color="auto" w:fill="auto"/>
            <w:vAlign w:val="center"/>
          </w:tcPr>
          <w:p w:rsidR="00675B1D" w:rsidRPr="00E64639" w:rsidRDefault="00675B1D" w:rsidP="004C05DD">
            <w:pPr>
              <w:pStyle w:val="Htableleft"/>
              <w:rPr>
                <w:color w:val="576C88" w:themeColor="text2" w:themeTint="D9"/>
                <w:highlight w:val="yellow"/>
              </w:rPr>
            </w:pPr>
            <w:r w:rsidRPr="00E64639">
              <w:rPr>
                <w:color w:val="576C88" w:themeColor="text2" w:themeTint="D9"/>
                <w:highlight w:val="yellow"/>
              </w:rPr>
              <w:t xml:space="preserve">Indicatori di risultato </w:t>
            </w:r>
          </w:p>
        </w:tc>
        <w:tc>
          <w:tcPr>
            <w:tcW w:w="7359" w:type="dxa"/>
            <w:shd w:val="clear" w:color="auto" w:fill="auto"/>
          </w:tcPr>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 xml:space="preserve">Possibilmente disponibili per ulteriori indicatori di risultato (sviluppati per rispondere al questionario valutativo comune) e indicatori di risultato della RRN specifici del programma per misurare i risultati della RRN legati a cambiamenti comportamentali delle parti interessate della RRN: </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dati quantitativi; ad esempio. progetti e partenariati per le catene alimentari locali determinate in base alle raccomandazioni del lavoro tematico della RRN;</w:t>
            </w:r>
          </w:p>
          <w:p w:rsidR="00675B1D" w:rsidRPr="00E64639" w:rsidRDefault="00675B1D" w:rsidP="004C05DD">
            <w:pPr>
              <w:pStyle w:val="Htablebullet"/>
              <w:spacing w:line="240" w:lineRule="atLeast"/>
              <w:rPr>
                <w:color w:val="576C88" w:themeColor="text2" w:themeTint="D9"/>
                <w:highlight w:val="yellow"/>
              </w:rPr>
            </w:pPr>
            <w:r w:rsidRPr="00E64639">
              <w:rPr>
                <w:color w:val="576C88" w:themeColor="text2" w:themeTint="D9"/>
                <w:highlight w:val="yellow"/>
              </w:rPr>
              <w:t>informazioni qualitative; ad esempio, aumento della sensibilizzazione in materia di questioni politiche fondamentali.</w:t>
            </w:r>
          </w:p>
          <w:p w:rsidR="00675B1D" w:rsidRPr="00E64639" w:rsidRDefault="00675B1D" w:rsidP="004C05DD">
            <w:pPr>
              <w:pStyle w:val="Htablebullet"/>
              <w:numPr>
                <w:ilvl w:val="0"/>
                <w:numId w:val="0"/>
              </w:numPr>
              <w:spacing w:before="0" w:after="0" w:line="240" w:lineRule="atLeast"/>
              <w:ind w:left="360"/>
              <w:rPr>
                <w:color w:val="576C88" w:themeColor="text2" w:themeTint="D9"/>
                <w:highlight w:val="yellow"/>
              </w:rPr>
            </w:pPr>
            <w:r w:rsidRPr="00E64639">
              <w:rPr>
                <w:color w:val="576C88" w:themeColor="text2" w:themeTint="D9"/>
                <w:highlight w:val="yellow"/>
              </w:rPr>
              <w:t xml:space="preserve">(cfr. anche </w:t>
            </w:r>
            <w:r w:rsidRPr="00E64639">
              <w:rPr>
                <w:b/>
                <w:color w:val="E7E6E6" w:themeColor="background2"/>
                <w:highlight w:val="yellow"/>
              </w:rPr>
              <w:t>PARTE III</w:t>
            </w:r>
            <w:r w:rsidRPr="00E64639">
              <w:rPr>
                <w:color w:val="576C88" w:themeColor="text2" w:themeTint="D9"/>
                <w:highlight w:val="yellow"/>
              </w:rPr>
              <w:t xml:space="preserve">, Esempi della catena di risultato e impatto della RRN) </w:t>
            </w:r>
          </w:p>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Consigliati:</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la raccolta di dati quantitativi può essere inclusa nel sistema di monitoraggio;</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lastRenderedPageBreak/>
              <w:t xml:space="preserve">le informazioni qualitative possono essere raccolte su base ad hoc, tramite indagini sulla soddisfazione di esperti, partecipanti e non-partecipanti alle attività della RRN, attraverso interviste approfondite, gruppi specifici di discussione e autovalutazioni periodiche della RRN; </w:t>
            </w:r>
          </w:p>
          <w:p w:rsidR="00675B1D" w:rsidRPr="00E64639" w:rsidRDefault="00675B1D" w:rsidP="00922106">
            <w:pPr>
              <w:pStyle w:val="Htablebullet"/>
              <w:spacing w:before="0" w:after="0" w:line="240" w:lineRule="atLeast"/>
              <w:rPr>
                <w:color w:val="576C88" w:themeColor="text2" w:themeTint="D9"/>
                <w:highlight w:val="yellow"/>
              </w:rPr>
            </w:pPr>
            <w:r w:rsidRPr="00E64639">
              <w:rPr>
                <w:color w:val="576C88" w:themeColor="text2" w:themeTint="D9"/>
                <w:highlight w:val="yellow"/>
              </w:rPr>
              <w:t>i dati e le informazioni raccolti nel corso di altri studi di accompagnamento (monografie, studi di casi, collaborazione con università/scuole).</w:t>
            </w:r>
          </w:p>
        </w:tc>
      </w:tr>
      <w:tr w:rsidR="00675B1D" w:rsidRPr="00E64639" w:rsidTr="004C05DD">
        <w:tc>
          <w:tcPr>
            <w:tcW w:w="1718" w:type="dxa"/>
            <w:shd w:val="clear" w:color="auto" w:fill="auto"/>
            <w:vAlign w:val="center"/>
          </w:tcPr>
          <w:p w:rsidR="00675B1D" w:rsidRPr="00E64639" w:rsidDel="00091BD6" w:rsidRDefault="00675B1D" w:rsidP="004C05DD">
            <w:pPr>
              <w:pStyle w:val="Htableleft"/>
              <w:rPr>
                <w:color w:val="576C88" w:themeColor="text2" w:themeTint="D9"/>
                <w:highlight w:val="yellow"/>
              </w:rPr>
            </w:pPr>
            <w:r w:rsidRPr="00E64639">
              <w:rPr>
                <w:color w:val="576C88" w:themeColor="text2" w:themeTint="D9"/>
                <w:highlight w:val="yellow"/>
              </w:rPr>
              <w:lastRenderedPageBreak/>
              <w:t>Indicatori di impatto</w:t>
            </w:r>
          </w:p>
        </w:tc>
        <w:tc>
          <w:tcPr>
            <w:tcW w:w="7359" w:type="dxa"/>
            <w:shd w:val="clear" w:color="auto" w:fill="auto"/>
          </w:tcPr>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Indicatori di impatto della RRN supplementari e specifici del programma per misurare gli impatti della RRN legati a:</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contributo della RRN ai risultati del PSR, che avranno principalmente natura quantitativa, ad esempio, numero di nuovi prodotti basati su progetti innovativi (soprattutto indicatori supplementari!);</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capitale umano e sociale generato dalle RRN nelle zone rurali, che avrà prevalentemente natura qualitativa (ad esempio, grado di miglioramento della gestione del PSR grazie alle attività della RRN, oppure grado di miglioramento della cooperazione nelle zone rurali grazie alle attività della RRN) (soprattutto indicatori specifici del programma!).</w:t>
            </w:r>
          </w:p>
          <w:p w:rsidR="00675B1D" w:rsidRPr="00E64639" w:rsidRDefault="00675B1D" w:rsidP="004C05DD">
            <w:pPr>
              <w:pStyle w:val="Htablebullet"/>
              <w:numPr>
                <w:ilvl w:val="0"/>
                <w:numId w:val="0"/>
              </w:numPr>
              <w:spacing w:before="0" w:after="0" w:line="240" w:lineRule="atLeast"/>
              <w:ind w:left="360"/>
              <w:rPr>
                <w:color w:val="576C88" w:themeColor="text2" w:themeTint="D9"/>
                <w:highlight w:val="yellow"/>
              </w:rPr>
            </w:pPr>
            <w:r w:rsidRPr="00E64639">
              <w:rPr>
                <w:color w:val="576C88" w:themeColor="text2" w:themeTint="D9"/>
                <w:highlight w:val="yellow"/>
              </w:rPr>
              <w:t xml:space="preserve">(cfr. anche </w:t>
            </w:r>
            <w:r w:rsidRPr="00E64639">
              <w:rPr>
                <w:b/>
                <w:color w:val="E7E6E6" w:themeColor="background2"/>
                <w:highlight w:val="yellow"/>
              </w:rPr>
              <w:t>PARTE III</w:t>
            </w:r>
            <w:r w:rsidRPr="00E64639">
              <w:rPr>
                <w:color w:val="576C88" w:themeColor="text2" w:themeTint="D9"/>
                <w:highlight w:val="yellow"/>
              </w:rPr>
              <w:t xml:space="preserve">, Esempi della catena di risultato e impatto della RRN) </w:t>
            </w:r>
          </w:p>
          <w:p w:rsidR="00675B1D" w:rsidRPr="00E64639" w:rsidRDefault="00675B1D" w:rsidP="004C05DD">
            <w:pPr>
              <w:pStyle w:val="Htableleft"/>
              <w:spacing w:before="0" w:after="0" w:line="240" w:lineRule="atLeast"/>
              <w:rPr>
                <w:color w:val="576C88" w:themeColor="text2" w:themeTint="D9"/>
                <w:highlight w:val="yellow"/>
              </w:rPr>
            </w:pPr>
            <w:r w:rsidRPr="00E64639">
              <w:rPr>
                <w:color w:val="576C88" w:themeColor="text2" w:themeTint="D9"/>
                <w:highlight w:val="yellow"/>
              </w:rPr>
              <w:t>Consigliati:</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 xml:space="preserve">i principali strumenti per acquisire dati e informazioni includono indagini, interviste e gruppi specifici di discussione. I gruppi specifici di discussione, in particolare, sono adeguati per raccogliere dati relativi agli effetti netti della RRN, in quanto possono essere composti da partecipanti e non-partecipanti alle attività della RRN; </w:t>
            </w:r>
          </w:p>
          <w:p w:rsidR="00675B1D" w:rsidRPr="00E64639" w:rsidRDefault="00675B1D" w:rsidP="004C05DD">
            <w:pPr>
              <w:pStyle w:val="Htablebullet"/>
              <w:spacing w:before="0" w:after="0" w:line="240" w:lineRule="atLeast"/>
              <w:rPr>
                <w:color w:val="576C88" w:themeColor="text2" w:themeTint="D9"/>
                <w:highlight w:val="yellow"/>
              </w:rPr>
            </w:pPr>
            <w:r w:rsidRPr="00E64639">
              <w:rPr>
                <w:color w:val="576C88" w:themeColor="text2" w:themeTint="D9"/>
                <w:highlight w:val="yellow"/>
              </w:rPr>
              <w:t>dati e informazioni raccolti nel corso di altri studi di accompagnamento (monografie, studi di casi, collaborazione con università/scuole).</w:t>
            </w:r>
          </w:p>
        </w:tc>
      </w:tr>
    </w:tbl>
    <w:p w:rsidR="00675B1D" w:rsidRPr="00D75B1B" w:rsidRDefault="00675B1D" w:rsidP="000A3387">
      <w:pPr>
        <w:pStyle w:val="HStandard"/>
        <w:rPr>
          <w:lang w:val="en-GB"/>
        </w:rPr>
      </w:pPr>
      <w:r w:rsidRPr="00D75B1B">
        <w:rPr>
          <w:lang w:val="en-GB"/>
        </w:rP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47" w:name="_Toc443491687"/>
      <w:bookmarkEnd w:id="247"/>
    </w:p>
    <w:p w:rsidR="00675B1D" w:rsidRPr="00D75B1B" w:rsidRDefault="00675B1D" w:rsidP="00320535">
      <w:pPr>
        <w:pStyle w:val="HHeading3"/>
        <w:rPr>
          <w:lang w:val="en-GB"/>
        </w:rPr>
      </w:pPr>
      <w:bookmarkStart w:id="248" w:name="_Toc443491688"/>
      <w:bookmarkStart w:id="249" w:name="_Toc453079771"/>
      <w:r w:rsidRPr="00D75B1B">
        <w:rPr>
          <w:lang w:val="en-GB"/>
        </w:rPr>
        <w:t>Description of the process of NRN implementation</w:t>
      </w:r>
      <w:bookmarkEnd w:id="248"/>
      <w:bookmarkEnd w:id="249"/>
    </w:p>
    <w:p w:rsidR="00675B1D" w:rsidRPr="00D75B1B" w:rsidRDefault="00675B1D" w:rsidP="000A3387">
      <w:pPr>
        <w:pStyle w:val="HStandard"/>
        <w:rPr>
          <w:lang w:val="en-GB"/>
        </w:rPr>
      </w:pPr>
      <w:r w:rsidRPr="00D75B1B">
        <w:rPr>
          <w:lang w:val="en-GB"/>
        </w:rP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675B1D" w:rsidRPr="00E64639" w:rsidRDefault="00675B1D" w:rsidP="00320535">
      <w:pPr>
        <w:pStyle w:val="HHeading3"/>
      </w:pPr>
      <w:bookmarkStart w:id="250" w:name="_Toc443491689"/>
      <w:bookmarkStart w:id="251" w:name="_Toc453079772"/>
      <w:r w:rsidRPr="00E64639">
        <w:t>Consistency and completeness check</w:t>
      </w:r>
      <w:bookmarkEnd w:id="250"/>
      <w:bookmarkEnd w:id="251"/>
    </w:p>
    <w:p w:rsidR="00675B1D" w:rsidRPr="00E64639" w:rsidRDefault="00675B1D" w:rsidP="000A3387">
      <w:pPr>
        <w:pStyle w:val="HStandard"/>
      </w:pPr>
      <w:r w:rsidRPr="00D75B1B">
        <w:rPr>
          <w:lang w:val="en-GB"/>
        </w:rPr>
        <w:t xml:space="preserve">The collected data and information should be scrupulously checked. </w:t>
      </w:r>
      <w:r w:rsidRPr="00E64639">
        <w:t>Key questions are:</w:t>
      </w:r>
    </w:p>
    <w:p w:rsidR="00675B1D" w:rsidRPr="00D75B1B" w:rsidRDefault="00675B1D" w:rsidP="000A3387">
      <w:pPr>
        <w:pStyle w:val="Hlistbullet2"/>
        <w:rPr>
          <w:lang w:val="en-GB"/>
        </w:rPr>
      </w:pPr>
      <w:bookmarkStart w:id="252" w:name="_Toc434744521"/>
      <w:r w:rsidRPr="00D75B1B">
        <w:rPr>
          <w:lang w:val="en-GB"/>
        </w:rPr>
        <w:t>Is the collected data sufficient to answer the evaluation questions to the extent required for the respective evaluation task (AIR 2017, AIR 2019, ex post evaluation or other, and stand-alone NRN evaluations)?</w:t>
      </w:r>
      <w:bookmarkEnd w:id="252"/>
    </w:p>
    <w:p w:rsidR="00675B1D" w:rsidRPr="00D75B1B" w:rsidRDefault="00675B1D" w:rsidP="000A3387">
      <w:pPr>
        <w:pStyle w:val="Hlistbullet2"/>
        <w:rPr>
          <w:lang w:val="en-GB"/>
        </w:rPr>
      </w:pPr>
      <w:bookmarkStart w:id="253" w:name="_Toc434744522"/>
      <w:r w:rsidRPr="00D75B1B">
        <w:rPr>
          <w:lang w:val="en-GB"/>
        </w:rPr>
        <w:t>Is there sufficient redundancy in the database (for data on output indicators and if developed, any data on other indicators) in order to fill possible gaps with information from other sources (= triangulation)?</w:t>
      </w:r>
      <w:bookmarkEnd w:id="253"/>
    </w:p>
    <w:p w:rsidR="00675B1D" w:rsidRPr="00D75B1B" w:rsidRDefault="00675B1D" w:rsidP="000A3387">
      <w:pPr>
        <w:pStyle w:val="Hlistbullet2"/>
        <w:rPr>
          <w:lang w:val="en-GB"/>
        </w:rPr>
      </w:pPr>
      <w:r w:rsidRPr="00D75B1B">
        <w:rPr>
          <w:lang w:val="en-GB"/>
        </w:rPr>
        <w:t>Is there sufficient qualitative data and information available given the highly intangible nature of the expected results and impacts?</w:t>
      </w:r>
    </w:p>
    <w:p w:rsidR="00675B1D" w:rsidRPr="00D75B1B" w:rsidRDefault="00675B1D" w:rsidP="000A3387">
      <w:pPr>
        <w:pStyle w:val="Hlistbullet2"/>
        <w:rPr>
          <w:lang w:val="en-GB"/>
        </w:rPr>
      </w:pPr>
      <w:bookmarkStart w:id="254" w:name="_Toc434744523"/>
      <w:r w:rsidRPr="00D75B1B">
        <w:rPr>
          <w:lang w:val="en-GB"/>
        </w:rPr>
        <w:lastRenderedPageBreak/>
        <w:t>Are the information sources reliable?</w:t>
      </w:r>
      <w:bookmarkEnd w:id="254"/>
    </w:p>
    <w:p w:rsidR="00675B1D" w:rsidRPr="00D75B1B" w:rsidRDefault="00675B1D" w:rsidP="000A3387">
      <w:pPr>
        <w:pStyle w:val="HStandard"/>
        <w:rPr>
          <w:lang w:val="en-GB"/>
        </w:rPr>
      </w:pPr>
      <w:r w:rsidRPr="00D75B1B">
        <w:rPr>
          <w:lang w:val="en-GB"/>
        </w:rP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rsidRPr="00E64639">
        <w:fldChar w:fldCharType="begin" w:fldLock="1"/>
      </w:r>
      <w:r w:rsidRPr="00D75B1B">
        <w:rPr>
          <w:lang w:val="en-GB"/>
        </w:rPr>
        <w:instrText xml:space="preserve"> REF _Ref440033578 \r \h  \* MERGEFORMAT </w:instrText>
      </w:r>
      <w:r w:rsidRPr="00E64639">
        <w:fldChar w:fldCharType="separate"/>
      </w:r>
      <w:r w:rsidRPr="00D75B1B">
        <w:rPr>
          <w:lang w:val="en-GB"/>
        </w:rPr>
        <w:t>Figure 21</w:t>
      </w:r>
      <w:r w:rsidRPr="00E64639">
        <w:fldChar w:fldCharType="end"/>
      </w:r>
      <w:r w:rsidRPr="00D75B1B">
        <w:rPr>
          <w:lang w:val="en-GB"/>
        </w:rPr>
        <w:t>. However, such loops require additional time and budget reserves to be accounted for in the overall evaluation architecture.</w:t>
      </w:r>
    </w:p>
    <w:p w:rsidR="00675B1D" w:rsidRPr="00E64639" w:rsidRDefault="00675B1D" w:rsidP="000A3387">
      <w:pPr>
        <w:pStyle w:val="HHeadingfigures"/>
      </w:pPr>
      <w:bookmarkStart w:id="255" w:name="_Ref439933603"/>
      <w:bookmarkStart w:id="256" w:name="_Ref440033578"/>
      <w:bookmarkStart w:id="257" w:name="_Toc451781940"/>
      <w:r w:rsidRPr="00E64639">
        <w:t>A</w:t>
      </w:r>
      <w:bookmarkEnd w:id="255"/>
      <w:r w:rsidRPr="00E64639">
        <w:t>dvancing loopwise</w:t>
      </w:r>
      <w:bookmarkEnd w:id="256"/>
      <w:bookmarkEnd w:id="257"/>
    </w:p>
    <w:p w:rsidR="00675B1D" w:rsidRPr="00E64639" w:rsidRDefault="00675B1D" w:rsidP="00320BBA">
      <w:pPr>
        <w:pStyle w:val="HStandard"/>
        <w:spacing w:after="0"/>
        <w:jc w:val="center"/>
      </w:pPr>
      <w:r w:rsidRPr="00E64639">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D75B1B" w:rsidRDefault="00675B1D" w:rsidP="000A3387">
      <w:pPr>
        <w:pStyle w:val="HStandard"/>
        <w:rPr>
          <w:lang w:val="en-GB"/>
        </w:rPr>
      </w:pPr>
      <w:r w:rsidRPr="00D75B1B">
        <w:rPr>
          <w:lang w:val="en-GB"/>
        </w:rPr>
        <w:t xml:space="preserve">In practice, budgetary and time restrictions will limit this flexibility throughout the whole process. The most important thing is to keep this possibility open for the first two phases (where the green double-headed arrow is set in </w:t>
      </w:r>
      <w:r w:rsidRPr="00E64639">
        <w:fldChar w:fldCharType="begin" w:fldLock="1"/>
      </w:r>
      <w:r w:rsidRPr="00D75B1B">
        <w:rPr>
          <w:lang w:val="en-GB"/>
        </w:rPr>
        <w:instrText xml:space="preserve"> REF _Ref440033578 \r \h  \* MERGEFORMAT </w:instrText>
      </w:r>
      <w:r w:rsidRPr="00E64639">
        <w:fldChar w:fldCharType="separate"/>
      </w:r>
      <w:r w:rsidRPr="00D75B1B">
        <w:rPr>
          <w:lang w:val="en-GB"/>
        </w:rPr>
        <w:t>Figure 21</w:t>
      </w:r>
      <w:r w:rsidRPr="00E64639">
        <w:fldChar w:fldCharType="end"/>
      </w:r>
      <w:r w:rsidRPr="00D75B1B">
        <w:rPr>
          <w:lang w:val="en-GB"/>
        </w:rP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0A3387">
        <w:tc>
          <w:tcPr>
            <w:tcW w:w="9016" w:type="dxa"/>
            <w:shd w:val="clear" w:color="auto" w:fill="F5F4F4" w:themeFill="background2" w:themeFillTint="66"/>
          </w:tcPr>
          <w:p w:rsidR="00675B1D" w:rsidRPr="00E64639" w:rsidRDefault="00675B1D" w:rsidP="000A3387">
            <w:pPr>
              <w:pStyle w:val="HStandard"/>
              <w:rPr>
                <w:highlight w:val="yellow"/>
              </w:rPr>
            </w:pPr>
            <w:r w:rsidRPr="00E64639">
              <w:rPr>
                <w:highlight w:val="yellow"/>
              </w:rPr>
              <w:t>Domande guida per la fase di osservazione:</w:t>
            </w:r>
          </w:p>
          <w:p w:rsidR="00675B1D" w:rsidRPr="00E64639" w:rsidRDefault="00675B1D" w:rsidP="00675B1D">
            <w:pPr>
              <w:pStyle w:val="Hlistbullet2"/>
              <w:rPr>
                <w:highlight w:val="yellow"/>
              </w:rPr>
            </w:pPr>
            <w:r w:rsidRPr="00E64639">
              <w:rPr>
                <w:highlight w:val="yellow"/>
              </w:rPr>
              <w:t>quali dati esistono e quali dati dobbiamo generare durante il processo di valutazione?</w:t>
            </w:r>
          </w:p>
          <w:p w:rsidR="00675B1D" w:rsidRPr="00E64639" w:rsidRDefault="00675B1D" w:rsidP="00675B1D">
            <w:pPr>
              <w:pStyle w:val="Hlistbullet2"/>
              <w:rPr>
                <w:highlight w:val="yellow"/>
              </w:rPr>
            </w:pPr>
            <w:r>
              <w:rPr>
                <w:highlight w:val="yellow"/>
              </w:rPr>
              <w:t>Q</w:t>
            </w:r>
            <w:r w:rsidRPr="00E64639">
              <w:rPr>
                <w:highlight w:val="yellow"/>
              </w:rPr>
              <w:t>uali sono i dati più importanti da raccogliere, in modo da mantenere il processo di raccolta dati realizzabili in termini di tempi e costi?</w:t>
            </w:r>
          </w:p>
          <w:p w:rsidR="00675B1D" w:rsidRPr="00E64639" w:rsidRDefault="00675B1D" w:rsidP="00675B1D">
            <w:pPr>
              <w:pStyle w:val="Hlistbullet2"/>
              <w:rPr>
                <w:highlight w:val="yellow"/>
              </w:rPr>
            </w:pPr>
            <w:r>
              <w:rPr>
                <w:highlight w:val="yellow"/>
              </w:rPr>
              <w:t>E</w:t>
            </w:r>
            <w:r w:rsidRPr="00E64639">
              <w:rPr>
                <w:highlight w:val="yellow"/>
              </w:rPr>
              <w:t>siste sufficiente ridondanza nei dati - in altre parole, le principali conclusioni possono essere confermate tramite controlli incrociati su diverse fonti empiriche?</w:t>
            </w:r>
          </w:p>
          <w:p w:rsidR="00675B1D" w:rsidRPr="00E64639" w:rsidRDefault="00675B1D" w:rsidP="00675B1D">
            <w:pPr>
              <w:pStyle w:val="Hlistbullet2"/>
              <w:rPr>
                <w:highlight w:val="yellow"/>
              </w:rPr>
            </w:pPr>
            <w:r>
              <w:rPr>
                <w:highlight w:val="yellow"/>
              </w:rPr>
              <w:t>È</w:t>
            </w:r>
            <w:r w:rsidRPr="00E64639">
              <w:rPr>
                <w:highlight w:val="yellow"/>
              </w:rPr>
              <w:t xml:space="preserve"> stato fatto tutto il possibile per evitare distorsioni dell'osservazione (distorsione nella selezione, distorsione nella risposta, effetti alone...)?</w:t>
            </w:r>
          </w:p>
          <w:p w:rsidR="00675B1D" w:rsidRPr="00E64639" w:rsidRDefault="00675B1D" w:rsidP="00675B1D">
            <w:pPr>
              <w:pStyle w:val="Hlistbullet2"/>
              <w:rPr>
                <w:highlight w:val="yellow"/>
              </w:rPr>
            </w:pPr>
            <w:r>
              <w:rPr>
                <w:highlight w:val="yellow"/>
              </w:rPr>
              <w:t>Q</w:t>
            </w:r>
            <w:r w:rsidRPr="00E64639">
              <w:rPr>
                <w:highlight w:val="yellow"/>
              </w:rPr>
              <w:t>uale potrebbe essere la ragione di due esiti reciprocamente contraddittori? È possibile che una sola conclusione sia vera oppure che lo siano entrambe in qualche modo, oppure la vera risposta risiede altrove?</w:t>
            </w:r>
          </w:p>
        </w:tc>
      </w:tr>
    </w:tbl>
    <w:p w:rsidR="00675B1D" w:rsidRPr="00E64639" w:rsidRDefault="00675B1D" w:rsidP="00D35287">
      <w:pPr>
        <w:pStyle w:val="HHeading5"/>
        <w:rPr>
          <w:highlight w:val="yellow"/>
        </w:rPr>
      </w:pPr>
      <w:r w:rsidRPr="00E64639">
        <w:rPr>
          <w:highlight w:val="yellow"/>
        </w:rPr>
        <w:t>Cosa fare e cosa non fare</w:t>
      </w:r>
    </w:p>
    <w:tbl>
      <w:tblPr>
        <w:tblStyle w:val="LightList-Accent5"/>
        <w:tblW w:w="0" w:type="auto"/>
        <w:tblLook w:val="04A0" w:firstRow="1" w:lastRow="0" w:firstColumn="1" w:lastColumn="0" w:noHBand="0" w:noVBand="1"/>
      </w:tblPr>
      <w:tblGrid>
        <w:gridCol w:w="4506"/>
        <w:gridCol w:w="4500"/>
      </w:tblGrid>
      <w:tr w:rsidR="00675B1D" w:rsidRPr="00E64639"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675B1D" w:rsidRPr="00E64639" w:rsidRDefault="00675B1D" w:rsidP="000A3387">
            <w:pPr>
              <w:pStyle w:val="HHeading5"/>
              <w:jc w:val="center"/>
              <w:rPr>
                <w:highlight w:val="yellow"/>
              </w:rPr>
            </w:pPr>
            <w:r w:rsidRPr="00E64639">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675B1D" w:rsidRPr="00E64639" w:rsidRDefault="00675B1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sidRPr="00E64639">
              <w:rPr>
                <w:noProof/>
                <w:highlight w:val="yellow"/>
                <w:lang w:val="en-GB" w:eastAsia="en-GB" w:bidi="ar-SA"/>
              </w:rPr>
              <w:drawing>
                <wp:inline distT="0" distB="0" distL="0" distR="0" wp14:anchorId="38423680" wp14:editId="5F319554">
                  <wp:extent cx="360000" cy="36000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Determinare i campi in cui è fattibile l'analisi controfattuale e prepararsi di conseguenza (ad esempio identificando gruppi di controllo o almeno un algoritmo di differenziazione stabilendo lo scenario di riferimento).</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lastRenderedPageBreak/>
              <w:t>Attingere a diverse fonti di informazioni (qualitative e quantitative, interne ed esterne, emiche</w:t>
            </w:r>
            <w:r w:rsidRPr="00E64639">
              <w:rPr>
                <w:rStyle w:val="FootnoteReference"/>
                <w:highlight w:val="yellow"/>
              </w:rPr>
              <w:footnoteReference w:id="116"/>
            </w:r>
            <w:r w:rsidRPr="00E64639">
              <w:rPr>
                <w:b w:val="0"/>
                <w:color w:val="FFC000" w:themeColor="accent4"/>
                <w:sz w:val="18"/>
                <w:highlight w:val="yellow"/>
              </w:rPr>
              <w:t xml:space="preserve"> ed etiche</w:t>
            </w:r>
            <w:r w:rsidRPr="00E64639">
              <w:rPr>
                <w:rStyle w:val="FootnoteReference"/>
                <w:highlight w:val="yellow"/>
              </w:rPr>
              <w:footnoteReference w:id="117"/>
            </w:r>
            <w:r w:rsidRPr="00E64639">
              <w:rPr>
                <w:b w:val="0"/>
                <w:color w:val="FFC000" w:themeColor="accent4"/>
                <w:sz w:val="18"/>
                <w:highlight w:val="yellow"/>
              </w:rPr>
              <w:t>).</w:t>
            </w:r>
          </w:p>
          <w:p w:rsidR="00675B1D" w:rsidRPr="00E64639" w:rsidRDefault="00675B1D" w:rsidP="000A338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Ristrutturare il processo di valutazione, qualora sorgano questioni impreviste che richiedono ulteriori indagini.</w:t>
            </w:r>
          </w:p>
          <w:p w:rsidR="00675B1D" w:rsidRPr="00E64639" w:rsidRDefault="00675B1D" w:rsidP="00B9341D">
            <w:pPr>
              <w:pStyle w:val="HStandard"/>
              <w:rPr>
                <w:color w:val="FFC000" w:themeColor="accent4"/>
                <w:sz w:val="18"/>
                <w:szCs w:val="18"/>
                <w:highlight w:val="yellow"/>
              </w:rPr>
            </w:pPr>
            <w:r w:rsidRPr="00E64639">
              <w:rPr>
                <w:b w:val="0"/>
                <w:color w:val="FFC000" w:themeColor="accent4"/>
                <w:sz w:val="18"/>
                <w:highlight w:val="yellow"/>
              </w:rPr>
              <w:t>Controllare la completezza e il grado con cui determinate trasmissioni di dati contraddicono i risultati. Esaminare i retroscena di queste contraddizioni apparenti.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lastRenderedPageBreak/>
              <w:t>Privilegiare un'unica fonte di informazioni per qualsiasi questione tematica.</w:t>
            </w:r>
          </w:p>
          <w:p w:rsidR="00675B1D" w:rsidRPr="00E64639" w:rsidRDefault="00675B1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lastRenderedPageBreak/>
              <w:t xml:space="preserve">Fare copia-incolla dell'auto-descrizione delle attività della RRN senza mettere nulla in discussione e non fare distinzioni tra questioni più o meno rilevanti. </w:t>
            </w:r>
          </w:p>
          <w:p w:rsidR="00675B1D" w:rsidRPr="00E64639" w:rsidRDefault="00675B1D" w:rsidP="00BD4DAF">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E64639">
              <w:rPr>
                <w:color w:val="ED7D31" w:themeColor="accent2"/>
                <w:sz w:val="18"/>
                <w:highlight w:val="yellow"/>
              </w:rPr>
              <w:t>Nascondere o tenere segreti dati inaffidabili, in particolare essendone consapevoli.</w:t>
            </w:r>
            <w:r w:rsidRPr="00E64639">
              <w:rPr>
                <w:color w:val="ED7D31" w:themeColor="accent2"/>
                <w:sz w:val="18"/>
              </w:rPr>
              <w:t xml:space="preserve"> </w:t>
            </w:r>
          </w:p>
        </w:tc>
      </w:tr>
    </w:tbl>
    <w:p w:rsidR="00675B1D" w:rsidRPr="00E64639" w:rsidRDefault="00675B1D" w:rsidP="00D35287">
      <w:pPr>
        <w:pStyle w:val="HHeading5"/>
      </w:pPr>
      <w:r w:rsidRPr="00E64639">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675B1D" w:rsidRPr="00E64639" w:rsidTr="00112F30">
        <w:tc>
          <w:tcPr>
            <w:tcW w:w="9072" w:type="dxa"/>
            <w:shd w:val="clear" w:color="auto" w:fill="F5F4F4" w:themeFill="background2" w:themeFillTint="66"/>
          </w:tcPr>
          <w:p w:rsidR="00675B1D" w:rsidRPr="00D75B1B" w:rsidRDefault="00675B1D" w:rsidP="00112F30">
            <w:pPr>
              <w:pStyle w:val="HStandard"/>
              <w:spacing w:line="240" w:lineRule="atLeast"/>
              <w:rPr>
                <w:sz w:val="16"/>
                <w:szCs w:val="16"/>
                <w:lang w:val="en-GB"/>
              </w:rPr>
            </w:pPr>
            <w:r w:rsidRPr="00D75B1B">
              <w:rPr>
                <w:sz w:val="16"/>
                <w:lang w:val="en-GB"/>
              </w:rPr>
              <w:t>Concerning the assessment of impacts:</w:t>
            </w:r>
          </w:p>
          <w:p w:rsidR="00675B1D" w:rsidRPr="00D75B1B" w:rsidRDefault="00675B1D" w:rsidP="00112F30">
            <w:pPr>
              <w:pStyle w:val="HStandard"/>
              <w:spacing w:line="240" w:lineRule="atLeast"/>
              <w:rPr>
                <w:sz w:val="16"/>
                <w:szCs w:val="16"/>
                <w:lang w:val="en-GB"/>
              </w:rPr>
            </w:pPr>
            <w:r w:rsidRPr="00D75B1B">
              <w:rPr>
                <w:sz w:val="16"/>
                <w:lang w:val="en-GB"/>
              </w:rPr>
              <w:t>Working Paper of the Rural Evaluation Helpdesk (July 2010): Approaches for assessing the impacts of the Rural Development Programmes in the context of multiple intervening factors, p. 26 ff.</w:t>
            </w:r>
          </w:p>
          <w:p w:rsidR="00675B1D" w:rsidRPr="00D75B1B" w:rsidRDefault="00675B1D" w:rsidP="00112F30">
            <w:pPr>
              <w:pStyle w:val="HStandard"/>
              <w:spacing w:line="240" w:lineRule="atLeast"/>
              <w:rPr>
                <w:sz w:val="16"/>
                <w:szCs w:val="16"/>
                <w:lang w:val="en-GB"/>
              </w:rPr>
            </w:pPr>
            <w:r w:rsidRPr="00D75B1B">
              <w:rPr>
                <w:sz w:val="16"/>
                <w:lang w:val="en-GB"/>
              </w:rPr>
              <w:t>On bias in evaluation (the source is from the US Centres of Disease Control and Prevention and deals with health themes, but it is very useful for social research in general):</w:t>
            </w:r>
          </w:p>
          <w:p w:rsidR="00675B1D" w:rsidRPr="00E64639" w:rsidRDefault="00675B1D" w:rsidP="00112F30">
            <w:pPr>
              <w:pStyle w:val="HStandard"/>
              <w:spacing w:line="240" w:lineRule="atLeast"/>
              <w:rPr>
                <w:sz w:val="16"/>
                <w:szCs w:val="16"/>
              </w:rPr>
            </w:pPr>
            <w:r w:rsidRPr="00D75B1B">
              <w:rPr>
                <w:sz w:val="16"/>
                <w:lang w:val="en-GB"/>
              </w:rPr>
              <w:t xml:space="preserve">Bernard C.K.Choi and Anita W.P.Pak (Jan 2005): A Catalog of Biases in Questionnaires. </w:t>
            </w:r>
            <w:hyperlink r:id="rId52">
              <w:r w:rsidRPr="00E64639">
                <w:rPr>
                  <w:rStyle w:val="Hyperlink"/>
                  <w:sz w:val="16"/>
                </w:rPr>
                <w:t>http://www.cdc.gov/pcd/issues/2005/jan/04_0050.htm</w:t>
              </w:r>
            </w:hyperlink>
            <w:r w:rsidRPr="00E64639">
              <w:rPr>
                <w:sz w:val="16"/>
              </w:rPr>
              <w:t xml:space="preserve"> </w:t>
            </w:r>
          </w:p>
        </w:tc>
      </w:tr>
    </w:tbl>
    <w:p w:rsidR="00675B1D" w:rsidRPr="00E64639" w:rsidRDefault="00675B1D" w:rsidP="00320535">
      <w:pPr>
        <w:pStyle w:val="HHeading2"/>
        <w:rPr>
          <w:highlight w:val="yellow"/>
        </w:rPr>
      </w:pPr>
      <w:bookmarkStart w:id="258" w:name="_Toc434744524"/>
      <w:bookmarkStart w:id="259" w:name="_Toc436140063"/>
      <w:bookmarkStart w:id="260" w:name="_Toc443491690"/>
      <w:bookmarkStart w:id="261" w:name="_Toc453079773"/>
      <w:r w:rsidRPr="00E64639">
        <w:rPr>
          <w:highlight w:val="yellow"/>
        </w:rPr>
        <w:t>ANALIZZARE</w:t>
      </w:r>
      <w:bookmarkEnd w:id="258"/>
      <w:bookmarkEnd w:id="259"/>
      <w:r w:rsidRPr="00E64639">
        <w:rPr>
          <w:highlight w:val="yellow"/>
        </w:rPr>
        <w:t>: Esaminare le informazioni disponibili</w:t>
      </w:r>
      <w:bookmarkEnd w:id="260"/>
      <w:bookmarkEnd w:id="261"/>
    </w:p>
    <w:p w:rsidR="00675B1D" w:rsidRPr="00D75B1B" w:rsidRDefault="00675B1D" w:rsidP="00112F30">
      <w:pPr>
        <w:pStyle w:val="HStandard"/>
        <w:rPr>
          <w:lang w:val="en-GB"/>
        </w:rPr>
      </w:pPr>
      <w:r w:rsidRPr="00D75B1B">
        <w:rPr>
          <w:lang w:val="en-GB"/>
        </w:rP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D75B1B">
        <w:rPr>
          <w:rFonts w:ascii="ZWAdobeF" w:hAnsi="ZWAdobeF"/>
          <w:color w:val="auto"/>
          <w:sz w:val="2"/>
          <w:lang w:val="en-GB"/>
        </w:rPr>
        <w:t>117F</w:t>
      </w:r>
      <w:r w:rsidRPr="00E64639">
        <w:rPr>
          <w:rStyle w:val="FootnoteReference"/>
        </w:rPr>
        <w:footnoteReference w:id="118"/>
      </w:r>
    </w:p>
    <w:p w:rsidR="00675B1D" w:rsidRPr="00D75B1B" w:rsidRDefault="00675B1D" w:rsidP="00112F30">
      <w:pPr>
        <w:pStyle w:val="HStandard"/>
        <w:rPr>
          <w:lang w:val="en-GB"/>
        </w:rPr>
      </w:pPr>
      <w:r w:rsidRPr="00D75B1B">
        <w:rPr>
          <w:lang w:val="en-GB"/>
        </w:rPr>
        <w:t>In any case the evaluators try to answer the question: “To what extent did the change happen due to the NRN intervention?”</w:t>
      </w:r>
    </w:p>
    <w:p w:rsidR="00675B1D" w:rsidRPr="00D75B1B" w:rsidRDefault="00675B1D" w:rsidP="00112F30">
      <w:pPr>
        <w:pStyle w:val="HStandard"/>
        <w:rPr>
          <w:lang w:val="en-GB"/>
        </w:rPr>
      </w:pPr>
      <w:r w:rsidRPr="00D75B1B">
        <w:rPr>
          <w:lang w:val="en-GB"/>
        </w:rPr>
        <w:t>The evaluator’s task in the analysis of NRN effects is to establish a logical series of steps that enable the analysis of the data and information collected during the observing phase.</w:t>
      </w:r>
    </w:p>
    <w:p w:rsidR="00675B1D" w:rsidRPr="00E64639" w:rsidRDefault="00675B1D" w:rsidP="00112F30">
      <w:pPr>
        <w:pStyle w:val="HHeadingfigures"/>
      </w:pPr>
      <w:bookmarkStart w:id="262" w:name="_Toc436383170"/>
      <w:bookmarkStart w:id="263" w:name="_Toc436140078"/>
      <w:bookmarkStart w:id="264" w:name="_Toc451781941"/>
      <w:r w:rsidRPr="00E64639">
        <w:t>The analysing phase</w:t>
      </w:r>
      <w:bookmarkEnd w:id="262"/>
      <w:bookmarkEnd w:id="263"/>
      <w:bookmarkEnd w:id="264"/>
    </w:p>
    <w:p w:rsidR="00675B1D" w:rsidRPr="00E64639" w:rsidRDefault="00675B1D" w:rsidP="00112F30">
      <w:pPr>
        <w:jc w:val="center"/>
      </w:pPr>
      <w:r w:rsidRPr="00E64639">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D75B1B" w:rsidRDefault="00675B1D" w:rsidP="00320535">
      <w:pPr>
        <w:pStyle w:val="HHeading3"/>
        <w:rPr>
          <w:lang w:val="en-GB"/>
        </w:rPr>
      </w:pPr>
      <w:bookmarkStart w:id="265" w:name="_Toc433481250"/>
      <w:bookmarkStart w:id="266" w:name="_Toc433718156"/>
      <w:bookmarkStart w:id="267" w:name="_Toc434744530"/>
      <w:bookmarkStart w:id="268" w:name="_Toc443491691"/>
      <w:bookmarkStart w:id="269" w:name="_Toc453079774"/>
      <w:r w:rsidRPr="00D75B1B">
        <w:rPr>
          <w:lang w:val="en-GB"/>
        </w:rPr>
        <w:t>Introductory qualitative analysis and formulation of testable hypotheses</w:t>
      </w:r>
      <w:bookmarkEnd w:id="265"/>
      <w:bookmarkEnd w:id="266"/>
      <w:bookmarkEnd w:id="267"/>
      <w:bookmarkEnd w:id="268"/>
      <w:bookmarkEnd w:id="269"/>
    </w:p>
    <w:p w:rsidR="00675B1D" w:rsidRPr="00D75B1B" w:rsidRDefault="00675B1D" w:rsidP="00112F30">
      <w:pPr>
        <w:pStyle w:val="HStandard"/>
        <w:rPr>
          <w:lang w:val="en-GB"/>
        </w:rPr>
      </w:pPr>
      <w:r w:rsidRPr="00D75B1B">
        <w:rPr>
          <w:lang w:val="en-GB"/>
        </w:rP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675B1D" w:rsidRPr="00D75B1B" w:rsidRDefault="00675B1D" w:rsidP="00112F30">
      <w:pPr>
        <w:pStyle w:val="HStandard"/>
        <w:rPr>
          <w:lang w:val="en-GB"/>
        </w:rPr>
      </w:pPr>
      <w:r w:rsidRPr="00D75B1B">
        <w:rPr>
          <w:lang w:val="en-GB"/>
        </w:rPr>
        <w:t>The provision of stakeholders’, beneficiaries’ and associated experts’ perspectives on the NRN’s performance is valuable, particularly with regard to unintended or indirect effects.</w:t>
      </w:r>
    </w:p>
    <w:p w:rsidR="00675B1D" w:rsidRPr="00D75B1B" w:rsidRDefault="00675B1D" w:rsidP="00112F30">
      <w:pPr>
        <w:pStyle w:val="HStandard"/>
        <w:rPr>
          <w:lang w:val="en-GB"/>
        </w:rPr>
      </w:pPr>
      <w:r w:rsidRPr="00D75B1B">
        <w:rPr>
          <w:lang w:val="en-GB"/>
        </w:rPr>
        <w:t>This step will culminate in the formulation of testable hypotheses based on the single common evaluation question for NRNs and its related judgment criteria, and on the NRN-specific evaluation questions and judgment criteria.</w:t>
      </w:r>
    </w:p>
    <w:p w:rsidR="00675B1D" w:rsidRPr="00E64639" w:rsidRDefault="00675B1D" w:rsidP="00320535">
      <w:pPr>
        <w:pStyle w:val="HHeading3"/>
        <w:rPr>
          <w:rFonts w:eastAsia="Calibri"/>
        </w:rPr>
      </w:pPr>
      <w:bookmarkStart w:id="270" w:name="_Toc443491692"/>
      <w:bookmarkStart w:id="271" w:name="_Toc433481251"/>
      <w:bookmarkStart w:id="272" w:name="_Toc433718157"/>
      <w:bookmarkStart w:id="273" w:name="_Toc434744531"/>
      <w:bookmarkStart w:id="274" w:name="_Toc443491693"/>
      <w:bookmarkStart w:id="275" w:name="_Toc453079775"/>
      <w:bookmarkEnd w:id="270"/>
      <w:r w:rsidRPr="00E64639">
        <w:t>Testing and verification of hypotheses</w:t>
      </w:r>
      <w:bookmarkEnd w:id="271"/>
      <w:bookmarkEnd w:id="272"/>
      <w:bookmarkEnd w:id="273"/>
      <w:bookmarkEnd w:id="274"/>
      <w:bookmarkEnd w:id="275"/>
    </w:p>
    <w:p w:rsidR="00675B1D" w:rsidRPr="00D75B1B" w:rsidRDefault="00675B1D" w:rsidP="00112F30">
      <w:pPr>
        <w:pStyle w:val="HStandard"/>
        <w:rPr>
          <w:rFonts w:eastAsia="Calibri"/>
          <w:lang w:val="en-GB"/>
        </w:rPr>
      </w:pPr>
      <w:r w:rsidRPr="00D75B1B">
        <w:rPr>
          <w:lang w:val="en-GB"/>
        </w:rP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675B1D" w:rsidRPr="00D75B1B" w:rsidRDefault="00675B1D" w:rsidP="00112F30">
      <w:pPr>
        <w:pStyle w:val="HStandard"/>
        <w:rPr>
          <w:rFonts w:eastAsia="Calibri"/>
          <w:lang w:val="en-GB"/>
        </w:rPr>
      </w:pPr>
      <w:r w:rsidRPr="00D75B1B">
        <w:rPr>
          <w:lang w:val="en-GB"/>
        </w:rP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sidRPr="00E64639">
        <w:rPr>
          <w:rFonts w:eastAsia="Calibri"/>
        </w:rPr>
        <w:fldChar w:fldCharType="begin" w:fldLock="1"/>
      </w:r>
      <w:r w:rsidRPr="00D75B1B">
        <w:rPr>
          <w:rFonts w:eastAsia="Calibri"/>
          <w:lang w:val="en-GB"/>
        </w:rPr>
        <w:instrText xml:space="preserve"> REF _Ref451784787 \r \h  \* MERGEFORMAT </w:instrText>
      </w:r>
      <w:r w:rsidRPr="00E64639">
        <w:rPr>
          <w:rFonts w:eastAsia="Calibri"/>
        </w:rPr>
      </w:r>
      <w:r w:rsidRPr="00E64639">
        <w:rPr>
          <w:rFonts w:eastAsia="Calibri"/>
        </w:rPr>
        <w:fldChar w:fldCharType="separate"/>
      </w:r>
      <w:r w:rsidRPr="00D75B1B">
        <w:rPr>
          <w:rFonts w:eastAsia="Calibri"/>
          <w:lang w:val="en-GB"/>
        </w:rPr>
        <w:t>Figure 8</w:t>
      </w:r>
      <w:r w:rsidRPr="00E64639">
        <w:rPr>
          <w:rFonts w:eastAsia="Calibri"/>
        </w:rPr>
        <w:fldChar w:fldCharType="end"/>
      </w:r>
      <w:r w:rsidRPr="00D75B1B">
        <w:rPr>
          <w:lang w:val="en-GB"/>
        </w:rPr>
        <w:t xml:space="preserve"> in chapter 1.4.2).</w:t>
      </w:r>
    </w:p>
    <w:p w:rsidR="00675B1D" w:rsidRPr="00D75B1B" w:rsidRDefault="00675B1D" w:rsidP="00112F30">
      <w:pPr>
        <w:pStyle w:val="HStandard"/>
        <w:rPr>
          <w:rFonts w:eastAsia="Calibri"/>
          <w:lang w:val="en-GB"/>
        </w:rPr>
      </w:pPr>
      <w:r w:rsidRPr="00D75B1B">
        <w:rPr>
          <w:lang w:val="en-GB"/>
        </w:rP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rsidRPr="00D75B1B">
        <w:rPr>
          <w:lang w:val="en-GB"/>
        </w:rPr>
        <w:lastRenderedPageBreak/>
        <w:t>observation point). This can be very helpful in focus group settings, validating the preliminary evaluation outcomes.</w:t>
      </w:r>
    </w:p>
    <w:p w:rsidR="00675B1D" w:rsidRPr="00D75B1B" w:rsidRDefault="00675B1D" w:rsidP="00112F30">
      <w:pPr>
        <w:pStyle w:val="Heading6"/>
        <w:rPr>
          <w:lang w:val="en-GB"/>
        </w:rPr>
      </w:pPr>
      <w:r w:rsidRPr="00D75B1B">
        <w:rPr>
          <w:lang w:val="en-GB"/>
        </w:rPr>
        <w:t>Who is an ‘actor’?</w:t>
      </w:r>
    </w:p>
    <w:p w:rsidR="00675B1D" w:rsidRPr="00D75B1B" w:rsidRDefault="00675B1D" w:rsidP="00112F30">
      <w:pPr>
        <w:pStyle w:val="HStandard"/>
        <w:rPr>
          <w:lang w:val="en-GB"/>
        </w:rPr>
      </w:pPr>
      <w:r w:rsidRPr="00D75B1B">
        <w:rPr>
          <w:lang w:val="en-GB"/>
        </w:rP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675B1D" w:rsidRPr="00D75B1B" w:rsidRDefault="00675B1D" w:rsidP="00112F30">
      <w:pPr>
        <w:pStyle w:val="HStandard"/>
        <w:rPr>
          <w:lang w:val="en-GB"/>
        </w:rPr>
      </w:pPr>
      <w:r w:rsidRPr="00D75B1B">
        <w:rPr>
          <w:lang w:val="en-GB"/>
        </w:rPr>
        <w:t>The methodology of Critical Systems Heuristics may help us to make a better choice of actors (when it comes to selecting interview partners, focus group participants, etc.) for evaluation purposes.</w:t>
      </w:r>
    </w:p>
    <w:p w:rsidR="00675B1D" w:rsidRPr="00D75B1B" w:rsidRDefault="00675B1D" w:rsidP="00112F30">
      <w:pPr>
        <w:pStyle w:val="HStandard"/>
        <w:rPr>
          <w:lang w:val="en-GB"/>
        </w:rPr>
      </w:pPr>
      <w:r w:rsidRPr="00D75B1B">
        <w:rPr>
          <w:lang w:val="en-GB"/>
        </w:rPr>
        <w:t xml:space="preserve">Critical Systems Heuristics, originally developed by Werner Ulrich and Martin Reynolds, distinguishes between: </w:t>
      </w:r>
    </w:p>
    <w:p w:rsidR="00675B1D" w:rsidRPr="00D75B1B" w:rsidRDefault="00675B1D" w:rsidP="00112F30">
      <w:pPr>
        <w:pStyle w:val="Hlistbullet2"/>
        <w:rPr>
          <w:lang w:val="en-GB"/>
        </w:rPr>
      </w:pPr>
      <w:r w:rsidRPr="00D75B1B">
        <w:rPr>
          <w:b/>
          <w:lang w:val="en-GB"/>
        </w:rPr>
        <w:t>Clients</w:t>
      </w:r>
      <w:r w:rsidRPr="00D75B1B">
        <w:rPr>
          <w:lang w:val="en-GB"/>
        </w:rPr>
        <w:t xml:space="preserve"> (in our terminology ‘beneficiaries’); they are the sources of motivation for any Rural Development Programme; they stand for the purpose of RDPs/NRN(P)s.</w:t>
      </w:r>
    </w:p>
    <w:p w:rsidR="00675B1D" w:rsidRPr="00D75B1B" w:rsidRDefault="00675B1D" w:rsidP="00112F30">
      <w:pPr>
        <w:pStyle w:val="Hlistbullet2"/>
        <w:rPr>
          <w:lang w:val="en-GB"/>
        </w:rPr>
      </w:pPr>
      <w:r w:rsidRPr="00D75B1B">
        <w:rPr>
          <w:b/>
          <w:lang w:val="en-GB"/>
        </w:rPr>
        <w:t>Decision-makers</w:t>
      </w:r>
      <w:r w:rsidRPr="00D75B1B">
        <w:rPr>
          <w:lang w:val="en-GB"/>
        </w:rPr>
        <w:t xml:space="preserve"> (usually addressed as ‘stakeholders’); they are the sources of power in the design, implementation and evaluation of any Rural Development Programme; they stand for the provision of resources of RDPs/NRN(P)s.</w:t>
      </w:r>
    </w:p>
    <w:p w:rsidR="00675B1D" w:rsidRPr="00D75B1B" w:rsidRDefault="00675B1D" w:rsidP="00112F30">
      <w:pPr>
        <w:pStyle w:val="Hlistbullet2"/>
        <w:rPr>
          <w:lang w:val="en-GB"/>
        </w:rPr>
      </w:pPr>
      <w:r w:rsidRPr="00D75B1B">
        <w:rPr>
          <w:b/>
          <w:lang w:val="en-GB"/>
        </w:rPr>
        <w:t xml:space="preserve">Professionals </w:t>
      </w:r>
      <w:r w:rsidRPr="00D75B1B">
        <w:rPr>
          <w:lang w:val="en-GB"/>
        </w:rP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D75B1B">
        <w:rPr>
          <w:rFonts w:ascii="ZWAdobeF" w:hAnsi="ZWAdobeF"/>
          <w:color w:val="auto"/>
          <w:sz w:val="2"/>
          <w:lang w:val="en-GB"/>
        </w:rPr>
        <w:t>118F</w:t>
      </w:r>
      <w:r w:rsidRPr="00E64639">
        <w:rPr>
          <w:rStyle w:val="FootnoteReference"/>
        </w:rPr>
        <w:footnoteReference w:id="119"/>
      </w:r>
      <w:r w:rsidRPr="00D75B1B">
        <w:rPr>
          <w:lang w:val="en-GB"/>
        </w:rPr>
        <w:t>, although they also play a role among the others.</w:t>
      </w:r>
    </w:p>
    <w:p w:rsidR="00675B1D" w:rsidRPr="00D75B1B" w:rsidRDefault="00675B1D" w:rsidP="00112F30">
      <w:pPr>
        <w:pStyle w:val="Hlistbullet2"/>
        <w:rPr>
          <w:lang w:val="en-GB"/>
        </w:rPr>
      </w:pPr>
      <w:r w:rsidRPr="00D75B1B">
        <w:rPr>
          <w:b/>
          <w:lang w:val="en-GB"/>
        </w:rPr>
        <w:t>Witnesses</w:t>
      </w:r>
      <w:r w:rsidRPr="00D75B1B">
        <w:rPr>
          <w:lang w:val="en-GB"/>
        </w:rP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675B1D" w:rsidRPr="00D75B1B" w:rsidRDefault="00675B1D" w:rsidP="00320535">
      <w:pPr>
        <w:pStyle w:val="HHeading3"/>
        <w:rPr>
          <w:lang w:val="en-GB"/>
        </w:rPr>
      </w:pPr>
      <w:bookmarkStart w:id="276" w:name="_Toc443491694"/>
      <w:bookmarkStart w:id="277" w:name="_Toc433481252"/>
      <w:bookmarkStart w:id="278" w:name="_Toc433718158"/>
      <w:bookmarkStart w:id="279" w:name="_Toc434744532"/>
      <w:bookmarkStart w:id="280" w:name="_Toc443491695"/>
      <w:bookmarkStart w:id="281" w:name="_Toc453079776"/>
      <w:bookmarkEnd w:id="276"/>
      <w:r w:rsidRPr="00D75B1B">
        <w:rPr>
          <w:lang w:val="en-GB"/>
        </w:rPr>
        <w:t>Identifying net results of NRN interventions</w:t>
      </w:r>
      <w:bookmarkEnd w:id="277"/>
      <w:bookmarkEnd w:id="278"/>
      <w:bookmarkEnd w:id="279"/>
      <w:bookmarkEnd w:id="280"/>
      <w:bookmarkEnd w:id="281"/>
    </w:p>
    <w:p w:rsidR="00675B1D" w:rsidRPr="00D75B1B" w:rsidRDefault="00675B1D" w:rsidP="00112F30">
      <w:pPr>
        <w:pStyle w:val="HStandard"/>
        <w:rPr>
          <w:lang w:val="en-GB"/>
        </w:rPr>
      </w:pPr>
      <w:r w:rsidRPr="00D75B1B">
        <w:rPr>
          <w:lang w:val="en-GB"/>
        </w:rPr>
        <w:t>Whenever possible, the results and impacts of NRN interventions should be expressed in net terms, which means after taking into account the effects that cannot be attributed to the NRN activities, and by taking into account indirect effects</w:t>
      </w:r>
      <w:r w:rsidRPr="00D75B1B">
        <w:rPr>
          <w:rFonts w:ascii="ZWAdobeF" w:hAnsi="ZWAdobeF"/>
          <w:color w:val="auto"/>
          <w:sz w:val="2"/>
          <w:lang w:val="en-GB"/>
        </w:rPr>
        <w:t>119F</w:t>
      </w:r>
      <w:r w:rsidRPr="00E64639">
        <w:rPr>
          <w:rStyle w:val="FootnoteReference"/>
        </w:rPr>
        <w:footnoteReference w:id="120"/>
      </w:r>
      <w:r w:rsidRPr="00D75B1B">
        <w:rPr>
          <w:lang w:val="en-GB"/>
        </w:rPr>
        <w:t xml:space="preserve"> (e.g. multiplier effects of activities which go beyond the group of direct and indirect NRN beneficiaries). The evaluator should specify in detail what elements have been accounted for when calculating programme net effects. </w:t>
      </w:r>
    </w:p>
    <w:p w:rsidR="00675B1D" w:rsidRPr="00D75B1B" w:rsidRDefault="00675B1D" w:rsidP="00112F30">
      <w:pPr>
        <w:pStyle w:val="HStandard"/>
        <w:rPr>
          <w:rFonts w:eastAsia="Calibri"/>
          <w:lang w:val="en-GB"/>
        </w:rPr>
      </w:pPr>
      <w:r w:rsidRPr="00D75B1B">
        <w:rPr>
          <w:lang w:val="en-GB"/>
        </w:rP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sidRPr="00D75B1B">
        <w:rPr>
          <w:rFonts w:ascii="ZWAdobeF" w:hAnsi="ZWAdobeF"/>
          <w:color w:val="auto"/>
          <w:sz w:val="2"/>
          <w:lang w:val="en-GB"/>
        </w:rPr>
        <w:t>120F</w:t>
      </w:r>
      <w:r w:rsidRPr="00E64639">
        <w:rPr>
          <w:rStyle w:val="FootnoteReference"/>
        </w:rPr>
        <w:footnoteReference w:id="121"/>
      </w:r>
      <w:r w:rsidRPr="00D75B1B">
        <w:rPr>
          <w:lang w:val="en-GB"/>
        </w:rP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112F30">
        <w:tc>
          <w:tcPr>
            <w:tcW w:w="9016" w:type="dxa"/>
            <w:shd w:val="clear" w:color="auto" w:fill="F5F4F4" w:themeFill="background2" w:themeFillTint="66"/>
          </w:tcPr>
          <w:p w:rsidR="00675B1D" w:rsidRPr="00E64639" w:rsidRDefault="00675B1D" w:rsidP="00112F30">
            <w:pPr>
              <w:pStyle w:val="HStandard"/>
              <w:rPr>
                <w:highlight w:val="yellow"/>
              </w:rPr>
            </w:pPr>
            <w:r w:rsidRPr="00E64639">
              <w:rPr>
                <w:highlight w:val="yellow"/>
              </w:rPr>
              <w:t>Domande guida per la fase di analisi:</w:t>
            </w:r>
          </w:p>
          <w:p w:rsidR="00675B1D" w:rsidRPr="00E64639" w:rsidRDefault="00675B1D" w:rsidP="00675B1D">
            <w:pPr>
              <w:pStyle w:val="Hlistbullet2"/>
              <w:rPr>
                <w:highlight w:val="yellow"/>
              </w:rPr>
            </w:pPr>
            <w:r w:rsidRPr="00E64639">
              <w:rPr>
                <w:highlight w:val="yellow"/>
              </w:rPr>
              <w:lastRenderedPageBreak/>
              <w:t xml:space="preserve">come possiamo valutare il contributo della RRN agli obiettivi della politica di sviluppo rurale? </w:t>
            </w:r>
          </w:p>
          <w:p w:rsidR="00675B1D" w:rsidRPr="00E64639" w:rsidRDefault="00675B1D" w:rsidP="00675B1D">
            <w:pPr>
              <w:pStyle w:val="Hlistbullet2"/>
              <w:rPr>
                <w:highlight w:val="yellow"/>
              </w:rPr>
            </w:pPr>
            <w:r>
              <w:rPr>
                <w:highlight w:val="yellow"/>
              </w:rPr>
              <w:t>C</w:t>
            </w:r>
            <w:r w:rsidRPr="00E64639">
              <w:rPr>
                <w:highlight w:val="yellow"/>
              </w:rPr>
              <w:t>ome possiamo attribuire agli interventi della RRN i cambiamenti osservati nel capitale umano e sociale a livello individuale, organizzativo e sociale? (ad esempio, cambiamenti in termini di comportamento, conoscenze, abilità e capacità, attività in rete e capacità di comunicazione, governance delle zone rurali, ecc.)?</w:t>
            </w:r>
          </w:p>
          <w:p w:rsidR="00675B1D" w:rsidRPr="00E64639" w:rsidRDefault="00675B1D" w:rsidP="00675B1D">
            <w:pPr>
              <w:pStyle w:val="Hlistbullet2"/>
              <w:rPr>
                <w:highlight w:val="yellow"/>
              </w:rPr>
            </w:pPr>
            <w:r>
              <w:rPr>
                <w:highlight w:val="yellow"/>
              </w:rPr>
              <w:t>Q</w:t>
            </w:r>
            <w:r w:rsidRPr="00E64639">
              <w:rPr>
                <w:highlight w:val="yellow"/>
              </w:rPr>
              <w:t>uali sono le principali differenze tra la teoria del cambiamento che sta alla base della logica di intervento e il modo in cui le cose sembrano svolgersi in realtà?</w:t>
            </w:r>
          </w:p>
          <w:p w:rsidR="00675B1D" w:rsidRPr="00E64639" w:rsidRDefault="00675B1D" w:rsidP="00675B1D">
            <w:pPr>
              <w:pStyle w:val="Hlistbullet2"/>
              <w:rPr>
                <w:highlight w:val="yellow"/>
              </w:rPr>
            </w:pPr>
            <w:r>
              <w:rPr>
                <w:highlight w:val="yellow"/>
              </w:rPr>
              <w:t>Q</w:t>
            </w:r>
            <w:r w:rsidRPr="00E64639">
              <w:rPr>
                <w:highlight w:val="yellow"/>
              </w:rPr>
              <w:t>uali sono gli effetti non intenzionali degli interventi della RRN? quali di questi sono desiderabili e quali no? come possiamo rilevarli e spiegare la loro presenza?</w:t>
            </w:r>
          </w:p>
        </w:tc>
      </w:tr>
    </w:tbl>
    <w:p w:rsidR="00675B1D" w:rsidRPr="00E64639" w:rsidRDefault="00675B1D" w:rsidP="00D35287">
      <w:pPr>
        <w:pStyle w:val="HHeading5"/>
        <w:rPr>
          <w:highlight w:val="yellow"/>
        </w:rPr>
      </w:pPr>
      <w:r w:rsidRPr="00E64639">
        <w:rPr>
          <w:highlight w:val="yellow"/>
        </w:rPr>
        <w:lastRenderedPageBreak/>
        <w:t xml:space="preserve">Cosa fare e cosa non fare </w:t>
      </w:r>
    </w:p>
    <w:tbl>
      <w:tblPr>
        <w:tblStyle w:val="LightList-Accent5"/>
        <w:tblW w:w="0" w:type="auto"/>
        <w:tblLook w:val="04A0" w:firstRow="1" w:lastRow="0" w:firstColumn="1" w:lastColumn="0" w:noHBand="0" w:noVBand="1"/>
      </w:tblPr>
      <w:tblGrid>
        <w:gridCol w:w="4502"/>
        <w:gridCol w:w="4504"/>
      </w:tblGrid>
      <w:tr w:rsidR="00675B1D" w:rsidRPr="00E64639"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675B1D" w:rsidRPr="00E64639" w:rsidRDefault="00675B1D" w:rsidP="00445E97">
            <w:pPr>
              <w:pStyle w:val="HHeading5"/>
              <w:jc w:val="center"/>
              <w:rPr>
                <w:highlight w:val="yellow"/>
              </w:rPr>
            </w:pPr>
            <w:r w:rsidRPr="00E64639">
              <w:rPr>
                <w:noProof/>
                <w:highlight w:val="yellow"/>
                <w:lang w:val="en-GB" w:eastAsia="en-GB" w:bidi="ar-SA"/>
              </w:rPr>
              <w:drawing>
                <wp:inline distT="0" distB="0" distL="0" distR="0" wp14:anchorId="3D235546" wp14:editId="0F8B23F7">
                  <wp:extent cx="360000" cy="360000"/>
                  <wp:effectExtent l="0"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675B1D" w:rsidRPr="00E64639" w:rsidRDefault="00675B1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sidRPr="00E64639">
              <w:rPr>
                <w:noProof/>
                <w:highlight w:val="yellow"/>
                <w:lang w:val="en-GB" w:eastAsia="en-GB" w:bidi="ar-SA"/>
              </w:rPr>
              <w:drawing>
                <wp:inline distT="0" distB="0" distL="0" distR="0" wp14:anchorId="67EF83C9" wp14:editId="6A9F93AD">
                  <wp:extent cx="360000" cy="360000"/>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 xml:space="preserve">Usare la logica di intervento e le domande di valutazione come contesto per le ipotesi. </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 xml:space="preserve">Considerare il contributo della RRN alla realizzazione degli obiettivi di politica rurale. </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Concentrarsi sui cambiamenti nel capitale umano e sociale, ossia sui cambiamenti del comportamento dei partner limitrofi e sugli effetti conseguenti.</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Prendere in considerazione l'analisi controfattuale come uno strumento importante per attribuire i cambiamenti osservati all'intervento della RRN.</w:t>
            </w:r>
          </w:p>
          <w:p w:rsidR="00675B1D" w:rsidRPr="00E64639" w:rsidRDefault="00675B1D" w:rsidP="009E0A00">
            <w:pPr>
              <w:pStyle w:val="HStandard"/>
              <w:rPr>
                <w:color w:val="FFC000" w:themeColor="accent4"/>
                <w:highlight w:val="yellow"/>
              </w:rPr>
            </w:pPr>
            <w:r w:rsidRPr="00E64639">
              <w:rPr>
                <w:b w:val="0"/>
                <w:color w:val="FFC000" w:themeColor="accent4"/>
                <w:sz w:val="18"/>
                <w:highlight w:val="yellow"/>
              </w:rPr>
              <w:t>Anche se l'analisi controfattuale non è possibile, tentare un approccio analogo ponendo domande appropriate e utilizzando fonti multiple per estrarre i risultati e gli effetti della RRN.</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Basarsi soltanto sulla propria interpretazione dei fatti.</w:t>
            </w:r>
          </w:p>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Trarre conclusioni sulla base di risultanze ottenute con un unico metodo.</w:t>
            </w:r>
          </w:p>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 xml:space="preserve">Passare in rassegna meccanicamente le domande di valutazione, senza esaminare a fondo le informazioni. </w:t>
            </w:r>
          </w:p>
          <w:p w:rsidR="00675B1D" w:rsidRPr="00E64639" w:rsidRDefault="00675B1D" w:rsidP="004E28E2">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sidRPr="00E64639">
              <w:rPr>
                <w:color w:val="ED7D31" w:themeColor="accent2"/>
                <w:sz w:val="18"/>
                <w:highlight w:val="yellow"/>
              </w:rPr>
              <w:t>Limitarsi a un semplice confronto prima-dopo senza nemmeno discutere altri possibili fattori incidenti.</w:t>
            </w:r>
          </w:p>
        </w:tc>
      </w:tr>
    </w:tbl>
    <w:p w:rsidR="00675B1D" w:rsidRPr="00E64639" w:rsidRDefault="00675B1D" w:rsidP="00D35287">
      <w:pPr>
        <w:pStyle w:val="HHeading5"/>
      </w:pPr>
      <w:r w:rsidRPr="00E64639">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675B1D" w:rsidRPr="00D75B1B" w:rsidTr="00112F30">
        <w:tc>
          <w:tcPr>
            <w:tcW w:w="9918" w:type="dxa"/>
            <w:shd w:val="clear" w:color="auto" w:fill="F5F4F4" w:themeFill="background2" w:themeFillTint="66"/>
          </w:tcPr>
          <w:p w:rsidR="00675B1D" w:rsidRPr="00D75B1B" w:rsidRDefault="00675B1D" w:rsidP="00112F30">
            <w:pPr>
              <w:pStyle w:val="HStandard"/>
              <w:rPr>
                <w:sz w:val="16"/>
                <w:szCs w:val="16"/>
                <w:lang w:val="en-GB"/>
              </w:rPr>
            </w:pPr>
            <w:r w:rsidRPr="00D75B1B">
              <w:rPr>
                <w:sz w:val="16"/>
                <w:lang w:val="en-GB"/>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675B1D" w:rsidRPr="00D75B1B" w:rsidRDefault="00675B1D" w:rsidP="00112F30">
            <w:pPr>
              <w:pStyle w:val="HStandard"/>
              <w:rPr>
                <w:sz w:val="16"/>
                <w:szCs w:val="16"/>
                <w:lang w:val="en-GB"/>
              </w:rPr>
            </w:pPr>
            <w:r w:rsidRPr="00D75B1B">
              <w:rPr>
                <w:sz w:val="16"/>
                <w:lang w:val="en-GB"/>
              </w:rPr>
              <w:t xml:space="preserve">There is a brief description of the Critical Systems Heuristics approach on the BetterEvaluation website: </w:t>
            </w:r>
            <w:hyperlink r:id="rId54">
              <w:r w:rsidRPr="00D75B1B">
                <w:rPr>
                  <w:rStyle w:val="Hyperlink"/>
                  <w:sz w:val="16"/>
                  <w:lang w:val="en-GB"/>
                </w:rPr>
                <w:t>http://betterevaluation.org/plan/approach/critical_system_heuristics</w:t>
              </w:r>
            </w:hyperlink>
            <w:r w:rsidRPr="00D75B1B">
              <w:rPr>
                <w:sz w:val="16"/>
                <w:lang w:val="en-GB"/>
              </w:rPr>
              <w:t xml:space="preserve"> </w:t>
            </w:r>
          </w:p>
          <w:p w:rsidR="00675B1D" w:rsidRPr="00D75B1B" w:rsidRDefault="00675B1D" w:rsidP="00112F30">
            <w:pPr>
              <w:pStyle w:val="HStandard"/>
              <w:rPr>
                <w:sz w:val="16"/>
                <w:szCs w:val="16"/>
                <w:lang w:val="en-GB"/>
              </w:rPr>
            </w:pPr>
            <w:r w:rsidRPr="00D75B1B">
              <w:rPr>
                <w:sz w:val="16"/>
                <w:lang w:val="en-GB"/>
              </w:rPr>
              <w:t xml:space="preserve">For the basics of the CSH approach see: </w:t>
            </w:r>
            <w:r w:rsidRPr="00D75B1B">
              <w:rPr>
                <w:color w:val="000000"/>
                <w:sz w:val="16"/>
                <w:lang w:val="en-GB"/>
              </w:rPr>
              <w:t>Reynolds, M (2007). “Evaluation based on critical systems heuristics.” In Using Systems Concepts in Evaluation: An Expert Anthology, edited by Bob Williams and Iraj Imam, 101-122. Point Reyes, CA: EdgePress. Available online at: </w:t>
            </w:r>
            <w:hyperlink r:id="rId55">
              <w:r w:rsidRPr="00D75B1B">
                <w:rPr>
                  <w:rStyle w:val="Hyperlink"/>
                  <w:sz w:val="16"/>
                  <w:lang w:val="en-GB"/>
                </w:rPr>
                <w:t>http://oro.open.ac.uk/3464/</w:t>
              </w:r>
            </w:hyperlink>
          </w:p>
        </w:tc>
      </w:tr>
    </w:tbl>
    <w:p w:rsidR="00675B1D" w:rsidRPr="00E64639" w:rsidRDefault="00675B1D" w:rsidP="00320535">
      <w:pPr>
        <w:pStyle w:val="HHeading2"/>
        <w:rPr>
          <w:highlight w:val="yellow"/>
        </w:rPr>
      </w:pPr>
      <w:bookmarkStart w:id="282" w:name="_Toc433481253"/>
      <w:bookmarkStart w:id="283" w:name="_Toc433718159"/>
      <w:bookmarkStart w:id="284" w:name="_Toc434744533"/>
      <w:bookmarkStart w:id="285" w:name="_Toc433481254"/>
      <w:bookmarkStart w:id="286" w:name="_Toc433718160"/>
      <w:bookmarkStart w:id="287" w:name="_Toc434744534"/>
      <w:bookmarkStart w:id="288" w:name="_Toc433481255"/>
      <w:bookmarkStart w:id="289" w:name="_Toc433718161"/>
      <w:bookmarkStart w:id="290" w:name="_Toc434744535"/>
      <w:bookmarkStart w:id="291" w:name="_Toc433481256"/>
      <w:bookmarkStart w:id="292" w:name="_Toc433718162"/>
      <w:bookmarkStart w:id="293" w:name="_Toc434744536"/>
      <w:bookmarkStart w:id="294" w:name="_Toc433481257"/>
      <w:bookmarkStart w:id="295" w:name="_Toc433718163"/>
      <w:bookmarkStart w:id="296" w:name="_Toc434744537"/>
      <w:bookmarkStart w:id="297" w:name="_Toc433481258"/>
      <w:bookmarkStart w:id="298" w:name="_Toc433718164"/>
      <w:bookmarkStart w:id="299" w:name="_Toc434744538"/>
      <w:bookmarkStart w:id="300" w:name="_Toc433481259"/>
      <w:bookmarkStart w:id="301" w:name="_Toc433718165"/>
      <w:bookmarkStart w:id="302" w:name="_Toc434744539"/>
      <w:bookmarkStart w:id="303" w:name="_Toc434744638"/>
      <w:bookmarkStart w:id="304" w:name="_Toc436140064"/>
      <w:bookmarkStart w:id="305" w:name="_Toc443491696"/>
      <w:bookmarkStart w:id="306" w:name="_Toc45307977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sidRPr="00E64639">
        <w:rPr>
          <w:highlight w:val="yellow"/>
        </w:rPr>
        <w:t xml:space="preserve">GIUDICARE: Rispondere alle </w:t>
      </w:r>
      <w:bookmarkEnd w:id="303"/>
      <w:bookmarkEnd w:id="304"/>
      <w:bookmarkEnd w:id="305"/>
      <w:bookmarkEnd w:id="306"/>
      <w:r w:rsidRPr="00E64639">
        <w:rPr>
          <w:highlight w:val="yellow"/>
        </w:rPr>
        <w:t>domande di valutazione</w:t>
      </w:r>
    </w:p>
    <w:p w:rsidR="00675B1D" w:rsidRPr="00D75B1B" w:rsidRDefault="00675B1D" w:rsidP="00112F30">
      <w:pPr>
        <w:pStyle w:val="HStandard"/>
        <w:rPr>
          <w:lang w:val="en-GB"/>
        </w:rPr>
      </w:pPr>
      <w:r w:rsidRPr="00D75B1B">
        <w:rPr>
          <w:lang w:val="en-GB"/>
        </w:rP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w:t>
      </w:r>
      <w:r w:rsidRPr="00D75B1B">
        <w:rPr>
          <w:lang w:val="en-GB"/>
        </w:rPr>
        <w:lastRenderedPageBreak/>
        <w:t xml:space="preserve">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675B1D" w:rsidRPr="00D75B1B" w:rsidRDefault="00675B1D" w:rsidP="00112F30">
      <w:pPr>
        <w:pStyle w:val="HStandard"/>
        <w:rPr>
          <w:lang w:val="en-GB"/>
        </w:rPr>
      </w:pPr>
      <w:r w:rsidRPr="00D75B1B">
        <w:rPr>
          <w:lang w:val="en-GB"/>
        </w:rPr>
        <w:t>The judgment should include a critical discussion of furthering and hindering factors. If certain activities have not delivered the expected results and impacts, an analysis of the reasons is necessary.</w:t>
      </w:r>
    </w:p>
    <w:p w:rsidR="00675B1D" w:rsidRPr="00D75B1B" w:rsidRDefault="00675B1D" w:rsidP="00112F30">
      <w:pPr>
        <w:pStyle w:val="HStandard"/>
        <w:rPr>
          <w:lang w:val="en-GB"/>
        </w:rPr>
      </w:pPr>
      <w:r w:rsidRPr="00D75B1B">
        <w:rPr>
          <w:lang w:val="en-GB"/>
        </w:rPr>
        <w:t>During this phase, evaluators have to accomplish four steps:</w:t>
      </w:r>
    </w:p>
    <w:p w:rsidR="00675B1D" w:rsidRPr="00D75B1B" w:rsidRDefault="00675B1D" w:rsidP="00112F30">
      <w:pPr>
        <w:pStyle w:val="Hlistbullet2"/>
        <w:rPr>
          <w:lang w:val="en-GB"/>
        </w:rPr>
      </w:pPr>
      <w:r w:rsidRPr="00D75B1B">
        <w:rPr>
          <w:lang w:val="en-GB"/>
        </w:rPr>
        <w:t>Judge on the effectiveness and efficiency of the NSU and NRN(P) activities and the degree to which the NRN(P) contributed to achieving rural development policy/RDP objectives and their own objectives;</w:t>
      </w:r>
    </w:p>
    <w:p w:rsidR="00675B1D" w:rsidRPr="00D75B1B" w:rsidRDefault="00675B1D" w:rsidP="00112F30">
      <w:pPr>
        <w:pStyle w:val="Hlistbullet2"/>
        <w:rPr>
          <w:lang w:val="en-GB"/>
        </w:rPr>
      </w:pPr>
      <w:r w:rsidRPr="00D75B1B">
        <w:rPr>
          <w:lang w:val="en-GB"/>
        </w:rPr>
        <w:t>Identify the factors which contributed to the success or failure in achieving the NRN’s objectives;</w:t>
      </w:r>
    </w:p>
    <w:p w:rsidR="00675B1D" w:rsidRPr="00D75B1B" w:rsidRDefault="00675B1D" w:rsidP="00112F30">
      <w:pPr>
        <w:pStyle w:val="Hlistbullet2"/>
        <w:rPr>
          <w:lang w:val="en-GB"/>
        </w:rPr>
      </w:pPr>
      <w:r w:rsidRPr="00D75B1B">
        <w:rPr>
          <w:lang w:val="en-GB"/>
        </w:rPr>
        <w:t>Answer all evaluation questions (common and NRN-specific);</w:t>
      </w:r>
    </w:p>
    <w:p w:rsidR="00675B1D" w:rsidRPr="00D75B1B" w:rsidRDefault="00675B1D" w:rsidP="00112F30">
      <w:pPr>
        <w:pStyle w:val="Hlistbullet2"/>
        <w:rPr>
          <w:lang w:val="en-GB"/>
        </w:rPr>
      </w:pPr>
      <w:r w:rsidRPr="00D75B1B">
        <w:rPr>
          <w:lang w:val="en-GB"/>
        </w:rPr>
        <w:t>Draft conclusions and recommendations based on the findings, including proposing possible adjustments necessary to improve the design, content and implementation of NRN activities.</w:t>
      </w:r>
    </w:p>
    <w:p w:rsidR="00675B1D" w:rsidRPr="00E64639" w:rsidRDefault="00675B1D" w:rsidP="00112F30">
      <w:pPr>
        <w:pStyle w:val="HHeadingfigures"/>
      </w:pPr>
      <w:bookmarkStart w:id="307" w:name="_Toc436383171"/>
      <w:bookmarkStart w:id="308" w:name="_Toc436140079"/>
      <w:bookmarkStart w:id="309" w:name="_Toc451781942"/>
      <w:bookmarkStart w:id="310" w:name="_Ref451784802"/>
      <w:r w:rsidRPr="00E64639">
        <w:t>The judging phase</w:t>
      </w:r>
      <w:bookmarkEnd w:id="307"/>
      <w:bookmarkEnd w:id="308"/>
      <w:bookmarkEnd w:id="309"/>
      <w:bookmarkEnd w:id="310"/>
    </w:p>
    <w:p w:rsidR="00675B1D" w:rsidRPr="00E64639" w:rsidRDefault="00675B1D" w:rsidP="00C0080B">
      <w:pPr>
        <w:jc w:val="center"/>
      </w:pPr>
      <w:r w:rsidRPr="00E64639">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D75B1B" w:rsidRDefault="00675B1D" w:rsidP="00112F30">
      <w:pPr>
        <w:pStyle w:val="HStandard"/>
        <w:rPr>
          <w:lang w:val="en-GB"/>
        </w:rPr>
      </w:pPr>
      <w:r w:rsidRPr="00D75B1B">
        <w:rPr>
          <w:lang w:val="en-GB"/>
        </w:rPr>
        <w:t>The judging phase delivers answers to:</w:t>
      </w:r>
    </w:p>
    <w:p w:rsidR="00675B1D" w:rsidRPr="00D75B1B" w:rsidRDefault="00675B1D" w:rsidP="00112F30">
      <w:pPr>
        <w:pStyle w:val="Hlistbullet2"/>
        <w:rPr>
          <w:lang w:val="en-GB"/>
        </w:rPr>
      </w:pPr>
      <w:r w:rsidRPr="00D75B1B">
        <w:rPr>
          <w:lang w:val="en-GB"/>
        </w:rPr>
        <w:t>the common evaluation question addressing the NRN’s activities: “To what extent has the national rural network contributed to achieving the objectives laid down in Regulation (EU) No 1305/2013, Art.54 (2)”?</w:t>
      </w:r>
      <w:r w:rsidRPr="00D75B1B">
        <w:rPr>
          <w:rFonts w:ascii="ZWAdobeF" w:hAnsi="ZWAdobeF"/>
          <w:color w:val="auto"/>
          <w:sz w:val="2"/>
          <w:lang w:val="en-GB"/>
        </w:rPr>
        <w:t>121F</w:t>
      </w:r>
      <w:r w:rsidRPr="00E64639">
        <w:rPr>
          <w:rStyle w:val="FootnoteReference"/>
        </w:rPr>
        <w:footnoteReference w:id="122"/>
      </w:r>
    </w:p>
    <w:p w:rsidR="00675B1D" w:rsidRPr="00D75B1B" w:rsidRDefault="00675B1D" w:rsidP="00112F30">
      <w:pPr>
        <w:pStyle w:val="Hlistbullet2"/>
        <w:rPr>
          <w:lang w:val="en-GB"/>
        </w:rPr>
      </w:pPr>
      <w:r w:rsidRPr="00D75B1B">
        <w:rPr>
          <w:lang w:val="en-GB"/>
        </w:rPr>
        <w:t>NRN-related programme-specific evaluation questions formulated by the NSU and/or Managing Authority (with or without collaboration with NRN stakeholders) in the preparatory phase or by the evaluators in agreement with the NSU/MA during the structuring phase.</w:t>
      </w:r>
    </w:p>
    <w:p w:rsidR="00675B1D" w:rsidRPr="00D75B1B" w:rsidRDefault="00675B1D" w:rsidP="005F5B2D">
      <w:pPr>
        <w:pStyle w:val="HStandard"/>
        <w:rPr>
          <w:lang w:val="en-GB"/>
        </w:rPr>
      </w:pPr>
      <w:r w:rsidRPr="00E64639">
        <w:lastRenderedPageBreak/>
        <w:fldChar w:fldCharType="begin" w:fldLock="1"/>
      </w:r>
      <w:r w:rsidRPr="00D75B1B">
        <w:rPr>
          <w:lang w:val="en-GB"/>
        </w:rPr>
        <w:instrText xml:space="preserve"> REF _Ref451784802 \r \h  \* MERGEFORMAT </w:instrText>
      </w:r>
      <w:r w:rsidRPr="00E64639">
        <w:fldChar w:fldCharType="separate"/>
      </w:r>
      <w:r w:rsidRPr="00D75B1B">
        <w:rPr>
          <w:lang w:val="en-GB"/>
        </w:rPr>
        <w:t>Figure 23</w:t>
      </w:r>
      <w:r w:rsidRPr="00E64639">
        <w:fldChar w:fldCharType="end"/>
      </w:r>
      <w:r w:rsidRPr="00D75B1B">
        <w:rPr>
          <w:lang w:val="en-GB"/>
        </w:rPr>
        <w:t xml:space="preserve"> shows how the findings are clustered to answer the evaluation questions and feed into conclusions and recommendations. The inferred, i.e. aggregated findings relate to the policy objectives for the NRN.</w:t>
      </w:r>
    </w:p>
    <w:p w:rsidR="00675B1D" w:rsidRPr="00D75B1B" w:rsidRDefault="00675B1D">
      <w:pPr>
        <w:spacing w:after="0" w:line="240" w:lineRule="auto"/>
        <w:rPr>
          <w:rFonts w:cs="Arial"/>
          <w:color w:val="576C88" w:themeColor="text2" w:themeTint="D9"/>
          <w:sz w:val="20"/>
          <w:szCs w:val="20"/>
        </w:rPr>
      </w:pPr>
      <w:r w:rsidRPr="00D75B1B">
        <w:br w:type="page"/>
      </w:r>
    </w:p>
    <w:p w:rsidR="00675B1D" w:rsidRPr="00D75B1B" w:rsidRDefault="00675B1D" w:rsidP="005F5B2D">
      <w:pPr>
        <w:pStyle w:val="HHeadingfigures"/>
        <w:rPr>
          <w:lang w:val="en-GB"/>
        </w:rPr>
      </w:pPr>
      <w:bookmarkStart w:id="311" w:name="_Ref436138850"/>
      <w:bookmarkStart w:id="312" w:name="_Toc436140080"/>
      <w:bookmarkStart w:id="313" w:name="_Toc436383172"/>
      <w:bookmarkStart w:id="314" w:name="_Toc451781943"/>
      <w:r w:rsidRPr="00D75B1B">
        <w:rPr>
          <w:lang w:val="en-GB"/>
        </w:rPr>
        <w:lastRenderedPageBreak/>
        <w:t>Transparent inference ladder from findings to conclusions and recommendations</w:t>
      </w:r>
      <w:bookmarkEnd w:id="311"/>
      <w:bookmarkEnd w:id="312"/>
      <w:bookmarkEnd w:id="313"/>
      <w:bookmarkEnd w:id="314"/>
    </w:p>
    <w:p w:rsidR="00675B1D" w:rsidRPr="00E64639" w:rsidRDefault="00675B1D" w:rsidP="00320BBA">
      <w:r w:rsidRPr="00E64639">
        <w:rPr>
          <w:noProof/>
          <w:lang w:eastAsia="en-GB"/>
        </w:rPr>
        <w:drawing>
          <wp:inline distT="0" distB="0" distL="0" distR="0" wp14:anchorId="1E36E53E" wp14:editId="3B052D34">
            <wp:extent cx="5731510" cy="32264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675B1D" w:rsidRPr="00D75B1B" w:rsidRDefault="00675B1D" w:rsidP="00320BBA">
      <w:pPr>
        <w:pStyle w:val="HSource"/>
        <w:rPr>
          <w:lang w:val="en-GB"/>
        </w:rPr>
      </w:pPr>
      <w:r w:rsidRPr="00D75B1B">
        <w:rPr>
          <w:lang w:val="en-GB"/>
        </w:rPr>
        <w:t>Source: European Evaluation Helpdesk for Rural Development, 2016</w:t>
      </w:r>
    </w:p>
    <w:p w:rsidR="00675B1D" w:rsidRPr="00D75B1B" w:rsidRDefault="00675B1D" w:rsidP="005133B2">
      <w:pPr>
        <w:pStyle w:val="HHeading3"/>
        <w:rPr>
          <w:lang w:val="en-GB"/>
        </w:rPr>
      </w:pPr>
      <w:bookmarkStart w:id="315" w:name="_Toc433481360"/>
      <w:bookmarkStart w:id="316" w:name="_Toc443491698"/>
      <w:bookmarkStart w:id="317" w:name="_Toc453079778"/>
      <w:r w:rsidRPr="00D75B1B">
        <w:rPr>
          <w:lang w:val="en-GB"/>
        </w:rPr>
        <w:t>Judge on effectiveness and efficiency of the NRN, results/</w:t>
      </w:r>
      <w:bookmarkEnd w:id="315"/>
      <w:r w:rsidRPr="00D75B1B">
        <w:rPr>
          <w:lang w:val="en-GB"/>
        </w:rPr>
        <w:t>impacts and the degree of achievement of objectives</w:t>
      </w:r>
      <w:bookmarkEnd w:id="316"/>
      <w:bookmarkEnd w:id="317"/>
    </w:p>
    <w:p w:rsidR="00675B1D" w:rsidRPr="00D75B1B" w:rsidRDefault="00675B1D" w:rsidP="005F5B2D">
      <w:pPr>
        <w:pStyle w:val="HStandard"/>
        <w:rPr>
          <w:lang w:val="en-GB"/>
        </w:rPr>
      </w:pPr>
      <w:r w:rsidRPr="00D75B1B">
        <w:rPr>
          <w:lang w:val="en-GB"/>
        </w:rPr>
        <w:t>The various findings on the effectiveness of network activities towards NRN related policy objectives (programme, national, EU), NRN results/impacts and on the efficiency of the NRN in terms of achieving the best value for money are interpreted and judged upon.</w:t>
      </w:r>
    </w:p>
    <w:p w:rsidR="00675B1D" w:rsidRPr="00D75B1B" w:rsidRDefault="00675B1D" w:rsidP="005133B2">
      <w:pPr>
        <w:pStyle w:val="HHeading3"/>
        <w:rPr>
          <w:lang w:val="en-GB"/>
        </w:rPr>
      </w:pPr>
      <w:bookmarkStart w:id="318" w:name="_Toc433481362"/>
      <w:bookmarkStart w:id="319" w:name="_Toc433718265"/>
      <w:bookmarkStart w:id="320" w:name="_Toc434744639"/>
      <w:bookmarkStart w:id="321" w:name="_Toc443491699"/>
      <w:bookmarkStart w:id="322" w:name="_Toc453079779"/>
      <w:r w:rsidRPr="00D75B1B">
        <w:rPr>
          <w:lang w:val="en-GB"/>
        </w:rPr>
        <w:t>Identify factors of success and failure</w:t>
      </w:r>
      <w:bookmarkEnd w:id="318"/>
      <w:bookmarkEnd w:id="319"/>
      <w:bookmarkEnd w:id="320"/>
      <w:bookmarkEnd w:id="321"/>
      <w:bookmarkEnd w:id="322"/>
    </w:p>
    <w:p w:rsidR="00675B1D" w:rsidRPr="00D75B1B" w:rsidRDefault="00675B1D" w:rsidP="00320BBA">
      <w:pPr>
        <w:pStyle w:val="HStandard"/>
        <w:spacing w:after="0"/>
        <w:rPr>
          <w:lang w:val="en-GB"/>
        </w:rPr>
      </w:pPr>
      <w:bookmarkStart w:id="323" w:name="_Toc433718266"/>
      <w:bookmarkStart w:id="324" w:name="_Toc434744640"/>
      <w:r w:rsidRPr="00D75B1B">
        <w:rPr>
          <w:lang w:val="en-GB"/>
        </w:rP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23"/>
      <w:r w:rsidRPr="00D75B1B">
        <w:rPr>
          <w:lang w:val="en-GB"/>
        </w:rPr>
        <w:t>: Lessons for the future.</w:t>
      </w:r>
      <w:bookmarkEnd w:id="324"/>
    </w:p>
    <w:p w:rsidR="00675B1D" w:rsidRPr="00E64639" w:rsidRDefault="00675B1D" w:rsidP="005133B2">
      <w:pPr>
        <w:pStyle w:val="HHeading3"/>
      </w:pPr>
      <w:bookmarkStart w:id="325" w:name="_Toc443491700"/>
      <w:bookmarkStart w:id="326" w:name="_Toc443491701"/>
      <w:bookmarkStart w:id="327" w:name="_Toc453079780"/>
      <w:bookmarkEnd w:id="325"/>
      <w:r w:rsidRPr="00E64639">
        <w:t>Answer all evaluation questions</w:t>
      </w:r>
      <w:bookmarkEnd w:id="326"/>
      <w:bookmarkEnd w:id="327"/>
    </w:p>
    <w:p w:rsidR="00675B1D" w:rsidRPr="00D75B1B" w:rsidRDefault="00675B1D" w:rsidP="005F5B2D">
      <w:pPr>
        <w:pStyle w:val="HStandard"/>
        <w:rPr>
          <w:lang w:val="en-GB"/>
        </w:rPr>
      </w:pPr>
      <w:r w:rsidRPr="00D75B1B">
        <w:rPr>
          <w:lang w:val="en-GB"/>
        </w:rPr>
        <w:t xml:space="preserve">The evaluation findings provide the basis for answering the common and programme-specific NRN-related evaluation questions. </w:t>
      </w:r>
    </w:p>
    <w:p w:rsidR="00675B1D" w:rsidRPr="00D75B1B" w:rsidRDefault="00675B1D" w:rsidP="005F5B2D">
      <w:pPr>
        <w:pStyle w:val="HStandard"/>
        <w:rPr>
          <w:lang w:val="en-GB"/>
        </w:rPr>
      </w:pPr>
      <w:r w:rsidRPr="00D75B1B">
        <w:rPr>
          <w:lang w:val="en-GB"/>
        </w:rP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rsidRPr="00D75B1B">
        <w:rPr>
          <w:lang w:val="en-GB"/>
        </w:rPr>
        <w:lastRenderedPageBreak/>
        <w:t xml:space="preserve">through increasing their market participation and agricultural diversification?” can be related to the interventions of the NRN geared towards fostering innovation and increasing access to markets. </w:t>
      </w:r>
    </w:p>
    <w:p w:rsidR="00675B1D" w:rsidRPr="00D75B1B" w:rsidRDefault="00675B1D" w:rsidP="005F5B2D">
      <w:pPr>
        <w:pStyle w:val="HStandard"/>
        <w:rPr>
          <w:lang w:val="en-GB"/>
        </w:rPr>
      </w:pPr>
      <w:r w:rsidRPr="00D75B1B">
        <w:rPr>
          <w:lang w:val="en-GB"/>
        </w:rP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675B1D" w:rsidRPr="00D75B1B" w:rsidRDefault="00675B1D" w:rsidP="005F5B2D">
      <w:pPr>
        <w:pStyle w:val="HHeadingtables"/>
        <w:rPr>
          <w:lang w:val="en-GB"/>
        </w:rPr>
      </w:pPr>
      <w:bookmarkStart w:id="328" w:name="_Toc451781918"/>
      <w:r w:rsidRPr="00D75B1B">
        <w:rPr>
          <w:lang w:val="en-GB"/>
        </w:rPr>
        <w:t>Depicting the answers to evaluation questions</w:t>
      </w:r>
      <w:bookmarkEnd w:id="32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675B1D" w:rsidRPr="00E64639" w:rsidTr="005F5B2D">
        <w:trPr>
          <w:trHeight w:val="390"/>
        </w:trPr>
        <w:tc>
          <w:tcPr>
            <w:tcW w:w="9016" w:type="dxa"/>
          </w:tcPr>
          <w:p w:rsidR="00675B1D" w:rsidRPr="00E64639" w:rsidRDefault="00675B1D" w:rsidP="004C05DD">
            <w:r w:rsidRPr="00E64639">
              <w:t>Evaluation Question</w:t>
            </w:r>
          </w:p>
        </w:tc>
      </w:tr>
      <w:tr w:rsidR="00675B1D" w:rsidRPr="00D75B1B" w:rsidTr="005F5B2D">
        <w:trPr>
          <w:trHeight w:val="390"/>
        </w:trPr>
        <w:tc>
          <w:tcPr>
            <w:tcW w:w="9016" w:type="dxa"/>
          </w:tcPr>
          <w:p w:rsidR="00675B1D" w:rsidRPr="00D75B1B" w:rsidRDefault="00675B1D" w:rsidP="004C05DD">
            <w:pPr>
              <w:rPr>
                <w:lang w:val="en-GB"/>
              </w:rPr>
            </w:pPr>
            <w:r w:rsidRPr="00D75B1B">
              <w:rPr>
                <w:lang w:val="en-GB"/>
              </w:rPr>
              <w:t>Means to answer the evaluation question, e.g. information sources, indicators used, outcomes of qualitative research, etc.</w:t>
            </w:r>
          </w:p>
        </w:tc>
      </w:tr>
      <w:tr w:rsidR="00675B1D" w:rsidRPr="00D75B1B" w:rsidTr="005F5B2D">
        <w:tc>
          <w:tcPr>
            <w:tcW w:w="9016" w:type="dxa"/>
          </w:tcPr>
          <w:p w:rsidR="00675B1D" w:rsidRPr="00D75B1B" w:rsidRDefault="00675B1D" w:rsidP="004C05DD">
            <w:pPr>
              <w:rPr>
                <w:lang w:val="en-GB"/>
              </w:rPr>
            </w:pPr>
            <w:r w:rsidRPr="00D75B1B">
              <w:rPr>
                <w:lang w:val="en-GB"/>
              </w:rPr>
              <w:t>Answer to the evaluation question</w:t>
            </w:r>
          </w:p>
        </w:tc>
      </w:tr>
    </w:tbl>
    <w:p w:rsidR="00675B1D" w:rsidRPr="00D75B1B" w:rsidRDefault="00675B1D" w:rsidP="005F5B2D">
      <w:pPr>
        <w:pStyle w:val="HStandard"/>
        <w:rPr>
          <w:lang w:val="en-GB"/>
        </w:rPr>
      </w:pPr>
      <w:bookmarkStart w:id="329" w:name="_Toc433481363"/>
      <w:bookmarkStart w:id="330" w:name="_Toc433718267"/>
      <w:bookmarkStart w:id="331" w:name="_Toc434744641"/>
      <w:bookmarkStart w:id="332" w:name="_Toc443491703"/>
      <w:r w:rsidRPr="00D75B1B">
        <w:rPr>
          <w:lang w:val="en-GB"/>
        </w:rPr>
        <w:t>In the AIRs 2017 and 2019, the MA will use the SFC template to answer each evaluation question, in a similar structure as the table above.</w:t>
      </w:r>
    </w:p>
    <w:p w:rsidR="00675B1D" w:rsidRPr="00E64639" w:rsidRDefault="00675B1D" w:rsidP="005133B2">
      <w:pPr>
        <w:pStyle w:val="HHeading3"/>
      </w:pPr>
      <w:bookmarkStart w:id="333" w:name="_Toc453079781"/>
      <w:r w:rsidRPr="00E64639">
        <w:t>Draft conclusions and recommendations</w:t>
      </w:r>
      <w:bookmarkEnd w:id="329"/>
      <w:bookmarkEnd w:id="330"/>
      <w:bookmarkEnd w:id="331"/>
      <w:bookmarkEnd w:id="332"/>
      <w:bookmarkEnd w:id="333"/>
    </w:p>
    <w:p w:rsidR="00675B1D" w:rsidRPr="00D75B1B" w:rsidRDefault="00675B1D" w:rsidP="005F5B2D">
      <w:pPr>
        <w:pStyle w:val="HStandard"/>
        <w:rPr>
          <w:lang w:val="en-GB"/>
        </w:rPr>
      </w:pPr>
      <w:r w:rsidRPr="00D75B1B">
        <w:rPr>
          <w:lang w:val="en-GB"/>
        </w:rPr>
        <w:t xml:space="preserve">The findings and answers to the evaluation questions constitute the basis for the conclusions which lead to recommendations to the MA, NSU and other NRN stakeholders to improve the NRN activities and overall performance.  </w:t>
      </w:r>
    </w:p>
    <w:p w:rsidR="00675B1D" w:rsidRPr="00D75B1B" w:rsidRDefault="00675B1D" w:rsidP="005F5B2D">
      <w:pPr>
        <w:pStyle w:val="HStandard"/>
        <w:rPr>
          <w:lang w:val="en-GB"/>
        </w:rPr>
      </w:pPr>
      <w:r w:rsidRPr="00D75B1B">
        <w:rPr>
          <w:lang w:val="en-GB"/>
        </w:rP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rsidRPr="00E64639">
        <w:fldChar w:fldCharType="begin" w:fldLock="1"/>
      </w:r>
      <w:r w:rsidRPr="00D75B1B">
        <w:rPr>
          <w:lang w:val="en-GB"/>
        </w:rPr>
        <w:instrText xml:space="preserve"> REF _Ref451785094 \r \h  \* MERGEFORMAT </w:instrText>
      </w:r>
      <w:r w:rsidRPr="00E64639">
        <w:fldChar w:fldCharType="separate"/>
      </w:r>
      <w:r w:rsidRPr="00D75B1B">
        <w:rPr>
          <w:lang w:val="en-GB"/>
        </w:rPr>
        <w:t>Table 15</w:t>
      </w:r>
      <w:r w:rsidRPr="00E64639">
        <w:fldChar w:fldCharType="end"/>
      </w:r>
      <w:r w:rsidRPr="00D75B1B">
        <w:rPr>
          <w:lang w:val="en-GB"/>
        </w:rPr>
        <w:t>).</w:t>
      </w:r>
    </w:p>
    <w:p w:rsidR="00675B1D" w:rsidRPr="00D75B1B" w:rsidRDefault="00675B1D" w:rsidP="00F333A5">
      <w:pPr>
        <w:pStyle w:val="HHeadingtables"/>
        <w:ind w:left="0"/>
        <w:rPr>
          <w:lang w:val="en-GB"/>
        </w:rPr>
      </w:pPr>
      <w:bookmarkStart w:id="334" w:name="_Toc436140070"/>
      <w:bookmarkStart w:id="335" w:name="_Toc436383156"/>
      <w:bookmarkStart w:id="336" w:name="_Ref440055456"/>
      <w:bookmarkStart w:id="337" w:name="_Toc451781919"/>
      <w:bookmarkStart w:id="338" w:name="_Ref451785094"/>
      <w:r w:rsidRPr="00D75B1B">
        <w:rPr>
          <w:lang w:val="en-GB"/>
        </w:rPr>
        <w:t>Proposed structure for summarising findings, conclusions and recommendations consistently</w:t>
      </w:r>
      <w:bookmarkEnd w:id="334"/>
      <w:bookmarkEnd w:id="335"/>
      <w:bookmarkEnd w:id="336"/>
      <w:bookmarkEnd w:id="337"/>
      <w:bookmarkEnd w:id="338"/>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675B1D" w:rsidRPr="00E64639" w:rsidTr="004C05DD">
        <w:tc>
          <w:tcPr>
            <w:tcW w:w="2252" w:type="dxa"/>
            <w:shd w:val="clear" w:color="auto" w:fill="E7E6E6" w:themeFill="background2"/>
          </w:tcPr>
          <w:p w:rsidR="00675B1D" w:rsidRPr="00E64639" w:rsidRDefault="00675B1D" w:rsidP="005F5B2D">
            <w:pPr>
              <w:pStyle w:val="Htableleftbolt"/>
              <w:jc w:val="center"/>
              <w:rPr>
                <w:color w:val="5B9BD5" w:themeColor="accent1"/>
              </w:rPr>
            </w:pPr>
            <w:r w:rsidRPr="00E64639">
              <w:rPr>
                <w:color w:val="5B9BD5" w:themeColor="accent1"/>
              </w:rPr>
              <w:t>Major evaluation finding</w:t>
            </w:r>
          </w:p>
        </w:tc>
        <w:tc>
          <w:tcPr>
            <w:tcW w:w="2421" w:type="dxa"/>
            <w:shd w:val="clear" w:color="auto" w:fill="E7E6E6" w:themeFill="background2"/>
          </w:tcPr>
          <w:p w:rsidR="00675B1D" w:rsidRPr="00D75B1B" w:rsidRDefault="00675B1D" w:rsidP="005F5B2D">
            <w:pPr>
              <w:pStyle w:val="Htableleftbolt"/>
              <w:jc w:val="center"/>
              <w:rPr>
                <w:color w:val="5B9BD5" w:themeColor="accent1"/>
                <w:lang w:val="en-GB"/>
              </w:rPr>
            </w:pPr>
            <w:r w:rsidRPr="00D75B1B">
              <w:rPr>
                <w:color w:val="5B9BD5" w:themeColor="accent1"/>
                <w:lang w:val="en-GB"/>
              </w:rPr>
              <w:t>Answer to relevant evaluation question</w:t>
            </w:r>
          </w:p>
        </w:tc>
        <w:tc>
          <w:tcPr>
            <w:tcW w:w="2083" w:type="dxa"/>
            <w:shd w:val="clear" w:color="auto" w:fill="E7E6E6" w:themeFill="background2"/>
          </w:tcPr>
          <w:p w:rsidR="00675B1D" w:rsidRPr="00E64639" w:rsidRDefault="00675B1D" w:rsidP="005F5B2D">
            <w:pPr>
              <w:pStyle w:val="Htableleftbolt"/>
              <w:jc w:val="center"/>
              <w:rPr>
                <w:color w:val="5B9BD5" w:themeColor="accent1"/>
              </w:rPr>
            </w:pPr>
            <w:r w:rsidRPr="00E64639">
              <w:rPr>
                <w:color w:val="5B9BD5" w:themeColor="accent1"/>
              </w:rPr>
              <w:t>Conclusion</w:t>
            </w:r>
          </w:p>
        </w:tc>
        <w:tc>
          <w:tcPr>
            <w:tcW w:w="2878" w:type="dxa"/>
            <w:shd w:val="clear" w:color="auto" w:fill="E7E6E6" w:themeFill="background2"/>
          </w:tcPr>
          <w:p w:rsidR="00675B1D" w:rsidRPr="00E64639" w:rsidRDefault="00675B1D" w:rsidP="005F5B2D">
            <w:pPr>
              <w:pStyle w:val="Htableleftbolt"/>
              <w:jc w:val="center"/>
              <w:rPr>
                <w:color w:val="5B9BD5" w:themeColor="accent1"/>
              </w:rPr>
            </w:pPr>
            <w:r w:rsidRPr="00E64639">
              <w:rPr>
                <w:color w:val="5B9BD5" w:themeColor="accent1"/>
              </w:rPr>
              <w:t>Recommendation for future NRNs</w:t>
            </w:r>
          </w:p>
        </w:tc>
      </w:tr>
      <w:tr w:rsidR="00675B1D" w:rsidRPr="00E64639" w:rsidTr="004C05DD">
        <w:tc>
          <w:tcPr>
            <w:tcW w:w="2252" w:type="dxa"/>
            <w:shd w:val="clear" w:color="auto" w:fill="auto"/>
          </w:tcPr>
          <w:p w:rsidR="00675B1D" w:rsidRPr="00E64639" w:rsidRDefault="00675B1D" w:rsidP="004C05DD">
            <w:pPr>
              <w:pStyle w:val="Htableleft"/>
              <w:rPr>
                <w:color w:val="576C88" w:themeColor="text2" w:themeTint="D9"/>
              </w:rPr>
            </w:pPr>
          </w:p>
        </w:tc>
        <w:tc>
          <w:tcPr>
            <w:tcW w:w="2421" w:type="dxa"/>
            <w:shd w:val="clear" w:color="auto" w:fill="auto"/>
          </w:tcPr>
          <w:p w:rsidR="00675B1D" w:rsidRPr="00E64639" w:rsidRDefault="00675B1D" w:rsidP="004C05DD">
            <w:pPr>
              <w:pStyle w:val="Htableleft"/>
              <w:rPr>
                <w:color w:val="576C88" w:themeColor="text2" w:themeTint="D9"/>
              </w:rPr>
            </w:pPr>
          </w:p>
        </w:tc>
        <w:tc>
          <w:tcPr>
            <w:tcW w:w="2083" w:type="dxa"/>
            <w:shd w:val="clear" w:color="auto" w:fill="auto"/>
          </w:tcPr>
          <w:p w:rsidR="00675B1D" w:rsidRPr="00E64639" w:rsidRDefault="00675B1D" w:rsidP="004C05DD">
            <w:pPr>
              <w:pStyle w:val="Htableleft"/>
              <w:rPr>
                <w:color w:val="576C88" w:themeColor="text2" w:themeTint="D9"/>
              </w:rPr>
            </w:pPr>
          </w:p>
        </w:tc>
        <w:tc>
          <w:tcPr>
            <w:tcW w:w="2878" w:type="dxa"/>
            <w:shd w:val="clear" w:color="auto" w:fill="auto"/>
          </w:tcPr>
          <w:p w:rsidR="00675B1D" w:rsidRPr="00E64639" w:rsidRDefault="00675B1D" w:rsidP="004C05DD">
            <w:pPr>
              <w:pStyle w:val="Htableleft"/>
              <w:rPr>
                <w:color w:val="576C88" w:themeColor="text2" w:themeTint="D9"/>
              </w:rPr>
            </w:pPr>
          </w:p>
        </w:tc>
      </w:tr>
      <w:tr w:rsidR="00675B1D" w:rsidRPr="00E64639" w:rsidTr="004C05DD">
        <w:tc>
          <w:tcPr>
            <w:tcW w:w="2252" w:type="dxa"/>
            <w:shd w:val="clear" w:color="auto" w:fill="auto"/>
          </w:tcPr>
          <w:p w:rsidR="00675B1D" w:rsidRPr="00E64639" w:rsidRDefault="00675B1D" w:rsidP="004C05DD">
            <w:pPr>
              <w:pStyle w:val="Htableleft"/>
              <w:rPr>
                <w:color w:val="576C88" w:themeColor="text2" w:themeTint="D9"/>
              </w:rPr>
            </w:pPr>
          </w:p>
        </w:tc>
        <w:tc>
          <w:tcPr>
            <w:tcW w:w="2421" w:type="dxa"/>
            <w:shd w:val="clear" w:color="auto" w:fill="auto"/>
          </w:tcPr>
          <w:p w:rsidR="00675B1D" w:rsidRPr="00E64639" w:rsidRDefault="00675B1D" w:rsidP="004C05DD">
            <w:pPr>
              <w:pStyle w:val="Htableleft"/>
              <w:rPr>
                <w:color w:val="576C88" w:themeColor="text2" w:themeTint="D9"/>
              </w:rPr>
            </w:pPr>
          </w:p>
        </w:tc>
        <w:tc>
          <w:tcPr>
            <w:tcW w:w="2083" w:type="dxa"/>
            <w:shd w:val="clear" w:color="auto" w:fill="auto"/>
          </w:tcPr>
          <w:p w:rsidR="00675B1D" w:rsidRPr="00E64639" w:rsidRDefault="00675B1D" w:rsidP="004C05DD">
            <w:pPr>
              <w:pStyle w:val="Htableleft"/>
              <w:rPr>
                <w:color w:val="576C88" w:themeColor="text2" w:themeTint="D9"/>
              </w:rPr>
            </w:pPr>
          </w:p>
        </w:tc>
        <w:tc>
          <w:tcPr>
            <w:tcW w:w="2878" w:type="dxa"/>
            <w:shd w:val="clear" w:color="auto" w:fill="auto"/>
          </w:tcPr>
          <w:p w:rsidR="00675B1D" w:rsidRPr="00E64639" w:rsidRDefault="00675B1D" w:rsidP="004C05DD">
            <w:pPr>
              <w:pStyle w:val="Htableleft"/>
              <w:rPr>
                <w:color w:val="576C88" w:themeColor="text2" w:themeTint="D9"/>
              </w:rPr>
            </w:pPr>
          </w:p>
        </w:tc>
      </w:tr>
    </w:tbl>
    <w:p w:rsidR="00675B1D" w:rsidRPr="00E64639" w:rsidRDefault="00675B1D"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675B1D" w:rsidRPr="00E64639" w:rsidTr="005F5B2D">
        <w:tc>
          <w:tcPr>
            <w:tcW w:w="9016" w:type="dxa"/>
            <w:shd w:val="clear" w:color="auto" w:fill="F5F4F4" w:themeFill="background2" w:themeFillTint="66"/>
          </w:tcPr>
          <w:p w:rsidR="00675B1D" w:rsidRPr="00E64639" w:rsidRDefault="00675B1D" w:rsidP="005F5B2D">
            <w:pPr>
              <w:pStyle w:val="HStandard"/>
              <w:rPr>
                <w:highlight w:val="yellow"/>
              </w:rPr>
            </w:pPr>
            <w:r w:rsidRPr="00E64639">
              <w:rPr>
                <w:highlight w:val="yellow"/>
              </w:rPr>
              <w:t>Domande guida per la fase di giudizio:</w:t>
            </w:r>
          </w:p>
          <w:p w:rsidR="00675B1D" w:rsidRPr="00E64639" w:rsidRDefault="00675B1D" w:rsidP="00675B1D">
            <w:pPr>
              <w:pStyle w:val="Hlistbullet2"/>
              <w:rPr>
                <w:highlight w:val="yellow"/>
              </w:rPr>
            </w:pPr>
            <w:r w:rsidRPr="00E64639">
              <w:rPr>
                <w:highlight w:val="yellow"/>
              </w:rPr>
              <w:t>in che misura abbiamo trovato risposte ricche di spunti a tutte le domande di valutazione?</w:t>
            </w:r>
          </w:p>
          <w:p w:rsidR="00675B1D" w:rsidRPr="00E64639" w:rsidRDefault="00675B1D" w:rsidP="00675B1D">
            <w:pPr>
              <w:pStyle w:val="Hlistbullet2"/>
              <w:rPr>
                <w:highlight w:val="yellow"/>
              </w:rPr>
            </w:pPr>
            <w:r>
              <w:rPr>
                <w:highlight w:val="yellow"/>
              </w:rPr>
              <w:t>I</w:t>
            </w:r>
            <w:r w:rsidRPr="00E64639">
              <w:rPr>
                <w:highlight w:val="yellow"/>
              </w:rPr>
              <w:t>n che misura le prove raccolte hanno facilitato la produzione di risposte affidabili per l'apprendimento delle politiche?</w:t>
            </w:r>
          </w:p>
          <w:p w:rsidR="00675B1D" w:rsidRPr="00E64639" w:rsidRDefault="00675B1D" w:rsidP="00675B1D">
            <w:pPr>
              <w:pStyle w:val="Hlistbullet2"/>
              <w:rPr>
                <w:highlight w:val="yellow"/>
              </w:rPr>
            </w:pPr>
            <w:r>
              <w:rPr>
                <w:highlight w:val="yellow"/>
              </w:rPr>
              <w:t>Q</w:t>
            </w:r>
            <w:r w:rsidRPr="00E64639">
              <w:rPr>
                <w:highlight w:val="yellow"/>
              </w:rPr>
              <w:t>uali questioni dovrebbero maggiormente approfondite tramite ulteriori studi e valutazioni?</w:t>
            </w:r>
          </w:p>
          <w:p w:rsidR="00675B1D" w:rsidRPr="00E64639" w:rsidRDefault="00675B1D" w:rsidP="00675B1D">
            <w:pPr>
              <w:pStyle w:val="Hlistbullet2"/>
              <w:rPr>
                <w:highlight w:val="yellow"/>
              </w:rPr>
            </w:pPr>
            <w:r>
              <w:rPr>
                <w:highlight w:val="yellow"/>
              </w:rPr>
              <w:t>Q</w:t>
            </w:r>
            <w:r w:rsidRPr="00E64639">
              <w:rPr>
                <w:highlight w:val="yellow"/>
              </w:rPr>
              <w:t>uali sono i punti di leva per migliorare le prestazioni di rete, l'efficacia e l'efficienza?</w:t>
            </w:r>
          </w:p>
          <w:p w:rsidR="00675B1D" w:rsidRPr="00E64639" w:rsidRDefault="00675B1D" w:rsidP="00675B1D">
            <w:pPr>
              <w:pStyle w:val="Hlistbullet2"/>
              <w:rPr>
                <w:highlight w:val="yellow"/>
              </w:rPr>
            </w:pPr>
            <w:r>
              <w:rPr>
                <w:highlight w:val="yellow"/>
              </w:rPr>
              <w:t>C</w:t>
            </w:r>
            <w:r w:rsidRPr="00E64639">
              <w:rPr>
                <w:highlight w:val="yellow"/>
              </w:rPr>
              <w:t>hi dovrebbe fare cosa per migliorare le prestazioni dell'USR e i contributi della RRN allo sviluppo rurale, inclusi gli obiettivi orizzontali della PAC?</w:t>
            </w:r>
          </w:p>
          <w:p w:rsidR="00675B1D" w:rsidRPr="00E64639" w:rsidRDefault="00675B1D" w:rsidP="00675B1D">
            <w:pPr>
              <w:pStyle w:val="Hlistbullet2"/>
              <w:rPr>
                <w:highlight w:val="yellow"/>
              </w:rPr>
            </w:pPr>
            <w:r>
              <w:rPr>
                <w:highlight w:val="yellow"/>
              </w:rPr>
              <w:t>I</w:t>
            </w:r>
            <w:r w:rsidRPr="00E64639">
              <w:rPr>
                <w:highlight w:val="yellow"/>
              </w:rPr>
              <w:t>n che misura la RRN può consolidare i benefici generati dal migliorato capitale umano e sociale nel lungo termine?</w:t>
            </w:r>
          </w:p>
        </w:tc>
      </w:tr>
    </w:tbl>
    <w:p w:rsidR="00675B1D" w:rsidRPr="00E64639" w:rsidRDefault="00675B1D" w:rsidP="00D35287">
      <w:pPr>
        <w:pStyle w:val="HHeading5"/>
        <w:rPr>
          <w:highlight w:val="yellow"/>
        </w:rPr>
      </w:pPr>
      <w:r w:rsidRPr="00E64639">
        <w:rPr>
          <w:highlight w:val="yellow"/>
        </w:rPr>
        <w:lastRenderedPageBreak/>
        <w:t xml:space="preserve">Cosa fare e cosa non fare </w:t>
      </w:r>
    </w:p>
    <w:tbl>
      <w:tblPr>
        <w:tblStyle w:val="LightList-Accent5"/>
        <w:tblW w:w="0" w:type="auto"/>
        <w:tblLook w:val="04A0" w:firstRow="1" w:lastRow="0" w:firstColumn="1" w:lastColumn="0" w:noHBand="0" w:noVBand="1"/>
      </w:tblPr>
      <w:tblGrid>
        <w:gridCol w:w="4505"/>
        <w:gridCol w:w="4501"/>
      </w:tblGrid>
      <w:tr w:rsidR="00675B1D" w:rsidRPr="00E64639"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675B1D" w:rsidRPr="00E64639" w:rsidRDefault="00675B1D" w:rsidP="00445E97">
            <w:pPr>
              <w:pStyle w:val="HHeading5"/>
              <w:jc w:val="center"/>
              <w:rPr>
                <w:highlight w:val="yellow"/>
              </w:rPr>
            </w:pPr>
            <w:r w:rsidRPr="00E64639">
              <w:rPr>
                <w:noProof/>
                <w:highlight w:val="yellow"/>
                <w:lang w:val="en-GB" w:eastAsia="en-GB" w:bidi="ar-SA"/>
              </w:rPr>
              <w:drawing>
                <wp:inline distT="0" distB="0" distL="0" distR="0" wp14:anchorId="50A3E7C6" wp14:editId="3AFF8680">
                  <wp:extent cx="360000" cy="36000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675B1D" w:rsidRPr="00E64639" w:rsidRDefault="00675B1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sidRPr="00E64639">
              <w:rPr>
                <w:noProof/>
                <w:highlight w:val="yellow"/>
                <w:lang w:val="en-GB" w:eastAsia="en-GB" w:bidi="ar-SA"/>
              </w:rPr>
              <w:drawing>
                <wp:inline distT="0" distB="0" distL="0" distR="0" wp14:anchorId="77D7A1BB" wp14:editId="26647CD8">
                  <wp:extent cx="360000" cy="360000"/>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675B1D" w:rsidRPr="00E6463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Cercare di individuare, dal punto di vista di una persona esterna (etico), i modelli prevalenti nelle interazioni sociali osservate e sfruttare il tesoro delle narrative (emiche) fornite dai membri del gruppo specifico di discussione/dagli intervistati.</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Passare in rassegna tutte le domande di valutazione e rispondere anche alle domande inespresse, qualora vi fosse qualcosa di rilevante, magari sorprendente, da dire.</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Trarre conclusioni in merito ai risultati della valutazione nel rispetto della rilevanza, dell'efficienza, dell'efficacia, dei risultati, degli impatti e della sostenibilità dell'intervento, ed essere chiari circa il grado di validità e la solidità delle conclusioni.</w:t>
            </w:r>
          </w:p>
          <w:p w:rsidR="00675B1D" w:rsidRPr="00E64639" w:rsidRDefault="00675B1D" w:rsidP="00445E97">
            <w:pPr>
              <w:pStyle w:val="HStandard"/>
              <w:spacing w:before="120" w:line="240" w:lineRule="atLeast"/>
              <w:rPr>
                <w:b w:val="0"/>
                <w:color w:val="FFC000" w:themeColor="accent4"/>
                <w:sz w:val="18"/>
                <w:szCs w:val="18"/>
                <w:highlight w:val="yellow"/>
              </w:rPr>
            </w:pPr>
            <w:r w:rsidRPr="00E64639">
              <w:rPr>
                <w:b w:val="0"/>
                <w:color w:val="FFC000" w:themeColor="accent4"/>
                <w:sz w:val="18"/>
                <w:highlight w:val="yellow"/>
              </w:rPr>
              <w:t>Formulare raccomandazioni per ciascun attore rilevante ed essere quanto più possibile pratici e realistici .</w:t>
            </w:r>
          </w:p>
          <w:p w:rsidR="00675B1D" w:rsidRPr="00E64639" w:rsidRDefault="00675B1D" w:rsidP="00450A6B">
            <w:pPr>
              <w:pStyle w:val="HStandard"/>
              <w:rPr>
                <w:color w:val="FFC000" w:themeColor="accent4"/>
                <w:highlight w:val="yellow"/>
              </w:rPr>
            </w:pPr>
            <w:r w:rsidRPr="00E64639">
              <w:rPr>
                <w:b w:val="0"/>
                <w:color w:val="FFC000" w:themeColor="accent4"/>
                <w:sz w:val="18"/>
                <w:highlight w:val="yellow"/>
              </w:rPr>
              <w:t>Includere diversi attori nell'interpretazione delle risultanze e discutere le conclusioni della valutazione e le raccomandazioni.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 xml:space="preserve">Rispondere alle domande di valutazione solo sulla base delle ipotesi del valutatore, senza raccogliere prove. </w:t>
            </w:r>
          </w:p>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Mescolare risultanze affidabili e vaghe per rispondere alle domande di valutazione.</w:t>
            </w:r>
          </w:p>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Produrre tautologie adatte a qualsiasi uso, senza un esame approfondito delle specificità e potenzialità della RRN.</w:t>
            </w:r>
          </w:p>
          <w:p w:rsidR="00675B1D" w:rsidRPr="00E64639" w:rsidRDefault="00675B1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sidRPr="00E64639">
              <w:rPr>
                <w:color w:val="ED7D31" w:themeColor="accent2"/>
                <w:sz w:val="18"/>
                <w:highlight w:val="yellow"/>
              </w:rPr>
              <w:t>Rispondere alle domande di valutazione senza esaminare gli effetti inattesi.</w:t>
            </w:r>
          </w:p>
          <w:p w:rsidR="00675B1D" w:rsidRPr="00E64639" w:rsidRDefault="00675B1D" w:rsidP="00B51DF6">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sidRPr="00E64639">
              <w:rPr>
                <w:color w:val="ED7D31" w:themeColor="accent2"/>
                <w:sz w:val="18"/>
                <w:highlight w:val="yellow"/>
              </w:rPr>
              <w:t>Limitarsi a raccomandazioni generiche, evitando di affrontare determinate parti interessate e aggirando i temi apparentemente tabù.</w:t>
            </w:r>
          </w:p>
        </w:tc>
      </w:tr>
    </w:tbl>
    <w:p w:rsidR="00675B1D" w:rsidRPr="00E64639" w:rsidRDefault="00675B1D" w:rsidP="00D35287">
      <w:pPr>
        <w:pStyle w:val="HHeading5"/>
      </w:pPr>
      <w:r w:rsidRPr="00E64639">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675B1D" w:rsidRPr="00E64639" w:rsidTr="005F5B2D">
        <w:tc>
          <w:tcPr>
            <w:tcW w:w="9918" w:type="dxa"/>
            <w:shd w:val="clear" w:color="auto" w:fill="F5F4F4" w:themeFill="background2" w:themeFillTint="66"/>
          </w:tcPr>
          <w:p w:rsidR="00675B1D" w:rsidRPr="00E64639" w:rsidRDefault="00675B1D" w:rsidP="005F5B2D">
            <w:pPr>
              <w:pStyle w:val="HStandard"/>
              <w:rPr>
                <w:sz w:val="16"/>
                <w:szCs w:val="16"/>
              </w:rPr>
            </w:pPr>
            <w:r w:rsidRPr="00D75B1B">
              <w:rPr>
                <w:sz w:val="16"/>
                <w:lang w:val="en-GB"/>
              </w:rPr>
              <w:t xml:space="preserve">Ray Pawson and Nick Tilley, 2004: Realist Evaluation. </w:t>
            </w:r>
            <w:hyperlink r:id="rId58">
              <w:r w:rsidRPr="00E64639">
                <w:rPr>
                  <w:rStyle w:val="Hyperlink"/>
                  <w:sz w:val="16"/>
                </w:rPr>
                <w:t>http://www.communitymatters.com.au/RE_chapter.pdf</w:t>
              </w:r>
            </w:hyperlink>
            <w:r w:rsidRPr="00E64639">
              <w:rPr>
                <w:sz w:val="16"/>
              </w:rPr>
              <w:t xml:space="preserve"> </w:t>
            </w:r>
          </w:p>
        </w:tc>
      </w:tr>
    </w:tbl>
    <w:p w:rsidR="00675B1D" w:rsidRPr="00E64639" w:rsidRDefault="00675B1D" w:rsidP="00320BBA">
      <w:pPr>
        <w:pStyle w:val="HStandard"/>
        <w:rPr>
          <w:rFonts w:eastAsia="Calibri"/>
        </w:rPr>
      </w:pPr>
    </w:p>
    <w:p w:rsidR="00675B1D" w:rsidRPr="00E64639" w:rsidRDefault="00675B1D">
      <w:pPr>
        <w:spacing w:after="0" w:line="240" w:lineRule="auto"/>
        <w:rPr>
          <w:rFonts w:eastAsia="Calibri" w:cs="Arial"/>
          <w:color w:val="576C88" w:themeColor="text2" w:themeTint="D9"/>
          <w:sz w:val="20"/>
          <w:szCs w:val="20"/>
        </w:rPr>
      </w:pPr>
      <w:r w:rsidRPr="00E64639">
        <w:br w:type="page"/>
      </w:r>
    </w:p>
    <w:p w:rsidR="00675B1D" w:rsidRPr="00E64639" w:rsidRDefault="00675B1D" w:rsidP="00320BBA">
      <w:pPr>
        <w:pStyle w:val="HStandard"/>
        <w:rPr>
          <w:rFonts w:eastAsia="Calibri"/>
        </w:rPr>
      </w:pPr>
    </w:p>
    <w:p w:rsidR="00675B1D" w:rsidRPr="000B6415" w:rsidRDefault="00675B1D" w:rsidP="00C4370D">
      <w:pPr>
        <w:pStyle w:val="HHeading1"/>
        <w:rPr>
          <w:highlight w:val="yellow"/>
        </w:rPr>
      </w:pPr>
      <w:bookmarkStart w:id="339" w:name="_Toc453079782"/>
      <w:r w:rsidRPr="000B6415">
        <w:rPr>
          <w:highlight w:val="yellow"/>
        </w:rPr>
        <w:lastRenderedPageBreak/>
        <w:t>PARTE III - KIT DI STRUMENTI</w:t>
      </w:r>
      <w:bookmarkEnd w:id="339"/>
    </w:p>
    <w:p w:rsidR="00675B1D" w:rsidRPr="000B6415" w:rsidRDefault="00675B1D" w:rsidP="00501EAB">
      <w:pPr>
        <w:pStyle w:val="HHeading2"/>
        <w:tabs>
          <w:tab w:val="clear" w:pos="360"/>
        </w:tabs>
        <w:ind w:left="510" w:hanging="510"/>
        <w:rPr>
          <w:highlight w:val="yellow"/>
        </w:rPr>
      </w:pPr>
      <w:bookmarkStart w:id="340" w:name="_Toc453079783"/>
      <w:r w:rsidRPr="000B6415">
        <w:rPr>
          <w:highlight w:val="yellow"/>
        </w:rPr>
        <w:t>Modello indicativo per il capitolato d'oneri per la valutazione durante il periodo di programmazione</w:t>
      </w:r>
      <w:bookmarkEnd w:id="340"/>
    </w:p>
    <w:p w:rsidR="00675B1D" w:rsidRPr="000B6415" w:rsidRDefault="00675B1D" w:rsidP="00C4370D">
      <w:pPr>
        <w:pStyle w:val="HHeading5"/>
        <w:rPr>
          <w:highlight w:val="yellow"/>
        </w:rPr>
      </w:pPr>
      <w:r w:rsidRPr="000B6415">
        <w:rPr>
          <w:highlight w:val="yellow"/>
        </w:rPr>
        <w:t>Introduzione</w:t>
      </w:r>
    </w:p>
    <w:p w:rsidR="00675B1D" w:rsidRPr="000B6415" w:rsidRDefault="00675B1D" w:rsidP="00C4370D">
      <w:pPr>
        <w:pStyle w:val="HStandard"/>
        <w:rPr>
          <w:highlight w:val="yellow"/>
        </w:rPr>
      </w:pPr>
      <w:r w:rsidRPr="000B6415">
        <w:rPr>
          <w:highlight w:val="yellow"/>
        </w:rPr>
        <w:t xml:space="preserve">Il capitolato d'oneri per la valutazione della RRN è elaborato dall'autorità di gestione (AG) e fornisce informazioni importanti per i potenziali valutatori esterni nell'ambito dell'invito a presentare proposte. Il capitolato d'oneri riflette le attività descritte nel piano di valutazione e contribuisce a strutturare la valutazione della RRN che deve essere effettuata dai valutatori esterni. I valutatori esterni rispondono al capitolato d'oneri con un'offerta. Entrambi gli elementi (capitolato d'oneri e offerta) si combinano per formare la base del contratto per la fornitura della valutazione. </w:t>
      </w:r>
    </w:p>
    <w:p w:rsidR="00675B1D" w:rsidRPr="000B6415" w:rsidRDefault="00675B1D" w:rsidP="00C4370D">
      <w:pPr>
        <w:pStyle w:val="HStandard"/>
        <w:rPr>
          <w:highlight w:val="yellow"/>
        </w:rPr>
      </w:pPr>
      <w:r w:rsidRPr="000B6415">
        <w:rPr>
          <w:highlight w:val="yellow"/>
        </w:rPr>
        <w:t>Il capitolato d'oneri per la valutazione della RRN specifica i requisiti, le attività e gli esiti attesi della valutazione e chiarisce il modo in cui le diverse parti lavoreranno insieme. Di solito è costituito da un'introduzione generale per il consulente, dalle specificazioni dei requisiti tecnici e da vari allegati (ad esempio riferimenti a documenti chiave, questionari valutativi, modelli per l'offerta di prezzo, progetto di contratto di servizio).</w:t>
      </w:r>
    </w:p>
    <w:p w:rsidR="00675B1D" w:rsidRPr="000B6415" w:rsidRDefault="00675B1D" w:rsidP="00C4370D">
      <w:pPr>
        <w:pStyle w:val="HStandard"/>
        <w:rPr>
          <w:highlight w:val="yellow"/>
        </w:rPr>
      </w:pPr>
      <w:r w:rsidRPr="000B6415">
        <w:rPr>
          <w:highlight w:val="yellow"/>
        </w:rPr>
        <w:t xml:space="preserve">Il seguente schema indicativo fornisce alcune raccomandazioni per lo sviluppo del capitolato d'oneri per la valutazione della RRN e in particolare per le sue parti tecniche. Il capitolato d'oneri è sviluppato in linea con i requisiti stabiliti dal sistema comune di monitoraggio e valutazione (CMES). Il capitolato d'oneri può riferirsi a un programma della RRN o a una valutazione indipendente di una RRN inclusa in un singolo PSR. Laddove la RRN è inclusa nella valutazione del PSR, non è previsto un capitolato d'oneri distinto per la valutazione della RRN. </w:t>
      </w:r>
    </w:p>
    <w:p w:rsidR="00675B1D" w:rsidRPr="000B6415" w:rsidRDefault="00675B1D" w:rsidP="00C4370D">
      <w:pPr>
        <w:pStyle w:val="HStandard"/>
        <w:rPr>
          <w:highlight w:val="yellow"/>
        </w:rPr>
      </w:pPr>
      <w:r w:rsidRPr="000B6415">
        <w:rPr>
          <w:highlight w:val="yellow"/>
        </w:rPr>
        <w:t>Le amministrazioni aggiudicatrici dovranno assicurare che il capitolato d'oneri sia coerente con le procedure di aggiudicazione degli appalti pubblici nello Stato membro. Nelle specifiche tecniche del capitolato d'oneri andrebbero presi in considerazione i seguenti elementi.</w:t>
      </w:r>
    </w:p>
    <w:p w:rsidR="00675B1D" w:rsidRPr="000B6415" w:rsidRDefault="00675B1D" w:rsidP="006A099F">
      <w:pPr>
        <w:pStyle w:val="HHeading5"/>
        <w:rPr>
          <w:highlight w:val="yellow"/>
        </w:rPr>
      </w:pPr>
      <w:bookmarkStart w:id="341" w:name="_Toc422307927"/>
      <w:r w:rsidRPr="000B6415">
        <w:rPr>
          <w:highlight w:val="yellow"/>
        </w:rPr>
        <w:t>Contesto, obiettivo e scopo della valutazione</w:t>
      </w:r>
      <w:bookmarkEnd w:id="341"/>
    </w:p>
    <w:p w:rsidR="00675B1D" w:rsidRPr="000B6415" w:rsidRDefault="00675B1D" w:rsidP="00C4370D">
      <w:pPr>
        <w:pStyle w:val="HStandard"/>
        <w:rPr>
          <w:highlight w:val="yellow"/>
        </w:rPr>
      </w:pPr>
      <w:r w:rsidRPr="000B6415">
        <w:rPr>
          <w:highlight w:val="yellow"/>
        </w:rPr>
        <w:t>La sezione iniziale dovrebbe stabilire i requisiti di legge e il quadro per la valutazione (ad es. riferimenti giuridici a livello di UE e nazionale). Si dovrebbe fornire una descrizione del contesto e dello scopo della valutazione. Dovrebbe essere altresì chiarito l'oggetto della valutazione.</w:t>
      </w:r>
    </w:p>
    <w:p w:rsidR="00675B1D" w:rsidRPr="000B6415" w:rsidRDefault="00675B1D" w:rsidP="00C4370D">
      <w:pPr>
        <w:pStyle w:val="HStandard"/>
        <w:rPr>
          <w:i/>
          <w:highlight w:val="yellow"/>
        </w:rPr>
      </w:pPr>
      <w:r w:rsidRPr="000B6415">
        <w:rPr>
          <w:i/>
          <w:highlight w:val="yellow"/>
        </w:rPr>
        <w:t>Esempio:</w:t>
      </w:r>
    </w:p>
    <w:p w:rsidR="00675B1D" w:rsidRPr="000B6415" w:rsidRDefault="00675B1D" w:rsidP="00C4370D">
      <w:pPr>
        <w:pStyle w:val="HStandard"/>
        <w:rPr>
          <w:i/>
          <w:highlight w:val="yellow"/>
        </w:rPr>
      </w:pPr>
      <w:r w:rsidRPr="000B6415">
        <w:rPr>
          <w:i/>
          <w:highlight w:val="yellow"/>
        </w:rPr>
        <w:t>La valutazione nel suo complesso, e la valutazione di rete in particolare, viene rafforzata nella politica di sviluppo rurale 2014-2020. Estrema attenzione è stata posta sulla valutazione delle reti e delle attività in rete al fine di comprendere meglio i risultati e l'impatto di queste attività.</w:t>
      </w:r>
    </w:p>
    <w:p w:rsidR="00675B1D" w:rsidRPr="000B6415" w:rsidRDefault="00675B1D" w:rsidP="00C4370D">
      <w:pPr>
        <w:pStyle w:val="HStandard"/>
        <w:rPr>
          <w:i/>
          <w:highlight w:val="yellow"/>
        </w:rPr>
      </w:pPr>
      <w:r w:rsidRPr="000B6415">
        <w:rPr>
          <w:i/>
          <w:highlight w:val="yellow"/>
        </w:rPr>
        <w:t>I principali requisiti per quanto riguarda la valutazione del PSR per il periodo di programmazione 2014-2020 sono stabiliti nel regolamento (UE) n. 1303/2013, articoli da 54 a 57, e nel regolamento (UE) n. 1305/2013, articoli da 76 a 79. Quest'ultimo comprende quattro obiettivi generali comuni delle RRN e un gruppo comune di azioni che le reti dovrebbero realizzare e fornire.</w:t>
      </w:r>
    </w:p>
    <w:p w:rsidR="00675B1D" w:rsidRPr="000B6415" w:rsidRDefault="00675B1D" w:rsidP="00C4370D">
      <w:pPr>
        <w:pStyle w:val="HStandard"/>
        <w:rPr>
          <w:i/>
          <w:highlight w:val="yellow"/>
        </w:rPr>
      </w:pPr>
      <w:r w:rsidRPr="000B6415">
        <w:rPr>
          <w:i/>
          <w:highlight w:val="yellow"/>
        </w:rPr>
        <w:t>Il regolamento di esecuzione della Commissione specifica tre indicatori comuni di prodotto e un questionario valutativo comune (come parte del CMES). Le linee guida per la valutazione delle RRN forniscono informazioni su come sviluppare indicatori relativi alla RRN specifici del programma e aggiuntivi.</w:t>
      </w:r>
    </w:p>
    <w:p w:rsidR="00675B1D" w:rsidRPr="000B6415" w:rsidRDefault="00675B1D" w:rsidP="00C4370D">
      <w:pPr>
        <w:pStyle w:val="HStandard"/>
        <w:rPr>
          <w:i/>
          <w:highlight w:val="yellow"/>
        </w:rPr>
      </w:pPr>
      <w:r w:rsidRPr="000B6415">
        <w:rPr>
          <w:i/>
          <w:highlight w:val="yellow"/>
        </w:rPr>
        <w:t>Il piano di valutazione del PSR ha identificato la RRN come un importante tema di valutazione durante il periodo di programmazione.</w:t>
      </w:r>
    </w:p>
    <w:p w:rsidR="00675B1D" w:rsidRPr="000B6415" w:rsidRDefault="00675B1D" w:rsidP="00C4370D">
      <w:pPr>
        <w:pStyle w:val="HStandard"/>
        <w:rPr>
          <w:i/>
          <w:highlight w:val="yellow"/>
        </w:rPr>
      </w:pPr>
      <w:r w:rsidRPr="000B6415">
        <w:rPr>
          <w:i/>
          <w:highlight w:val="yellow"/>
        </w:rPr>
        <w:lastRenderedPageBreak/>
        <w:t>La RRN, con il suo ruolo e la sua natura specifici di rete per l'attuazione di politiche, dovrebbe rappresentare una forza trainante per migliorare l'efficace realizzazione del programma di sviluppo rurale (PSR). La RRN dovrebbe colmare le lacune nei servizi offerti da altre istituzioni pubbliche o private e cercare sinergie con altre reti a livello nazionale ed europeo. Dato che la RRN è finanziata attraverso il bilancio di assistenza tecnica del PSR, è importante ottenere il massimo dalle risorse impiegate.</w:t>
      </w:r>
    </w:p>
    <w:p w:rsidR="00675B1D" w:rsidRPr="000B6415" w:rsidRDefault="00675B1D" w:rsidP="00C4370D">
      <w:pPr>
        <w:pStyle w:val="HStandard"/>
        <w:rPr>
          <w:i/>
          <w:highlight w:val="yellow"/>
        </w:rPr>
      </w:pPr>
      <w:r w:rsidRPr="000B6415">
        <w:rPr>
          <w:i/>
          <w:highlight w:val="yellow"/>
        </w:rPr>
        <w:t>La valutazione della RRN mira a dimostrare le realizzazioni dell'unità di sostegno alla rete (il segretariato della rete) e della sua rete (un gruppo più ampio di parti interessate della RRN) e a valutarne i risultati, gli impatti, l'efficacia, l'efficienza e la rilevanza, nonché a contribuire a un sostegno più mirato a favore dello sviluppo rurale.</w:t>
      </w:r>
    </w:p>
    <w:p w:rsidR="00675B1D" w:rsidRPr="000B6415" w:rsidRDefault="00675B1D" w:rsidP="00C4370D">
      <w:pPr>
        <w:pStyle w:val="HStandard"/>
        <w:rPr>
          <w:i/>
          <w:highlight w:val="yellow"/>
        </w:rPr>
      </w:pPr>
      <w:r w:rsidRPr="000B6415">
        <w:rPr>
          <w:i/>
          <w:highlight w:val="yellow"/>
        </w:rPr>
        <w:t>La valutazione dovrebbe altresì contribuire ad aggiornare il piano di azione della RRN, al fine di rispondere a eventuali mutevoli esigenze nel corso dell'attuazione del PSR.</w:t>
      </w:r>
    </w:p>
    <w:p w:rsidR="00675B1D" w:rsidRPr="000B6415" w:rsidRDefault="00675B1D" w:rsidP="00C4370D">
      <w:pPr>
        <w:pStyle w:val="HStandard"/>
        <w:rPr>
          <w:i/>
          <w:highlight w:val="yellow"/>
        </w:rPr>
      </w:pPr>
      <w:r w:rsidRPr="000B6415">
        <w:rPr>
          <w:i/>
          <w:highlight w:val="yellow"/>
        </w:rPr>
        <w:t>Il destinatario della valutazione è il cliente e la più ampia cerchia di parti interessate coinvolte nella RRN.</w:t>
      </w:r>
    </w:p>
    <w:p w:rsidR="00675B1D" w:rsidRPr="000B6415" w:rsidRDefault="00675B1D" w:rsidP="00C4370D">
      <w:pPr>
        <w:pStyle w:val="HStandard"/>
        <w:rPr>
          <w:i/>
          <w:highlight w:val="yellow"/>
        </w:rPr>
      </w:pPr>
      <w:r w:rsidRPr="000B6415">
        <w:rPr>
          <w:i/>
          <w:highlight w:val="yellow"/>
        </w:rPr>
        <w:t>La valutazione può trarre informazioni dall'autovalutazione della RRN, che costituisce uno strumento importante per migliorare le prestazioni della RRN.</w:t>
      </w:r>
    </w:p>
    <w:p w:rsidR="00675B1D" w:rsidRPr="000B6415" w:rsidRDefault="00675B1D" w:rsidP="00C4370D">
      <w:pPr>
        <w:pStyle w:val="HStandard"/>
        <w:rPr>
          <w:i/>
          <w:highlight w:val="yellow"/>
        </w:rPr>
      </w:pPr>
      <w:r w:rsidRPr="000B6415">
        <w:rPr>
          <w:i/>
          <w:highlight w:val="yellow"/>
        </w:rPr>
        <w:t>La valutazione dei risultati della RRN e la risposta al questionario valutativo comune sulla RRN sono previste nelle RAA integrate presentate entro il 30 giugno 2017. La valutazione degli impatti della RRN e la risposta alla domanda di valutazione comune sulla RRN saranno inclusi nella RAA integrata, presentata nel 2019, e nella valutazione ex post, presentata entro il 31 dicembre 2024.</w:t>
      </w:r>
    </w:p>
    <w:p w:rsidR="00675B1D" w:rsidRPr="000B6415" w:rsidRDefault="00675B1D" w:rsidP="006A099F">
      <w:pPr>
        <w:pStyle w:val="HHeading5"/>
        <w:rPr>
          <w:highlight w:val="yellow"/>
        </w:rPr>
      </w:pPr>
      <w:bookmarkStart w:id="342" w:name="_Toc422307928"/>
      <w:r w:rsidRPr="000B6415">
        <w:rPr>
          <w:highlight w:val="yellow"/>
        </w:rPr>
        <w:t>Portata e compiti della valutazione della RRN</w:t>
      </w:r>
      <w:bookmarkEnd w:id="342"/>
      <w:r w:rsidRPr="000B6415">
        <w:rPr>
          <w:highlight w:val="yellow"/>
        </w:rPr>
        <w:t xml:space="preserve"> </w:t>
      </w:r>
    </w:p>
    <w:p w:rsidR="00675B1D" w:rsidRPr="000B6415" w:rsidRDefault="00675B1D" w:rsidP="00C4370D">
      <w:pPr>
        <w:pStyle w:val="HStandard"/>
        <w:rPr>
          <w:highlight w:val="yellow"/>
        </w:rPr>
      </w:pPr>
      <w:r w:rsidRPr="000B6415">
        <w:rPr>
          <w:highlight w:val="yellow"/>
        </w:rPr>
        <w:t>In questa sezione il capitolato d'oneri specifica la portata e il contenuto della valutazione in linea con gli obiettivi della valutazione. I dettagli potrebbero includere il periodo di esame, la copertura geografica e tematica della valutazione, i gruppi destinatari e i compiti da considerare. La portata della valutazione deve essere realistica, in considerazione del tempo e delle risorse disponibili.</w:t>
      </w:r>
    </w:p>
    <w:p w:rsidR="00675B1D" w:rsidRPr="000B6415" w:rsidRDefault="00675B1D" w:rsidP="00C4370D">
      <w:pPr>
        <w:pStyle w:val="HStandard"/>
        <w:rPr>
          <w:i/>
          <w:highlight w:val="yellow"/>
        </w:rPr>
      </w:pPr>
      <w:r w:rsidRPr="000B6415">
        <w:rPr>
          <w:i/>
          <w:highlight w:val="yellow"/>
        </w:rPr>
        <w:t>Esempio</w:t>
      </w:r>
    </w:p>
    <w:p w:rsidR="00675B1D" w:rsidRPr="000B6415" w:rsidRDefault="00675B1D" w:rsidP="00C4370D">
      <w:pPr>
        <w:pStyle w:val="HStandard"/>
        <w:rPr>
          <w:i/>
          <w:highlight w:val="yellow"/>
        </w:rPr>
      </w:pPr>
      <w:r w:rsidRPr="000B6415">
        <w:rPr>
          <w:i/>
          <w:highlight w:val="yellow"/>
        </w:rPr>
        <w:t>L'obiettivo di questo studio di valutazione complessiva è quello di:</w:t>
      </w:r>
    </w:p>
    <w:p w:rsidR="00675B1D" w:rsidRPr="000B6415" w:rsidRDefault="00675B1D" w:rsidP="00C4370D">
      <w:pPr>
        <w:pStyle w:val="Hlistbullet2"/>
        <w:rPr>
          <w:i/>
          <w:highlight w:val="yellow"/>
        </w:rPr>
      </w:pPr>
      <w:r w:rsidRPr="000B6415">
        <w:rPr>
          <w:i/>
          <w:highlight w:val="yellow"/>
        </w:rPr>
        <w:t xml:space="preserve">dimostrare le realizzazioni dell'USR (il segretariato della rete) e della RRN (unità di sostegno alla rete) e delle parti interessate della rete; </w:t>
      </w:r>
    </w:p>
    <w:p w:rsidR="00675B1D" w:rsidRPr="000B6415" w:rsidRDefault="00675B1D" w:rsidP="00C4370D">
      <w:pPr>
        <w:pStyle w:val="Hlistbullet2"/>
        <w:rPr>
          <w:i/>
          <w:highlight w:val="yellow"/>
        </w:rPr>
      </w:pPr>
      <w:r w:rsidRPr="000B6415">
        <w:rPr>
          <w:i/>
          <w:highlight w:val="yellow"/>
        </w:rPr>
        <w:t xml:space="preserve">valutarne i risultati, gli impatti, l'efficacia, l'efficienza, la rilevanza; e </w:t>
      </w:r>
    </w:p>
    <w:p w:rsidR="00675B1D" w:rsidRPr="000B6415" w:rsidRDefault="00675B1D" w:rsidP="00C4370D">
      <w:pPr>
        <w:pStyle w:val="Hlistbullet2"/>
        <w:rPr>
          <w:i/>
          <w:highlight w:val="yellow"/>
        </w:rPr>
      </w:pPr>
      <w:r w:rsidRPr="000B6415">
        <w:rPr>
          <w:i/>
          <w:highlight w:val="yellow"/>
        </w:rPr>
        <w:t>contribuire a un migliore sostegno mirato dello sviluppo rurale.</w:t>
      </w:r>
    </w:p>
    <w:p w:rsidR="00675B1D" w:rsidRPr="000B6415" w:rsidRDefault="00675B1D" w:rsidP="00C4370D">
      <w:pPr>
        <w:pStyle w:val="HStandard"/>
        <w:rPr>
          <w:i/>
          <w:highlight w:val="yellow"/>
        </w:rPr>
      </w:pPr>
      <w:r w:rsidRPr="000B6415">
        <w:rPr>
          <w:i/>
          <w:highlight w:val="yellow"/>
        </w:rPr>
        <w:t>I principali compiti di valutazione sono i seguenti:</w:t>
      </w:r>
    </w:p>
    <w:p w:rsidR="00675B1D" w:rsidRPr="000B6415" w:rsidRDefault="00675B1D" w:rsidP="00B51C05">
      <w:pPr>
        <w:pStyle w:val="Hlistbullet2"/>
        <w:rPr>
          <w:i/>
          <w:highlight w:val="yellow"/>
        </w:rPr>
      </w:pPr>
      <w:r w:rsidRPr="000B6415">
        <w:rPr>
          <w:i/>
          <w:highlight w:val="yellow"/>
        </w:rPr>
        <w:t>valutare la rilevanza degli interventi della rete rurale in relazione alle esigenze e alle mutevoli condizioni quadro;</w:t>
      </w:r>
    </w:p>
    <w:p w:rsidR="00675B1D" w:rsidRPr="000B6415" w:rsidRDefault="00675B1D" w:rsidP="00B51C05">
      <w:pPr>
        <w:pStyle w:val="Hlistbullet2"/>
        <w:rPr>
          <w:i/>
          <w:highlight w:val="yellow"/>
        </w:rPr>
      </w:pPr>
      <w:r w:rsidRPr="000B6415">
        <w:rPr>
          <w:i/>
          <w:highlight w:val="yellow"/>
        </w:rPr>
        <w:t xml:space="preserve">valutare le prestazioni, i risultati e gli impatti delle attività della RRN, gli obiettivi, le realizzazioni e i contributi della RRN in relazione agli obiettivi del PSR; </w:t>
      </w:r>
    </w:p>
    <w:p w:rsidR="00675B1D" w:rsidRPr="000B6415" w:rsidRDefault="00675B1D" w:rsidP="00B51C05">
      <w:pPr>
        <w:pStyle w:val="Hlistbullet2"/>
        <w:rPr>
          <w:i/>
          <w:highlight w:val="yellow"/>
        </w:rPr>
      </w:pPr>
      <w:r w:rsidRPr="000B6415">
        <w:rPr>
          <w:i/>
          <w:highlight w:val="yellow"/>
        </w:rPr>
        <w:t xml:space="preserve">elaborare raccomandazioni su come migliorare la progettazione e l'attuazione della RRN; </w:t>
      </w:r>
    </w:p>
    <w:p w:rsidR="00675B1D" w:rsidRPr="000B6415" w:rsidRDefault="00675B1D" w:rsidP="00B51C05">
      <w:pPr>
        <w:pStyle w:val="Hlistbullet2"/>
        <w:rPr>
          <w:i/>
          <w:highlight w:val="yellow"/>
        </w:rPr>
      </w:pPr>
      <w:r w:rsidRPr="000B6415">
        <w:rPr>
          <w:i/>
          <w:highlight w:val="yellow"/>
        </w:rPr>
        <w:t>proporre una strategia efficace su come migliorare il monitoraggio e la valutazione della RRN.</w:t>
      </w:r>
    </w:p>
    <w:p w:rsidR="00675B1D" w:rsidRPr="000B6415" w:rsidRDefault="00675B1D" w:rsidP="00B51C05">
      <w:pPr>
        <w:pStyle w:val="HStandard"/>
        <w:rPr>
          <w:i/>
          <w:highlight w:val="yellow"/>
        </w:rPr>
      </w:pPr>
      <w:r w:rsidRPr="000B6415">
        <w:rPr>
          <w:i/>
          <w:highlight w:val="yellow"/>
        </w:rPr>
        <w:t>La valutazione esterna nel corso del periodo di programmazione coprirà tutte le attività della RRN nel periodo 2014-2020, a partire dalla costituzione della RRN fino alla sua cessazione.</w:t>
      </w:r>
    </w:p>
    <w:p w:rsidR="00675B1D" w:rsidRPr="000B6415" w:rsidRDefault="00675B1D" w:rsidP="00B51C05">
      <w:pPr>
        <w:pStyle w:val="HStandard"/>
        <w:rPr>
          <w:i/>
          <w:highlight w:val="yellow"/>
        </w:rPr>
      </w:pPr>
      <w:r w:rsidRPr="000B6415">
        <w:rPr>
          <w:i/>
          <w:highlight w:val="yellow"/>
        </w:rPr>
        <w:lastRenderedPageBreak/>
        <w:t>La copertura geografica corrisponde all'intero territorio del PSR. I principali compiti di valutazione devono essere svolti in relazione alle tappe di valutazione (2017, 2019 ed ex-post). Risulta importante collegare le attività di valutazione con il ciclo di rendicontazione e definizione delle politiche. Questo aiuta ad assicurare che i risultati della valutazione vengono forniti e comunicati in tempo ai gruppi destinatari pertinenti (il cliente, un gruppo direttivo delle parti interessate della RRN e la Commissione europea).</w:t>
      </w:r>
    </w:p>
    <w:p w:rsidR="00675B1D" w:rsidRPr="000B6415" w:rsidRDefault="00675B1D" w:rsidP="00B51C05">
      <w:pPr>
        <w:pStyle w:val="HStandard"/>
        <w:rPr>
          <w:i/>
          <w:highlight w:val="yellow"/>
        </w:rPr>
      </w:pPr>
      <w:r w:rsidRPr="000B6415">
        <w:rPr>
          <w:i/>
          <w:highlight w:val="yellow"/>
        </w:rPr>
        <w:t xml:space="preserve">Le RAA integrate 2017 e 2019 dovrebbero riferire, al punto 2, in merito alla governance della valutazione della RRN e alle attività svolte in relazione alla valutazione RRN (nel PSR o come valutazione indipendente), includendo le attività svolte in materia di raccolta dei dati, diffusione, comunicazione e seguito relativi ai risultati della valutazione. </w:t>
      </w:r>
    </w:p>
    <w:p w:rsidR="00675B1D" w:rsidRPr="000B6415" w:rsidRDefault="00675B1D" w:rsidP="00B51C05">
      <w:pPr>
        <w:pStyle w:val="HStandard"/>
        <w:rPr>
          <w:i/>
          <w:highlight w:val="yellow"/>
        </w:rPr>
      </w:pPr>
      <w:r w:rsidRPr="000B6415">
        <w:rPr>
          <w:i/>
          <w:highlight w:val="yellow"/>
        </w:rPr>
        <w:t xml:space="preserve">Il punto 7 della RAA 2017 fornisce informazioni sui cambiamenti di contesto della RRN, sui risultati della RRN (tramite indicatori di risultato specifici del programma e aggiuntivi) e una risposta alla domanda del questionario valutativo comune n. 21 e a qualsiasi domanda di valutazione specifica del programma elaborata nello Stato membro che si riferisca alla RRN. I valutatori dovrebbero utilizzare indicatori di risultato supplementari per rispondere al questionario valutativo comune. Si dovrebbe rispondere al questionario valutativo della RNN specifico del programma con indicatori della RRN specifici del programma, anch'essi elaborati nello Stato membro (cfr. capitolo 2.2.2 delle linee guida). </w:t>
      </w:r>
    </w:p>
    <w:p w:rsidR="00675B1D" w:rsidRPr="000B6415" w:rsidRDefault="00675B1D" w:rsidP="00B51C05">
      <w:pPr>
        <w:pStyle w:val="HStandard"/>
        <w:rPr>
          <w:i/>
          <w:highlight w:val="yellow"/>
        </w:rPr>
      </w:pPr>
      <w:r w:rsidRPr="000B6415">
        <w:rPr>
          <w:i/>
          <w:highlight w:val="yellow"/>
        </w:rPr>
        <w:t xml:space="preserve">Oltre alle informazioni fornite nella RAA 2017, il punto 7 della RAA integrata 2019 dovrebbe comprendere anche informazioni sugli impatti della RRN, valutati attraverso l'utilizzo di indicatori di impatto, aggiuntivi e specifici del programma (cfr. capitolo 2.2.2 delle linee guida). In entrambe le relazioni si dovrebbero presentare raccomandazioni su come ottimizzare gli interventi della RRN. </w:t>
      </w:r>
    </w:p>
    <w:p w:rsidR="00675B1D" w:rsidRPr="000B6415" w:rsidRDefault="00675B1D" w:rsidP="00B51C05">
      <w:pPr>
        <w:pStyle w:val="HStandard"/>
        <w:rPr>
          <w:i/>
          <w:highlight w:val="yellow"/>
        </w:rPr>
      </w:pPr>
      <w:r w:rsidRPr="000B6415">
        <w:rPr>
          <w:i/>
          <w:highlight w:val="yellow"/>
        </w:rPr>
        <w:t>La valutazione ex post del 2024 dovrebbe includere i risultati della valutazione in merito ai seguenti temi:</w:t>
      </w:r>
    </w:p>
    <w:p w:rsidR="00675B1D" w:rsidRPr="000B6415" w:rsidRDefault="00675B1D" w:rsidP="00B51C05">
      <w:pPr>
        <w:pStyle w:val="Hlistbullet2"/>
        <w:rPr>
          <w:i/>
          <w:highlight w:val="yellow"/>
        </w:rPr>
      </w:pPr>
      <w:r w:rsidRPr="000B6415">
        <w:rPr>
          <w:i/>
          <w:highlight w:val="yellow"/>
        </w:rPr>
        <w:t>impatti delle attività della RRN, meccanismi per fornire gli impatti, attribuzione dei cambiamenti alla rete e impatti inaspettati;</w:t>
      </w:r>
    </w:p>
    <w:p w:rsidR="00675B1D" w:rsidRPr="000B6415" w:rsidRDefault="00675B1D" w:rsidP="00B51C05">
      <w:pPr>
        <w:pStyle w:val="Hlistbullet2"/>
        <w:rPr>
          <w:i/>
          <w:highlight w:val="yellow"/>
        </w:rPr>
      </w:pPr>
      <w:r w:rsidRPr="000B6415">
        <w:rPr>
          <w:i/>
          <w:highlight w:val="yellow"/>
        </w:rPr>
        <w:t>raccomandazioni su come ottimizzare i servizi e le attività della RRN in futuro.</w:t>
      </w:r>
    </w:p>
    <w:p w:rsidR="00675B1D" w:rsidRPr="000B6415" w:rsidRDefault="00675B1D" w:rsidP="006A099F">
      <w:pPr>
        <w:pStyle w:val="HHeading5"/>
        <w:rPr>
          <w:highlight w:val="yellow"/>
        </w:rPr>
      </w:pPr>
      <w:bookmarkStart w:id="343" w:name="_Toc422307929"/>
      <w:r w:rsidRPr="000B6415">
        <w:rPr>
          <w:highlight w:val="yellow"/>
        </w:rPr>
        <w:t>Domande di valutazione</w:t>
      </w:r>
      <w:bookmarkEnd w:id="343"/>
      <w:r w:rsidRPr="000B6415">
        <w:rPr>
          <w:highlight w:val="yellow"/>
        </w:rPr>
        <w:t xml:space="preserve"> </w:t>
      </w:r>
    </w:p>
    <w:p w:rsidR="00675B1D" w:rsidRPr="000B6415" w:rsidRDefault="00675B1D" w:rsidP="00B51C05">
      <w:pPr>
        <w:pStyle w:val="HStandard"/>
        <w:rPr>
          <w:highlight w:val="yellow"/>
        </w:rPr>
      </w:pPr>
      <w:r w:rsidRPr="000B6415">
        <w:rPr>
          <w:highlight w:val="yellow"/>
        </w:rPr>
        <w:t xml:space="preserve">Le domande di valutazione (questionari valutativi) contenute nel capitolato d'oneri precisano l'oggetto della valutazione e contribuiscono ad attività di valutazione più mirate. Il capitolato d'oneri dovrebbe specificare a quale tipo di domande di valutazione ci si attende di trovare risposta: </w:t>
      </w:r>
    </w:p>
    <w:p w:rsidR="00675B1D" w:rsidRPr="000B6415" w:rsidRDefault="00675B1D" w:rsidP="00675B1D">
      <w:pPr>
        <w:pStyle w:val="Hlistabc"/>
        <w:numPr>
          <w:ilvl w:val="0"/>
          <w:numId w:val="19"/>
        </w:numPr>
        <w:rPr>
          <w:highlight w:val="yellow"/>
        </w:rPr>
      </w:pPr>
      <w:r w:rsidRPr="000B6415">
        <w:rPr>
          <w:highlight w:val="yellow"/>
        </w:rPr>
        <w:t>la domanda n. 21</w:t>
      </w:r>
      <w:r w:rsidRPr="000B6415">
        <w:rPr>
          <w:rStyle w:val="FootnoteReference"/>
          <w:highlight w:val="yellow"/>
        </w:rPr>
        <w:footnoteReference w:id="123"/>
      </w:r>
      <w:r w:rsidRPr="000B6415">
        <w:rPr>
          <w:rFonts w:ascii="ZWAdobeF" w:hAnsi="ZWAdobeF"/>
          <w:color w:val="auto"/>
          <w:sz w:val="2"/>
          <w:highlight w:val="yellow"/>
        </w:rPr>
        <w:t xml:space="preserve"> </w:t>
      </w:r>
      <w:r w:rsidRPr="000B6415">
        <w:rPr>
          <w:highlight w:val="yellow"/>
        </w:rPr>
        <w:t xml:space="preserve">del questionario valutativo comune è legata ai quattro obiettivi generali comuni della RRN; </w:t>
      </w:r>
    </w:p>
    <w:p w:rsidR="00675B1D" w:rsidRPr="000B6415" w:rsidRDefault="00675B1D" w:rsidP="00B51C05">
      <w:pPr>
        <w:pStyle w:val="Hlistabc2"/>
        <w:rPr>
          <w:highlight w:val="yellow"/>
        </w:rPr>
      </w:pPr>
      <w:r w:rsidRPr="000B6415">
        <w:rPr>
          <w:highlight w:val="yellow"/>
        </w:rPr>
        <w:t xml:space="preserve">le domande di valutazione specifiche del programma sono legate agli obiettivi della RRN specifici del programma quali definiti nello Stato membro. </w:t>
      </w:r>
    </w:p>
    <w:p w:rsidR="00675B1D" w:rsidRPr="000B6415" w:rsidRDefault="00675B1D" w:rsidP="00B51C05">
      <w:pPr>
        <w:pStyle w:val="HStandard"/>
        <w:rPr>
          <w:highlight w:val="yellow"/>
        </w:rPr>
      </w:pPr>
      <w:r w:rsidRPr="000B6415">
        <w:rPr>
          <w:highlight w:val="yellow"/>
        </w:rPr>
        <w:t>Le domande di valutazione definiscono le questioni chiave da esaminare tramite una valutazione. Sono sviluppate e organizzate in base alle priorità dall'autorità di gestione e altre parti interessate. Nell'ambito di ogni compito di valutazione (descritto nella precedente sezione), vi saranno una o due domande di valutazione.</w:t>
      </w:r>
    </w:p>
    <w:p w:rsidR="00675B1D" w:rsidRPr="000B6415" w:rsidRDefault="00675B1D" w:rsidP="00B51C05">
      <w:pPr>
        <w:pStyle w:val="HStandard"/>
        <w:rPr>
          <w:highlight w:val="yellow"/>
        </w:rPr>
      </w:pPr>
      <w:r w:rsidRPr="000B6415">
        <w:rPr>
          <w:highlight w:val="yellow"/>
        </w:rPr>
        <w:t xml:space="preserve">Le domande di valutazione aiuteranno a focalizzare l'azione e fornire la struttura per la valutazione, guideranno il processo di pianificazione della valutazione, faciliteranno il processo decisionale in merito a quali metodi di valutazione utilizzare e alimenteranno la discussione su come i risultati della valutazione possano essere impiegati per migliorare l'intervento. Le domande di valutazione sono </w:t>
      </w:r>
      <w:r w:rsidRPr="000B6415">
        <w:rPr>
          <w:highlight w:val="yellow"/>
        </w:rPr>
        <w:lastRenderedPageBreak/>
        <w:t xml:space="preserve">legate agli obiettivi della RRN o al tema specifico che deve essere valutato. Le domande di valutazione dovrebbero essere ulteriormente specificate con criteri di giudizio, legati ad indicatori da utilizzare per rispondere a tali domande. I valutatori sono invitati a proporre criteri di giudizio e indicatori aggiuntivi per le domande di valutazione esistenti e a svilupparne di ulteriori per la RRN specifiche del programma, qualora questo si riveli utile per la qualità della valutazione. </w:t>
      </w:r>
    </w:p>
    <w:p w:rsidR="00675B1D" w:rsidRPr="000B6415" w:rsidRDefault="00675B1D" w:rsidP="00B51C05">
      <w:pPr>
        <w:pStyle w:val="HStandard"/>
        <w:rPr>
          <w:i/>
          <w:highlight w:val="yellow"/>
        </w:rPr>
      </w:pPr>
      <w:r w:rsidRPr="000B6415">
        <w:rPr>
          <w:i/>
          <w:highlight w:val="yellow"/>
        </w:rPr>
        <w:t xml:space="preserve">Esempio di </w:t>
      </w:r>
      <w:r w:rsidRPr="000B6415">
        <w:rPr>
          <w:b/>
          <w:i/>
          <w:highlight w:val="yellow"/>
        </w:rPr>
        <w:t>domande di valutazione della RRN specifiche del programma legate a obiettivi della RRN specifici del programma</w:t>
      </w:r>
      <w:r w:rsidRPr="000B6415">
        <w:rPr>
          <w:i/>
          <w:highlight w:val="yellow"/>
        </w:rPr>
        <w:t>.</w:t>
      </w:r>
    </w:p>
    <w:p w:rsidR="00675B1D" w:rsidRPr="000B6415" w:rsidRDefault="00675B1D" w:rsidP="00B51C05">
      <w:pPr>
        <w:pStyle w:val="HStandard"/>
        <w:rPr>
          <w:i/>
          <w:highlight w:val="yellow"/>
        </w:rPr>
      </w:pPr>
      <w:r w:rsidRPr="000B6415">
        <w:rPr>
          <w:i/>
          <w:highlight w:val="yellow"/>
        </w:rPr>
        <w:t>L'obiettivo della RRN specifico del programma consiste nel «migliorare la cooperazione tra le parti interessate nelle zone rurali attraverso le attività della RRN».</w:t>
      </w:r>
    </w:p>
    <w:p w:rsidR="00675B1D" w:rsidRPr="000B6415" w:rsidRDefault="00675B1D" w:rsidP="00B51C05">
      <w:pPr>
        <w:pStyle w:val="HStandard"/>
        <w:rPr>
          <w:i/>
          <w:highlight w:val="yellow"/>
        </w:rPr>
      </w:pPr>
      <w:r w:rsidRPr="000B6415">
        <w:rPr>
          <w:i/>
          <w:highlight w:val="yellow"/>
        </w:rPr>
        <w:t xml:space="preserve">Domanda di valutazione della RRN specifica del programma: «in che misura le attività della RRN hanno contribuito a migliorare la comunicazione tra le parti interessate nelle zone rurali?». </w:t>
      </w:r>
    </w:p>
    <w:p w:rsidR="00675B1D" w:rsidRPr="000B6415" w:rsidRDefault="00675B1D" w:rsidP="00B51C05">
      <w:pPr>
        <w:pStyle w:val="HStandard"/>
        <w:rPr>
          <w:i/>
          <w:highlight w:val="yellow"/>
        </w:rPr>
      </w:pPr>
      <w:r w:rsidRPr="000B6415">
        <w:rPr>
          <w:i/>
          <w:highlight w:val="yellow"/>
        </w:rPr>
        <w:t xml:space="preserve">Criteri di giudizio: la cooperazione tra le parti interessate è migliorata. </w:t>
      </w:r>
    </w:p>
    <w:p w:rsidR="00675B1D" w:rsidRPr="000B6415" w:rsidRDefault="00675B1D" w:rsidP="00B51C05">
      <w:pPr>
        <w:pStyle w:val="HStandard"/>
        <w:rPr>
          <w:i/>
          <w:highlight w:val="yellow"/>
        </w:rPr>
      </w:pPr>
      <w:r w:rsidRPr="000B6415">
        <w:rPr>
          <w:i/>
          <w:highlight w:val="yellow"/>
        </w:rPr>
        <w:t>Indicatore: numero di progetti di cooperazione istituiti/implementati grazie alle attività della RRN.</w:t>
      </w:r>
    </w:p>
    <w:p w:rsidR="00675B1D" w:rsidRPr="000B6415" w:rsidRDefault="00675B1D" w:rsidP="00B51C05">
      <w:pPr>
        <w:pStyle w:val="HStandard"/>
        <w:rPr>
          <w:i/>
          <w:highlight w:val="yellow"/>
        </w:rPr>
      </w:pPr>
      <w:r w:rsidRPr="000B6415">
        <w:rPr>
          <w:i/>
          <w:highlight w:val="yellow"/>
        </w:rPr>
        <w:t xml:space="preserve">Esempi di </w:t>
      </w:r>
      <w:r w:rsidRPr="000B6415">
        <w:rPr>
          <w:b/>
          <w:i/>
          <w:highlight w:val="yellow"/>
        </w:rPr>
        <w:t>domande di valutazione specifiche del programma legate a specifici temi di valutazione</w:t>
      </w:r>
      <w:r w:rsidRPr="000B6415">
        <w:rPr>
          <w:i/>
          <w:highlight w:val="yellow"/>
        </w:rPr>
        <w:t>:</w:t>
      </w:r>
    </w:p>
    <w:p w:rsidR="00675B1D" w:rsidRPr="000B6415" w:rsidRDefault="00675B1D" w:rsidP="00B51C05">
      <w:pPr>
        <w:pStyle w:val="HStandard"/>
        <w:rPr>
          <w:i/>
          <w:highlight w:val="yellow"/>
        </w:rPr>
      </w:pPr>
      <w:r w:rsidRPr="000B6415">
        <w:rPr>
          <w:i/>
          <w:highlight w:val="yellow"/>
        </w:rPr>
        <w:t xml:space="preserve">Tema: governance e prestazioni della RNN </w:t>
      </w:r>
    </w:p>
    <w:p w:rsidR="00675B1D" w:rsidRPr="000B6415" w:rsidRDefault="00675B1D" w:rsidP="00B51C05">
      <w:pPr>
        <w:pStyle w:val="HStandard"/>
        <w:rPr>
          <w:i/>
          <w:highlight w:val="yellow"/>
        </w:rPr>
      </w:pPr>
      <w:r w:rsidRPr="000B6415">
        <w:rPr>
          <w:i/>
          <w:highlight w:val="yellow"/>
        </w:rPr>
        <w:t>Domanda di valutazione della RRN specifica del programma: «La governance e le prestazioni della RRN sono efficaci?»</w:t>
      </w:r>
    </w:p>
    <w:p w:rsidR="00675B1D" w:rsidRPr="000B6415" w:rsidRDefault="00675B1D" w:rsidP="00B51C05">
      <w:pPr>
        <w:pStyle w:val="HStandard"/>
        <w:rPr>
          <w:i/>
          <w:highlight w:val="yellow"/>
        </w:rPr>
      </w:pPr>
      <w:r w:rsidRPr="000B6415">
        <w:rPr>
          <w:i/>
          <w:highlight w:val="yellow"/>
        </w:rPr>
        <w:t xml:space="preserve">Criteri di giudizio: la governance e le prestazioni della RRN hanno permesso il coinvolgimento di un ampio numero di parti interessate alle attività della RRN. </w:t>
      </w:r>
    </w:p>
    <w:p w:rsidR="00675B1D" w:rsidRPr="000B6415" w:rsidRDefault="00675B1D" w:rsidP="00B51C05">
      <w:pPr>
        <w:pStyle w:val="HStandard"/>
        <w:rPr>
          <w:i/>
          <w:highlight w:val="yellow"/>
        </w:rPr>
      </w:pPr>
      <w:r w:rsidRPr="000B6415">
        <w:rPr>
          <w:i/>
          <w:highlight w:val="yellow"/>
        </w:rPr>
        <w:t xml:space="preserve">Indicatore: numero di parti interessate, per tipologia, coinvolte nelle attività della RRN. </w:t>
      </w:r>
    </w:p>
    <w:p w:rsidR="00675B1D" w:rsidRPr="000B6415" w:rsidRDefault="00675B1D" w:rsidP="006A099F">
      <w:pPr>
        <w:pStyle w:val="HHeading5"/>
        <w:rPr>
          <w:highlight w:val="yellow"/>
        </w:rPr>
      </w:pPr>
      <w:bookmarkStart w:id="344" w:name="_Toc422307930"/>
      <w:r w:rsidRPr="000B6415">
        <w:rPr>
          <w:highlight w:val="yellow"/>
        </w:rPr>
        <w:t>Approccio metodologico</w:t>
      </w:r>
      <w:bookmarkEnd w:id="344"/>
    </w:p>
    <w:p w:rsidR="00675B1D" w:rsidRPr="000B6415" w:rsidRDefault="00675B1D" w:rsidP="00B51C05">
      <w:pPr>
        <w:pStyle w:val="HStandard"/>
        <w:rPr>
          <w:highlight w:val="yellow"/>
        </w:rPr>
      </w:pPr>
      <w:r w:rsidRPr="000B6415">
        <w:rPr>
          <w:highlight w:val="yellow"/>
        </w:rPr>
        <w:t xml:space="preserve">Lo scopo di questa sezione è quello di specificare l'approccio metodologico per la valutazione. Ciò può essere realizzato chiedendo agli offerenti di descrivere nella loro offerta la strategia relativa ai temi e alle attività di valutazione oppure, in alternativa, chiedendo al contraente di applicare metodologie specifiche. In generale, si consiglia di concedere al contraente la flessibilità di proporre il suo approccio alla valutazione delle realizzazioni, dei risultati e degli impatti della RRN, nonché di applicare i metodi che egli considera sufficientemente affidabili per la valutazione della RRN. La strategia e i metodi dovrebbero essere descritti in dettaglio dal contraente nell'offerta. In ogni caso, si raccomanda alle autorità di gestione di sviluppare capacità sufficienti per giudicare la qualità della strategia e l'affidabilità dei metodi. </w:t>
      </w:r>
    </w:p>
    <w:p w:rsidR="00675B1D" w:rsidRPr="000B6415" w:rsidRDefault="00675B1D" w:rsidP="00B51C05">
      <w:pPr>
        <w:pStyle w:val="HStandard"/>
        <w:rPr>
          <w:i/>
          <w:highlight w:val="yellow"/>
        </w:rPr>
      </w:pPr>
      <w:r w:rsidRPr="000B6415">
        <w:rPr>
          <w:i/>
          <w:highlight w:val="yellow"/>
        </w:rPr>
        <w:t>Esempio:</w:t>
      </w:r>
    </w:p>
    <w:p w:rsidR="00675B1D" w:rsidRPr="000B6415" w:rsidRDefault="00675B1D" w:rsidP="00B51C05">
      <w:pPr>
        <w:pStyle w:val="HStandard"/>
        <w:rPr>
          <w:i/>
          <w:highlight w:val="yellow"/>
        </w:rPr>
      </w:pPr>
      <w:r w:rsidRPr="000B6415">
        <w:rPr>
          <w:i/>
          <w:highlight w:val="yellow"/>
        </w:rPr>
        <w:t>È importante riconoscere che le reti rurali sono esempi di interventi «soft», i cui impatti sono spesso difficili da cogliere nella valutazione. I seguenti metodi possono essere usati nella valutazione della RRN / del PRRN:</w:t>
      </w:r>
    </w:p>
    <w:p w:rsidR="00675B1D" w:rsidRPr="000B6415" w:rsidRDefault="00675B1D" w:rsidP="00B51C05">
      <w:pPr>
        <w:pStyle w:val="Hlistbullet2"/>
        <w:rPr>
          <w:i/>
          <w:highlight w:val="yellow"/>
        </w:rPr>
      </w:pPr>
      <w:r w:rsidRPr="000B6415">
        <w:rPr>
          <w:i/>
          <w:highlight w:val="yellow"/>
        </w:rPr>
        <w:t>analisi documentale dei dati di monitoraggio;</w:t>
      </w:r>
    </w:p>
    <w:p w:rsidR="00675B1D" w:rsidRPr="000B6415" w:rsidRDefault="00675B1D" w:rsidP="00B51C05">
      <w:pPr>
        <w:pStyle w:val="Hlistbullet2"/>
        <w:rPr>
          <w:i/>
          <w:highlight w:val="yellow"/>
        </w:rPr>
      </w:pPr>
      <w:r w:rsidRPr="000B6415">
        <w:rPr>
          <w:i/>
          <w:highlight w:val="yellow"/>
        </w:rPr>
        <w:t>approcci basati sulla teoria per stabilire una logica di intervento e un quadro di valutazione (ad esempio teoria del cambiamento);</w:t>
      </w:r>
    </w:p>
    <w:p w:rsidR="00675B1D" w:rsidRPr="000B6415" w:rsidRDefault="00675B1D" w:rsidP="00B51C05">
      <w:pPr>
        <w:pStyle w:val="Hlistbullet2"/>
        <w:rPr>
          <w:i/>
          <w:highlight w:val="yellow"/>
        </w:rPr>
      </w:pPr>
      <w:r w:rsidRPr="000B6415">
        <w:rPr>
          <w:i/>
          <w:highlight w:val="yellow"/>
        </w:rPr>
        <w:lastRenderedPageBreak/>
        <w:t>studi di casi</w:t>
      </w:r>
      <w:r w:rsidRPr="000B6415">
        <w:rPr>
          <w:rStyle w:val="FootnoteReference"/>
          <w:highlight w:val="yellow"/>
        </w:rPr>
        <w:footnoteReference w:id="124"/>
      </w:r>
      <w:r w:rsidRPr="000B6415">
        <w:rPr>
          <w:i/>
          <w:highlight w:val="yellow"/>
        </w:rPr>
        <w:t>;</w:t>
      </w:r>
    </w:p>
    <w:p w:rsidR="00675B1D" w:rsidRPr="000B6415" w:rsidRDefault="00675B1D" w:rsidP="00B51C05">
      <w:pPr>
        <w:pStyle w:val="Hlistbullet2"/>
        <w:rPr>
          <w:i/>
          <w:highlight w:val="yellow"/>
        </w:rPr>
      </w:pPr>
      <w:r w:rsidRPr="000B6415">
        <w:rPr>
          <w:i/>
          <w:highlight w:val="yellow"/>
        </w:rPr>
        <w:t>valutazioni in loco da parte dei partecipanti, osservazioni partecipative a eventi;</w:t>
      </w:r>
    </w:p>
    <w:p w:rsidR="00675B1D" w:rsidRPr="000B6415" w:rsidRDefault="00675B1D" w:rsidP="00B51C05">
      <w:pPr>
        <w:pStyle w:val="Hlistbullet2"/>
        <w:rPr>
          <w:i/>
          <w:highlight w:val="yellow"/>
        </w:rPr>
      </w:pPr>
      <w:r w:rsidRPr="000B6415">
        <w:rPr>
          <w:i/>
          <w:highlight w:val="yellow"/>
        </w:rPr>
        <w:t>indagini su un più ampio gruppo di parti interessate;</w:t>
      </w:r>
    </w:p>
    <w:p w:rsidR="00675B1D" w:rsidRPr="000B6415" w:rsidRDefault="00675B1D" w:rsidP="00B51C05">
      <w:pPr>
        <w:pStyle w:val="Hlistbullet2"/>
        <w:rPr>
          <w:i/>
          <w:highlight w:val="yellow"/>
        </w:rPr>
      </w:pPr>
      <w:r w:rsidRPr="000B6415">
        <w:rPr>
          <w:i/>
          <w:highlight w:val="yellow"/>
        </w:rPr>
        <w:t>interviste di approfondimento e gruppi specifici di discussione</w:t>
      </w:r>
      <w:r w:rsidRPr="000B6415">
        <w:rPr>
          <w:rStyle w:val="FootnoteReference"/>
          <w:highlight w:val="yellow"/>
        </w:rPr>
        <w:footnoteReference w:id="125"/>
      </w:r>
      <w:r w:rsidRPr="000B6415">
        <w:rPr>
          <w:i/>
          <w:highlight w:val="yellow"/>
        </w:rPr>
        <w:t xml:space="preserve">; </w:t>
      </w:r>
    </w:p>
    <w:p w:rsidR="00675B1D" w:rsidRPr="000B6415" w:rsidRDefault="00675B1D" w:rsidP="00B51C05">
      <w:pPr>
        <w:pStyle w:val="Hlistbullet2"/>
        <w:rPr>
          <w:i/>
          <w:highlight w:val="yellow"/>
        </w:rPr>
      </w:pPr>
      <w:r w:rsidRPr="000B6415">
        <w:rPr>
          <w:i/>
          <w:highlight w:val="yellow"/>
        </w:rPr>
        <w:t>analisi delle parti interessate</w:t>
      </w:r>
      <w:r w:rsidRPr="000B6415">
        <w:rPr>
          <w:rStyle w:val="FootnoteReference"/>
          <w:highlight w:val="yellow"/>
        </w:rPr>
        <w:footnoteReference w:id="126"/>
      </w:r>
      <w:r w:rsidRPr="000B6415">
        <w:rPr>
          <w:i/>
          <w:highlight w:val="yellow"/>
        </w:rPr>
        <w:t xml:space="preserve">; </w:t>
      </w:r>
    </w:p>
    <w:p w:rsidR="00675B1D" w:rsidRPr="000B6415" w:rsidRDefault="00675B1D" w:rsidP="00B51C05">
      <w:pPr>
        <w:pStyle w:val="Hlistbullet2"/>
        <w:rPr>
          <w:i/>
          <w:highlight w:val="yellow"/>
        </w:rPr>
      </w:pPr>
      <w:r w:rsidRPr="000B6415">
        <w:rPr>
          <w:i/>
          <w:highlight w:val="yellow"/>
        </w:rPr>
        <w:t>analisi del funzionamento della rete</w:t>
      </w:r>
      <w:r w:rsidRPr="000B6415">
        <w:rPr>
          <w:rStyle w:val="FootnoteReference"/>
          <w:highlight w:val="yellow"/>
        </w:rPr>
        <w:footnoteReference w:id="127"/>
      </w:r>
      <w:r w:rsidRPr="000B6415">
        <w:rPr>
          <w:i/>
          <w:highlight w:val="yellow"/>
        </w:rPr>
        <w:t>;</w:t>
      </w:r>
    </w:p>
    <w:p w:rsidR="00675B1D" w:rsidRPr="000B6415" w:rsidRDefault="00675B1D" w:rsidP="00B51C05">
      <w:pPr>
        <w:pStyle w:val="Hlistbullet2"/>
        <w:rPr>
          <w:i/>
          <w:highlight w:val="yellow"/>
        </w:rPr>
      </w:pPr>
      <w:r w:rsidRPr="000B6415">
        <w:rPr>
          <w:i/>
          <w:highlight w:val="yellow"/>
        </w:rPr>
        <w:t>diagnosi della rete e dell'organizzazione</w:t>
      </w:r>
      <w:r w:rsidRPr="000B6415">
        <w:rPr>
          <w:rStyle w:val="FootnoteReference"/>
          <w:highlight w:val="yellow"/>
        </w:rPr>
        <w:footnoteReference w:id="128"/>
      </w:r>
      <w:r w:rsidRPr="000B6415">
        <w:rPr>
          <w:i/>
          <w:highlight w:val="yellow"/>
        </w:rPr>
        <w:t>;</w:t>
      </w:r>
    </w:p>
    <w:p w:rsidR="00675B1D" w:rsidRPr="000B6415" w:rsidRDefault="00675B1D" w:rsidP="00B51C05">
      <w:pPr>
        <w:pStyle w:val="Hlistbullet2"/>
        <w:rPr>
          <w:highlight w:val="yellow"/>
        </w:rPr>
      </w:pPr>
      <w:r w:rsidRPr="000B6415">
        <w:rPr>
          <w:i/>
          <w:highlight w:val="yellow"/>
        </w:rPr>
        <w:t>analisi delle reti sociali</w:t>
      </w:r>
      <w:r w:rsidRPr="000B6415">
        <w:rPr>
          <w:rStyle w:val="FootnoteReference"/>
          <w:highlight w:val="yellow"/>
        </w:rPr>
        <w:footnoteReference w:id="129"/>
      </w:r>
      <w:r w:rsidRPr="000B6415">
        <w:rPr>
          <w:i/>
          <w:highlight w:val="yellow"/>
        </w:rPr>
        <w:t>.</w:t>
      </w:r>
    </w:p>
    <w:p w:rsidR="00675B1D" w:rsidRPr="000B6415" w:rsidRDefault="00675B1D" w:rsidP="006A099F">
      <w:pPr>
        <w:pStyle w:val="HHeading5"/>
        <w:rPr>
          <w:highlight w:val="yellow"/>
        </w:rPr>
      </w:pPr>
      <w:bookmarkStart w:id="345" w:name="_Toc422307931"/>
      <w:r w:rsidRPr="000B6415">
        <w:rPr>
          <w:highlight w:val="yellow"/>
        </w:rPr>
        <w:t>Fonti di informazione</w:t>
      </w:r>
      <w:bookmarkEnd w:id="345"/>
    </w:p>
    <w:p w:rsidR="00675B1D" w:rsidRPr="000B6415" w:rsidRDefault="00675B1D" w:rsidP="00B51C05">
      <w:pPr>
        <w:pStyle w:val="H-Standard"/>
        <w:rPr>
          <w:highlight w:val="yellow"/>
        </w:rPr>
      </w:pPr>
      <w:r w:rsidRPr="000B6415">
        <w:rPr>
          <w:highlight w:val="yellow"/>
        </w:rPr>
        <w:t>Il capitolato d'oneri dovrebbe contenere una panoramica delle fonti di dati e informazioni disponibili pertinenti per il compito di valutazione. Ciò comprende la specificazione delle informazioni raccolte attraverso il sistema di monitoraggio, le altre banche dati e gli altri documenti disponibili, i dettagli su chi detiene le informazioni e come queste possono essere valutate nonché il riferimento a qualsiasi analisi e lavoro di ricerca pertinente che abbia già avuto luogo a riguardo. Risulta anche utile evidenziare le informazioni / i dati non disponibili che si prevede vengano raccolti dal valutatore. Questa informazione è essenziale anche ai fini di una valutazione realistica dell'offerta.</w:t>
      </w:r>
    </w:p>
    <w:p w:rsidR="00675B1D" w:rsidRPr="000B6415" w:rsidRDefault="00675B1D" w:rsidP="00B51C05">
      <w:pPr>
        <w:pStyle w:val="H-Standard"/>
        <w:rPr>
          <w:i/>
          <w:highlight w:val="yellow"/>
        </w:rPr>
      </w:pPr>
      <w:r w:rsidRPr="000B6415">
        <w:rPr>
          <w:i/>
          <w:highlight w:val="yellow"/>
        </w:rPr>
        <w:t>Esempio di fonti di dati e informazioni disponibili</w:t>
      </w:r>
    </w:p>
    <w:p w:rsidR="00675B1D" w:rsidRPr="000B6415" w:rsidRDefault="00675B1D" w:rsidP="00B51C05">
      <w:pPr>
        <w:pStyle w:val="Hlistbullet2"/>
        <w:rPr>
          <w:i/>
          <w:highlight w:val="yellow"/>
        </w:rPr>
      </w:pPr>
      <w:r w:rsidRPr="000B6415">
        <w:rPr>
          <w:i/>
          <w:highlight w:val="yellow"/>
        </w:rPr>
        <w:t>studio di fattibilità e valutazione delle esigenze per istituire la RRN;</w:t>
      </w:r>
    </w:p>
    <w:p w:rsidR="00675B1D" w:rsidRPr="000B6415" w:rsidRDefault="00675B1D" w:rsidP="00B51C05">
      <w:pPr>
        <w:pStyle w:val="Hlistbullet2"/>
        <w:rPr>
          <w:i/>
          <w:highlight w:val="yellow"/>
        </w:rPr>
      </w:pPr>
      <w:r w:rsidRPr="000B6415">
        <w:rPr>
          <w:i/>
          <w:highlight w:val="yellow"/>
        </w:rPr>
        <w:t>piano di azione della RRN comprensivo di piano di sviluppo delle capacità e piano di comunicazione;</w:t>
      </w:r>
    </w:p>
    <w:p w:rsidR="00675B1D" w:rsidRPr="000B6415" w:rsidRDefault="00675B1D" w:rsidP="00B51C05">
      <w:pPr>
        <w:pStyle w:val="Hlistbullet2"/>
        <w:rPr>
          <w:i/>
          <w:highlight w:val="yellow"/>
        </w:rPr>
      </w:pPr>
      <w:r w:rsidRPr="000B6415">
        <w:rPr>
          <w:i/>
          <w:highlight w:val="yellow"/>
        </w:rPr>
        <w:t>dati di autovalutazione della RRN;</w:t>
      </w:r>
    </w:p>
    <w:p w:rsidR="00675B1D" w:rsidRPr="000B6415" w:rsidRDefault="00675B1D" w:rsidP="00B51C05">
      <w:pPr>
        <w:pStyle w:val="Hlistbullet2"/>
        <w:rPr>
          <w:i/>
          <w:highlight w:val="yellow"/>
        </w:rPr>
      </w:pPr>
      <w:r w:rsidRPr="000B6415">
        <w:rPr>
          <w:i/>
          <w:highlight w:val="yellow"/>
        </w:rPr>
        <w:t>banca dati del progetto della RRN;</w:t>
      </w:r>
    </w:p>
    <w:p w:rsidR="00675B1D" w:rsidRPr="000B6415" w:rsidRDefault="00675B1D" w:rsidP="00B51C05">
      <w:pPr>
        <w:pStyle w:val="Hlistbullet2"/>
        <w:rPr>
          <w:i/>
          <w:highlight w:val="yellow"/>
        </w:rPr>
      </w:pPr>
      <w:r w:rsidRPr="000B6415">
        <w:rPr>
          <w:i/>
          <w:highlight w:val="yellow"/>
        </w:rPr>
        <w:t>dati di pagamento per le attività della RRN;</w:t>
      </w:r>
    </w:p>
    <w:p w:rsidR="00675B1D" w:rsidRPr="000B6415" w:rsidRDefault="00675B1D" w:rsidP="00B51C05">
      <w:pPr>
        <w:pStyle w:val="Hlistbullet2"/>
        <w:rPr>
          <w:i/>
          <w:highlight w:val="yellow"/>
        </w:rPr>
      </w:pPr>
      <w:r w:rsidRPr="000B6415">
        <w:rPr>
          <w:i/>
          <w:highlight w:val="yellow"/>
        </w:rPr>
        <w:t>dati di monitoraggio del PSR (banca dati delle operazioni);</w:t>
      </w:r>
    </w:p>
    <w:p w:rsidR="00675B1D" w:rsidRPr="000B6415" w:rsidRDefault="00675B1D" w:rsidP="00B51C05">
      <w:pPr>
        <w:pStyle w:val="Hlistbullet2"/>
        <w:rPr>
          <w:i/>
          <w:highlight w:val="yellow"/>
        </w:rPr>
      </w:pPr>
      <w:r w:rsidRPr="000B6415">
        <w:rPr>
          <w:i/>
          <w:highlight w:val="yellow"/>
        </w:rPr>
        <w:t>valutazione ex post della RRN nel periodo di programmazione 2007-2013.</w:t>
      </w:r>
    </w:p>
    <w:p w:rsidR="00675B1D" w:rsidRPr="000B6415" w:rsidRDefault="00675B1D" w:rsidP="006A099F">
      <w:pPr>
        <w:pStyle w:val="HHeading5"/>
        <w:rPr>
          <w:highlight w:val="yellow"/>
        </w:rPr>
      </w:pPr>
      <w:bookmarkStart w:id="346" w:name="_Toc422307932"/>
      <w:r w:rsidRPr="000B6415">
        <w:rPr>
          <w:highlight w:val="yellow"/>
        </w:rPr>
        <w:t>Tempistiche e risultati attesi</w:t>
      </w:r>
      <w:bookmarkEnd w:id="346"/>
    </w:p>
    <w:p w:rsidR="00675B1D" w:rsidRPr="000B6415" w:rsidRDefault="00675B1D" w:rsidP="00B51C05">
      <w:pPr>
        <w:pStyle w:val="H-Standard"/>
        <w:rPr>
          <w:highlight w:val="yellow"/>
        </w:rPr>
      </w:pPr>
      <w:r w:rsidRPr="000B6415">
        <w:rPr>
          <w:highlight w:val="yellow"/>
        </w:rPr>
        <w:t>Il capitolato d'oneri specifica la durata del contratto di valutazione e le tempistiche per la fornitura dei risultati attesi. Si dovrebbero altresì precisare le tappe e le scadenze fisse a cui i risultati attesi sono legati. Il capitolato d'oneri può specificare ulteriormente la portata e il gruppo destinatario dei principali risultati attesi.</w:t>
      </w:r>
    </w:p>
    <w:p w:rsidR="00675B1D" w:rsidRPr="000B6415" w:rsidRDefault="00675B1D" w:rsidP="00B51C05">
      <w:pPr>
        <w:pStyle w:val="H-Standard"/>
        <w:rPr>
          <w:highlight w:val="yellow"/>
        </w:rPr>
      </w:pPr>
      <w:r w:rsidRPr="000B6415">
        <w:rPr>
          <w:highlight w:val="yellow"/>
        </w:rPr>
        <w:lastRenderedPageBreak/>
        <w:t xml:space="preserve">Si devono descrivere con cura i risultati attesi, così come la lunghezza, il formato e il contenuto degli stessi (ad esempio, il contenuto delle relazioni di valutazione, il contributo alle relazioni annuali sull’attuazione standard e integrate, le sintesi (in inglese), altri risultati attesi necessari per una più ampia diffusione dei risultati della valutazione). </w:t>
      </w:r>
    </w:p>
    <w:p w:rsidR="00675B1D" w:rsidRPr="000B6415" w:rsidRDefault="00675B1D" w:rsidP="00B51C05">
      <w:pPr>
        <w:pStyle w:val="H-Standard"/>
        <w:rPr>
          <w:highlight w:val="yellow"/>
        </w:rPr>
      </w:pPr>
      <w:r w:rsidRPr="000B6415">
        <w:rPr>
          <w:highlight w:val="yellow"/>
        </w:rPr>
        <w:t>I risultati attesi sono messi in relazione con i pagamenti (ad interim) negli accordi in materia di fatturazione contenuti nel capitolato d'oneri.</w:t>
      </w:r>
    </w:p>
    <w:p w:rsidR="00675B1D" w:rsidRPr="000B6415" w:rsidRDefault="00675B1D" w:rsidP="00B51C05">
      <w:pPr>
        <w:pStyle w:val="H-Standard"/>
        <w:rPr>
          <w:i/>
          <w:highlight w:val="yellow"/>
        </w:rPr>
      </w:pPr>
      <w:r w:rsidRPr="000B6415">
        <w:rPr>
          <w:i/>
          <w:highlight w:val="yellow"/>
        </w:rPr>
        <w:t>Esempio:</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675B1D" w:rsidRPr="000B6415" w:rsidTr="00754C47">
        <w:trPr>
          <w:tblHeader/>
          <w:jc w:val="center"/>
        </w:trPr>
        <w:tc>
          <w:tcPr>
            <w:tcW w:w="1555" w:type="dxa"/>
            <w:shd w:val="clear" w:color="auto" w:fill="E7E6E6" w:themeFill="background2"/>
          </w:tcPr>
          <w:p w:rsidR="00675B1D" w:rsidRPr="000B6415" w:rsidRDefault="00675B1D" w:rsidP="00B51C05">
            <w:pPr>
              <w:pStyle w:val="H-Standard"/>
              <w:jc w:val="center"/>
              <w:rPr>
                <w:b/>
                <w:i/>
                <w:color w:val="5B9BD5" w:themeColor="accent1"/>
                <w:sz w:val="18"/>
                <w:highlight w:val="yellow"/>
              </w:rPr>
            </w:pPr>
            <w:r w:rsidRPr="000B6415">
              <w:rPr>
                <w:b/>
                <w:i/>
                <w:color w:val="5B9BD5" w:themeColor="accent1"/>
                <w:sz w:val="18"/>
                <w:highlight w:val="yellow"/>
              </w:rPr>
              <w:t>Tempistiche</w:t>
            </w:r>
          </w:p>
        </w:tc>
        <w:tc>
          <w:tcPr>
            <w:tcW w:w="2254" w:type="dxa"/>
            <w:shd w:val="clear" w:color="auto" w:fill="E7E6E6" w:themeFill="background2"/>
          </w:tcPr>
          <w:p w:rsidR="00675B1D" w:rsidRPr="000B6415" w:rsidRDefault="00675B1D" w:rsidP="00B51C05">
            <w:pPr>
              <w:pStyle w:val="H-Standard"/>
              <w:jc w:val="center"/>
              <w:rPr>
                <w:b/>
                <w:i/>
                <w:color w:val="5B9BD5" w:themeColor="accent1"/>
                <w:sz w:val="18"/>
                <w:highlight w:val="yellow"/>
              </w:rPr>
            </w:pPr>
            <w:r w:rsidRPr="000B6415">
              <w:rPr>
                <w:b/>
                <w:i/>
                <w:color w:val="5B9BD5" w:themeColor="accent1"/>
                <w:sz w:val="18"/>
                <w:highlight w:val="yellow"/>
              </w:rPr>
              <w:t>Risultato atteso</w:t>
            </w:r>
          </w:p>
        </w:tc>
        <w:tc>
          <w:tcPr>
            <w:tcW w:w="3699" w:type="dxa"/>
            <w:shd w:val="clear" w:color="auto" w:fill="E7E6E6" w:themeFill="background2"/>
          </w:tcPr>
          <w:p w:rsidR="00675B1D" w:rsidRPr="000B6415" w:rsidRDefault="00675B1D" w:rsidP="00B51C05">
            <w:pPr>
              <w:pStyle w:val="H-Standard"/>
              <w:jc w:val="center"/>
              <w:rPr>
                <w:b/>
                <w:i/>
                <w:color w:val="5B9BD5" w:themeColor="accent1"/>
                <w:sz w:val="18"/>
                <w:highlight w:val="yellow"/>
              </w:rPr>
            </w:pPr>
            <w:r w:rsidRPr="000B6415">
              <w:rPr>
                <w:b/>
                <w:i/>
                <w:color w:val="5B9BD5" w:themeColor="accent1"/>
                <w:sz w:val="18"/>
                <w:highlight w:val="yellow"/>
              </w:rPr>
              <w:t>Contenuto del risultato atteso</w:t>
            </w:r>
          </w:p>
        </w:tc>
      </w:tr>
      <w:tr w:rsidR="00675B1D" w:rsidRPr="000B6415" w:rsidTr="00754C47">
        <w:trPr>
          <w:jc w:val="center"/>
        </w:trPr>
        <w:tc>
          <w:tcPr>
            <w:tcW w:w="1555" w:type="dxa"/>
          </w:tcPr>
          <w:p w:rsidR="00675B1D" w:rsidRPr="000B6415" w:rsidRDefault="00675B1D" w:rsidP="00445E97">
            <w:pPr>
              <w:pStyle w:val="H-Standard"/>
              <w:jc w:val="left"/>
              <w:rPr>
                <w:i/>
                <w:sz w:val="18"/>
                <w:highlight w:val="yellow"/>
              </w:rPr>
            </w:pPr>
            <w:r w:rsidRPr="000B6415">
              <w:rPr>
                <w:i/>
                <w:sz w:val="18"/>
                <w:highlight w:val="yellow"/>
              </w:rPr>
              <w:t>Marzo 2017</w:t>
            </w:r>
          </w:p>
        </w:tc>
        <w:tc>
          <w:tcPr>
            <w:tcW w:w="2254" w:type="dxa"/>
          </w:tcPr>
          <w:p w:rsidR="00675B1D" w:rsidRPr="000B6415" w:rsidRDefault="00675B1D" w:rsidP="00445E97">
            <w:pPr>
              <w:pStyle w:val="H-Standard"/>
              <w:jc w:val="left"/>
              <w:rPr>
                <w:i/>
                <w:sz w:val="18"/>
                <w:highlight w:val="yellow"/>
              </w:rPr>
            </w:pPr>
            <w:r w:rsidRPr="000B6415">
              <w:rPr>
                <w:i/>
                <w:sz w:val="18"/>
                <w:highlight w:val="yellow"/>
              </w:rPr>
              <w:t>Prima relazione (max. 80 pagine) approvata dal gruppo direttivo</w:t>
            </w:r>
          </w:p>
          <w:p w:rsidR="00675B1D" w:rsidRPr="000B6415" w:rsidRDefault="00675B1D" w:rsidP="00445E97">
            <w:pPr>
              <w:pStyle w:val="H-Standard"/>
              <w:jc w:val="left"/>
              <w:rPr>
                <w:i/>
                <w:sz w:val="18"/>
                <w:highlight w:val="yellow"/>
              </w:rPr>
            </w:pPr>
            <w:r w:rsidRPr="000B6415">
              <w:rPr>
                <w:i/>
                <w:sz w:val="18"/>
                <w:highlight w:val="yellow"/>
              </w:rPr>
              <w:t>La prima relazione comprende una sintesi di max. 4 pagine e gli identificatori specifici sulla pagina di copertina e una clausola di esclusione della responsabilità standard.</w:t>
            </w:r>
          </w:p>
          <w:p w:rsidR="00675B1D" w:rsidRPr="000B6415" w:rsidRDefault="00675B1D" w:rsidP="00B51C05">
            <w:pPr>
              <w:pStyle w:val="H-Standard"/>
              <w:jc w:val="left"/>
              <w:rPr>
                <w:i/>
                <w:sz w:val="18"/>
                <w:highlight w:val="yellow"/>
              </w:rPr>
            </w:pPr>
            <w:r w:rsidRPr="000B6415">
              <w:rPr>
                <w:i/>
                <w:sz w:val="18"/>
                <w:highlight w:val="yellow"/>
              </w:rPr>
              <w:t>La prima relazione sarà pubblicata nella sua versione integrale sul sito web del PSR</w:t>
            </w:r>
          </w:p>
        </w:tc>
        <w:tc>
          <w:tcPr>
            <w:tcW w:w="3699" w:type="dxa"/>
          </w:tcPr>
          <w:p w:rsidR="00675B1D" w:rsidRPr="000B6415" w:rsidRDefault="00675B1D" w:rsidP="00445E97">
            <w:pPr>
              <w:pStyle w:val="H-Standard"/>
              <w:jc w:val="left"/>
              <w:rPr>
                <w:i/>
                <w:sz w:val="18"/>
                <w:highlight w:val="yellow"/>
              </w:rPr>
            </w:pPr>
            <w:r w:rsidRPr="000B6415">
              <w:rPr>
                <w:i/>
                <w:sz w:val="18"/>
                <w:highlight w:val="yellow"/>
              </w:rPr>
              <w:t>Riesame del quadro di valutazione e della disponibilità di fonti di dati, compresa l'autovalutazione</w:t>
            </w:r>
          </w:p>
          <w:p w:rsidR="00675B1D" w:rsidRPr="000B6415" w:rsidRDefault="00675B1D" w:rsidP="00445E97">
            <w:pPr>
              <w:pStyle w:val="H-Standard"/>
              <w:jc w:val="left"/>
              <w:rPr>
                <w:i/>
                <w:sz w:val="18"/>
                <w:highlight w:val="yellow"/>
              </w:rPr>
            </w:pPr>
            <w:r w:rsidRPr="000B6415">
              <w:rPr>
                <w:i/>
                <w:sz w:val="18"/>
                <w:highlight w:val="yellow"/>
              </w:rPr>
              <w:t xml:space="preserve">Riesame del sistema di governance e delle prestazioni della RRN </w:t>
            </w:r>
          </w:p>
          <w:p w:rsidR="00675B1D" w:rsidRPr="000B6415" w:rsidRDefault="00675B1D" w:rsidP="00445E97">
            <w:pPr>
              <w:pStyle w:val="H-Standard"/>
              <w:jc w:val="left"/>
              <w:rPr>
                <w:i/>
                <w:sz w:val="18"/>
                <w:highlight w:val="yellow"/>
              </w:rPr>
            </w:pPr>
            <w:r w:rsidRPr="000B6415">
              <w:rPr>
                <w:i/>
                <w:sz w:val="18"/>
                <w:highlight w:val="yellow"/>
              </w:rPr>
              <w:t>Riesame della rilevanza dei servizi e delle attività della RRN previsti</w:t>
            </w:r>
          </w:p>
          <w:p w:rsidR="00675B1D" w:rsidRPr="000B6415" w:rsidRDefault="00675B1D" w:rsidP="00445E97">
            <w:pPr>
              <w:pStyle w:val="H-Standard"/>
              <w:jc w:val="left"/>
              <w:rPr>
                <w:i/>
                <w:sz w:val="18"/>
                <w:highlight w:val="yellow"/>
              </w:rPr>
            </w:pPr>
            <w:r w:rsidRPr="000B6415">
              <w:rPr>
                <w:i/>
                <w:sz w:val="18"/>
                <w:highlight w:val="yellow"/>
              </w:rPr>
              <w:t>Coerenza con altre reti a livello nazionale ed europeo</w:t>
            </w:r>
          </w:p>
          <w:p w:rsidR="00675B1D" w:rsidRPr="000B6415" w:rsidRDefault="00675B1D" w:rsidP="00445E97">
            <w:pPr>
              <w:pStyle w:val="H-Standard"/>
              <w:jc w:val="left"/>
              <w:rPr>
                <w:i/>
                <w:sz w:val="18"/>
                <w:highlight w:val="yellow"/>
              </w:rPr>
            </w:pPr>
            <w:r w:rsidRPr="000B6415">
              <w:rPr>
                <w:i/>
                <w:sz w:val="18"/>
                <w:highlight w:val="yellow"/>
              </w:rPr>
              <w:t>Prestazioni e prodotti della RRN (tenendo conto degli indicatori di prodotto CMES)</w:t>
            </w:r>
          </w:p>
          <w:p w:rsidR="00675B1D" w:rsidRPr="000B6415" w:rsidRDefault="00675B1D" w:rsidP="00445E97">
            <w:pPr>
              <w:pStyle w:val="H-Standard"/>
              <w:jc w:val="left"/>
              <w:rPr>
                <w:i/>
                <w:sz w:val="18"/>
                <w:highlight w:val="yellow"/>
              </w:rPr>
            </w:pPr>
            <w:r w:rsidRPr="000B6415">
              <w:rPr>
                <w:i/>
                <w:sz w:val="18"/>
                <w:highlight w:val="yellow"/>
              </w:rPr>
              <w:t>Raccomandazioni su come ottimizzare i servizi e le attività della RRN</w:t>
            </w:r>
          </w:p>
        </w:tc>
      </w:tr>
    </w:tbl>
    <w:p w:rsidR="00675B1D" w:rsidRPr="000B6415" w:rsidRDefault="00675B1D" w:rsidP="006A099F">
      <w:pPr>
        <w:pStyle w:val="HHeading5"/>
        <w:rPr>
          <w:highlight w:val="yellow"/>
        </w:rPr>
      </w:pPr>
      <w:bookmarkStart w:id="347" w:name="_Toc422307933"/>
      <w:r w:rsidRPr="000B6415">
        <w:rPr>
          <w:highlight w:val="yellow"/>
        </w:rPr>
        <w:t>Gestione del contratto di valutazione</w:t>
      </w:r>
      <w:bookmarkEnd w:id="347"/>
    </w:p>
    <w:p w:rsidR="00675B1D" w:rsidRPr="000B6415" w:rsidRDefault="00675B1D" w:rsidP="00B51C05">
      <w:pPr>
        <w:pStyle w:val="H-Standard"/>
        <w:rPr>
          <w:highlight w:val="yellow"/>
        </w:rPr>
      </w:pPr>
      <w:r w:rsidRPr="000B6415">
        <w:rPr>
          <w:highlight w:val="yellow"/>
        </w:rPr>
        <w:t xml:space="preserve">Questa sezione descrive come sarà regolato e gestito il contratto di valutazione. Qualora esista un gruppo direttivo di valutazione, il capitolato d'oneri può elencarne i membri e descriverne i ruoli specifici. </w:t>
      </w:r>
    </w:p>
    <w:p w:rsidR="00675B1D" w:rsidRPr="000B6415" w:rsidRDefault="00675B1D" w:rsidP="00B51C05">
      <w:pPr>
        <w:pStyle w:val="H-Standard"/>
        <w:rPr>
          <w:highlight w:val="yellow"/>
        </w:rPr>
      </w:pPr>
      <w:r w:rsidRPr="000B6415">
        <w:rPr>
          <w:highlight w:val="yellow"/>
        </w:rPr>
        <w:t xml:space="preserve">Si dovrebbe altresì precisare come si prevede che i valutatori interagiscano con l'amministrazione aggiudicatrice (ad esempio persone di contatto, frequenza delle riunioni, presentazioni a specifici gruppi destinatari). </w:t>
      </w:r>
    </w:p>
    <w:p w:rsidR="00675B1D" w:rsidRPr="000B6415" w:rsidRDefault="00675B1D" w:rsidP="006A099F">
      <w:pPr>
        <w:pStyle w:val="HHeading5"/>
        <w:rPr>
          <w:highlight w:val="yellow"/>
        </w:rPr>
      </w:pPr>
      <w:bookmarkStart w:id="348" w:name="_Toc422307934"/>
      <w:r w:rsidRPr="000B6415">
        <w:rPr>
          <w:highlight w:val="yellow"/>
        </w:rPr>
        <w:t>Bilancio</w:t>
      </w:r>
      <w:bookmarkEnd w:id="348"/>
    </w:p>
    <w:p w:rsidR="00675B1D" w:rsidRPr="000B6415" w:rsidRDefault="00675B1D" w:rsidP="00B51C05">
      <w:pPr>
        <w:pStyle w:val="H-Standard"/>
        <w:rPr>
          <w:highlight w:val="yellow"/>
        </w:rPr>
      </w:pPr>
      <w:r w:rsidRPr="000B6415">
        <w:rPr>
          <w:highlight w:val="yellow"/>
        </w:rPr>
        <w:t xml:space="preserve">Il bilancio per il contratto di valutazione dovrebbe essere chiaramente specificato (i costi per l'acquisto di dati dovrebbero essere elencati separatamente). È considerata buona pratica che l'amministrazione aggiudicatrice specifichi un bilancio massimo e minimo per gli offerenti. Ciò consente ai valutatori di sviluppare offerte finanziarie realistiche. </w:t>
      </w:r>
    </w:p>
    <w:p w:rsidR="00675B1D" w:rsidRPr="000B6415" w:rsidRDefault="00675B1D" w:rsidP="006A099F">
      <w:pPr>
        <w:pStyle w:val="HHeading5"/>
        <w:rPr>
          <w:highlight w:val="yellow"/>
        </w:rPr>
      </w:pPr>
      <w:bookmarkStart w:id="349" w:name="_Toc422307935"/>
      <w:r w:rsidRPr="000B6415">
        <w:rPr>
          <w:highlight w:val="yellow"/>
        </w:rPr>
        <w:t>Qualifica della squadra</w:t>
      </w:r>
      <w:bookmarkEnd w:id="349"/>
    </w:p>
    <w:p w:rsidR="00675B1D" w:rsidRPr="000B6415" w:rsidRDefault="00675B1D" w:rsidP="00B51C05">
      <w:pPr>
        <w:pStyle w:val="H-Standard"/>
        <w:rPr>
          <w:highlight w:val="yellow"/>
        </w:rPr>
      </w:pPr>
      <w:r w:rsidRPr="000B6415">
        <w:rPr>
          <w:highlight w:val="yellow"/>
        </w:rPr>
        <w:t xml:space="preserve">I requisiti relativi alla qualifica della squadra di valutazione sono strettamente legati alle esigenze di metodologia e gestione del progetto richieste. Spesso vengono specificate le categorie di esperti (ad esempio anni di esperienza professionale, titoli accademici). I capitolati d'oneri più flessibili si limitano solo a specificare quali competenze ed esperienze debbano essere disponibili nel gruppo di valutazione, anziché specificare i requisiti per ogni posizione. Ciò dà più scelta al contraente per comporre una squadra ben funzionante. </w:t>
      </w:r>
    </w:p>
    <w:p w:rsidR="00675B1D" w:rsidRPr="000B6415" w:rsidRDefault="00675B1D" w:rsidP="00873F38">
      <w:pPr>
        <w:pStyle w:val="HHeading5"/>
        <w:rPr>
          <w:highlight w:val="yellow"/>
        </w:rPr>
      </w:pPr>
      <w:bookmarkStart w:id="350" w:name="_Toc422307937"/>
      <w:bookmarkStart w:id="351" w:name="_Toc422307936"/>
      <w:r w:rsidRPr="000B6415">
        <w:rPr>
          <w:highlight w:val="yellow"/>
        </w:rPr>
        <w:lastRenderedPageBreak/>
        <w:t>Criteri di esclusione, selezione e aggiudicazione</w:t>
      </w:r>
      <w:bookmarkEnd w:id="350"/>
    </w:p>
    <w:p w:rsidR="00675B1D" w:rsidRPr="000B6415" w:rsidRDefault="00675B1D" w:rsidP="00873F38">
      <w:pPr>
        <w:pStyle w:val="H-Standard"/>
        <w:rPr>
          <w:highlight w:val="yellow"/>
        </w:rPr>
      </w:pPr>
      <w:r w:rsidRPr="000B6415">
        <w:rPr>
          <w:highlight w:val="yellow"/>
        </w:rPr>
        <w:t>I dettagli del capitolato d'oneri specificano i criteri per la selezione dei contraenti, in linea con la legislazione nazionale in materia di appalti. I criteri di selezione possono essere suddivisi in tre gruppi: criteri di esclusione, selezione e aggiudicazione.</w:t>
      </w:r>
    </w:p>
    <w:p w:rsidR="00675B1D" w:rsidRPr="000B6415" w:rsidRDefault="00675B1D" w:rsidP="00873F38">
      <w:pPr>
        <w:pStyle w:val="H-Standard"/>
        <w:rPr>
          <w:highlight w:val="yellow"/>
        </w:rPr>
      </w:pPr>
      <w:r w:rsidRPr="000B6415">
        <w:rPr>
          <w:highlight w:val="yellow"/>
        </w:rPr>
        <w:t xml:space="preserve">I </w:t>
      </w:r>
      <w:r w:rsidRPr="000B6415">
        <w:rPr>
          <w:b/>
          <w:highlight w:val="yellow"/>
        </w:rPr>
        <w:t>criteri di esclusione</w:t>
      </w:r>
      <w:r w:rsidRPr="000B6415">
        <w:rPr>
          <w:highlight w:val="yellow"/>
        </w:rPr>
        <w:t xml:space="preserve"> si riferiscono all'esclusione di un contraente che versa in una situazione di fallimento, ha dato prova di gravi errori professionali o non ha adempiuto agli obblighi nei confronti del fisco, della sicurezza sociale, ecc. Nella maggior parte dei casi, come prova è richiesta una semplice «dichiarazione sull'onore». Inoltre, può essere chiesta evidenza del fatto che il contraente non è soggetto ad alcun conflitto di interessi (ad esempio, è stato coinvolto nell'attuazione del PSR). </w:t>
      </w:r>
    </w:p>
    <w:p w:rsidR="00675B1D" w:rsidRPr="000B6415" w:rsidRDefault="00675B1D" w:rsidP="00873F38">
      <w:pPr>
        <w:pStyle w:val="H-Standard"/>
        <w:rPr>
          <w:highlight w:val="yellow"/>
        </w:rPr>
      </w:pPr>
      <w:r w:rsidRPr="000B6415">
        <w:rPr>
          <w:highlight w:val="yellow"/>
        </w:rPr>
        <w:t xml:space="preserve">I </w:t>
      </w:r>
      <w:r w:rsidRPr="000B6415">
        <w:rPr>
          <w:b/>
          <w:highlight w:val="yellow"/>
        </w:rPr>
        <w:t>criteri di selezione</w:t>
      </w:r>
      <w:r w:rsidRPr="000B6415">
        <w:rPr>
          <w:highlight w:val="yellow"/>
        </w:rPr>
        <w:t xml:space="preserve"> solitamente si riferiscono alla posizione giuridica del contraente e alla sua capacità economica, finanziaria, tecnica e professionale. Qualora la legislazione nazionale lo consenta, l'amministrazione aggiudicatrice può richiedere soltanto copie dei documenti pertinenti, mentre gli originali vengono chiesti solo all'aggiudicatario. Ciò aiuta a semplificare la procedura di gara. </w:t>
      </w:r>
    </w:p>
    <w:p w:rsidR="00675B1D" w:rsidRPr="000B6415" w:rsidRDefault="00675B1D" w:rsidP="00873F38">
      <w:pPr>
        <w:pStyle w:val="H-Standard"/>
        <w:rPr>
          <w:highlight w:val="yellow"/>
        </w:rPr>
      </w:pPr>
      <w:r w:rsidRPr="000B6415">
        <w:rPr>
          <w:highlight w:val="yellow"/>
        </w:rPr>
        <w:t>Inoltre, nel capitolato d'oneri sono descritte le categorie di esperti e le competenze, incluso il livello di qualifica ed esperienza professionale richiesto. Ad esempio, qualora sia prevista una valutazione controfattuale, il capitolato d'oneri richiederà un esperto con esperienza in questo settore. La prova di qualifica richiesta sarà specificata; tuttavia, la richiesta di prove formali troppo dettagliate creerà un onere amministrativo inutile per i contraenti.</w:t>
      </w:r>
    </w:p>
    <w:p w:rsidR="00675B1D" w:rsidRPr="000B6415" w:rsidRDefault="00675B1D" w:rsidP="00873F38">
      <w:pPr>
        <w:pStyle w:val="H-Standard"/>
        <w:rPr>
          <w:highlight w:val="yellow"/>
        </w:rPr>
      </w:pPr>
      <w:r w:rsidRPr="000B6415">
        <w:rPr>
          <w:highlight w:val="yellow"/>
        </w:rPr>
        <w:t xml:space="preserve">I </w:t>
      </w:r>
      <w:r w:rsidRPr="000B6415">
        <w:rPr>
          <w:b/>
          <w:highlight w:val="yellow"/>
        </w:rPr>
        <w:t>criteri di aggiudicazione</w:t>
      </w:r>
      <w:r w:rsidRPr="000B6415">
        <w:rPr>
          <w:highlight w:val="yellow"/>
        </w:rPr>
        <w:t xml:space="preserve"> si riferiscono alla qualità dell'offerta tecnica e finanziaria. Oltre al prezzo, in genere riguardano la strategia di valutazione proposta, la comprensione del compito, la metodologia, i ruoli dei membri della squadra e l'organizzazione/la gestione complessiva del lavoro. Il fatto che l'amministrazione aggiudicatrice abbia un'idea chiara su ciò che è da considerare una buona offerta consentirà una valutazione chiara e, aspetto ancor più importante, permetterà di scegliere l'offerta migliore. </w:t>
      </w:r>
    </w:p>
    <w:p w:rsidR="00675B1D" w:rsidRPr="000B6415" w:rsidRDefault="00675B1D" w:rsidP="00873F38">
      <w:pPr>
        <w:pStyle w:val="H-Standard"/>
        <w:rPr>
          <w:highlight w:val="yellow"/>
        </w:rPr>
      </w:pPr>
      <w:r w:rsidRPr="000B6415">
        <w:rPr>
          <w:highlight w:val="yellow"/>
        </w:rPr>
        <w:t>La chiarezza e la trasparenza della ponderazione dei criteri di aggiudicazione sono aspetti importanti, in particolare tra la valutazione dell'offerta tecnica (contenuto) e dell'offerta finanziaria (prezzo). È importante considerare con attenzione se l'offerta con il prezzo più basso sia anche la migliore da un punto di vista tecnico. Una ponderazione inferiore per l'offerta finanziaria permette di solito di scegliere l'offerta con la più elevata qualità tecnica. Spesso il rapporto tra contenuti e prezzo è compreso tra 60:40 e 80:20. Esperienze recenti indicano come adeguata per il prezzo una ponderazione compresa tra il 20</w:t>
      </w:r>
      <w:r>
        <w:rPr>
          <w:highlight w:val="yellow"/>
        </w:rPr>
        <w:t>%</w:t>
      </w:r>
      <w:r w:rsidRPr="000B6415">
        <w:rPr>
          <w:highlight w:val="yellow"/>
        </w:rPr>
        <w:t xml:space="preserve"> e il 25</w:t>
      </w:r>
      <w:r>
        <w:rPr>
          <w:highlight w:val="yellow"/>
        </w:rPr>
        <w:t>%</w:t>
      </w:r>
      <w:r w:rsidRPr="000B6415">
        <w:rPr>
          <w:highlight w:val="yellow"/>
        </w:rPr>
        <w:t>. In generale, durante il processo di valutazione è utile disporre di una tabella riassuntiva che elenchi i criteri e l'evidenza corrispondente (anche nel caso in cui tale evidenza possa essere reperita nell'offerta stessa).</w:t>
      </w:r>
    </w:p>
    <w:p w:rsidR="00675B1D" w:rsidRPr="000B6415" w:rsidRDefault="00675B1D" w:rsidP="006A099F">
      <w:pPr>
        <w:pStyle w:val="HHeading5"/>
        <w:rPr>
          <w:highlight w:val="yellow"/>
        </w:rPr>
      </w:pPr>
      <w:r w:rsidRPr="000B6415">
        <w:rPr>
          <w:highlight w:val="yellow"/>
        </w:rPr>
        <w:t>Regole di presentazione</w:t>
      </w:r>
      <w:bookmarkEnd w:id="351"/>
    </w:p>
    <w:p w:rsidR="00675B1D" w:rsidRPr="000B6415" w:rsidRDefault="00675B1D" w:rsidP="00B51C05">
      <w:pPr>
        <w:pStyle w:val="H-Standard"/>
        <w:rPr>
          <w:highlight w:val="yellow"/>
        </w:rPr>
      </w:pPr>
      <w:r w:rsidRPr="000B6415">
        <w:rPr>
          <w:highlight w:val="yellow"/>
        </w:rPr>
        <w:t>Le informazioni relative alla presentazione delle offerte comprendono:</w:t>
      </w:r>
    </w:p>
    <w:p w:rsidR="00675B1D" w:rsidRPr="000B6415" w:rsidRDefault="00675B1D" w:rsidP="00B51C05">
      <w:pPr>
        <w:pStyle w:val="Hlistbullet2"/>
        <w:rPr>
          <w:highlight w:val="yellow"/>
        </w:rPr>
      </w:pPr>
      <w:r w:rsidRPr="000B6415">
        <w:rPr>
          <w:highlight w:val="yellow"/>
        </w:rPr>
        <w:t xml:space="preserve">il termine preciso per la presentazione (data e ora specifica, dimostrate dal timbro postale o dal giorno della consegna); </w:t>
      </w:r>
    </w:p>
    <w:p w:rsidR="00675B1D" w:rsidRPr="000B6415" w:rsidRDefault="00675B1D" w:rsidP="00B51C05">
      <w:pPr>
        <w:pStyle w:val="Hlistbullet2"/>
        <w:rPr>
          <w:highlight w:val="yellow"/>
        </w:rPr>
      </w:pPr>
      <w:r w:rsidRPr="000B6415">
        <w:rPr>
          <w:highlight w:val="yellow"/>
        </w:rPr>
        <w:t>l'istituzione e l'indirizzo al quale l'offerta deve essere inviata.</w:t>
      </w:r>
    </w:p>
    <w:p w:rsidR="00675B1D" w:rsidRPr="000B6415" w:rsidRDefault="00675B1D" w:rsidP="00B51C05">
      <w:pPr>
        <w:pStyle w:val="H-Standard"/>
      </w:pPr>
      <w:r w:rsidRPr="000B6415">
        <w:rPr>
          <w:highlight w:val="yellow"/>
        </w:rPr>
        <w:t>Il capitolato d'oneri specifica inoltre se le offerte devono essere presentate in una o due buste (con sezioni finanziarie separate o sezioni tecniche anonime), il numero di copie richieste, la data in cui le offerte saranno aperte (qualora l'apertura delle buste sia pubblica) e un indirizzo di contatto in caso di domande riguardanti il capitolato d'oneri.</w:t>
      </w:r>
    </w:p>
    <w:p w:rsidR="00675B1D" w:rsidRPr="000B6415" w:rsidRDefault="00675B1D" w:rsidP="00501EAB">
      <w:pPr>
        <w:pStyle w:val="HHeading2"/>
        <w:tabs>
          <w:tab w:val="clear" w:pos="360"/>
        </w:tabs>
        <w:ind w:left="510" w:hanging="510"/>
      </w:pPr>
      <w:bookmarkStart w:id="352" w:name="_Toc453079784"/>
      <w:r w:rsidRPr="000B6415">
        <w:lastRenderedPageBreak/>
        <w:t>Examples of output-result-impact chains for common groups of NRN actions</w:t>
      </w:r>
      <w:bookmarkEnd w:id="352"/>
      <w:r w:rsidRPr="000B6415">
        <w:t xml:space="preserve"> </w:t>
      </w:r>
    </w:p>
    <w:p w:rsidR="00675B1D" w:rsidRPr="000B6415" w:rsidRDefault="00675B1D" w:rsidP="007074C5">
      <w:pPr>
        <w:pStyle w:val="H-Standard"/>
        <w:rPr>
          <w:b/>
          <w:caps/>
        </w:rPr>
      </w:pPr>
      <w:r w:rsidRPr="000B6415">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675B1D" w:rsidRPr="000B6415" w:rsidRDefault="00675B1D" w:rsidP="007074C5">
      <w:pPr>
        <w:pStyle w:val="H-Standard"/>
      </w:pPr>
      <w:r w:rsidRPr="000B6415">
        <w:t>The following figures illustrate how a stakeholder in a Member State could develop the logical chain of the NRN outputs, results and impacts starting from each of the common group of actions</w:t>
      </w:r>
      <w:r w:rsidRPr="000B6415">
        <w:rPr>
          <w:rFonts w:ascii="ZWAdobeF" w:hAnsi="ZWAdobeF"/>
          <w:color w:val="auto"/>
          <w:sz w:val="2"/>
        </w:rPr>
        <w:t>129F</w:t>
      </w:r>
      <w:r w:rsidRPr="000B6415">
        <w:rPr>
          <w:rStyle w:val="FootnoteReference"/>
        </w:rPr>
        <w:footnoteReference w:id="130"/>
      </w:r>
      <w:r w:rsidRPr="000B6415">
        <w:t xml:space="preserve"> and link them to the outputs directly produced with NSU activities, and later with results and impacts generated by the NRN. </w:t>
      </w:r>
    </w:p>
    <w:p w:rsidR="00675B1D" w:rsidRPr="000B6415" w:rsidRDefault="00675B1D" w:rsidP="007074C5">
      <w:pPr>
        <w:pStyle w:val="H-Standard"/>
      </w:pPr>
      <w:r w:rsidRPr="000B6415">
        <w:t xml:space="preserve">These chains can be used as the starting point for the development of specific NRN intervention logic, which must still be linked to the NRN common and programme specific objectives. </w:t>
      </w:r>
    </w:p>
    <w:p w:rsidR="00675B1D" w:rsidRPr="000B6415" w:rsidRDefault="00675B1D" w:rsidP="007074C5">
      <w:pPr>
        <w:pStyle w:val="H-Standard"/>
        <w:sectPr w:rsidR="00675B1D" w:rsidRPr="000B6415"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675B1D" w:rsidRPr="000B6415" w:rsidRDefault="00675B1D" w:rsidP="00675B1D">
      <w:pPr>
        <w:pStyle w:val="HHeadingfigures"/>
        <w:ind w:left="0"/>
      </w:pPr>
      <w:bookmarkStart w:id="353" w:name="_Toc451781944"/>
      <w:r w:rsidRPr="000B6415">
        <w:lastRenderedPageBreak/>
        <w:t>Example of output-result-impact chain for collection of examples of projects, covering all RDP priorities</w:t>
      </w:r>
      <w:bookmarkEnd w:id="353"/>
      <w:r w:rsidRPr="000B6415">
        <w:t xml:space="preserve"> </w:t>
      </w:r>
    </w:p>
    <w:p w:rsidR="00675B1D" w:rsidRPr="000B6415" w:rsidRDefault="00675B1D" w:rsidP="00642574">
      <w:pPr>
        <w:pStyle w:val="HStandard"/>
        <w:jc w:val="center"/>
      </w:pPr>
      <w:r w:rsidRPr="000B6415">
        <w:rPr>
          <w:noProof/>
          <w:lang w:val="en-GB" w:eastAsia="en-GB" w:bidi="ar-SA"/>
        </w:rPr>
        <w:drawing>
          <wp:inline distT="0" distB="0" distL="0" distR="0" wp14:anchorId="78163252" wp14:editId="06957B6A">
            <wp:extent cx="7805406" cy="4680000"/>
            <wp:effectExtent l="0" t="0" r="571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675B1D" w:rsidRPr="000B6415" w:rsidRDefault="00675B1D">
      <w:pPr>
        <w:spacing w:after="0" w:line="240" w:lineRule="auto"/>
        <w:rPr>
          <w:rFonts w:cs="Arial"/>
          <w:color w:val="576C88" w:themeColor="text2" w:themeTint="D9"/>
          <w:sz w:val="20"/>
          <w:szCs w:val="20"/>
        </w:rPr>
      </w:pPr>
      <w:r w:rsidRPr="000B6415">
        <w:br w:type="page"/>
      </w:r>
    </w:p>
    <w:p w:rsidR="00675B1D" w:rsidRPr="000B6415" w:rsidRDefault="00675B1D" w:rsidP="00675B1D">
      <w:pPr>
        <w:pStyle w:val="HHeadingfigures"/>
        <w:ind w:left="0"/>
        <w:rPr>
          <w:caps/>
        </w:rPr>
      </w:pPr>
      <w:bookmarkStart w:id="354" w:name="_Toc451781945"/>
      <w:r w:rsidRPr="000B6415">
        <w:lastRenderedPageBreak/>
        <w:t>Example of output-result-impact chain for facilitation of thematic and analytical exchanges between RD stakeholders, sharing and dissemination of findings.</w:t>
      </w:r>
      <w:bookmarkEnd w:id="354"/>
    </w:p>
    <w:p w:rsidR="00675B1D" w:rsidRPr="000B6415" w:rsidRDefault="00675B1D" w:rsidP="00DD0375">
      <w:pPr>
        <w:pStyle w:val="H-Standard"/>
        <w:jc w:val="center"/>
      </w:pPr>
      <w:r w:rsidRPr="000B6415">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675B1D" w:rsidRPr="000B6415" w:rsidRDefault="00675B1D">
      <w:pPr>
        <w:spacing w:after="0" w:line="240" w:lineRule="auto"/>
        <w:rPr>
          <w:rFonts w:cs="Arial"/>
          <w:color w:val="000000" w:themeColor="text1" w:themeShade="BF"/>
          <w:sz w:val="20"/>
          <w:szCs w:val="18"/>
        </w:rPr>
      </w:pPr>
      <w:r w:rsidRPr="000B6415">
        <w:br w:type="page"/>
      </w:r>
    </w:p>
    <w:p w:rsidR="00675B1D" w:rsidRPr="000B6415" w:rsidRDefault="00675B1D" w:rsidP="00675B1D">
      <w:pPr>
        <w:pStyle w:val="HHeadingfigures"/>
        <w:ind w:left="0"/>
        <w:rPr>
          <w:caps/>
        </w:rPr>
      </w:pPr>
      <w:bookmarkStart w:id="355" w:name="_Toc451781946"/>
      <w:r w:rsidRPr="000B6415">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55"/>
    </w:p>
    <w:p w:rsidR="00675B1D" w:rsidRPr="000B6415" w:rsidRDefault="00675B1D" w:rsidP="002E488C">
      <w:pPr>
        <w:pStyle w:val="H-Standard"/>
        <w:jc w:val="center"/>
      </w:pPr>
      <w:r w:rsidRPr="000B6415">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675B1D" w:rsidRPr="000B6415" w:rsidRDefault="00675B1D">
      <w:pPr>
        <w:spacing w:after="0" w:line="240" w:lineRule="auto"/>
        <w:rPr>
          <w:rFonts w:cs="Arial"/>
          <w:color w:val="000000" w:themeColor="text1" w:themeShade="BF"/>
          <w:sz w:val="20"/>
          <w:szCs w:val="18"/>
        </w:rPr>
      </w:pPr>
      <w:r w:rsidRPr="000B6415">
        <w:br w:type="page"/>
      </w:r>
    </w:p>
    <w:p w:rsidR="00675B1D" w:rsidRPr="000B6415" w:rsidRDefault="00675B1D" w:rsidP="00675B1D">
      <w:pPr>
        <w:pStyle w:val="HHeadingfigures"/>
        <w:ind w:left="0"/>
        <w:rPr>
          <w:caps/>
        </w:rPr>
      </w:pPr>
      <w:bookmarkStart w:id="356" w:name="_Toc451781947"/>
      <w:r w:rsidRPr="000B6415">
        <w:lastRenderedPageBreak/>
        <w:t>Example of output-result-impact chain for provision of networking for advisors and innovation support services</w:t>
      </w:r>
      <w:bookmarkEnd w:id="356"/>
    </w:p>
    <w:p w:rsidR="00675B1D" w:rsidRPr="000B6415" w:rsidRDefault="00675B1D" w:rsidP="0081762A">
      <w:pPr>
        <w:pStyle w:val="H-Standard"/>
        <w:jc w:val="center"/>
      </w:pPr>
      <w:r w:rsidRPr="000B6415">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675B1D" w:rsidRPr="000B6415" w:rsidRDefault="00675B1D">
      <w:pPr>
        <w:spacing w:after="0" w:line="240" w:lineRule="auto"/>
        <w:rPr>
          <w:rFonts w:cs="Arial"/>
          <w:color w:val="000000" w:themeColor="text1" w:themeShade="BF"/>
          <w:sz w:val="20"/>
          <w:szCs w:val="18"/>
        </w:rPr>
      </w:pPr>
      <w:r w:rsidRPr="000B6415">
        <w:br w:type="page"/>
      </w:r>
    </w:p>
    <w:p w:rsidR="00675B1D" w:rsidRPr="000B6415" w:rsidRDefault="00675B1D" w:rsidP="00675B1D">
      <w:pPr>
        <w:pStyle w:val="HHeadingfigures"/>
        <w:ind w:left="0"/>
        <w:rPr>
          <w:caps/>
        </w:rPr>
      </w:pPr>
      <w:bookmarkStart w:id="357" w:name="_Toc451781948"/>
      <w:r w:rsidRPr="000B6415">
        <w:lastRenderedPageBreak/>
        <w:t>Example of output-result-impact chain for sharing ad dissemination of monitoring and evaluation findings</w:t>
      </w:r>
      <w:bookmarkEnd w:id="357"/>
      <w:r w:rsidRPr="000B6415">
        <w:t xml:space="preserve"> </w:t>
      </w:r>
    </w:p>
    <w:p w:rsidR="00675B1D" w:rsidRPr="000B6415" w:rsidRDefault="00675B1D" w:rsidP="005A2FE3">
      <w:pPr>
        <w:pStyle w:val="HStandard"/>
        <w:jc w:val="center"/>
      </w:pPr>
      <w:r w:rsidRPr="000B6415">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675B1D" w:rsidRPr="000B6415" w:rsidRDefault="00675B1D">
      <w:pPr>
        <w:spacing w:after="0" w:line="240" w:lineRule="auto"/>
        <w:rPr>
          <w:rFonts w:cs="Arial"/>
          <w:color w:val="576C88" w:themeColor="text2" w:themeTint="D9"/>
          <w:sz w:val="20"/>
          <w:szCs w:val="20"/>
        </w:rPr>
      </w:pPr>
      <w:r w:rsidRPr="000B6415">
        <w:br w:type="page"/>
      </w:r>
    </w:p>
    <w:p w:rsidR="00675B1D" w:rsidRPr="000B6415" w:rsidRDefault="00675B1D" w:rsidP="00675B1D">
      <w:pPr>
        <w:pStyle w:val="HHeadingfigures"/>
        <w:ind w:left="0"/>
      </w:pPr>
      <w:bookmarkStart w:id="358" w:name="_Toc451781949"/>
      <w:r w:rsidRPr="000B6415">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58"/>
    </w:p>
    <w:p w:rsidR="00675B1D" w:rsidRPr="000B6415" w:rsidRDefault="00675B1D" w:rsidP="00D22512">
      <w:pPr>
        <w:pStyle w:val="HStandard"/>
        <w:jc w:val="center"/>
      </w:pPr>
      <w:r w:rsidRPr="000B6415">
        <w:rPr>
          <w:noProof/>
          <w:lang w:val="en-GB" w:eastAsia="en-GB" w:bidi="ar-SA"/>
        </w:rPr>
        <w:drawing>
          <wp:inline distT="0" distB="0" distL="0" distR="0" wp14:anchorId="67FE6C99" wp14:editId="30474568">
            <wp:extent cx="8820912" cy="4187952"/>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675B1D" w:rsidRPr="000B6415" w:rsidRDefault="00675B1D">
      <w:pPr>
        <w:spacing w:after="0" w:line="240" w:lineRule="auto"/>
        <w:rPr>
          <w:rFonts w:cs="Arial"/>
          <w:color w:val="576C88" w:themeColor="text2" w:themeTint="D9"/>
          <w:sz w:val="20"/>
          <w:szCs w:val="20"/>
        </w:rPr>
      </w:pPr>
      <w:r w:rsidRPr="000B6415">
        <w:br w:type="page"/>
      </w:r>
    </w:p>
    <w:p w:rsidR="00675B1D" w:rsidRPr="000B6415" w:rsidRDefault="00675B1D" w:rsidP="00675B1D">
      <w:pPr>
        <w:pStyle w:val="HHeadingfigures"/>
        <w:ind w:left="0"/>
      </w:pPr>
      <w:bookmarkStart w:id="359" w:name="_Toc451781950"/>
      <w:r w:rsidRPr="000B6415">
        <w:lastRenderedPageBreak/>
        <w:t>Example of output-result-impact chain for participation in and contribution to the European network for rural development</w:t>
      </w:r>
      <w:bookmarkEnd w:id="359"/>
    </w:p>
    <w:p w:rsidR="00675B1D" w:rsidRPr="000B6415" w:rsidRDefault="00675B1D" w:rsidP="00193902">
      <w:pPr>
        <w:pStyle w:val="HStandard"/>
        <w:jc w:val="center"/>
      </w:pPr>
      <w:r w:rsidRPr="000B6415">
        <w:rPr>
          <w:noProof/>
          <w:lang w:val="en-GB" w:eastAsia="en-GB" w:bidi="ar-SA"/>
        </w:rPr>
        <w:drawing>
          <wp:inline distT="0" distB="0" distL="0" distR="0" wp14:anchorId="0306EF01" wp14:editId="5C8B910E">
            <wp:extent cx="8833104" cy="385267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675B1D" w:rsidRPr="000B6415" w:rsidRDefault="00675B1D" w:rsidP="000535E7">
      <w:pPr>
        <w:pStyle w:val="HStandard"/>
      </w:pPr>
    </w:p>
    <w:p w:rsidR="00675B1D" w:rsidRPr="000B6415" w:rsidRDefault="00675B1D" w:rsidP="000535E7">
      <w:pPr>
        <w:pStyle w:val="HStandard"/>
        <w:rPr>
          <w:highlight w:val="yellow"/>
        </w:rPr>
        <w:sectPr w:rsidR="00675B1D" w:rsidRPr="000B6415" w:rsidSect="007074C5">
          <w:pgSz w:w="16838" w:h="11906" w:orient="landscape" w:code="9"/>
          <w:pgMar w:top="1440" w:right="1440" w:bottom="1440" w:left="1440" w:header="1134" w:footer="1021" w:gutter="0"/>
          <w:cols w:space="708"/>
          <w:titlePg/>
          <w:docGrid w:linePitch="360"/>
        </w:sectPr>
      </w:pPr>
    </w:p>
    <w:p w:rsidR="00675B1D" w:rsidRPr="000B6415" w:rsidRDefault="00675B1D" w:rsidP="00501EAB">
      <w:pPr>
        <w:pStyle w:val="HHeading2"/>
        <w:tabs>
          <w:tab w:val="clear" w:pos="360"/>
        </w:tabs>
        <w:ind w:left="510" w:hanging="510"/>
        <w:rPr>
          <w:highlight w:val="yellow"/>
        </w:rPr>
      </w:pPr>
      <w:bookmarkStart w:id="360" w:name="_Toc453079785"/>
      <w:r w:rsidRPr="000B6415">
        <w:rPr>
          <w:highlight w:val="yellow"/>
        </w:rPr>
        <w:lastRenderedPageBreak/>
        <w:t>Glossario</w:t>
      </w:r>
      <w:bookmarkEnd w:id="360"/>
    </w:p>
    <w:p w:rsidR="00675B1D" w:rsidRPr="000B6415" w:rsidRDefault="00675B1D" w:rsidP="00A63707">
      <w:pPr>
        <w:spacing w:before="240" w:after="240"/>
        <w:ind w:left="363"/>
        <w:rPr>
          <w:rFonts w:cs="Arial"/>
          <w:b/>
          <w:color w:val="E7E6E6" w:themeColor="background2"/>
          <w:sz w:val="20"/>
          <w:szCs w:val="20"/>
          <w:highlight w:val="yellow"/>
        </w:rPr>
        <w:sectPr w:rsidR="00675B1D" w:rsidRPr="000B6415" w:rsidSect="000535E7">
          <w:pgSz w:w="11906" w:h="16838" w:code="9"/>
          <w:pgMar w:top="1440" w:right="1440" w:bottom="1440" w:left="1440" w:header="1134" w:footer="1021" w:gutter="0"/>
          <w:cols w:space="708"/>
          <w:titlePg/>
          <w:docGrid w:linePitch="360"/>
        </w:sectPr>
      </w:pP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Affidabilità</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Qualità della raccolta dei dati di valutazione quando il protocollo utilizzato rende possibile la produzione di informazioni simili durante osservazioni ripetute in condizioni identiche. L'affidabilità dipende dal rispetto delle regole di campionamento e dagli strumenti utilizzati per la raccolta e la registrazione di informazioni quantitative e qualitative.</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Aspetto specifico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Si tratta del sotto-settore della politica a cui è rivolto l'intervento. Le sei priorità dell'Unione in materia di sviluppo rurale sono suddivise in 18 aspetti specifici al fine di strutturare meglio l'attribuzione delle misure e degli interventi programmati.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Autovalutazione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L'autovalutazione è un processo di riflessione in corso che è progettato e condotto da coloro che attuano un intervento o sono parte di esso (ad esempio responsabili del programma, beneficiari, membri della rete). Essa genera una visione interna sulle attività e si concentra sulle prestazioni complessive. Gli attori coinvolti analizzano il modo in cui fanno le cose e si chiedono in che modo contribuiscono al raggiungimento degli obiettivi e dei fini concordati. La natura partecipativa dell'autovalutazione induce effetti di apprendimento tra tutti coloro che vi partecipano.</w:t>
      </w:r>
      <w:r w:rsidRPr="000B6415">
        <w:rPr>
          <w:highlight w:val="yellow"/>
        </w:rPr>
        <w:t xml:space="preserve"> </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Capitolato d'oneri</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Il capitolato d'oneri specifica le condizioni in base alle quali saranno condotti i compiti relativi alla valutazione/VAS (valutazione ambientale strategica), </w:t>
      </w:r>
      <w:r w:rsidRPr="000B6415">
        <w:rPr>
          <w:color w:val="576C88" w:themeColor="text2" w:themeTint="D9"/>
          <w:highlight w:val="yellow"/>
        </w:rPr>
        <w:t>definisce i ruoli e le responsabilità e informa i potenziali valutatori/esperti di VAS in merito a cosa ci si aspetta in termini di contenuti, processi e tempistiche. Se questi aspetti sono chiaramente delineati nel capitolato d'oneri, le risposte degli offerenti ai termini proposti possono fornire un'indicazione fondamentale in merito alla loro idoneità per il compito.</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br w:type="column"/>
      </w:r>
      <w:r w:rsidRPr="000B6415">
        <w:rPr>
          <w:b/>
          <w:color w:val="E7E6E6" w:themeColor="background2"/>
          <w:sz w:val="24"/>
          <w:highlight w:val="yellow"/>
        </w:rPr>
        <w:lastRenderedPageBreak/>
        <w:t>Coerenza</w:t>
      </w:r>
    </w:p>
    <w:p w:rsidR="00675B1D" w:rsidRPr="000B6415" w:rsidRDefault="00675B1D" w:rsidP="00A63707">
      <w:pPr>
        <w:spacing w:before="240" w:after="240"/>
        <w:ind w:left="363"/>
        <w:rPr>
          <w:rFonts w:cs="Arial"/>
          <w:szCs w:val="18"/>
          <w:highlight w:val="yellow"/>
        </w:rPr>
      </w:pPr>
      <w:r w:rsidRPr="000B6415">
        <w:rPr>
          <w:color w:val="576C88" w:themeColor="text2" w:themeTint="D9"/>
          <w:highlight w:val="yellow"/>
        </w:rPr>
        <w:t>L'armonia, la compatibilità, la corrispondenza o l'uniformità tra le parti di una cosa complessa. Nei testi giuridici e nei documenti di lavoro europei in inglese spesso i termini «consistency» e «coherence» (entrambi tradotti con «coerenza» in italiano) sono utilizzati come sinonimi. Esistono due tipi di coerenze: verticale e orizzontale. La coerenza verticale si riferisce alla corrispondenza tra i diversi obiettivi dello stesso intervento. La coerenza orizzontale si riferisce alla corrispondenza tra gli esiti attesi ad ogni livello (prodotti, risultati, impatti) e gli obiettivi fissati nei rispettivi livelli (obiettivi operativi, specifici, generali).</w:t>
      </w:r>
    </w:p>
    <w:p w:rsidR="00675B1D" w:rsidRPr="000B6415" w:rsidRDefault="00675B1D" w:rsidP="009D2831">
      <w:pPr>
        <w:spacing w:before="240" w:after="240"/>
        <w:ind w:left="360"/>
        <w:rPr>
          <w:rFonts w:cs="Arial"/>
          <w:b/>
          <w:color w:val="E7E6E6" w:themeColor="background2"/>
          <w:sz w:val="24"/>
          <w:highlight w:val="yellow"/>
        </w:rPr>
      </w:pPr>
      <w:r w:rsidRPr="000B6415">
        <w:rPr>
          <w:b/>
          <w:color w:val="E7E6E6" w:themeColor="background2"/>
          <w:sz w:val="24"/>
          <w:highlight w:val="yellow"/>
        </w:rPr>
        <w:t>Criterio di giudizio</w:t>
      </w:r>
    </w:p>
    <w:p w:rsidR="00675B1D" w:rsidRPr="000B6415" w:rsidRDefault="00675B1D" w:rsidP="009D2831">
      <w:pPr>
        <w:spacing w:before="240" w:after="240"/>
        <w:ind w:left="360"/>
        <w:rPr>
          <w:rFonts w:cs="Arial"/>
          <w:szCs w:val="18"/>
          <w:highlight w:val="yellow"/>
        </w:rPr>
      </w:pPr>
      <w:r w:rsidRPr="000B6415">
        <w:rPr>
          <w:color w:val="576C88" w:themeColor="text2" w:themeTint="D9"/>
          <w:highlight w:val="yellow"/>
        </w:rPr>
        <w:t>Conosciuto anche come criterio di valutazione, esso specifica un aspetto dell'intervento valutato che permetterà di valutarne i meriti o il successo. I criteri di giudizio sono strettamente connessi alle domande di valutazione; il criterio è utilizzato per rispondere a una domanda di valutazione. Da ogni domanda vengono tratti uno o più criteri di giudizio.</w:t>
      </w:r>
      <w:r w:rsidRPr="000B6415">
        <w:rPr>
          <w:highlight w:val="yellow"/>
        </w:rPr>
        <w:t xml:space="preserve"> </w:t>
      </w:r>
    </w:p>
    <w:p w:rsidR="00675B1D" w:rsidRPr="000B6415" w:rsidRDefault="00675B1D" w:rsidP="009D2831">
      <w:pPr>
        <w:spacing w:after="0" w:line="240" w:lineRule="auto"/>
        <w:ind w:left="363"/>
        <w:rPr>
          <w:rFonts w:cs="Arial"/>
          <w:b/>
          <w:color w:val="E7E6E6" w:themeColor="background2"/>
          <w:sz w:val="24"/>
          <w:highlight w:val="yellow"/>
        </w:rPr>
      </w:pPr>
      <w:r w:rsidRPr="000B6415">
        <w:rPr>
          <w:b/>
          <w:color w:val="E7E6E6" w:themeColor="background2"/>
          <w:sz w:val="24"/>
          <w:highlight w:val="yellow"/>
        </w:rPr>
        <w:t>Domanda di valutazione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Si tratta di una domanda che deve ottenere risposta dai valutatori. Queste domande vengono solitamente poste da coloro che commissionano una valutazione. Le domande di valutazione sono solitamente riportate nel capitolato d'oneri dei progetti di valutazione. Nel caso della valutazione dei programmi di sviluppo rurale, le domande di valutazione fanno parte delle linee guida comuni. Le domande di valutazione hanno tre dimensioni: descrittiva (cosa è successo?), causale (in che misura quanto accaduto </w:t>
      </w:r>
      <w:r w:rsidRPr="000B6415">
        <w:rPr>
          <w:color w:val="576C88" w:themeColor="text2" w:themeTint="D9"/>
          <w:highlight w:val="yellow"/>
        </w:rPr>
        <w:t>costituisce davvero un effetto dell'intervento?) e normativa (l'effetto è soddisfacente?).</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Domande di valutazione specifiche del programma</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Le domande di valutazione specifiche del programma sono formulate ai fini della valutazione di un programma specifico per fornire una visione più profonda dell'attuazione globale di tale programma o in modo da riflettere gli obiettivi specifici di tale programma. In contrasto con esse, le domande di valutazione «comuni» si applicano a tutti i programmi.</w:t>
      </w:r>
      <w:r w:rsidRPr="000B6415">
        <w:rPr>
          <w:highlight w:val="yellow"/>
        </w:rPr>
        <w:t xml:space="preserve"> </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t>Efficacia</w:t>
      </w:r>
    </w:p>
    <w:p w:rsidR="00675B1D" w:rsidRPr="000B6415" w:rsidRDefault="00675B1D" w:rsidP="00A63707">
      <w:pPr>
        <w:spacing w:before="240" w:after="240"/>
        <w:ind w:left="363"/>
        <w:rPr>
          <w:rFonts w:cs="Arial"/>
          <w:szCs w:val="18"/>
          <w:highlight w:val="yellow"/>
        </w:rPr>
      </w:pPr>
      <w:r w:rsidRPr="000B6415">
        <w:rPr>
          <w:color w:val="576C88" w:themeColor="text2" w:themeTint="D9"/>
          <w:highlight w:val="yellow"/>
        </w:rPr>
        <w:t>Si tratta della misura in cui gli obiettivi perseguiti da un intervento vengono realizzati. Un indicatore di efficacia è calcolato mettendo in relazione un indicatore di prodotto, risultato o impatto con un obiettivo quantificato.</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t>Efficienza</w:t>
      </w:r>
    </w:p>
    <w:p w:rsidR="00675B1D" w:rsidRPr="000B6415" w:rsidRDefault="00675B1D" w:rsidP="00A63707">
      <w:pPr>
        <w:spacing w:before="240" w:after="240"/>
        <w:ind w:left="363"/>
        <w:rPr>
          <w:color w:val="576C88" w:themeColor="text2" w:themeTint="D9"/>
          <w:highlight w:val="yellow"/>
        </w:rPr>
      </w:pPr>
      <w:r w:rsidRPr="000B6415">
        <w:rPr>
          <w:color w:val="576C88" w:themeColor="text2" w:themeTint="D9"/>
          <w:highlight w:val="yellow"/>
        </w:rPr>
        <w:t>Miglior rapporto tra risorse impiegate e risultati conseguiti nel perseguire un determinato obiettivo tramite un intervento. L'efficienza risponde alla domanda se ulteriori effetti avrebbero potuto essere realizzati con lo stesso bilancio o se gli stessi effetti avrebbero potuto essere ottenuti a un costo inferiore. Un indicatore di efficienza viene calcolato dividendo i contributi di bilancio mobilitati per la quantità di effetti ottenuti.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Gerarchia degli obiettivi</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Si tratta di uno strumento che aiuta ad analizzare e comunicare gli obiettivi del programma e mostra come gli interventi contribuiscono agli obiettivi globali, </w:t>
      </w:r>
      <w:r w:rsidRPr="000B6415">
        <w:rPr>
          <w:color w:val="576C88" w:themeColor="text2" w:themeTint="D9"/>
          <w:highlight w:val="yellow"/>
        </w:rPr>
        <w:lastRenderedPageBreak/>
        <w:t>intermedi e operativi. Tali obiettivi sono organizzati in diversi livelli (obiettivi, sotto-obiettivi), sotto forma di una gerarchia o di un albero, mostrando in tal modo i collegamenti logici tra gli obiettivi e i loro sotto-obiettivi. Questa gerarchia presenta in maniera sintetica le diverse logiche d'intervento derivate​ dal regolamento, che collegano le singole azioni e misure agli obiettivi generali dell'intervento. Il regolamento sullo sviluppo rurale contiene anche obiettivi orizzontali che attraversano tutte le misure del programma.</w:t>
      </w:r>
      <w:r w:rsidRPr="000B6415">
        <w:rPr>
          <w:highlight w:val="yellow"/>
        </w:rPr>
        <w:t xml:space="preserve"> </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Impatti</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Sono gli effetti di un intervento che hanno una durata di medio o lungo termine. Alcuni impatti appaiono indirettamente (ad esempio, il fatturato generato per i fornitori di aziende assistite). Altri possono essere osservati a livello macroeconomico o macro-sociale (ad esempio, il miglioramento dell'immagine della zona assistita); questi sono impatti complessivi. Gli impatti possono essere positivi o negativi, attesi o inattesi.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br w:type="column"/>
      </w:r>
      <w:r w:rsidRPr="000B6415">
        <w:rPr>
          <w:b/>
          <w:color w:val="E7E6E6" w:themeColor="background2"/>
          <w:sz w:val="24"/>
          <w:highlight w:val="yellow"/>
        </w:rPr>
        <w:t>Indicatore comune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Un indicatore è un fattore o una variabile di tipo quantitativo o qualitativo che mette a disposizione un mezzo semplice e affidabile per misurare la realizzazione, per riflettere i cambiamenti collegati a un intervento o per aiutare a valutare le prestazioni di un attore dello sviluppo. Nel contesto della politica di sviluppo rurale, l'insieme degli indicatori comuni, vincolante per tutti gli Stati membri, serve a misurare le realizzazioni e i cambiamenti tanto a livello di PSR quanto a livello europeo.</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Indicatore di contesto</w:t>
      </w:r>
    </w:p>
    <w:p w:rsidR="00675B1D" w:rsidRPr="000B6415" w:rsidRDefault="00675B1D" w:rsidP="009D2831">
      <w:pPr>
        <w:spacing w:before="240" w:after="240"/>
        <w:ind w:left="363"/>
        <w:rPr>
          <w:rFonts w:cs="Arial"/>
          <w:sz w:val="20"/>
          <w:szCs w:val="20"/>
          <w:highlight w:val="yellow"/>
        </w:rPr>
      </w:pPr>
      <w:r w:rsidRPr="000B6415">
        <w:rPr>
          <w:color w:val="576C88" w:themeColor="text2" w:themeTint="D9"/>
          <w:highlight w:val="yellow"/>
        </w:rPr>
        <w:t>Fornisce informazioni su aspetti rilevanti dell'ambiente esterno che possono avere una influenza sulla progettazione e sulle prestazioni della politica, ad esempio PIL pro capite, tasso di disoccupazione, qualità dell'acqua.</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Indicatori specifici del programma</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Un indicatore è un fattore o una variabile di tipo quantitativo o qualitativo che mette a disposizione un mezzo semplice e affidabile per misurare la realizzazione, per riflettere i cambiamenti collegati a un intervento, o per aiutare a valutare le prestazioni di un attore dello sviluppo. L'insieme degli indicatori comuni, vincolante per tutti gli Stati membri, serve a misurare le realizzazioni e i cambiamenti tanto a livello di programma quanto a livello europeo. Dal momento che gli indicatori comuni potrebbero non riflettere tutti gli effetti delle attività del programma, le autorità di gestione degli Stati membri sono invitate a integrare gli indicatori comuni stabiliti definendo ulteriori indicatori al fine di cogliere l'intera gamma di effetti previsti di un dato programma, in particolare per le </w:t>
      </w:r>
      <w:r w:rsidRPr="000B6415">
        <w:rPr>
          <w:color w:val="576C88" w:themeColor="text2" w:themeTint="D9"/>
          <w:highlight w:val="yellow"/>
        </w:rPr>
        <w:lastRenderedPageBreak/>
        <w:t>priorità nazionali e le misure specifiche del sito. Tali indicatori supplementari vengono detti indicatori specifici del programma.</w:t>
      </w:r>
      <w:r w:rsidRPr="000B6415">
        <w:rPr>
          <w:highlight w:val="yellow"/>
        </w:rPr>
        <w:t xml:space="preserve"> </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Logica di intervento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Rappresenta uno strumento metodologico che stabilisce il collegamento logico tra gli obiettivi del programma e le azioni operative previste. Mostra il collegamento concettuale tra le risorse iniziali di un intervento e le sue realizzazioni e, successivamente, i risultati e gli impatti generati. Di conseguenza, una logica di intervento consente una valutazione del contributo di una misura al raggiungimento dei suoi obiettivi.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Obiettivo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Dichiarazione chiara, esplicita e iniziale sugli effetti da conseguire mediante un intervento pubblico. Un obiettivo quantitativo è espresso sotto forma di indicatori, mentre un obiettivo qualitativo è espresso sotto forma di descrittori, ad es.: 30</w:t>
      </w:r>
      <w:r>
        <w:rPr>
          <w:color w:val="576C88" w:themeColor="text2" w:themeTint="D9"/>
          <w:highlight w:val="yellow"/>
        </w:rPr>
        <w:t>%</w:t>
      </w:r>
      <w:r w:rsidRPr="000B6415">
        <w:rPr>
          <w:color w:val="576C88" w:themeColor="text2" w:themeTint="D9"/>
          <w:highlight w:val="yellow"/>
        </w:rPr>
        <w:t xml:space="preserve"> di tutti i prodotti devono essere realizzati entro la fine del terzo anno; l'intervento pubblico deve innanzitutto offrire benefici ai disoccupati di lunga durata. Gli obiettivi specifici riguardano i risultati e gli impatti di un intervento sui beneficiari diretti. Un obiettivo globale corrisponde allo scopo dell'intervento. L'obiettivo di un intervento è quello di produrre un impatto espresso in termini globali, come ad esempio: ridurre le disparità regionali nei livelli di sviluppo. Gli obiettivi possono anche essere intermedi. Gli obiettivi che specificano i prodotti da realizzare sono detti obiettivi operativi. Qualora gli obiettivi di un intervento pubblico non siano stati chiaramente definiti in precedenza, la valutazione può cercare di chiarirli in seguito. In tal caso, è preferibile fare </w:t>
      </w:r>
      <w:r w:rsidRPr="000B6415">
        <w:rPr>
          <w:color w:val="576C88" w:themeColor="text2" w:themeTint="D9"/>
          <w:highlight w:val="yellow"/>
        </w:rPr>
        <w:t>riferimento agli obiettivi impliciti. Gli obiettivi possono incorporare dei target.</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Piano d'azione della RRN</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Un piano di RRN che copre almeno le attività relative: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alla raccolta di esempi di progetti che coprono tutte le priorità dei programmi di sviluppo rurale;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alla facilitazione degli scambi tematici e analitici tra parti interessate dello sviluppo rurale, nonché alla condivisione e diffusione delle risultanze;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all'erogazione di formazione e attività in rete per i gruppi di azione locale e, in particolare, assistenza tecnica per la cooperazione interterritoriale e transnazionale;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alla fornitura di attività in rete destinate ai consulenti e servizi a sostegno dell'innovazione;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alla condivisione e alla diffusione delle risultanze di monitoraggio e valutazione;</w:t>
      </w:r>
    </w:p>
    <w:p w:rsidR="00675B1D" w:rsidRPr="000B6415" w:rsidRDefault="00675B1D" w:rsidP="009D2831">
      <w:pPr>
        <w:pStyle w:val="ListParagraph"/>
        <w:numPr>
          <w:ilvl w:val="1"/>
          <w:numId w:val="26"/>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alla pubblicità e all'informazione relative allo sviluppo rurale;</w:t>
      </w:r>
    </w:p>
    <w:p w:rsidR="00675B1D" w:rsidRPr="000B6415" w:rsidRDefault="00675B1D" w:rsidP="009D2831">
      <w:pPr>
        <w:pStyle w:val="ListParagraph"/>
        <w:numPr>
          <w:ilvl w:val="1"/>
          <w:numId w:val="26"/>
        </w:numPr>
        <w:spacing w:before="240" w:after="240"/>
        <w:ind w:left="709" w:hanging="357"/>
        <w:contextualSpacing w:val="0"/>
        <w:jc w:val="both"/>
        <w:rPr>
          <w:rFonts w:ascii="Arial" w:hAnsi="Arial" w:cs="Arial"/>
          <w:sz w:val="18"/>
          <w:szCs w:val="18"/>
          <w:highlight w:val="yellow"/>
        </w:rPr>
      </w:pPr>
      <w:r w:rsidRPr="000B6415">
        <w:rPr>
          <w:rFonts w:ascii="Arial" w:hAnsi="Arial"/>
          <w:color w:val="576C88" w:themeColor="text2" w:themeTint="D9"/>
          <w:sz w:val="18"/>
          <w:highlight w:val="yellow"/>
        </w:rPr>
        <w:t>alla partecipazione e al contributo alla Rete europea per lo sviluppo rurale.</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br w:type="column"/>
      </w:r>
      <w:r w:rsidRPr="000B6415">
        <w:rPr>
          <w:b/>
          <w:color w:val="E7E6E6" w:themeColor="background2"/>
          <w:sz w:val="24"/>
          <w:highlight w:val="yellow"/>
        </w:rPr>
        <w:lastRenderedPageBreak/>
        <w:t>Piano di valutazione</w:t>
      </w:r>
    </w:p>
    <w:p w:rsidR="00675B1D" w:rsidRPr="000B6415" w:rsidRDefault="00675B1D" w:rsidP="00A63707">
      <w:pPr>
        <w:spacing w:before="240" w:after="240"/>
        <w:ind w:left="363"/>
        <w:rPr>
          <w:rFonts w:cs="Arial"/>
          <w:szCs w:val="18"/>
          <w:highlight w:val="yellow"/>
        </w:rPr>
      </w:pPr>
      <w:r w:rsidRPr="000B6415">
        <w:rPr>
          <w:color w:val="576C88" w:themeColor="text2" w:themeTint="D9"/>
          <w:highlight w:val="yellow"/>
        </w:rPr>
        <w:t>Definisce le attività di valutazione, incluse le disposizioni istituzionali (governance della valutazione) e le disposizioni di gestione (gestione della valutazione) per un intero periodo di attuazione del programma. Per il periodo di programmazione 2014-2020, le autorità di gestione dei progetti realizzati nell'ambito dei cinque fondi del quadro strategico comune devono redigere un piano di valutazione. Per lo sviluppo rurale il piano di valutazione sarà incluso in ogni PSR e dovrà essere conforme ai requisiti minimi stabiliti nell'atto di esecuzione.</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Prodotto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Azione finanziata e compiuta (o concretizzata) con il denaro stanziato per un intervento. Il promotore di un progetto si impegna a erogare un prodotto direttamente in cambio del sostegno concesso. I prodotti possono assumere la forma di strutture od opere (ad esempio la costruzione di una strada, investimenti nelle aziende agricole; ricettività turistica). Possono anche assumere la forma di servizi immateriali (ad esempio formazione, consulenza, informazioni).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Programma</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Insieme organizzato di interventi finanziari, organizzativi e umani mobilitati per raggiungere un obiettivo o un insieme di obiettivi in un dato periodo. Un programma è delimitato in termini di tempi e bilancio. Gli obiettivi del programma sono definiti in precedenza; viene quindi fatto uno sforzo sistematico per garantire la coerenza tra questi obiettivi.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PRRN</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Negli Stati membri con programmi regionali, un PRRN si riferisce al programma specifico per la costituzione e il funzionamento della loro rete rurale nazionale.</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Reti rurali nazionali</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Reti stabilite dagli Stati membri per riunire organizzazioni e amministrazioni impegnate nello sviluppo rurale al fine di:</w:t>
      </w:r>
    </w:p>
    <w:p w:rsidR="00675B1D" w:rsidRPr="000B6415" w:rsidRDefault="00675B1D" w:rsidP="009D2831">
      <w:pPr>
        <w:pStyle w:val="ListParagraph"/>
        <w:numPr>
          <w:ilvl w:val="0"/>
          <w:numId w:val="27"/>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stimolare la partecipazione delle parti interessate all'attuazione dello sviluppo rurale;</w:t>
      </w:r>
    </w:p>
    <w:p w:rsidR="00675B1D" w:rsidRPr="000B6415" w:rsidRDefault="00675B1D" w:rsidP="009D2831">
      <w:pPr>
        <w:pStyle w:val="ListParagraph"/>
        <w:numPr>
          <w:ilvl w:val="0"/>
          <w:numId w:val="27"/>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migliorare la qualità dei programmi di sviluppo rurale;</w:t>
      </w:r>
    </w:p>
    <w:p w:rsidR="00675B1D" w:rsidRPr="000B6415" w:rsidRDefault="00675B1D" w:rsidP="009D2831">
      <w:pPr>
        <w:pStyle w:val="ListParagraph"/>
        <w:numPr>
          <w:ilvl w:val="0"/>
          <w:numId w:val="27"/>
        </w:numPr>
        <w:spacing w:before="240" w:after="240"/>
        <w:ind w:left="709" w:hanging="357"/>
        <w:jc w:val="both"/>
        <w:rPr>
          <w:rFonts w:ascii="Arial" w:hAnsi="Arial" w:cs="Arial"/>
          <w:sz w:val="18"/>
          <w:szCs w:val="18"/>
          <w:highlight w:val="yellow"/>
        </w:rPr>
      </w:pPr>
      <w:r w:rsidRPr="000B6415">
        <w:rPr>
          <w:rFonts w:ascii="Arial" w:hAnsi="Arial"/>
          <w:color w:val="576C88" w:themeColor="text2" w:themeTint="D9"/>
          <w:sz w:val="18"/>
          <w:highlight w:val="yellow"/>
        </w:rPr>
        <w:t>informare il pubblico e i potenziali beneficiari sulla politica di sviluppo rurale;</w:t>
      </w:r>
    </w:p>
    <w:p w:rsidR="00675B1D" w:rsidRPr="000B6415" w:rsidRDefault="00675B1D" w:rsidP="009D2831">
      <w:pPr>
        <w:pStyle w:val="ListParagraph"/>
        <w:numPr>
          <w:ilvl w:val="0"/>
          <w:numId w:val="27"/>
        </w:numPr>
        <w:spacing w:before="240" w:after="240"/>
        <w:ind w:left="709" w:hanging="357"/>
        <w:contextualSpacing w:val="0"/>
        <w:jc w:val="both"/>
        <w:rPr>
          <w:rFonts w:ascii="Arial" w:hAnsi="Arial" w:cs="Arial"/>
          <w:sz w:val="18"/>
          <w:szCs w:val="18"/>
          <w:highlight w:val="yellow"/>
        </w:rPr>
      </w:pPr>
      <w:r w:rsidRPr="000B6415">
        <w:rPr>
          <w:rFonts w:ascii="Arial" w:hAnsi="Arial"/>
          <w:color w:val="576C88" w:themeColor="text2" w:themeTint="D9"/>
          <w:sz w:val="18"/>
          <w:highlight w:val="yellow"/>
        </w:rPr>
        <w:t>promuovere l'innovazione nel settore agricolo.</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Rigore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Nel contesto del presente studio, per metodo «rigoroso» si intende un metodo introdotto, applicato e ulteriormente sviluppato nell'ambito di pubblicazioni scientifiche di riferimento. Un metodo più rigoroso è più ampiamente applicato e accettato presso la comunità scientifica o la comunità di valutatori e verrà descritto nei libri di testo metodologici. I metodi che possono essere utilizzati per quantificare gli effetti causali sono considerati più affidabili rispetto ad altri metodi.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Risultato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Vantaggio (o svantaggio) che i diretti beneficiari ottengono al termine della loro partecipazione a un intervento pubblico o non appena una struttura pubblica è stata completata. I risultati possono essere osservati quando un operatore completa l'azione e rende conto del modo in cui i fondi stanziati sono stati spesi e gestiti. A questo punto egli può mostrare, ad </w:t>
      </w:r>
      <w:r w:rsidRPr="000B6415">
        <w:rPr>
          <w:color w:val="576C88" w:themeColor="text2" w:themeTint="D9"/>
          <w:highlight w:val="yellow"/>
        </w:rPr>
        <w:lastRenderedPageBreak/>
        <w:t>esempio, che l'accessibilità è stata migliorata grazie alla costruzione di una strada oppure che le imprese che hanno ricevuto consulenza si dichiarano soddisfatte. Gli operatori possono monitorare regolarmente i risultati. Devono adattare l'attuazione dell'intervento in base ai risultati ottenuti.</w:t>
      </w:r>
      <w:r w:rsidRPr="000B6415">
        <w:rPr>
          <w:highlight w:val="yellow"/>
        </w:rPr>
        <w:t xml:space="preserve"> </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br w:type="column"/>
      </w:r>
      <w:r w:rsidRPr="000B6415">
        <w:rPr>
          <w:b/>
          <w:color w:val="E7E6E6" w:themeColor="background2"/>
          <w:sz w:val="24"/>
          <w:highlight w:val="yellow"/>
        </w:rPr>
        <w:t>Sistema comune di monitoraggio e valutazione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Sistema volto a raccogliere informazioni a intervalli regolari per facilitare la rendicontazione, l'analisi e la valutazione delle prestazioni del programma con metodi di valutazione. Il sistema copre tutte le attività di monitoraggio e valutazione, inclusa la gestione del sistema stesso. Il sistema di monitoraggio e valutazione è coordinato dall'autorità di gestione e costituisce la base per comunicare le risultanze della valutazione a livello interno ed esterno. Nei regolamenti in materia di sviluppo rurale, il termine descrive nello specifico un sistema comune, messo a punto dalla Commissione e dagli Stati membri, che mira a dimostrare i progressi e le realizzazioni nonché a valutare l'impatto, l'efficacia, l'efficienza e la rilevanza degli interventi in materia di politica di sviluppo rurale. Esso contiene un numero limitato di indicatori comuni relativi al contesto, ai prodotti, ai risultati e agli impatti dei programmi.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Situazione controfattuale</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Una situazione che si sarebbe verificata in assenza di un intervento pubblico, indicata anche come situazione di «assenza di politica» (policy-off). Confrontando le situazioni controfattuali e reali è possibile determinare gli effetti netti dell'intervento pubblico. Per la costruzione della situazione controfattuale si possono utilizzare vari strumenti: analisi shift-share, gruppi di confronto, simulazione con modelli econometrici, ecc. Nella condizione di riferimento iniziale, la situazione reale e la situazione controfattuale sono identiche, ma divergono successivamente se l'intervento è efficace.</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lastRenderedPageBreak/>
        <w:t>Solidità</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Il termine solidità è definito in modi diversi nella letteratura di valutazione. In econometria, la solidità viene utilizzata in diversi contesti (ad esempio stimatori corretti o distorti, selezione del modello e della variabile) e presenta pertanto significati specifici del contesto. Nell'ambito del presente studio, la solidità è considerata elevata se i risultati sono stabili e resilienti a piccole ma deliberate variazioni (ad esempio un ulteriore anno di osservazioni, una variabile esplicativa ulteriore, un'altra parte interessata, un altro valutatore). In alcuni metodi, la solidità può essere controllata mediante analisi di sensitività.</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br w:type="column"/>
      </w:r>
      <w:r w:rsidRPr="000B6415">
        <w:rPr>
          <w:b/>
          <w:color w:val="E7E6E6" w:themeColor="background2"/>
          <w:sz w:val="24"/>
          <w:highlight w:val="yellow"/>
        </w:rPr>
        <w:t>Tema di valutazione</w:t>
      </w:r>
    </w:p>
    <w:p w:rsidR="00675B1D" w:rsidRPr="000B6415" w:rsidRDefault="00675B1D" w:rsidP="00A63707">
      <w:pPr>
        <w:spacing w:before="240" w:after="240"/>
        <w:ind w:left="363"/>
        <w:rPr>
          <w:rFonts w:cs="Arial"/>
          <w:szCs w:val="18"/>
          <w:highlight w:val="yellow"/>
        </w:rPr>
      </w:pPr>
      <w:r w:rsidRPr="000B6415">
        <w:rPr>
          <w:color w:val="576C88" w:themeColor="text2" w:themeTint="D9"/>
          <w:highlight w:val="yellow"/>
        </w:rPr>
        <w:t>Tema specifico sul quale si concentra una particolare valutazione. Ad esempio, priorità di sviluppo rurale e aspetti specifici, o questioni trasversali.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Teoria del cambiamento</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La «teoria del cambiamento», spesso applicata nelle valutazioni basate sulla teoria, può essere definita come un modo di descrivere l'insieme di ipotesi che spiegano sia i mini-passaggi che conducono alla meta a lungo termine che i collegamenti tra le attività di politica o di programma e gli esiti che si verificano a ogni tappa del cammino. L'approccio basato sulla teoria è un approccio nell'ambito del quale l'attenzione è rivolta alle teorie dei responsabili delle politiche, dei responsabili dei programmi o di altre parti interessate, ossia a raccolte di assunti e ipotesi, empiricamente verificabili, che sono logicamente collegati tra loro. Presume che i programmi si basino su una teoria esplicita o implicita in merito al come e al perché un programma funzionerà. La caratteristica principale della valutazione basata sulla teoria è che essa fornisce una catena causale esplicita (o «teoria del cambiamento») che collega l'intervento a effetti specifici; successivamente, essa utilizza questa catena causale per guidare la raccolta di prove e l'analisi del contributo causale, sviluppando ipotesi che possono essere testate attraverso confronti critici.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Trasparenza</w:t>
      </w:r>
    </w:p>
    <w:p w:rsidR="00675B1D" w:rsidRPr="000B6415" w:rsidRDefault="00675B1D" w:rsidP="009D2831">
      <w:pPr>
        <w:spacing w:before="240" w:after="240"/>
        <w:ind w:left="363"/>
        <w:rPr>
          <w:rFonts w:cs="Arial"/>
          <w:szCs w:val="18"/>
          <w:highlight w:val="yellow"/>
        </w:rPr>
      </w:pPr>
      <w:r w:rsidRPr="000B6415">
        <w:rPr>
          <w:color w:val="576C88" w:themeColor="text2" w:themeTint="D9"/>
          <w:highlight w:val="yellow"/>
        </w:rPr>
        <w:t xml:space="preserve">La trasparenza di una metodologia di valutazione impone che gli utenti ne conoscano con precisione gli elementi principali, la struttura, i parametri, le regole e le risposte funzionali, in modo da poter monitorare che essi siano seguiti. </w:t>
      </w:r>
      <w:r w:rsidRPr="000B6415">
        <w:rPr>
          <w:color w:val="576C88" w:themeColor="text2" w:themeTint="D9"/>
          <w:highlight w:val="yellow"/>
        </w:rPr>
        <w:lastRenderedPageBreak/>
        <w:t>Una valida stima della situazione controfattuale dovrebbe basarsi su regole di assegnazione chiare e trasparenti.</w:t>
      </w:r>
    </w:p>
    <w:p w:rsidR="00675B1D" w:rsidRPr="000B6415" w:rsidRDefault="00675B1D" w:rsidP="009D2831">
      <w:pPr>
        <w:spacing w:before="240" w:after="240"/>
        <w:ind w:left="363"/>
        <w:rPr>
          <w:rFonts w:cs="Arial"/>
          <w:b/>
          <w:color w:val="E7E6E6" w:themeColor="background2"/>
          <w:sz w:val="24"/>
          <w:highlight w:val="yellow"/>
        </w:rPr>
      </w:pPr>
      <w:r w:rsidRPr="000B6415">
        <w:rPr>
          <w:b/>
          <w:color w:val="E7E6E6" w:themeColor="background2"/>
          <w:sz w:val="24"/>
          <w:highlight w:val="yellow"/>
        </w:rPr>
        <w:t>Validità</w:t>
      </w:r>
    </w:p>
    <w:p w:rsidR="00675B1D" w:rsidRPr="000B6415" w:rsidRDefault="00675B1D" w:rsidP="009D2831">
      <w:pPr>
        <w:spacing w:before="240" w:after="240"/>
        <w:ind w:left="363"/>
        <w:rPr>
          <w:rFonts w:cs="Arial"/>
          <w:color w:val="576C88" w:themeColor="text2" w:themeTint="D9"/>
          <w:szCs w:val="18"/>
        </w:rPr>
      </w:pPr>
      <w:r w:rsidRPr="000B6415">
        <w:rPr>
          <w:color w:val="576C88" w:themeColor="text2" w:themeTint="D9"/>
          <w:highlight w:val="yellow"/>
        </w:rPr>
        <w:t>Il termine può fare riferimento alla validità interna, esterna e convergente. «Validità interna»: i risultati di metodi non empirici sono validi se sono logicamente fondati. I risultati di metodi empirici sono validi se sono fondati dal punto di vista logico e fattuale. La solidità logica può essere verificata e un'elevata trasparenza rende questo più facile. La solidità fattuale è verificata se il risultato è identico al parametro reale che nella maggior parte dei casi non può essere osservato (cfr. controfattuale). La «validità esterna» è una misura della qualità della ricerca empirica. Nel nostro contesto il concetto di «validità esterna» indica se i risultati ottenuti da uno studio di casi saranno più o meno gli stessi che si verificherebbero anche nel caso in cui un programma simile fosse attuato in un altro contesto. La «validità convergente» si ha se diversi metodi utilizzati per rispondere alla stessa domanda di ricerca danno risultati simili.</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t>Valutazione ex-ante</w:t>
      </w:r>
    </w:p>
    <w:p w:rsidR="00675B1D" w:rsidRPr="000B6415" w:rsidRDefault="00675B1D" w:rsidP="00A63707">
      <w:pPr>
        <w:spacing w:before="240" w:after="240"/>
        <w:ind w:left="363"/>
        <w:rPr>
          <w:rFonts w:cs="Arial"/>
          <w:szCs w:val="18"/>
          <w:highlight w:val="yellow"/>
        </w:rPr>
      </w:pPr>
      <w:r w:rsidRPr="000B6415">
        <w:rPr>
          <w:color w:val="576C88" w:themeColor="text2" w:themeTint="D9"/>
          <w:highlight w:val="yellow"/>
        </w:rPr>
        <w:t xml:space="preserve">Si tratta della valutazione che viene eseguita prima dell'attuazione del programma. Il suo scopo è quello di raccogliere informazioni e di effettuare analisi che aiutino a garantire che un intervento sia il più rilevante e coerente possibile. Le sue conclusioni sono destinate a essere integrate nel momento in cui vengono prese delle decisioni. La valutazione ex ante riguarda principalmente un'analisi del contesto, anche se offrirà altresì l'occasione di specificare i meccanismi di intervento in termini di ciò che già esiste. Essa fornisce </w:t>
      </w:r>
      <w:r w:rsidRPr="000B6415">
        <w:rPr>
          <w:color w:val="576C88" w:themeColor="text2" w:themeTint="D9"/>
          <w:highlight w:val="yellow"/>
        </w:rPr>
        <w:t>alle autorità competenti una valutazione preventiva del fatto che le questioni relative allo sviluppo siano state o meno diagnosticate correttamente, che la strategia e gli obiettivi proposti siano o meno rilevanti, che vi sia o meno incoerenza tra loro o in relazione alle politiche e alle linee guida dell'Unione, che gli impatti attesi siano o meno realistici ecc. Inoltre, fornisce la base necessaria per il monitoraggio e le valutazioni future, garantendo che vi siano obiettivi espliciti e, ove possibile, quantificati. Nell'adempiere a queste funzioni, la valutazione ex ante offre un sostegno alla preparazione delle proposte per nuove o rinnovate azioni comunitarie. Il suo scopo è di garantire che gli obiettivi strategici siano realizzati con successo, che le misure utilizzate siano efficaci in termini di costi e che sia stato preparato il terreno per valutazioni intermedie ed ex post affidabili.</w:t>
      </w:r>
    </w:p>
    <w:p w:rsidR="00675B1D" w:rsidRPr="000B6415" w:rsidRDefault="00675B1D" w:rsidP="00A63707">
      <w:pPr>
        <w:spacing w:before="240" w:after="240"/>
        <w:ind w:left="363"/>
        <w:rPr>
          <w:rFonts w:cs="Arial"/>
          <w:b/>
          <w:color w:val="E7E6E6" w:themeColor="background2"/>
          <w:sz w:val="24"/>
          <w:highlight w:val="yellow"/>
        </w:rPr>
      </w:pPr>
      <w:r w:rsidRPr="000B6415">
        <w:rPr>
          <w:b/>
          <w:color w:val="E7E6E6" w:themeColor="background2"/>
          <w:sz w:val="24"/>
          <w:highlight w:val="yellow"/>
        </w:rPr>
        <w:t>Valutazione ex post</w:t>
      </w:r>
    </w:p>
    <w:p w:rsidR="00675B1D" w:rsidRPr="000B6415" w:rsidRDefault="00675B1D" w:rsidP="009D2831">
      <w:pPr>
        <w:spacing w:before="240" w:after="240"/>
        <w:ind w:left="363"/>
        <w:rPr>
          <w:rFonts w:cs="Arial"/>
          <w:szCs w:val="18"/>
        </w:rPr>
      </w:pPr>
      <w:r w:rsidRPr="000B6415">
        <w:rPr>
          <w:color w:val="576C88" w:themeColor="text2" w:themeTint="D9"/>
          <w:highlight w:val="yellow"/>
        </w:rPr>
        <w:t>SI tratta della valutazione che riassume e giudica un intervento una volta che questo si è concluso. Il suo obiettivo è di rendere conto dell'utilizzo delle risorse e della realizzazione di effetti intenzionali e involontari. Si sforza di comprendere i fattori di successo o di fallimento dei programmi. Cerca inoltre di trarre conclusioni che possano essere generalizzate ad altri interventi. Affinché gli impatti abbiano il tempo di concretizzarsi, le valutazioni ex post devono essere eseguite qualche tempo dopo l'attuazione</w:t>
      </w:r>
    </w:p>
    <w:p w:rsidR="00675B1D" w:rsidRPr="000B6415" w:rsidRDefault="00675B1D" w:rsidP="00A63707">
      <w:pPr>
        <w:spacing w:before="240" w:after="240"/>
        <w:ind w:left="363"/>
        <w:rPr>
          <w:rFonts w:cs="Arial"/>
          <w:szCs w:val="18"/>
        </w:rPr>
        <w:sectPr w:rsidR="00675B1D" w:rsidRPr="000B6415" w:rsidSect="00502BFD">
          <w:type w:val="continuous"/>
          <w:pgSz w:w="11906" w:h="16838" w:code="9"/>
          <w:pgMar w:top="1440" w:right="1440" w:bottom="1440" w:left="1440" w:header="1134" w:footer="1021" w:gutter="0"/>
          <w:cols w:num="2" w:space="708"/>
          <w:titlePg/>
          <w:docGrid w:linePitch="360"/>
        </w:sectPr>
      </w:pPr>
    </w:p>
    <w:p w:rsidR="00675B1D" w:rsidRPr="000B6415" w:rsidRDefault="00675B1D">
      <w:pPr>
        <w:spacing w:after="0" w:line="240" w:lineRule="auto"/>
        <w:rPr>
          <w:rFonts w:cs="Arial"/>
          <w:szCs w:val="18"/>
        </w:rPr>
      </w:pPr>
      <w:r w:rsidRPr="000B6415">
        <w:lastRenderedPageBreak/>
        <w:br w:type="page"/>
      </w:r>
    </w:p>
    <w:p w:rsidR="00675B1D" w:rsidRPr="000B6415" w:rsidRDefault="00675B1D" w:rsidP="00A63707">
      <w:pPr>
        <w:spacing w:before="240" w:after="240"/>
        <w:ind w:left="363"/>
        <w:rPr>
          <w:rFonts w:cs="Arial"/>
          <w:szCs w:val="18"/>
        </w:rPr>
      </w:pPr>
    </w:p>
    <w:p w:rsidR="00675B1D" w:rsidRPr="000B6415" w:rsidRDefault="00675B1D" w:rsidP="00A63707">
      <w:pPr>
        <w:spacing w:before="240" w:after="240"/>
        <w:ind w:left="363"/>
        <w:rPr>
          <w:rFonts w:cs="Arial"/>
          <w:szCs w:val="18"/>
        </w:rPr>
      </w:pPr>
    </w:p>
    <w:p w:rsidR="00675B1D" w:rsidRPr="000B6415" w:rsidRDefault="00675B1D" w:rsidP="00A63707">
      <w:pPr>
        <w:spacing w:before="240" w:after="240"/>
        <w:ind w:left="363"/>
        <w:rPr>
          <w:rFonts w:cs="Arial"/>
          <w:szCs w:val="18"/>
        </w:rPr>
        <w:sectPr w:rsidR="00675B1D" w:rsidRPr="000B6415" w:rsidSect="00502BFD">
          <w:pgSz w:w="11906" w:h="16838" w:code="9"/>
          <w:pgMar w:top="1440" w:right="1440" w:bottom="1440" w:left="1440" w:header="1134" w:footer="1021" w:gutter="0"/>
          <w:cols w:num="2" w:space="708"/>
          <w:titlePg/>
          <w:docGrid w:linePitch="360"/>
        </w:sectPr>
      </w:pPr>
    </w:p>
    <w:p w:rsidR="00675B1D" w:rsidRPr="000B6415" w:rsidRDefault="00675B1D" w:rsidP="00A63707">
      <w:pPr>
        <w:spacing w:before="240" w:after="240"/>
        <w:ind w:left="363"/>
        <w:rPr>
          <w:rFonts w:cs="Arial"/>
          <w:szCs w:val="18"/>
        </w:rPr>
        <w:sectPr w:rsidR="00675B1D" w:rsidRPr="000B6415" w:rsidSect="00502BFD">
          <w:type w:val="continuous"/>
          <w:pgSz w:w="11906" w:h="16838" w:code="9"/>
          <w:pgMar w:top="1440" w:right="1440" w:bottom="1440" w:left="1440" w:header="1134" w:footer="1021" w:gutter="0"/>
          <w:cols w:space="708"/>
          <w:titlePg/>
          <w:docGrid w:linePitch="360"/>
        </w:sectPr>
      </w:pPr>
    </w:p>
    <w:p w:rsidR="00675B1D" w:rsidRPr="000B6415" w:rsidRDefault="00675B1D">
      <w:pPr>
        <w:spacing w:after="0" w:line="240" w:lineRule="auto"/>
        <w:rPr>
          <w:rFonts w:cs="Arial"/>
          <w:color w:val="576C88" w:themeColor="text2" w:themeTint="D9"/>
          <w:sz w:val="20"/>
          <w:szCs w:val="20"/>
        </w:rPr>
        <w:sectPr w:rsidR="00675B1D" w:rsidRPr="000B6415" w:rsidSect="00A63707">
          <w:type w:val="continuous"/>
          <w:pgSz w:w="11906" w:h="16838" w:code="9"/>
          <w:pgMar w:top="1440" w:right="1440" w:bottom="1440" w:left="1440" w:header="1134" w:footer="1021" w:gutter="0"/>
          <w:cols w:space="708"/>
          <w:titlePg/>
          <w:docGrid w:linePitch="360"/>
        </w:sectPr>
      </w:pPr>
    </w:p>
    <w:p w:rsidR="00675B1D" w:rsidRPr="000B6415" w:rsidRDefault="00675B1D">
      <w:pPr>
        <w:spacing w:after="0" w:line="240" w:lineRule="auto"/>
        <w:rPr>
          <w:rFonts w:cs="Arial"/>
          <w:color w:val="576C88" w:themeColor="text2" w:themeTint="D9"/>
          <w:sz w:val="20"/>
          <w:szCs w:val="20"/>
        </w:rPr>
      </w:pPr>
    </w:p>
    <w:p w:rsidR="00675B1D" w:rsidRPr="000B6415" w:rsidRDefault="00675B1D" w:rsidP="00923616">
      <w:pPr>
        <w:pStyle w:val="HStandard"/>
      </w:pPr>
    </w:p>
    <w:p w:rsidR="00675B1D" w:rsidRPr="000B6415" w:rsidRDefault="00675B1D" w:rsidP="00923616">
      <w:pPr>
        <w:pStyle w:val="HStandard"/>
        <w:sectPr w:rsidR="00675B1D" w:rsidRPr="000B6415" w:rsidSect="00A63707">
          <w:type w:val="continuous"/>
          <w:pgSz w:w="11906" w:h="16838" w:code="9"/>
          <w:pgMar w:top="1440" w:right="1440" w:bottom="1440" w:left="1440" w:header="1134" w:footer="1021" w:gutter="0"/>
          <w:cols w:space="708"/>
          <w:titlePg/>
          <w:docGrid w:linePitch="360"/>
        </w:sectPr>
      </w:pPr>
    </w:p>
    <w:p w:rsidR="00675B1D" w:rsidRPr="000B6415" w:rsidRDefault="00675B1D">
      <w:pPr>
        <w:spacing w:after="0" w:line="240" w:lineRule="auto"/>
        <w:rPr>
          <w:rFonts w:cs="Arial"/>
        </w:rPr>
      </w:pPr>
      <w:r w:rsidRPr="000B6415">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675B1D" w:rsidRPr="000B6415" w:rsidRDefault="00675B1D" w:rsidP="00923616">
      <w:pPr>
        <w:pStyle w:val="HStandard"/>
      </w:pPr>
    </w:p>
    <w:p w:rsidR="00C23794" w:rsidRDefault="0091429A">
      <w:bookmarkStart w:id="361" w:name="_GoBack"/>
      <w:bookmarkEnd w:id="361"/>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429A" w:rsidRDefault="0091429A" w:rsidP="00675B1D">
      <w:pPr>
        <w:spacing w:after="0" w:line="240" w:lineRule="auto"/>
      </w:pPr>
      <w:r>
        <w:separator/>
      </w:r>
    </w:p>
  </w:endnote>
  <w:endnote w:type="continuationSeparator" w:id="0">
    <w:p w:rsidR="0091429A" w:rsidRDefault="0091429A" w:rsidP="00675B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Default="00675B1D">
    <w:pPr>
      <w:pStyle w:val="Footer"/>
    </w:pPr>
    <w:r>
      <w:t xml:space="preserve">pag.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25A18D70" wp14:editId="41BBBD8E">
          <wp:extent cx="971550" cy="247650"/>
          <wp:effectExtent l="19050" t="0" r="0" b="0"/>
          <wp:docPr id="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A40754" w:rsidRDefault="00675B1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A40754" w:rsidRDefault="00675B1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8</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A40754" w:rsidRDefault="00675B1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A40754" w:rsidRDefault="00675B1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4733A5" w:rsidRDefault="00675B1D"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129</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A40754" w:rsidRDefault="00675B1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128</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7C7" w:rsidRPr="00150D5B" w:rsidRDefault="0091429A"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7C7" w:rsidRPr="00150D5B" w:rsidRDefault="0091429A"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429A" w:rsidRDefault="0091429A" w:rsidP="00675B1D">
      <w:pPr>
        <w:spacing w:after="0" w:line="240" w:lineRule="auto"/>
      </w:pPr>
      <w:r>
        <w:separator/>
      </w:r>
    </w:p>
  </w:footnote>
  <w:footnote w:type="continuationSeparator" w:id="0">
    <w:p w:rsidR="0091429A" w:rsidRDefault="0091429A" w:rsidP="00675B1D">
      <w:pPr>
        <w:spacing w:after="0" w:line="240" w:lineRule="auto"/>
      </w:pPr>
      <w:r>
        <w:continuationSeparator/>
      </w:r>
    </w:p>
  </w:footnote>
  <w:footnote w:id="1">
    <w:p w:rsidR="00675B1D" w:rsidRPr="00917E9C" w:rsidRDefault="00675B1D" w:rsidP="00790A04">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rPr>
        <w:tab/>
      </w:r>
      <w:r w:rsidRPr="00917E9C">
        <w:rPr>
          <w:rFonts w:cs="Arial"/>
          <w:highlight w:val="yellow"/>
        </w:rPr>
        <w:t>Nel caso degli Stati membri con PSR regionali.</w:t>
      </w:r>
    </w:p>
  </w:footnote>
  <w:footnote w:id="2">
    <w:p w:rsidR="00675B1D" w:rsidRPr="00917E9C" w:rsidRDefault="00675B1D" w:rsidP="00790A04">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w:t>
      </w:r>
      <w:r w:rsidRPr="00917E9C">
        <w:rPr>
          <w:rFonts w:cs="Arial"/>
        </w:rPr>
        <w:tab/>
      </w:r>
      <w:r w:rsidRPr="00917E9C">
        <w:rPr>
          <w:rFonts w:cs="Arial"/>
          <w:highlight w:val="yellow"/>
        </w:rPr>
        <w:t>Regolamento (UE) n. 1305/2013, articolo 54, paragrafo 1.</w:t>
      </w:r>
    </w:p>
  </w:footnote>
  <w:footnote w:id="3">
    <w:p w:rsidR="00675B1D" w:rsidRPr="00917E9C" w:rsidRDefault="00675B1D" w:rsidP="00790A04">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w:t>
      </w:r>
      <w:r w:rsidRPr="00917E9C">
        <w:rPr>
          <w:rFonts w:cs="Arial"/>
        </w:rPr>
        <w:tab/>
      </w:r>
      <w:r w:rsidRPr="00917E9C">
        <w:rPr>
          <w:rFonts w:cs="Arial"/>
          <w:highlight w:val="yellow"/>
        </w:rPr>
        <w:t>Regolamento (UE) n. 1303/2013, articolo 54.</w:t>
      </w:r>
    </w:p>
  </w:footnote>
  <w:footnote w:id="4">
    <w:p w:rsidR="00675B1D" w:rsidRPr="00917E9C" w:rsidRDefault="00675B1D" w:rsidP="00790A04">
      <w:pPr>
        <w:pStyle w:val="FootnoteText"/>
        <w:rPr>
          <w:rFonts w:cs="Arial"/>
        </w:rPr>
      </w:pPr>
      <w:r w:rsidRPr="00917E9C">
        <w:rPr>
          <w:rStyle w:val="FootnoteReference"/>
          <w:rFonts w:cs="Arial"/>
          <w:highlight w:val="yellow"/>
        </w:rPr>
        <w:footnoteRef/>
      </w:r>
      <w:r w:rsidRPr="00917E9C">
        <w:rPr>
          <w:rFonts w:cs="Arial"/>
          <w:highlight w:val="yellow"/>
        </w:rPr>
        <w:t xml:space="preserve"> </w:t>
      </w:r>
      <w:r w:rsidRPr="00917E9C">
        <w:rPr>
          <w:rFonts w:cs="Arial"/>
        </w:rPr>
        <w:tab/>
      </w:r>
      <w:hyperlink r:id="rId1">
        <w:r w:rsidRPr="00917E9C">
          <w:rPr>
            <w:rFonts w:cs="Arial"/>
            <w:highlight w:val="yellow"/>
          </w:rPr>
          <w:t>Linee guida: definizione e attuazione del piano di valutazione dei PSR 2014-2020</w:t>
        </w:r>
      </w:hyperlink>
      <w:r w:rsidRPr="00917E9C">
        <w:rPr>
          <w:rFonts w:cs="Arial"/>
          <w:highlight w:val="yellow"/>
        </w:rPr>
        <w:t xml:space="preserve"> (estratto in italiano della versione originale in inglese), Helpdesk della Rete europea per la valutazione dello sviluppo rurale, Bruxelles, 2014</w:t>
      </w:r>
      <w:r w:rsidRPr="00917E9C">
        <w:rPr>
          <w:rFonts w:cs="Arial"/>
        </w:rPr>
        <w:t>.</w:t>
      </w:r>
    </w:p>
  </w:footnote>
  <w:footnote w:id="5">
    <w:p w:rsidR="00675B1D" w:rsidRPr="00917E9C" w:rsidRDefault="00675B1D" w:rsidP="00E92B7B">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rPr>
        <w:tab/>
      </w:r>
      <w:r w:rsidRPr="00917E9C">
        <w:rPr>
          <w:rFonts w:cs="Arial"/>
          <w:highlight w:val="yellow"/>
        </w:rPr>
        <w:t xml:space="preserve">Working Document: Common Evaluation Questions for Rural Development Programme of 2014-2020 </w:t>
      </w:r>
      <w:hyperlink r:id="rId2">
        <w:r w:rsidRPr="00917E9C">
          <w:rPr>
            <w:rFonts w:cs="Arial"/>
            <w:highlight w:val="yellow"/>
          </w:rPr>
          <w:t>(in inglese) [Documento di lavoro: questionario valutativo comune per il programma di sviluppo rurale del periodo 2014-2020], http://enrd.ec.europa.eu/en/evaluation-helpdesks-publications</w:t>
        </w:r>
      </w:hyperlink>
      <w:r w:rsidRPr="00917E9C">
        <w:rPr>
          <w:rFonts w:cs="Arial"/>
          <w:highlight w:val="yellow"/>
        </w:rPr>
        <w:t>.</w:t>
      </w:r>
    </w:p>
  </w:footnote>
  <w:footnote w:id="6">
    <w:p w:rsidR="00675B1D" w:rsidRPr="00917E9C" w:rsidRDefault="00675B1D" w:rsidP="00E92B7B">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w:t>
      </w:r>
      <w:r w:rsidRPr="00917E9C">
        <w:rPr>
          <w:rFonts w:cs="Arial"/>
        </w:rPr>
        <w:tab/>
      </w:r>
      <w:r w:rsidRPr="00917E9C">
        <w:rPr>
          <w:rFonts w:cs="Arial"/>
          <w:highlight w:val="yellow"/>
        </w:rPr>
        <w:t>Regolamento di esecuzione (UE) n. 808/2014 della Commissione, articolo 14.</w:t>
      </w:r>
    </w:p>
  </w:footnote>
  <w:footnote w:id="7">
    <w:p w:rsidR="00675B1D" w:rsidRPr="00917E9C" w:rsidRDefault="00675B1D" w:rsidP="00E92B7B">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w:t>
      </w:r>
      <w:r w:rsidRPr="00917E9C">
        <w:rPr>
          <w:rFonts w:cs="Arial"/>
        </w:rPr>
        <w:tab/>
      </w:r>
      <w:r w:rsidRPr="00917E9C">
        <w:rPr>
          <w:rFonts w:cs="Arial"/>
          <w:highlight w:val="yellow"/>
        </w:rPr>
        <w:t>«</w:t>
      </w:r>
      <w:hyperlink r:id="rId3">
        <w:r w:rsidRPr="00917E9C">
          <w:rPr>
            <w:rFonts w:cs="Arial"/>
            <w:highlight w:val="yellow"/>
          </w:rPr>
          <w:t>Guidelines for the Ex ante evaluation of 2014-2020 RDPs</w:t>
        </w:r>
      </w:hyperlink>
      <w:r w:rsidRPr="00917E9C">
        <w:rPr>
          <w:rFonts w:cs="Arial"/>
          <w:highlight w:val="yellow"/>
        </w:rPr>
        <w:t>» (in inglese) [Linee guida per la valutazione ex ante dei PSR 2014-2020] e «</w:t>
      </w:r>
      <w:hyperlink r:id="rId4">
        <w:r w:rsidRPr="00917E9C">
          <w:rPr>
            <w:rFonts w:cs="Arial"/>
            <w:highlight w:val="yellow"/>
          </w:rPr>
          <w:t>Linee guida: definizione e attuazione del piano di valutazione dei PSR 2014-2020</w:t>
        </w:r>
      </w:hyperlink>
      <w:r w:rsidRPr="00917E9C">
        <w:rPr>
          <w:rFonts w:cs="Arial"/>
          <w:highlight w:val="yellow"/>
        </w:rPr>
        <w:t>» (estratto in italiano della versione originale in inglese)</w:t>
      </w:r>
      <w:r w:rsidRPr="00917E9C">
        <w:rPr>
          <w:rFonts w:cs="Arial"/>
        </w:rPr>
        <w:t>.</w:t>
      </w:r>
      <w:hyperlink r:id="rId5"/>
    </w:p>
  </w:footnote>
  <w:footnote w:id="8">
    <w:p w:rsidR="00675B1D" w:rsidRPr="00917E9C" w:rsidRDefault="00675B1D" w:rsidP="003E7D43">
      <w:pPr>
        <w:pStyle w:val="FootnoteText"/>
        <w:rPr>
          <w:rFonts w:cs="Arial"/>
        </w:rPr>
      </w:pPr>
      <w:r w:rsidRPr="00917E9C">
        <w:rPr>
          <w:rStyle w:val="FootnoteReference"/>
          <w:rFonts w:cs="Arial"/>
          <w:highlight w:val="yellow"/>
        </w:rPr>
        <w:footnoteRef/>
      </w:r>
      <w:r w:rsidRPr="00917E9C">
        <w:rPr>
          <w:rFonts w:cs="Arial"/>
          <w:highlight w:val="yellow"/>
        </w:rPr>
        <w:t xml:space="preserve"> </w:t>
      </w:r>
      <w:r w:rsidRPr="00917E9C">
        <w:rPr>
          <w:rFonts w:cs="Arial"/>
        </w:rPr>
        <w:tab/>
      </w:r>
      <w:r w:rsidRPr="00917E9C">
        <w:rPr>
          <w:rFonts w:cs="Arial"/>
          <w:highlight w:val="yellow"/>
        </w:rPr>
        <w:t>La cassa di risonanza del gruppo di lavoro tematico sulle linee guida RRN era costituita da rappresentanti della DG AGRI, del gruppo di esperti sul monitoraggio e sulla valutazione della PAC 2014-2020 e del punto di contatto RESR.</w:t>
      </w:r>
    </w:p>
  </w:footnote>
  <w:footnote w:id="9">
    <w:p w:rsidR="00675B1D" w:rsidRPr="00917E9C" w:rsidRDefault="00675B1D" w:rsidP="00923616">
      <w:pPr>
        <w:pStyle w:val="FootnoteText"/>
        <w:rPr>
          <w:rFonts w:cs="Arial"/>
          <w:highlight w:val="yellow"/>
          <w:lang w:val="en-GB"/>
        </w:rPr>
      </w:pPr>
      <w:r w:rsidRPr="00917E9C">
        <w:rPr>
          <w:rStyle w:val="FootnoteReference"/>
          <w:rFonts w:cs="Arial"/>
        </w:rPr>
        <w:footnoteRef/>
      </w:r>
      <w:r w:rsidRPr="00917E9C">
        <w:rPr>
          <w:rFonts w:cs="Arial"/>
          <w:lang w:val="en-GB"/>
        </w:rPr>
        <w:t xml:space="preserve"> </w:t>
      </w:r>
      <w:r w:rsidRPr="00917E9C">
        <w:rPr>
          <w:rFonts w:cs="Arial"/>
          <w:lang w:val="en-GB"/>
        </w:rPr>
        <w:tab/>
      </w:r>
      <w:r w:rsidRPr="00917E9C">
        <w:rPr>
          <w:rFonts w:cs="Arial"/>
          <w:highlight w:val="yellow"/>
          <w:lang w:val="en-GB"/>
        </w:rPr>
        <w:t xml:space="preserve">Roelofs, M. (2004), </w:t>
      </w:r>
      <w:r w:rsidRPr="00917E9C">
        <w:rPr>
          <w:rFonts w:cs="Arial"/>
          <w:i/>
          <w:highlight w:val="yellow"/>
          <w:lang w:val="en-GB"/>
        </w:rPr>
        <w:t>Criteria for the evaluation of public action taking place within networks</w:t>
      </w:r>
      <w:r w:rsidRPr="00917E9C">
        <w:rPr>
          <w:rFonts w:cs="Arial"/>
          <w:highlight w:val="yellow"/>
          <w:lang w:val="en-GB"/>
        </w:rPr>
        <w:t>, Netherlands Court of Audit, The Hague.</w:t>
      </w:r>
    </w:p>
  </w:footnote>
  <w:footnote w:id="10">
    <w:p w:rsidR="00675B1D" w:rsidRPr="00917E9C" w:rsidRDefault="00675B1D" w:rsidP="00923616">
      <w:pPr>
        <w:pStyle w:val="FootnoteText"/>
        <w:rPr>
          <w:rFonts w:cs="Arial"/>
          <w:szCs w:val="16"/>
          <w:highlight w:val="yellow"/>
          <w:lang w:val="en-GB"/>
        </w:rPr>
      </w:pPr>
      <w:r w:rsidRPr="00917E9C">
        <w:rPr>
          <w:rStyle w:val="FootnoteReference"/>
          <w:rFonts w:cs="Arial"/>
          <w:highlight w:val="yellow"/>
        </w:rPr>
        <w:footnoteRef/>
      </w:r>
      <w:r w:rsidRPr="00917E9C">
        <w:rPr>
          <w:rFonts w:cs="Arial"/>
          <w:highlight w:val="yellow"/>
          <w:lang w:val="en-GB"/>
        </w:rPr>
        <w:t xml:space="preserve"> </w:t>
      </w:r>
      <w:r w:rsidRPr="00917E9C">
        <w:rPr>
          <w:rFonts w:cs="Arial"/>
          <w:i/>
          <w:highlight w:val="yellow"/>
          <w:lang w:val="en-GB"/>
        </w:rPr>
        <w:t>What do we know about networking as a Rural Development Policy Tool (2007-2013)?</w:t>
      </w:r>
      <w:r w:rsidRPr="00917E9C">
        <w:rPr>
          <w:rFonts w:cs="Arial"/>
          <w:highlight w:val="yellow"/>
          <w:lang w:val="en-GB"/>
        </w:rPr>
        <w:t>, (in inglese, RESR, documento di discussione, versione 2 (giugno 2012).</w:t>
      </w:r>
    </w:p>
  </w:footnote>
  <w:footnote w:id="11">
    <w:p w:rsidR="00675B1D" w:rsidRPr="00917E9C" w:rsidRDefault="00675B1D" w:rsidP="00923616">
      <w:pPr>
        <w:pStyle w:val="FootnoteText"/>
        <w:rPr>
          <w:rFonts w:cs="Arial"/>
          <w:szCs w:val="16"/>
          <w:highlight w:val="yellow"/>
          <w:lang w:val="en-GB"/>
        </w:rPr>
      </w:pPr>
      <w:r w:rsidRPr="00917E9C">
        <w:rPr>
          <w:rStyle w:val="FootnoteReference"/>
          <w:rFonts w:cs="Arial"/>
          <w:highlight w:val="yellow"/>
        </w:rPr>
        <w:footnoteRef/>
      </w:r>
      <w:r w:rsidRPr="00917E9C">
        <w:rPr>
          <w:rFonts w:cs="Arial"/>
          <w:highlight w:val="yellow"/>
          <w:lang w:val="en-GB"/>
        </w:rPr>
        <w:t xml:space="preserve"> </w:t>
      </w:r>
      <w:r w:rsidRPr="00917E9C">
        <w:rPr>
          <w:rFonts w:cs="Arial"/>
          <w:i/>
          <w:highlight w:val="yellow"/>
          <w:lang w:val="en-GB"/>
        </w:rPr>
        <w:t>What do we know about networking as a Rural Development Policy Tool (2007-2013)?</w:t>
      </w:r>
      <w:r w:rsidRPr="00917E9C">
        <w:rPr>
          <w:rFonts w:cs="Arial"/>
          <w:highlight w:val="yellow"/>
          <w:lang w:val="en-GB"/>
        </w:rPr>
        <w:t>, (in inglese, RESR, documento di discussione, versione 2 (giugno 2012).</w:t>
      </w:r>
    </w:p>
  </w:footnote>
  <w:footnote w:id="12">
    <w:p w:rsidR="00675B1D" w:rsidRPr="00917E9C" w:rsidRDefault="00675B1D" w:rsidP="00ED27DC">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Regolamento (UE) n. 1305/2013, articolo 53, paragrafo 1.</w:t>
      </w:r>
    </w:p>
  </w:footnote>
  <w:footnote w:id="13">
    <w:p w:rsidR="00675B1D" w:rsidRPr="00917E9C" w:rsidRDefault="00675B1D" w:rsidP="00923616">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Regolamento (UE) n. 1305/2013, articolo 54, paragrafo 1.</w:t>
      </w:r>
    </w:p>
  </w:footnote>
  <w:footnote w:id="14">
    <w:p w:rsidR="00675B1D" w:rsidRPr="00917E9C" w:rsidRDefault="00675B1D" w:rsidP="00923616">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Regolamento (UE) n. 1305/2013, articoli 53, 55, 56 e 57.</w:t>
      </w:r>
    </w:p>
  </w:footnote>
  <w:footnote w:id="15">
    <w:p w:rsidR="00675B1D" w:rsidRPr="00917E9C" w:rsidRDefault="00675B1D" w:rsidP="00923616">
      <w:pPr>
        <w:pStyle w:val="FootnoteText"/>
        <w:rPr>
          <w:rFonts w:cs="Arial"/>
        </w:rPr>
      </w:pPr>
      <w:r w:rsidRPr="00917E9C">
        <w:rPr>
          <w:rStyle w:val="FootnoteReference"/>
          <w:rFonts w:cs="Arial"/>
          <w:highlight w:val="yellow"/>
        </w:rPr>
        <w:footnoteRef/>
      </w:r>
      <w:r w:rsidRPr="00917E9C">
        <w:rPr>
          <w:rFonts w:cs="Arial"/>
          <w:highlight w:val="yellow"/>
          <w:lang w:val="sk-SK"/>
        </w:rPr>
        <w:t xml:space="preserve"> Wassermann, Stanley e Faust, Katherine, </w:t>
      </w:r>
      <w:r w:rsidRPr="00917E9C">
        <w:rPr>
          <w:rFonts w:cs="Arial"/>
          <w:i/>
          <w:highlight w:val="yellow"/>
          <w:lang w:val="sk-SK"/>
        </w:rPr>
        <w:t xml:space="preserve">Social Network Analysis. </w:t>
      </w:r>
      <w:r w:rsidRPr="00917E9C">
        <w:rPr>
          <w:rFonts w:cs="Arial"/>
          <w:i/>
          <w:highlight w:val="yellow"/>
        </w:rPr>
        <w:t xml:space="preserve">Methods and applications, </w:t>
      </w:r>
      <w:r w:rsidRPr="00917E9C">
        <w:rPr>
          <w:rFonts w:cs="Arial"/>
          <w:highlight w:val="yellow"/>
        </w:rPr>
        <w:t>Cambridge University Press, 1994</w:t>
      </w:r>
      <w:r w:rsidRPr="00917E9C">
        <w:rPr>
          <w:rFonts w:cs="Arial"/>
        </w:rPr>
        <w:t>.</w:t>
      </w:r>
    </w:p>
  </w:footnote>
  <w:footnote w:id="16">
    <w:p w:rsidR="00675B1D" w:rsidRPr="00917E9C" w:rsidRDefault="00675B1D" w:rsidP="003A118B">
      <w:pPr>
        <w:pStyle w:val="FootnoteText"/>
        <w:rPr>
          <w:rFonts w:cs="Arial"/>
          <w:lang w:val="sk-SK"/>
        </w:rPr>
      </w:pPr>
      <w:r w:rsidRPr="00917E9C">
        <w:rPr>
          <w:rStyle w:val="FootnoteReference"/>
          <w:rFonts w:cs="Arial"/>
        </w:rPr>
        <w:footnoteRef/>
      </w:r>
      <w:r w:rsidRPr="00917E9C">
        <w:rPr>
          <w:rFonts w:cs="Arial"/>
        </w:rPr>
        <w:t xml:space="preserve"> </w:t>
      </w:r>
      <w:r w:rsidRPr="00917E9C">
        <w:rPr>
          <w:rFonts w:cs="Arial"/>
          <w:highlight w:val="yellow"/>
        </w:rPr>
        <w:t>Regolamento (UE) n. 1305/2013, articolo 54, paragrafo 3</w:t>
      </w:r>
      <w:r w:rsidRPr="00917E9C">
        <w:rPr>
          <w:rFonts w:cs="Arial"/>
        </w:rPr>
        <w:t>.</w:t>
      </w:r>
    </w:p>
  </w:footnote>
  <w:footnote w:id="17">
    <w:p w:rsidR="00675B1D" w:rsidRPr="00917E9C" w:rsidRDefault="00675B1D">
      <w:pPr>
        <w:pStyle w:val="FootnoteText"/>
        <w:rPr>
          <w:rFonts w:cs="Arial"/>
          <w:highlight w:val="yellow"/>
          <w:lang w:val="sk-SK"/>
        </w:rPr>
      </w:pPr>
      <w:r w:rsidRPr="00917E9C">
        <w:rPr>
          <w:rStyle w:val="FootnoteReference"/>
          <w:rFonts w:cs="Arial"/>
        </w:rPr>
        <w:footnoteRef/>
      </w:r>
      <w:r w:rsidRPr="00917E9C">
        <w:rPr>
          <w:rFonts w:cs="Arial"/>
        </w:rPr>
        <w:t xml:space="preserve"> </w:t>
      </w:r>
      <w:r w:rsidRPr="00917E9C">
        <w:rPr>
          <w:rFonts w:cs="Arial"/>
          <w:highlight w:val="yellow"/>
        </w:rPr>
        <w:t>Regolamento 1303/2013, articolo 5.</w:t>
      </w:r>
    </w:p>
  </w:footnote>
  <w:footnote w:id="18">
    <w:p w:rsidR="00675B1D" w:rsidRPr="00917E9C" w:rsidRDefault="00675B1D">
      <w:pPr>
        <w:pStyle w:val="FootnoteText"/>
        <w:rPr>
          <w:rFonts w:cs="Arial"/>
          <w:highlight w:val="yellow"/>
        </w:rPr>
      </w:pPr>
      <w:r w:rsidRPr="00917E9C">
        <w:rPr>
          <w:rStyle w:val="FootnoteReference"/>
          <w:rFonts w:cs="Arial"/>
          <w:highlight w:val="yellow"/>
        </w:rPr>
        <w:footnoteRef/>
      </w:r>
      <w:r w:rsidRPr="00917E9C">
        <w:rPr>
          <w:rFonts w:cs="Arial"/>
          <w:highlight w:val="yellow"/>
          <w:lang w:val="sk-SK"/>
        </w:rPr>
        <w:t xml:space="preserve"> Presentazione a cura di Antonella Zona (DG AGRI): «The shape of NRNs – now and in future» (in inglese) [La forma delle RRN - oggi e in futuro], tenutasi in occasione del workshop sulle buone prassi dell'Helpdesk della valutazione rurale: «</w:t>
      </w:r>
      <w:r w:rsidRPr="00917E9C">
        <w:rPr>
          <w:rFonts w:cs="Arial"/>
          <w:i/>
          <w:highlight w:val="yellow"/>
          <w:lang w:val="sk-SK"/>
        </w:rPr>
        <w:t>National Rural Networks: How to show their benefits</w:t>
      </w:r>
      <w:r w:rsidRPr="00917E9C">
        <w:rPr>
          <w:rFonts w:cs="Arial"/>
          <w:highlight w:val="yellow"/>
          <w:lang w:val="sk-SK"/>
        </w:rPr>
        <w:t xml:space="preserve">». </w:t>
      </w:r>
      <w:r w:rsidRPr="00917E9C">
        <w:rPr>
          <w:rFonts w:cs="Arial"/>
          <w:highlight w:val="yellow"/>
        </w:rPr>
        <w:t xml:space="preserve">Roma, 10-11 aprile 2014. </w:t>
      </w:r>
      <w:hyperlink r:id="rId6">
        <w:r w:rsidRPr="00917E9C">
          <w:rPr>
            <w:rStyle w:val="Hyperlink"/>
            <w:rFonts w:cs="Arial"/>
            <w:highlight w:val="yellow"/>
          </w:rPr>
          <w:t>https://enrd.ec.europa.eu/sites/enrd/files/assets/pdf/evaluation/national-rural-networks/GPW_10_NRN_shape.pdf</w:t>
        </w:r>
      </w:hyperlink>
    </w:p>
  </w:footnote>
  <w:footnote w:id="19">
    <w:p w:rsidR="00675B1D" w:rsidRPr="00917E9C" w:rsidRDefault="00675B1D">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Un'analisi delle parti interessate è offerta da vari donatori internazionali, quali l'OMS: </w:t>
      </w:r>
      <w:hyperlink r:id="rId7">
        <w:r w:rsidRPr="00917E9C">
          <w:rPr>
            <w:rStyle w:val="Hyperlink"/>
            <w:rFonts w:cs="Arial"/>
            <w:highlight w:val="yellow"/>
          </w:rPr>
          <w:t>http://www.who.int/workforcealliance/knowledge/toolkit/33.pdf</w:t>
        </w:r>
      </w:hyperlink>
      <w:r w:rsidRPr="00917E9C">
        <w:rPr>
          <w:rFonts w:cs="Arial"/>
          <w:highlight w:val="yellow"/>
        </w:rPr>
        <w:t xml:space="preserve"> (in inglese) la Banca mondiale </w:t>
      </w:r>
      <w:hyperlink r:id="rId8">
        <w:r w:rsidRPr="00917E9C">
          <w:rPr>
            <w:rStyle w:val="Hyperlink"/>
            <w:rFonts w:cs="Arial"/>
            <w:highlight w:val="yellow"/>
          </w:rPr>
          <w:t>http://www1.worldbank.org/publicsector/anticorrupt/PoliticalEconomy/stakeholderanalysis.htm</w:t>
        </w:r>
      </w:hyperlink>
      <w:r w:rsidRPr="00917E9C">
        <w:rPr>
          <w:rFonts w:cs="Arial"/>
          <w:highlight w:val="yellow"/>
        </w:rPr>
        <w:t xml:space="preserve"> (in inglese) o la FAO: </w:t>
      </w:r>
      <w:hyperlink r:id="rId9">
        <w:r w:rsidRPr="00917E9C">
          <w:rPr>
            <w:rStyle w:val="Hyperlink"/>
            <w:rFonts w:cs="Arial"/>
            <w:highlight w:val="yellow"/>
          </w:rPr>
          <w:t>http://www.fao.org/docrep/008/y5702e/y5702e00.htm (in inglese)</w:t>
        </w:r>
      </w:hyperlink>
      <w:r w:rsidRPr="00917E9C">
        <w:rPr>
          <w:rStyle w:val="Hyperlink"/>
          <w:rFonts w:cs="Arial"/>
          <w:highlight w:val="yellow"/>
        </w:rPr>
        <w:t>.</w:t>
      </w:r>
    </w:p>
  </w:footnote>
  <w:footnote w:id="20">
    <w:p w:rsidR="00675B1D" w:rsidRPr="00917E9C" w:rsidRDefault="00675B1D">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lang w:val="sk-SK"/>
        </w:rPr>
        <w:t xml:space="preserve"> </w:t>
      </w:r>
      <w:hyperlink r:id="rId10">
        <w:r w:rsidRPr="00917E9C">
          <w:rPr>
            <w:rStyle w:val="Hyperlink"/>
            <w:rFonts w:cs="Arial"/>
            <w:highlight w:val="yellow"/>
            <w:lang w:val="sk-SK"/>
          </w:rPr>
          <w:t>http://enrd.ec.europa.eu/enrd-static/networks-and-networking/nrn-toolkit/principles-and-practice-of-networking/network-definitions-and-diversity/en/rural-networks-and-networking_en.html</w:t>
        </w:r>
      </w:hyperlink>
      <w:r w:rsidRPr="00917E9C">
        <w:rPr>
          <w:rStyle w:val="Hyperlink"/>
          <w:rFonts w:cs="Arial"/>
          <w:highlight w:val="yellow"/>
          <w:lang w:val="sk-SK"/>
        </w:rPr>
        <w:t>.</w:t>
      </w:r>
    </w:p>
  </w:footnote>
  <w:footnote w:id="21">
    <w:p w:rsidR="00675B1D" w:rsidRPr="00917E9C" w:rsidRDefault="00675B1D" w:rsidP="00923616">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Regolamento (UE) n. 1305/2013, articolo 68.</w:t>
      </w:r>
    </w:p>
  </w:footnote>
  <w:footnote w:id="22">
    <w:p w:rsidR="00675B1D" w:rsidRPr="00917E9C" w:rsidRDefault="00675B1D" w:rsidP="00923616">
      <w:pPr>
        <w:pStyle w:val="FootnoteText"/>
        <w:rPr>
          <w:rFonts w:cs="Arial"/>
          <w:szCs w:val="16"/>
          <w:highlight w:val="yellow"/>
        </w:rPr>
      </w:pPr>
      <w:r w:rsidRPr="00917E9C">
        <w:rPr>
          <w:rStyle w:val="FootnoteReference"/>
          <w:rFonts w:cs="Arial"/>
          <w:highlight w:val="yellow"/>
        </w:rPr>
        <w:footnoteRef/>
      </w:r>
      <w:r w:rsidRPr="00917E9C">
        <w:rPr>
          <w:rFonts w:cs="Arial"/>
          <w:highlight w:val="yellow"/>
        </w:rPr>
        <w:t xml:space="preserve"> Regolamento (UE) n. 1305/2013, articolo 54, paragrafo 2.</w:t>
      </w:r>
    </w:p>
  </w:footnote>
  <w:footnote w:id="23">
    <w:p w:rsidR="00675B1D" w:rsidRPr="00917E9C" w:rsidRDefault="00675B1D" w:rsidP="0088698A">
      <w:pPr>
        <w:pStyle w:val="FootnoteText"/>
        <w:rPr>
          <w:rFonts w:cs="Arial"/>
        </w:rPr>
      </w:pPr>
      <w:r w:rsidRPr="00917E9C">
        <w:rPr>
          <w:rStyle w:val="FootnoteReference"/>
          <w:rFonts w:cs="Arial"/>
          <w:highlight w:val="yellow"/>
        </w:rPr>
        <w:footnoteRef/>
      </w:r>
      <w:r w:rsidRPr="00917E9C">
        <w:rPr>
          <w:rFonts w:cs="Arial"/>
          <w:highlight w:val="yellow"/>
        </w:rPr>
        <w:t xml:space="preserve"> Il valore aggiunto prodotto dalle RRN è solitamente legato allo sviluppo del capitale sociale, al contributo alla creazione e allo sviluppo di identità territoriale e individuale, al miglioramento della governance e all'incoraggiamento dello scambio di informazioni e conoscenze.</w:t>
      </w:r>
    </w:p>
  </w:footnote>
  <w:footnote w:id="24">
    <w:p w:rsidR="00675B1D" w:rsidRPr="00917E9C" w:rsidRDefault="00675B1D" w:rsidP="00FF5B4F">
      <w:pPr>
        <w:pStyle w:val="FootnoteText"/>
        <w:rPr>
          <w:rFonts w:cs="Arial"/>
          <w:highlight w:val="yellow"/>
        </w:rPr>
      </w:pPr>
      <w:r w:rsidRPr="00917E9C">
        <w:rPr>
          <w:rStyle w:val="FootnoteReference"/>
          <w:rFonts w:cs="Arial"/>
        </w:rPr>
        <w:footnoteRef/>
      </w:r>
      <w:r w:rsidRPr="00917E9C">
        <w:rPr>
          <w:rFonts w:cs="Arial"/>
        </w:rPr>
        <w:t xml:space="preserve"> </w:t>
      </w:r>
      <w:hyperlink r:id="rId11">
        <w:r w:rsidRPr="00917E9C">
          <w:rPr>
            <w:rFonts w:eastAsiaTheme="majorEastAsia" w:cs="Arial"/>
            <w:highlight w:val="yellow"/>
          </w:rPr>
          <w:t>Kit di strumenti di autovalutazione delle RRN</w:t>
        </w:r>
      </w:hyperlink>
      <w:r w:rsidRPr="00917E9C">
        <w:rPr>
          <w:rFonts w:cs="Arial"/>
          <w:highlight w:val="yellow"/>
        </w:rPr>
        <w:t>, RESR. http://enrd.ec.europa.eu/enrd-static/networks-and-networking/nrn-self-assessment-tool-kit/it/index_it.html</w:t>
      </w:r>
    </w:p>
  </w:footnote>
  <w:footnote w:id="25">
    <w:p w:rsidR="00675B1D" w:rsidRPr="00917E9C" w:rsidRDefault="00675B1D" w:rsidP="003A1D3C">
      <w:pPr>
        <w:pStyle w:val="FootnoteText"/>
        <w:rPr>
          <w:rFonts w:cs="Arial"/>
        </w:rPr>
      </w:pPr>
      <w:r w:rsidRPr="00917E9C">
        <w:rPr>
          <w:rStyle w:val="FootnoteReference"/>
          <w:rFonts w:cs="Arial"/>
          <w:highlight w:val="yellow"/>
        </w:rPr>
        <w:footnoteRef/>
      </w:r>
      <w:r w:rsidRPr="00917E9C">
        <w:rPr>
          <w:rFonts w:cs="Arial"/>
          <w:highlight w:val="yellow"/>
        </w:rPr>
        <w:t xml:space="preserve"> </w:t>
      </w:r>
      <w:hyperlink r:id="rId12">
        <w:r w:rsidRPr="00917E9C">
          <w:rPr>
            <w:rFonts w:cs="Arial"/>
            <w:highlight w:val="yellow"/>
          </w:rPr>
          <w:t>http://enrd.ec.europa.eu/networking/network-self-assessment_it</w:t>
        </w:r>
      </w:hyperlink>
      <w:r w:rsidRPr="00917E9C">
        <w:rPr>
          <w:rFonts w:cs="Arial"/>
        </w:rPr>
        <w:t xml:space="preserve"> </w:t>
      </w:r>
    </w:p>
  </w:footnote>
  <w:footnote w:id="26">
    <w:p w:rsidR="00675B1D" w:rsidRPr="00917E9C" w:rsidRDefault="00675B1D">
      <w:pPr>
        <w:pStyle w:val="FootnoteText"/>
        <w:rPr>
          <w:rFonts w:cs="Arial"/>
          <w:highlight w:val="yellow"/>
          <w:lang w:val="sk-SK"/>
        </w:rPr>
      </w:pPr>
      <w:r w:rsidRPr="00917E9C">
        <w:rPr>
          <w:rStyle w:val="FootnoteReference"/>
          <w:rFonts w:cs="Arial"/>
        </w:rPr>
        <w:footnoteRef/>
      </w:r>
      <w:r w:rsidRPr="00917E9C">
        <w:rPr>
          <w:rFonts w:cs="Arial"/>
        </w:rPr>
        <w:t xml:space="preserve"> </w:t>
      </w:r>
      <w:r w:rsidRPr="00917E9C">
        <w:rPr>
          <w:rFonts w:cs="Arial"/>
          <w:highlight w:val="yellow"/>
        </w:rPr>
        <w:t>Regolamento (UE) n. 1303/2013, articolo 68, e regolamento di esecuzione (UE) n. 808/2014 della Commissione, allegato I, parte I, punto 9.</w:t>
      </w:r>
    </w:p>
  </w:footnote>
  <w:footnote w:id="27">
    <w:p w:rsidR="00675B1D" w:rsidRPr="00917E9C" w:rsidRDefault="00675B1D" w:rsidP="00FF5B4F">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di esecuzione (UE) n. 808/2014 della Commissione, allegato VII, punto 2.</w:t>
      </w:r>
    </w:p>
  </w:footnote>
  <w:footnote w:id="28">
    <w:p w:rsidR="00675B1D" w:rsidRPr="00917E9C" w:rsidRDefault="00675B1D" w:rsidP="00FF5B4F">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(UE) n. 1303/2013, articolo 50, e regolamento di esecuzione (UE) n. 808/2014 della Commissione, allegato VII, punto 7.</w:t>
      </w:r>
    </w:p>
  </w:footnote>
  <w:footnote w:id="29">
    <w:p w:rsidR="00675B1D" w:rsidRPr="00917E9C" w:rsidRDefault="00675B1D" w:rsidP="00FF5B4F">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di esecuzione (UE) n. 808/2014 della Commissione, allegato V, punto 7.</w:t>
      </w:r>
    </w:p>
  </w:footnote>
  <w:footnote w:id="30">
    <w:p w:rsidR="00675B1D" w:rsidRPr="00917E9C" w:rsidRDefault="00675B1D" w:rsidP="00FF5B4F">
      <w:pPr>
        <w:pStyle w:val="FootnoteText"/>
        <w:rPr>
          <w:rFonts w:cs="Arial"/>
        </w:rPr>
      </w:pPr>
      <w:r w:rsidRPr="00917E9C">
        <w:rPr>
          <w:rStyle w:val="FootnoteReference"/>
          <w:rFonts w:cs="Arial"/>
          <w:highlight w:val="yellow"/>
        </w:rPr>
        <w:footnoteRef/>
      </w:r>
      <w:r w:rsidRPr="00917E9C">
        <w:rPr>
          <w:rFonts w:cs="Arial"/>
          <w:highlight w:val="yellow"/>
        </w:rPr>
        <w:t xml:space="preserve"> Regolamento (UE) n. 1303/2013, articolo 52</w:t>
      </w:r>
      <w:r w:rsidRPr="00917E9C">
        <w:rPr>
          <w:rFonts w:cs="Arial"/>
        </w:rPr>
        <w:t>.</w:t>
      </w:r>
    </w:p>
  </w:footnote>
  <w:footnote w:id="31">
    <w:p w:rsidR="00675B1D" w:rsidRPr="00917E9C" w:rsidRDefault="00675B1D">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highlight w:val="yellow"/>
        </w:rPr>
        <w:t>Regolamento (UE) n. 1303/2013, articolo 52, paragrafo 2.</w:t>
      </w:r>
    </w:p>
  </w:footnote>
  <w:footnote w:id="32">
    <w:p w:rsidR="00675B1D" w:rsidRPr="00917E9C" w:rsidRDefault="00675B1D" w:rsidP="003F5115">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(UE) n. 1305/2013, articolo 78.</w:t>
      </w:r>
    </w:p>
  </w:footnote>
  <w:footnote w:id="33">
    <w:p w:rsidR="00675B1D" w:rsidRPr="00917E9C" w:rsidRDefault="00675B1D" w:rsidP="003F5115">
      <w:pPr>
        <w:pStyle w:val="FootnoteText"/>
        <w:rPr>
          <w:rFonts w:cs="Arial"/>
        </w:rPr>
      </w:pPr>
      <w:r w:rsidRPr="00917E9C">
        <w:rPr>
          <w:rStyle w:val="FootnoteReference"/>
          <w:rFonts w:cs="Arial"/>
          <w:highlight w:val="yellow"/>
        </w:rPr>
        <w:footnoteRef/>
      </w:r>
      <w:r w:rsidRPr="00917E9C">
        <w:rPr>
          <w:rFonts w:cs="Arial"/>
          <w:highlight w:val="yellow"/>
        </w:rPr>
        <w:t xml:space="preserve"> Allegato V, del regolamento di esecuzione (UE) n. 808/2014 della Commissione</w:t>
      </w:r>
      <w:r w:rsidRPr="00917E9C">
        <w:rPr>
          <w:rFonts w:cs="Arial"/>
        </w:rPr>
        <w:t>.</w:t>
      </w:r>
    </w:p>
  </w:footnote>
  <w:footnote w:id="34">
    <w:p w:rsidR="00675B1D" w:rsidRPr="00917E9C" w:rsidRDefault="00675B1D" w:rsidP="00403F21">
      <w:pPr>
        <w:pStyle w:val="FootnoteText"/>
        <w:rPr>
          <w:rFonts w:cs="Arial"/>
          <w:szCs w:val="16"/>
          <w:highlight w:val="yellow"/>
        </w:rPr>
      </w:pPr>
      <w:r w:rsidRPr="00917E9C">
        <w:rPr>
          <w:rStyle w:val="FootnoteReference"/>
          <w:rFonts w:cs="Arial"/>
        </w:rPr>
        <w:footnoteRef/>
      </w:r>
      <w:r w:rsidRPr="00917E9C">
        <w:rPr>
          <w:rFonts w:cs="Arial"/>
        </w:rPr>
        <w:t xml:space="preserve"> </w:t>
      </w:r>
      <w:r w:rsidRPr="00917E9C">
        <w:rPr>
          <w:rFonts w:cs="Arial"/>
          <w:highlight w:val="yellow"/>
        </w:rPr>
        <w:t>Regolamento (UE) n. 1305/2013, articolo 54, paragrafo 2.</w:t>
      </w:r>
    </w:p>
  </w:footnote>
  <w:footnote w:id="35">
    <w:p w:rsidR="00675B1D" w:rsidRPr="00917E9C" w:rsidRDefault="00675B1D" w:rsidP="00403F21">
      <w:pPr>
        <w:pStyle w:val="FootnoteText"/>
        <w:rPr>
          <w:rFonts w:cs="Arial"/>
        </w:rPr>
      </w:pPr>
      <w:r w:rsidRPr="00917E9C">
        <w:rPr>
          <w:rStyle w:val="FootnoteReference"/>
          <w:rFonts w:cs="Arial"/>
          <w:highlight w:val="yellow"/>
        </w:rPr>
        <w:footnoteRef/>
      </w:r>
      <w:r w:rsidRPr="00917E9C">
        <w:rPr>
          <w:rFonts w:cs="Arial"/>
          <w:highlight w:val="yellow"/>
        </w:rPr>
        <w:t xml:space="preserve"> Il consiglio è quello di formulare obiettivi della RRN specifici del programma, come suggerito dalle norme dell'UE in materia di formulazione di obiettivi strategici, </w:t>
      </w:r>
      <w:hyperlink r:id="rId13">
        <w:r w:rsidRPr="00917E9C">
          <w:rPr>
            <w:rStyle w:val="Hyperlink"/>
            <w:rFonts w:cs="Arial"/>
            <w:highlight w:val="yellow"/>
          </w:rPr>
          <w:t>http://ec.europa.eu/smart-regulation/guidelines/tool_13_en.htm</w:t>
        </w:r>
      </w:hyperlink>
      <w:r w:rsidRPr="00917E9C">
        <w:rPr>
          <w:rFonts w:cs="Arial"/>
        </w:rPr>
        <w:t xml:space="preserve"> (in inglese).</w:t>
      </w:r>
    </w:p>
  </w:footnote>
  <w:footnote w:id="36">
    <w:p w:rsidR="00675B1D" w:rsidRPr="00917E9C" w:rsidRDefault="00675B1D" w:rsidP="00403F21">
      <w:pPr>
        <w:pStyle w:val="FootnoteText"/>
        <w:rPr>
          <w:rFonts w:cs="Arial"/>
          <w:lang w:val="sk-SK"/>
        </w:rPr>
      </w:pPr>
      <w:r w:rsidRPr="00917E9C">
        <w:rPr>
          <w:rStyle w:val="FootnoteReference"/>
          <w:rFonts w:cs="Arial"/>
        </w:rPr>
        <w:footnoteRef/>
      </w:r>
      <w:r w:rsidRPr="00917E9C">
        <w:rPr>
          <w:rFonts w:cs="Arial"/>
        </w:rPr>
        <w:t xml:space="preserve"> </w:t>
      </w:r>
      <w:r w:rsidRPr="00917E9C">
        <w:rPr>
          <w:rFonts w:cs="Arial"/>
          <w:highlight w:val="yellow"/>
        </w:rPr>
        <w:t>Regolamento (UE) n. 1305/2013, articolo 54, paragrafo 3</w:t>
      </w:r>
      <w:r w:rsidRPr="00917E9C">
        <w:rPr>
          <w:rFonts w:cs="Arial"/>
        </w:rPr>
        <w:t>.</w:t>
      </w:r>
    </w:p>
  </w:footnote>
  <w:footnote w:id="37">
    <w:p w:rsidR="00675B1D" w:rsidRPr="00917E9C" w:rsidRDefault="00675B1D" w:rsidP="00A27369">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highlight w:val="yellow"/>
        </w:rPr>
        <w:t>Regolamento (UE) n. 1303/2013, articolo 54, paragrafo 1; regolamento (UE) n. 1305/2013, articolo 68, lettera a).</w:t>
      </w:r>
    </w:p>
  </w:footnote>
  <w:footnote w:id="38">
    <w:p w:rsidR="00675B1D" w:rsidRPr="00917E9C" w:rsidRDefault="00675B1D" w:rsidP="00A27369">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(UE) n. 1305/2013, articolo 54, paragrafo 2, e articolo 54, paragrafo 3.</w:t>
      </w:r>
    </w:p>
  </w:footnote>
  <w:footnote w:id="39">
    <w:p w:rsidR="00675B1D" w:rsidRPr="00917E9C" w:rsidRDefault="00675B1D" w:rsidP="00A27369">
      <w:pPr>
        <w:pStyle w:val="FootnoteText"/>
        <w:rPr>
          <w:rFonts w:cs="Arial"/>
          <w:szCs w:val="16"/>
          <w:highlight w:val="yellow"/>
        </w:rPr>
      </w:pPr>
      <w:r w:rsidRPr="00917E9C">
        <w:rPr>
          <w:rStyle w:val="FootnoteReference"/>
          <w:rFonts w:cs="Arial"/>
          <w:highlight w:val="yellow"/>
        </w:rPr>
        <w:footnoteRef/>
      </w:r>
      <w:r w:rsidRPr="00917E9C">
        <w:rPr>
          <w:rFonts w:cs="Arial"/>
          <w:highlight w:val="yellow"/>
        </w:rPr>
        <w:t xml:space="preserve"> Documento di lavoro: questionario valutativo comune per il PSR 2014_2020; regolamento di esecuzione (UE) n. 808/2014 della Commissione, allegato V.</w:t>
      </w:r>
    </w:p>
  </w:footnote>
  <w:footnote w:id="40">
    <w:p w:rsidR="00675B1D" w:rsidRPr="00917E9C" w:rsidRDefault="00675B1D" w:rsidP="00A27369">
      <w:pPr>
        <w:spacing w:after="0" w:line="240" w:lineRule="auto"/>
        <w:ind w:right="215"/>
        <w:rPr>
          <w:rStyle w:val="FootnoteTextChar1"/>
          <w:rFonts w:eastAsiaTheme="minorHAnsi" w:cs="Arial"/>
          <w:highlight w:val="yellow"/>
        </w:rPr>
      </w:pPr>
      <w:r w:rsidRPr="00917E9C">
        <w:rPr>
          <w:rStyle w:val="FootnoteReference"/>
          <w:rFonts w:cs="Arial"/>
          <w:highlight w:val="yellow"/>
        </w:rPr>
        <w:footnoteRef/>
      </w:r>
      <w:r w:rsidRPr="00917E9C">
        <w:rPr>
          <w:rFonts w:cs="Arial"/>
          <w:color w:val="000000"/>
          <w:sz w:val="16"/>
          <w:highlight w:val="yellow"/>
        </w:rPr>
        <w:t xml:space="preserve"> </w:t>
      </w:r>
      <w:r w:rsidRPr="00917E9C">
        <w:rPr>
          <w:rStyle w:val="FootnoteTextChar1"/>
          <w:rFonts w:eastAsiaTheme="minorHAnsi" w:cs="Arial"/>
          <w:highlight w:val="yellow"/>
        </w:rPr>
        <w:t>Regolamento (UE) n. 1305/2013, articolo 54, paragrafo 2.</w:t>
      </w:r>
    </w:p>
  </w:footnote>
  <w:footnote w:id="41">
    <w:p w:rsidR="00675B1D" w:rsidRPr="00917E9C" w:rsidRDefault="00675B1D" w:rsidP="00A27369">
      <w:pPr>
        <w:pStyle w:val="FootnoteText"/>
        <w:rPr>
          <w:rFonts w:cs="Arial"/>
          <w:szCs w:val="16"/>
          <w:highlight w:val="yellow"/>
        </w:rPr>
      </w:pPr>
      <w:r w:rsidRPr="00917E9C">
        <w:rPr>
          <w:rStyle w:val="FootnoteReference"/>
          <w:rFonts w:cs="Arial"/>
          <w:highlight w:val="yellow"/>
        </w:rPr>
        <w:footnoteRef/>
      </w:r>
      <w:r w:rsidRPr="00917E9C">
        <w:rPr>
          <w:rFonts w:cs="Arial"/>
          <w:highlight w:val="yellow"/>
        </w:rPr>
        <w:t xml:space="preserve"> Regolamento di esecuzione (UE) n. 808/2014 della Commissione, allegato IV, Indicatori di prodotto O.24, O.25 e O.26.</w:t>
      </w:r>
    </w:p>
  </w:footnote>
  <w:footnote w:id="42">
    <w:p w:rsidR="00675B1D" w:rsidRPr="00917E9C" w:rsidRDefault="00675B1D">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rPr>
        <w:t xml:space="preserve"> </w:t>
      </w:r>
      <w:hyperlink r:id="rId14">
        <w:r w:rsidRPr="00917E9C">
          <w:rPr>
            <w:rStyle w:val="Hyperlink"/>
            <w:rFonts w:cs="Arial"/>
            <w:highlight w:val="yellow"/>
          </w:rPr>
          <w:t>http://enrd.ec.europa.eu/evaluation-helpdesks-publications_it</w:t>
        </w:r>
      </w:hyperlink>
    </w:p>
  </w:footnote>
  <w:footnote w:id="43">
    <w:p w:rsidR="00675B1D" w:rsidRPr="00917E9C" w:rsidRDefault="00675B1D" w:rsidP="00A27369">
      <w:pPr>
        <w:pStyle w:val="FootnoteText"/>
        <w:rPr>
          <w:rFonts w:cs="Arial"/>
          <w:lang w:val="sk-SK"/>
        </w:rPr>
      </w:pPr>
      <w:r w:rsidRPr="00917E9C">
        <w:rPr>
          <w:rStyle w:val="FootnoteReference"/>
          <w:rFonts w:cs="Arial"/>
          <w:highlight w:val="yellow"/>
        </w:rPr>
        <w:footnoteRef/>
      </w:r>
      <w:r w:rsidRPr="00917E9C">
        <w:rPr>
          <w:rFonts w:cs="Arial"/>
          <w:highlight w:val="yellow"/>
        </w:rPr>
        <w:t xml:space="preserve"> Regolamento (UE) n. 1305/2013, articolo 54, paragrafo 2</w:t>
      </w:r>
      <w:r w:rsidRPr="00917E9C">
        <w:rPr>
          <w:rFonts w:cs="Arial"/>
        </w:rPr>
        <w:t>.</w:t>
      </w:r>
    </w:p>
  </w:footnote>
  <w:footnote w:id="44">
    <w:p w:rsidR="00675B1D" w:rsidRPr="00917E9C" w:rsidRDefault="00675B1D" w:rsidP="00CA57FC">
      <w:pPr>
        <w:pStyle w:val="FootnoteText"/>
        <w:rPr>
          <w:rFonts w:cs="Arial"/>
          <w:szCs w:val="16"/>
          <w:highlight w:val="yellow"/>
        </w:rPr>
      </w:pPr>
      <w:r w:rsidRPr="00917E9C">
        <w:rPr>
          <w:rStyle w:val="FootnoteReference"/>
          <w:rFonts w:cs="Arial"/>
        </w:rPr>
        <w:footnoteRef/>
      </w:r>
      <w:r w:rsidRPr="00917E9C">
        <w:rPr>
          <w:rFonts w:cs="Arial"/>
        </w:rPr>
        <w:t xml:space="preserve"> </w:t>
      </w:r>
      <w:r w:rsidRPr="00917E9C">
        <w:rPr>
          <w:rFonts w:cs="Arial"/>
          <w:highlight w:val="yellow"/>
        </w:rPr>
        <w:t>Questionario valutativo comune 21; allegato V, del regolamento di esecuzione (UE) n. 808/2014 della Commissione.</w:t>
      </w:r>
    </w:p>
  </w:footnote>
  <w:footnote w:id="45">
    <w:p w:rsidR="00675B1D" w:rsidRPr="00917E9C" w:rsidRDefault="00675B1D" w:rsidP="00CA57FC">
      <w:pPr>
        <w:pStyle w:val="FootnoteText"/>
        <w:rPr>
          <w:rFonts w:cs="Arial"/>
          <w:szCs w:val="16"/>
          <w:highlight w:val="yellow"/>
        </w:rPr>
      </w:pPr>
      <w:r w:rsidRPr="00917E9C">
        <w:rPr>
          <w:rStyle w:val="FootnoteReference"/>
          <w:rFonts w:cs="Arial"/>
          <w:highlight w:val="yellow"/>
        </w:rPr>
        <w:footnoteRef/>
      </w:r>
      <w:r w:rsidRPr="00917E9C">
        <w:rPr>
          <w:rFonts w:cs="Arial"/>
          <w:highlight w:val="yellow"/>
        </w:rPr>
        <w:t xml:space="preserve"> Sviluppati dagli Stati membri.</w:t>
      </w:r>
    </w:p>
  </w:footnote>
  <w:footnote w:id="46">
    <w:p w:rsidR="00675B1D" w:rsidRPr="00917E9C" w:rsidRDefault="00675B1D" w:rsidP="00CA57FC">
      <w:pPr>
        <w:pStyle w:val="FootnoteText"/>
        <w:rPr>
          <w:rFonts w:cs="Arial"/>
          <w:szCs w:val="16"/>
          <w:highlight w:val="yellow"/>
        </w:rPr>
      </w:pPr>
      <w:r w:rsidRPr="00917E9C">
        <w:rPr>
          <w:rStyle w:val="FootnoteReference"/>
          <w:rFonts w:cs="Arial"/>
          <w:highlight w:val="yellow"/>
        </w:rPr>
        <w:footnoteRef/>
      </w:r>
      <w:r w:rsidRPr="00917E9C">
        <w:rPr>
          <w:rFonts w:cs="Arial"/>
          <w:highlight w:val="yellow"/>
        </w:rPr>
        <w:t xml:space="preserve"> Indicatori di prodotto O.24, O.25 e O.26; allegato IV, del regolamento di esecuzione (UE) n. 808/2014 della Commissione.</w:t>
      </w:r>
    </w:p>
  </w:footnote>
  <w:footnote w:id="47">
    <w:p w:rsidR="00675B1D" w:rsidRPr="00917E9C" w:rsidRDefault="00675B1D" w:rsidP="00CA57FC">
      <w:pPr>
        <w:pStyle w:val="FootnoteText"/>
        <w:rPr>
          <w:rFonts w:cs="Arial"/>
        </w:rPr>
      </w:pPr>
      <w:r w:rsidRPr="00917E9C">
        <w:rPr>
          <w:rStyle w:val="FootnoteReference"/>
          <w:rFonts w:cs="Arial"/>
          <w:highlight w:val="yellow"/>
        </w:rPr>
        <w:footnoteRef/>
      </w:r>
      <w:r w:rsidRPr="00917E9C">
        <w:rPr>
          <w:rFonts w:cs="Arial"/>
          <w:highlight w:val="yellow"/>
        </w:rPr>
        <w:t xml:space="preserve"> Sviluppati dagli Stati membri</w:t>
      </w:r>
      <w:r w:rsidRPr="00917E9C">
        <w:rPr>
          <w:rFonts w:cs="Arial"/>
        </w:rPr>
        <w:t>.</w:t>
      </w:r>
    </w:p>
  </w:footnote>
  <w:footnote w:id="48">
    <w:p w:rsidR="00675B1D" w:rsidRPr="00917E9C" w:rsidRDefault="00675B1D" w:rsidP="007134D0">
      <w:pPr>
        <w:pStyle w:val="FootnoteText"/>
        <w:rPr>
          <w:rFonts w:cs="Arial"/>
        </w:rPr>
      </w:pPr>
      <w:r w:rsidRPr="00917E9C">
        <w:rPr>
          <w:rStyle w:val="FootnoteReference"/>
          <w:rFonts w:eastAsiaTheme="minorEastAsia" w:cs="Arial"/>
        </w:rPr>
        <w:footnoteRef/>
      </w:r>
      <w:r w:rsidRPr="00917E9C">
        <w:rPr>
          <w:rFonts w:cs="Arial"/>
        </w:rPr>
        <w:t xml:space="preserve"> </w:t>
      </w:r>
      <w:r w:rsidRPr="00917E9C">
        <w:rPr>
          <w:rFonts w:cs="Arial"/>
          <w:highlight w:val="yellow"/>
        </w:rPr>
        <w:t>Regolamento (UE) n. 1305/2013, articolo 66</w:t>
      </w:r>
      <w:r w:rsidRPr="00917E9C">
        <w:rPr>
          <w:rFonts w:cs="Arial"/>
        </w:rPr>
        <w:t>.</w:t>
      </w:r>
    </w:p>
  </w:footnote>
  <w:footnote w:id="49">
    <w:p w:rsidR="00675B1D" w:rsidRPr="00917E9C" w:rsidRDefault="00675B1D" w:rsidP="007134D0">
      <w:pPr>
        <w:pStyle w:val="FootnoteText"/>
        <w:rPr>
          <w:rFonts w:cs="Arial"/>
          <w:highlight w:val="yellow"/>
        </w:rPr>
      </w:pPr>
      <w:r w:rsidRPr="00917E9C">
        <w:rPr>
          <w:rStyle w:val="FootnoteReference"/>
          <w:rFonts w:eastAsiaTheme="minorEastAsia" w:cs="Arial"/>
        </w:rPr>
        <w:footnoteRef/>
      </w:r>
      <w:r w:rsidRPr="00917E9C">
        <w:rPr>
          <w:rFonts w:cs="Arial"/>
        </w:rPr>
        <w:t xml:space="preserve"> </w:t>
      </w:r>
      <w:r w:rsidRPr="00917E9C">
        <w:rPr>
          <w:rFonts w:cs="Arial"/>
          <w:highlight w:val="yellow"/>
        </w:rPr>
        <w:t>Regolamento (UE) n. 1305/2013, articolo 66, paragrafo 2.</w:t>
      </w:r>
    </w:p>
  </w:footnote>
  <w:footnote w:id="50">
    <w:p w:rsidR="00675B1D" w:rsidRPr="00917E9C" w:rsidRDefault="00675B1D" w:rsidP="007134D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SK – la funzione dell'unità di sostegno alla rete è inclusa nell'agenzia nazionale per lo sviluppo rurale, un'istituzione il cui bilancio è parzialmente sostenuto dal ministero dell'Agricoltura.</w:t>
      </w:r>
    </w:p>
  </w:footnote>
  <w:footnote w:id="51">
    <w:p w:rsidR="00675B1D" w:rsidRPr="00917E9C" w:rsidRDefault="00675B1D" w:rsidP="007134D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BG – il ruolo dell'unità di sostegno alla rete è assunto dall'azienda privata INTERPRED WTC.</w:t>
      </w:r>
    </w:p>
  </w:footnote>
  <w:footnote w:id="52">
    <w:p w:rsidR="00675B1D" w:rsidRPr="00917E9C" w:rsidRDefault="00675B1D" w:rsidP="00DE0CC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w:t>
      </w:r>
      <w:hyperlink r:id="rId15">
        <w:r w:rsidRPr="00917E9C">
          <w:rPr>
            <w:rFonts w:cs="Arial"/>
            <w:highlight w:val="yellow"/>
          </w:rPr>
          <w:t>Guidance fiche for the establishment and operation of National Rural Networks</w:t>
        </w:r>
      </w:hyperlink>
      <w:r w:rsidRPr="00917E9C">
        <w:rPr>
          <w:rFonts w:cs="Arial"/>
          <w:highlight w:val="yellow"/>
        </w:rPr>
        <w:t xml:space="preserve"> 2014-2020, [Scheda di orientamento per la definizione e il funzionamento delle reti rurali nazionali 2014-2020] (in inglese), elaborata dalla Commissione europea (DG AGRI) sulla base del regolamento (UE) 1305/2013 e, ove rilevante, del regolamento (UE) 1303/2013.</w:t>
      </w:r>
    </w:p>
  </w:footnote>
  <w:footnote w:id="53">
    <w:p w:rsidR="00675B1D" w:rsidRPr="00917E9C" w:rsidRDefault="00675B1D" w:rsidP="007134D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Regolamento (UE) n. 1306/2013, articolo 7.</w:t>
      </w:r>
    </w:p>
  </w:footnote>
  <w:footnote w:id="54">
    <w:p w:rsidR="00675B1D" w:rsidRPr="00917E9C" w:rsidRDefault="00675B1D" w:rsidP="007134D0">
      <w:pPr>
        <w:pStyle w:val="FootnoteText"/>
        <w:rPr>
          <w:rFonts w:cs="Arial"/>
          <w:highlight w:val="yellow"/>
          <w:lang w:val="sk-SK"/>
        </w:rPr>
      </w:pPr>
      <w:r w:rsidRPr="00917E9C">
        <w:rPr>
          <w:rStyle w:val="FootnoteReference"/>
          <w:rFonts w:eastAsiaTheme="minorEastAsia" w:cs="Arial"/>
          <w:highlight w:val="yellow"/>
        </w:rPr>
        <w:footnoteRef/>
      </w:r>
      <w:r w:rsidRPr="00917E9C">
        <w:rPr>
          <w:rFonts w:cs="Arial"/>
          <w:highlight w:val="yellow"/>
        </w:rPr>
        <w:t xml:space="preserve"> Regolamento (UE) n. 1305/2013, articolo 73.</w:t>
      </w:r>
    </w:p>
  </w:footnote>
  <w:footnote w:id="55">
    <w:p w:rsidR="00675B1D" w:rsidRPr="00917E9C" w:rsidRDefault="00675B1D" w:rsidP="007134D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Regolamento (UE) n. 1305/2013, articolo 72.</w:t>
      </w:r>
    </w:p>
  </w:footnote>
  <w:footnote w:id="56">
    <w:p w:rsidR="00675B1D" w:rsidRPr="00917E9C" w:rsidRDefault="00675B1D" w:rsidP="007134D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Regolamento (UE) n. 1305/2013, articolo 74.</w:t>
      </w:r>
    </w:p>
  </w:footnote>
  <w:footnote w:id="57">
    <w:p w:rsidR="00675B1D" w:rsidRPr="00917E9C" w:rsidRDefault="00675B1D" w:rsidP="007134D0">
      <w:pPr>
        <w:pStyle w:val="FootnoteText"/>
        <w:rPr>
          <w:rFonts w:cs="Arial"/>
          <w:lang w:val="sk-SK"/>
        </w:rPr>
      </w:pPr>
      <w:r w:rsidRPr="00917E9C">
        <w:rPr>
          <w:rStyle w:val="FootnoteReference"/>
          <w:rFonts w:eastAsiaTheme="minorEastAsia" w:cs="Arial"/>
          <w:highlight w:val="yellow"/>
        </w:rPr>
        <w:footnoteRef/>
      </w:r>
      <w:r w:rsidRPr="00917E9C">
        <w:rPr>
          <w:rFonts w:cs="Arial"/>
          <w:highlight w:val="yellow"/>
        </w:rPr>
        <w:t xml:space="preserve"> Guidance fiche for the establishment and operation on national rural networks 2014-2020 [Scheda di orientamento per la definizione e il funzionamento delle reti rurali nazionali 2014-2020] (in inglese)</w:t>
      </w:r>
      <w:r w:rsidRPr="00917E9C">
        <w:rPr>
          <w:rFonts w:cs="Arial"/>
        </w:rPr>
        <w:t>.</w:t>
      </w:r>
    </w:p>
  </w:footnote>
  <w:footnote w:id="58">
    <w:p w:rsidR="00675B1D" w:rsidRPr="00917E9C" w:rsidRDefault="00675B1D">
      <w:pPr>
        <w:pStyle w:val="FootnoteText"/>
        <w:rPr>
          <w:rFonts w:cs="Arial"/>
        </w:rPr>
      </w:pPr>
      <w:r w:rsidRPr="00917E9C">
        <w:rPr>
          <w:rStyle w:val="FootnoteReference"/>
          <w:rFonts w:cs="Arial"/>
        </w:rPr>
        <w:footnoteRef/>
      </w:r>
      <w:r w:rsidRPr="00917E9C">
        <w:rPr>
          <w:rFonts w:cs="Arial"/>
        </w:rPr>
        <w:t xml:space="preserve"> </w:t>
      </w:r>
      <w:r w:rsidRPr="00917E9C">
        <w:rPr>
          <w:rFonts w:cs="Arial"/>
          <w:highlight w:val="yellow"/>
        </w:rPr>
        <w:t>Regolamento (UE) 1305/2013, articolo 54, paragrafo 3, punto iii)</w:t>
      </w:r>
      <w:r w:rsidRPr="00917E9C">
        <w:rPr>
          <w:rFonts w:cs="Arial"/>
        </w:rPr>
        <w:t>.</w:t>
      </w:r>
    </w:p>
  </w:footnote>
  <w:footnote w:id="59">
    <w:p w:rsidR="00675B1D" w:rsidRPr="00917E9C" w:rsidRDefault="00675B1D" w:rsidP="007134D0">
      <w:pPr>
        <w:pStyle w:val="FootnoteText"/>
        <w:rPr>
          <w:rFonts w:cs="Arial"/>
          <w:highlight w:val="yellow"/>
        </w:rPr>
      </w:pPr>
      <w:r w:rsidRPr="00917E9C">
        <w:rPr>
          <w:rStyle w:val="FootnoteReference"/>
          <w:rFonts w:eastAsiaTheme="minorEastAsia" w:cs="Arial"/>
        </w:rPr>
        <w:footnoteRef/>
      </w:r>
      <w:r w:rsidRPr="00917E9C">
        <w:rPr>
          <w:rFonts w:cs="Arial"/>
        </w:rPr>
        <w:t xml:space="preserve"> </w:t>
      </w:r>
      <w:r w:rsidRPr="00917E9C">
        <w:rPr>
          <w:rFonts w:cs="Arial"/>
          <w:highlight w:val="yellow"/>
        </w:rPr>
        <w:t>Regolamento (UE) n. 1303/2013, articolo 54, paragrafo 3.</w:t>
      </w:r>
    </w:p>
  </w:footnote>
  <w:footnote w:id="60">
    <w:p w:rsidR="00675B1D" w:rsidRPr="00917E9C" w:rsidRDefault="00675B1D" w:rsidP="007134D0">
      <w:pPr>
        <w:pStyle w:val="FootnoteText"/>
        <w:rPr>
          <w:rFonts w:cs="Arial"/>
          <w:highlight w:val="yellow"/>
          <w:lang w:val="sk-SK"/>
        </w:rPr>
      </w:pPr>
      <w:r w:rsidRPr="00917E9C">
        <w:rPr>
          <w:rStyle w:val="FootnoteReference"/>
          <w:rFonts w:eastAsiaTheme="minorEastAsia" w:cs="Arial"/>
          <w:highlight w:val="yellow"/>
        </w:rPr>
        <w:footnoteRef/>
      </w:r>
      <w:r w:rsidRPr="00917E9C">
        <w:rPr>
          <w:rFonts w:cs="Arial"/>
          <w:highlight w:val="yellow"/>
        </w:rPr>
        <w:t xml:space="preserve"> Nel caso in cui vi sia carenza di capacità di valutazione all'interno dello Stato membro.</w:t>
      </w:r>
    </w:p>
  </w:footnote>
  <w:footnote w:id="61">
    <w:p w:rsidR="00675B1D" w:rsidRPr="00917E9C" w:rsidRDefault="00675B1D" w:rsidP="007134D0">
      <w:pPr>
        <w:pStyle w:val="FootnoteText"/>
        <w:rPr>
          <w:rFonts w:cs="Arial"/>
        </w:rPr>
      </w:pPr>
      <w:r w:rsidRPr="00917E9C">
        <w:rPr>
          <w:rStyle w:val="FootnoteReference"/>
          <w:rFonts w:eastAsiaTheme="minorEastAsia" w:cs="Arial"/>
          <w:highlight w:val="yellow"/>
        </w:rPr>
        <w:footnoteRef/>
      </w:r>
      <w:r w:rsidRPr="00917E9C">
        <w:rPr>
          <w:rFonts w:cs="Arial"/>
          <w:highlight w:val="yellow"/>
        </w:rPr>
        <w:t xml:space="preserve"> Allegato I del regolamento di esecuzione (UE) n. 808/2014 della Commissione</w:t>
      </w:r>
      <w:r w:rsidRPr="00917E9C">
        <w:rPr>
          <w:rFonts w:cs="Arial"/>
        </w:rPr>
        <w:t>.</w:t>
      </w:r>
    </w:p>
  </w:footnote>
  <w:footnote w:id="62">
    <w:p w:rsidR="00675B1D" w:rsidRPr="00917E9C" w:rsidRDefault="00675B1D" w:rsidP="007134D0">
      <w:pPr>
        <w:pStyle w:val="FootnoteText"/>
        <w:rPr>
          <w:rFonts w:cs="Arial"/>
        </w:rPr>
      </w:pPr>
      <w:r w:rsidRPr="00917E9C">
        <w:rPr>
          <w:rStyle w:val="FootnoteReference"/>
          <w:rFonts w:eastAsiaTheme="minorEastAsia" w:cs="Arial"/>
        </w:rPr>
        <w:footnoteRef/>
      </w:r>
      <w:r w:rsidRPr="00917E9C">
        <w:rPr>
          <w:rFonts w:cs="Arial"/>
        </w:rPr>
        <w:t xml:space="preserve"> </w:t>
      </w:r>
      <w:r w:rsidRPr="00917E9C">
        <w:rPr>
          <w:rFonts w:cs="Arial"/>
          <w:highlight w:val="yellow"/>
        </w:rPr>
        <w:t>«Linee guida: definizione e attuazione del piano di valutazione dei PSR 2014-2020» (estratto in italiano della versione originale in inglese)</w:t>
      </w:r>
      <w:hyperlink r:id="rId16">
        <w:r w:rsidRPr="00917E9C">
          <w:rPr>
            <w:rFonts w:cs="Arial"/>
            <w:highlight w:val="yellow"/>
          </w:rPr>
          <w:t>http://enrd.ec.europa.eu/evaluation-helpdesks-publications</w:t>
        </w:r>
      </w:hyperlink>
      <w:r w:rsidRPr="00917E9C">
        <w:rPr>
          <w:rFonts w:cs="Arial"/>
        </w:rPr>
        <w:t>.</w:t>
      </w:r>
    </w:p>
  </w:footnote>
  <w:footnote w:id="63">
    <w:p w:rsidR="00675B1D" w:rsidRPr="00917E9C" w:rsidRDefault="00675B1D" w:rsidP="00E36BC6">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highlight w:val="yellow"/>
        </w:rPr>
        <w:t>Allegati IV e V al regolamento di esecuzione (UE) n. 808/2014 della Commissione.</w:t>
      </w:r>
    </w:p>
  </w:footnote>
  <w:footnote w:id="64">
    <w:p w:rsidR="00675B1D" w:rsidRPr="00917E9C" w:rsidRDefault="00675B1D" w:rsidP="00E36BC6">
      <w:pPr>
        <w:pStyle w:val="FootnoteText"/>
        <w:rPr>
          <w:rFonts w:cs="Arial"/>
        </w:rPr>
      </w:pPr>
      <w:r w:rsidRPr="00917E9C">
        <w:rPr>
          <w:rStyle w:val="FootnoteReference"/>
          <w:rFonts w:cs="Arial"/>
          <w:highlight w:val="yellow"/>
        </w:rPr>
        <w:footnoteRef/>
      </w:r>
      <w:r w:rsidRPr="00917E9C">
        <w:rPr>
          <w:rFonts w:cs="Arial"/>
          <w:highlight w:val="yellow"/>
        </w:rPr>
        <w:t xml:space="preserve"> Regolamento (UE) n. 1303/2013, articolo 54</w:t>
      </w:r>
      <w:r w:rsidRPr="00917E9C">
        <w:rPr>
          <w:rFonts w:cs="Arial"/>
        </w:rPr>
        <w:t>.</w:t>
      </w:r>
    </w:p>
  </w:footnote>
  <w:footnote w:id="65">
    <w:p w:rsidR="00675B1D" w:rsidRPr="00917E9C" w:rsidRDefault="00675B1D" w:rsidP="007134D0">
      <w:pPr>
        <w:pStyle w:val="FootnoteText"/>
        <w:rPr>
          <w:rFonts w:cs="Arial"/>
        </w:rPr>
      </w:pPr>
      <w:r w:rsidRPr="00917E9C">
        <w:rPr>
          <w:rStyle w:val="FootnoteReference"/>
          <w:rFonts w:eastAsiaTheme="minorEastAsia" w:cs="Arial"/>
        </w:rPr>
        <w:footnoteRef/>
      </w:r>
      <w:r w:rsidRPr="00917E9C">
        <w:rPr>
          <w:rFonts w:cs="Arial"/>
        </w:rPr>
        <w:t xml:space="preserve"> </w:t>
      </w:r>
      <w:r w:rsidRPr="00917E9C">
        <w:rPr>
          <w:rFonts w:cs="Arial"/>
          <w:highlight w:val="yellow"/>
        </w:rPr>
        <w:t xml:space="preserve">RESR, NRN Guidebook [Manuale delle RRN] (in inglese) disponibile alla pagina </w:t>
      </w:r>
      <w:hyperlink r:id="rId17">
        <w:r w:rsidRPr="00917E9C">
          <w:rPr>
            <w:rFonts w:cs="Arial"/>
            <w:highlight w:val="yellow"/>
          </w:rPr>
          <w:t>http://enrd.ec.europa.eu/enrd-static/app_templates/enrd_assets/pdf/guidebook/nrn_handbook_webversion.pdf</w:t>
        </w:r>
      </w:hyperlink>
      <w:r w:rsidRPr="00917E9C">
        <w:rPr>
          <w:rFonts w:cs="Arial"/>
        </w:rPr>
        <w:t>.</w:t>
      </w:r>
    </w:p>
  </w:footnote>
  <w:footnote w:id="66">
    <w:p w:rsidR="00675B1D" w:rsidRPr="00917E9C" w:rsidRDefault="00675B1D" w:rsidP="00FC0A30">
      <w:pPr>
        <w:pStyle w:val="FootnoteText"/>
        <w:rPr>
          <w:rFonts w:cs="Arial"/>
          <w:highlight w:val="yellow"/>
        </w:rPr>
      </w:pPr>
      <w:r w:rsidRPr="00917E9C">
        <w:rPr>
          <w:rStyle w:val="FootnoteReference"/>
          <w:rFonts w:eastAsiaTheme="minorEastAsia" w:cs="Arial"/>
        </w:rPr>
        <w:footnoteRef/>
      </w:r>
      <w:r w:rsidRPr="00917E9C">
        <w:rPr>
          <w:rFonts w:cs="Arial"/>
        </w:rPr>
        <w:t xml:space="preserve"> </w:t>
      </w:r>
      <w:r w:rsidRPr="00917E9C">
        <w:rPr>
          <w:rFonts w:cs="Arial"/>
          <w:highlight w:val="yellow"/>
        </w:rPr>
        <w:t xml:space="preserve">RESR, NRN Guidebook [Manuale delle RRN] (in inglese) disponibile alla pagina </w:t>
      </w:r>
      <w:hyperlink r:id="rId18">
        <w:r w:rsidRPr="00917E9C">
          <w:rPr>
            <w:rFonts w:cs="Arial"/>
            <w:highlight w:val="yellow"/>
          </w:rPr>
          <w:t>http://enrd.ec.europa.eu/enrd-static/app_templates/enrd_assets/pdf/guidebook/nrn_handbook_webversion.pdf</w:t>
        </w:r>
      </w:hyperlink>
      <w:r w:rsidRPr="00917E9C">
        <w:rPr>
          <w:rFonts w:cs="Arial"/>
          <w:highlight w:val="yellow"/>
        </w:rPr>
        <w:t>, pag. 87.</w:t>
      </w:r>
    </w:p>
  </w:footnote>
  <w:footnote w:id="67">
    <w:p w:rsidR="00675B1D" w:rsidRPr="00917E9C" w:rsidRDefault="00675B1D" w:rsidP="009A7C06">
      <w:pPr>
        <w:pStyle w:val="FootnoteText"/>
        <w:rPr>
          <w:rFonts w:cs="Arial"/>
          <w:highlight w:val="yellow"/>
        </w:rPr>
      </w:pPr>
      <w:r w:rsidRPr="00917E9C">
        <w:rPr>
          <w:rStyle w:val="FootnoteReference"/>
          <w:rFonts w:cs="Arial"/>
          <w:highlight w:val="yellow"/>
        </w:rPr>
        <w:footnoteRef/>
      </w:r>
      <w:r w:rsidRPr="00917E9C">
        <w:rPr>
          <w:rFonts w:cs="Arial"/>
          <w:highlight w:val="yellow"/>
        </w:rPr>
        <w:t xml:space="preserve"> Regolamento (UE) n. 1305/2013, articolo 54, paragrafo 2.</w:t>
      </w:r>
    </w:p>
  </w:footnote>
  <w:footnote w:id="68">
    <w:p w:rsidR="00675B1D" w:rsidRPr="00917E9C" w:rsidRDefault="00675B1D" w:rsidP="009A7C06">
      <w:pPr>
        <w:pStyle w:val="FootnoteText"/>
        <w:rPr>
          <w:rFonts w:cs="Arial"/>
        </w:rPr>
      </w:pPr>
      <w:r w:rsidRPr="00917E9C">
        <w:rPr>
          <w:rStyle w:val="FootnoteReference"/>
          <w:rFonts w:cs="Arial"/>
          <w:highlight w:val="yellow"/>
        </w:rPr>
        <w:footnoteRef/>
      </w:r>
      <w:r w:rsidRPr="00917E9C">
        <w:rPr>
          <w:rFonts w:cs="Arial"/>
          <w:highlight w:val="yellow"/>
        </w:rPr>
        <w:t xml:space="preserve"> Regolamento (UE) n. 1305/2013, articolo 54, paragrafo 3</w:t>
      </w:r>
      <w:r w:rsidRPr="00917E9C">
        <w:rPr>
          <w:rFonts w:cs="Arial"/>
        </w:rPr>
        <w:t>.</w:t>
      </w:r>
    </w:p>
  </w:footnote>
  <w:footnote w:id="69">
    <w:p w:rsidR="00675B1D" w:rsidRPr="00917E9C" w:rsidRDefault="00675B1D" w:rsidP="00FC0A30">
      <w:pPr>
        <w:pStyle w:val="FootnoteText"/>
        <w:rPr>
          <w:rFonts w:cs="Arial"/>
          <w:highlight w:val="yellow"/>
        </w:rPr>
      </w:pPr>
      <w:r w:rsidRPr="00917E9C">
        <w:rPr>
          <w:rStyle w:val="FootnoteReference"/>
          <w:rFonts w:cs="Arial"/>
        </w:rPr>
        <w:footnoteRef/>
      </w:r>
      <w:r w:rsidRPr="00917E9C">
        <w:rPr>
          <w:rFonts w:cs="Arial"/>
        </w:rPr>
        <w:t xml:space="preserve"> </w:t>
      </w:r>
      <w:r w:rsidRPr="00917E9C">
        <w:rPr>
          <w:rFonts w:cs="Arial"/>
          <w:highlight w:val="yellow"/>
        </w:rPr>
        <w:t>Solo per l'analisi del contesto della RRN.</w:t>
      </w:r>
    </w:p>
  </w:footnote>
  <w:footnote w:id="70">
    <w:p w:rsidR="00675B1D" w:rsidRPr="00917E9C" w:rsidRDefault="00675B1D" w:rsidP="00FC0A30">
      <w:pPr>
        <w:pStyle w:val="FootnoteText"/>
        <w:rPr>
          <w:rFonts w:cs="Arial"/>
          <w:highlight w:val="yellow"/>
        </w:rPr>
      </w:pPr>
      <w:r w:rsidRPr="00917E9C">
        <w:rPr>
          <w:rStyle w:val="FootnoteReference"/>
          <w:rFonts w:cs="Arial"/>
          <w:highlight w:val="yellow"/>
        </w:rPr>
        <w:footnoteRef/>
      </w:r>
      <w:r w:rsidRPr="00917E9C">
        <w:rPr>
          <w:rFonts w:cs="Arial"/>
          <w:sz w:val="18"/>
          <w:highlight w:val="yellow"/>
        </w:rPr>
        <w:t xml:space="preserve"> </w:t>
      </w:r>
      <w:r w:rsidRPr="00917E9C">
        <w:rPr>
          <w:rFonts w:cs="Arial"/>
          <w:highlight w:val="yellow"/>
        </w:rPr>
        <w:t>Regolamento (UE) n. 1305/2013, articolo 54, paragrafo 2.</w:t>
      </w:r>
    </w:p>
  </w:footnote>
  <w:footnote w:id="71">
    <w:p w:rsidR="00675B1D" w:rsidRPr="00917E9C" w:rsidRDefault="00675B1D" w:rsidP="00FC0A30">
      <w:pPr>
        <w:pStyle w:val="FootnoteText"/>
        <w:rPr>
          <w:rFonts w:cs="Arial"/>
        </w:rPr>
      </w:pPr>
      <w:r w:rsidRPr="00917E9C">
        <w:rPr>
          <w:rStyle w:val="FootnoteReference"/>
          <w:rFonts w:cs="Arial"/>
          <w:highlight w:val="yellow"/>
        </w:rPr>
        <w:footnoteRef/>
      </w:r>
      <w:r w:rsidRPr="00917E9C">
        <w:rPr>
          <w:rFonts w:cs="Arial"/>
          <w:sz w:val="18"/>
          <w:highlight w:val="yellow"/>
        </w:rPr>
        <w:t xml:space="preserve"> </w:t>
      </w:r>
      <w:r w:rsidRPr="00917E9C">
        <w:rPr>
          <w:rFonts w:cs="Arial"/>
          <w:highlight w:val="yellow"/>
        </w:rPr>
        <w:t>Regolamento (UE) n. 1305/2013, articolo 54, paragrafo 3</w:t>
      </w:r>
      <w:r w:rsidRPr="00917E9C">
        <w:rPr>
          <w:rFonts w:cs="Arial"/>
        </w:rPr>
        <w:t>.</w:t>
      </w:r>
    </w:p>
  </w:footnote>
  <w:footnote w:id="72">
    <w:p w:rsidR="00675B1D" w:rsidRPr="00917E9C" w:rsidRDefault="00675B1D" w:rsidP="00FC0A30">
      <w:pPr>
        <w:pStyle w:val="FootnoteText"/>
        <w:rPr>
          <w:rFonts w:cs="Arial"/>
          <w:lang w:val="sk-SK"/>
        </w:rPr>
      </w:pPr>
      <w:r w:rsidRPr="00917E9C">
        <w:rPr>
          <w:rStyle w:val="FootnoteReference"/>
          <w:rFonts w:cs="Arial"/>
        </w:rPr>
        <w:footnoteRef/>
      </w:r>
      <w:r w:rsidRPr="00917E9C">
        <w:rPr>
          <w:rFonts w:cs="Arial"/>
        </w:rPr>
        <w:t xml:space="preserve"> </w:t>
      </w:r>
      <w:hyperlink r:id="rId19">
        <w:r w:rsidRPr="00917E9C">
          <w:rPr>
            <w:rStyle w:val="Hyperlink"/>
            <w:rFonts w:cs="Arial"/>
            <w:highlight w:val="yellow"/>
          </w:rPr>
          <w:t>http://ec.europa.eu/smart-regulation/guidelines/tool_13_en.htm</w:t>
        </w:r>
      </w:hyperlink>
      <w:r w:rsidRPr="00917E9C">
        <w:rPr>
          <w:rFonts w:cs="Arial"/>
          <w:highlight w:val="yellow"/>
        </w:rPr>
        <w:t xml:space="preserve"> (in inglese) e il «Technical Handbook on the Monitoring and Evaluating Framework of the Common Agriculture Policy 2014-2020», DG AGRI, 2015, glossario [Manuale tecnico sul quadro di monitoraggio e valutazione della politica agricola comune 2014-2020], (in inglese)</w:t>
      </w:r>
      <w:r w:rsidRPr="00917E9C">
        <w:rPr>
          <w:rFonts w:cs="Arial"/>
        </w:rPr>
        <w:t>.</w:t>
      </w:r>
    </w:p>
  </w:footnote>
  <w:footnote w:id="73">
    <w:p w:rsidR="00675B1D" w:rsidRPr="00917E9C" w:rsidRDefault="00675B1D" w:rsidP="00FC0A30">
      <w:pPr>
        <w:pStyle w:val="FootnoteText"/>
        <w:rPr>
          <w:rFonts w:cs="Arial"/>
          <w:highlight w:val="yellow"/>
        </w:rPr>
      </w:pPr>
      <w:r w:rsidRPr="00917E9C">
        <w:rPr>
          <w:rStyle w:val="FootnoteReference"/>
          <w:rFonts w:eastAsiaTheme="minorEastAsia" w:cs="Arial"/>
        </w:rPr>
        <w:footnoteRef/>
      </w:r>
      <w:r w:rsidRPr="00917E9C">
        <w:rPr>
          <w:rFonts w:cs="Arial"/>
        </w:rPr>
        <w:t xml:space="preserve"> </w:t>
      </w:r>
      <w:r w:rsidRPr="00917E9C">
        <w:rPr>
          <w:rFonts w:cs="Arial"/>
          <w:highlight w:val="yellow"/>
        </w:rPr>
        <w:t xml:space="preserve">Cfr. </w:t>
      </w:r>
      <w:r w:rsidRPr="00917E9C">
        <w:rPr>
          <w:rFonts w:cs="Arial"/>
          <w:b/>
          <w:color w:val="E7E6E6" w:themeColor="background2"/>
          <w:highlight w:val="yellow"/>
        </w:rPr>
        <w:t>PARTE II</w:t>
      </w:r>
      <w:r w:rsidRPr="00917E9C">
        <w:rPr>
          <w:rFonts w:cs="Arial"/>
          <w:highlight w:val="yellow"/>
        </w:rPr>
        <w:t>, capitolo 8.1 «Il ruolo dei questionari valutativi nella valutazione delle RRN».</w:t>
      </w:r>
    </w:p>
  </w:footnote>
  <w:footnote w:id="74">
    <w:p w:rsidR="00675B1D" w:rsidRPr="00917E9C" w:rsidRDefault="00675B1D" w:rsidP="00FC0A30">
      <w:pPr>
        <w:pStyle w:val="FootnoteText"/>
        <w:rPr>
          <w:rFonts w:cs="Arial"/>
        </w:rPr>
      </w:pPr>
      <w:r w:rsidRPr="00917E9C">
        <w:rPr>
          <w:rStyle w:val="FootnoteReference"/>
          <w:rFonts w:cs="Arial"/>
          <w:highlight w:val="yellow"/>
        </w:rPr>
        <w:footnoteRef/>
      </w:r>
      <w:r w:rsidRPr="00917E9C">
        <w:rPr>
          <w:rFonts w:cs="Arial"/>
          <w:highlight w:val="yellow"/>
        </w:rPr>
        <w:t xml:space="preserve"> Regolamento di esecuzione (UE) 808/2014 della Commissione, Allegato V, domande di valutazione 21</w:t>
      </w:r>
      <w:r w:rsidRPr="00917E9C">
        <w:rPr>
          <w:rFonts w:cs="Arial"/>
        </w:rPr>
        <w:t>.</w:t>
      </w:r>
    </w:p>
  </w:footnote>
  <w:footnote w:id="75">
    <w:p w:rsidR="00675B1D" w:rsidRPr="00917E9C" w:rsidRDefault="00675B1D" w:rsidP="00FC0A30">
      <w:pPr>
        <w:pStyle w:val="FootnoteText"/>
        <w:rPr>
          <w:rFonts w:cs="Arial"/>
          <w:highlight w:val="yellow"/>
          <w:lang w:val="sk-SK"/>
        </w:rPr>
      </w:pPr>
      <w:r w:rsidRPr="00917E9C">
        <w:rPr>
          <w:rStyle w:val="FootnoteReference"/>
          <w:rFonts w:cs="Arial"/>
        </w:rPr>
        <w:footnoteRef/>
      </w:r>
      <w:r w:rsidRPr="00917E9C">
        <w:rPr>
          <w:rFonts w:cs="Arial"/>
        </w:rPr>
        <w:t xml:space="preserve"> </w:t>
      </w:r>
      <w:hyperlink r:id="rId20">
        <w:r w:rsidRPr="00917E9C">
          <w:rPr>
            <w:rStyle w:val="Hyperlink"/>
            <w:rFonts w:cs="Arial"/>
            <w:highlight w:val="yellow"/>
          </w:rPr>
          <w:t>http://enrd.ec.europa.eu/enrd-static/evaluation/good-practices-workshops/national-rural-network-programmes/en/national-rural-network-programmes_en.html</w:t>
        </w:r>
      </w:hyperlink>
      <w:r w:rsidRPr="00917E9C">
        <w:rPr>
          <w:rFonts w:cs="Arial"/>
          <w:highlight w:val="yellow"/>
        </w:rPr>
        <w:t xml:space="preserve"> </w:t>
      </w:r>
      <w:r w:rsidRPr="00917E9C">
        <w:rPr>
          <w:rFonts w:cs="Arial"/>
          <w:color w:val="auto"/>
          <w:highlight w:val="yellow"/>
        </w:rPr>
        <w:t>e</w:t>
      </w:r>
      <w:r w:rsidRPr="00917E9C">
        <w:rPr>
          <w:rFonts w:cs="Arial"/>
          <w:highlight w:val="yellow"/>
        </w:rPr>
        <w:t xml:space="preserve"> </w:t>
      </w:r>
      <w:hyperlink r:id="rId21">
        <w:r w:rsidRPr="00917E9C">
          <w:rPr>
            <w:rStyle w:val="Hyperlink"/>
            <w:rFonts w:cs="Arial"/>
            <w:highlight w:val="yellow"/>
          </w:rPr>
          <w:t>http://enrd.ec.europa.eu/enrd-static/evaluation/good-practices-workshops/national-rural-networks/en/national-rural-networks_en.html</w:t>
        </w:r>
      </w:hyperlink>
    </w:p>
  </w:footnote>
  <w:footnote w:id="76">
    <w:p w:rsidR="00675B1D" w:rsidRPr="00917E9C" w:rsidRDefault="00675B1D" w:rsidP="00FC0A30">
      <w:pPr>
        <w:pStyle w:val="FootnoteText"/>
        <w:rPr>
          <w:rFonts w:cs="Arial"/>
          <w:highlight w:val="yellow"/>
          <w:lang w:val="sk-SK"/>
        </w:rPr>
      </w:pPr>
      <w:r w:rsidRPr="00917E9C">
        <w:rPr>
          <w:rStyle w:val="FootnoteReference"/>
          <w:rFonts w:cs="Arial"/>
          <w:highlight w:val="yellow"/>
        </w:rPr>
        <w:footnoteRef/>
      </w:r>
      <w:r w:rsidRPr="00917E9C">
        <w:rPr>
          <w:rFonts w:cs="Arial"/>
          <w:highlight w:val="yellow"/>
          <w:lang w:val="sk-SK"/>
        </w:rPr>
        <w:t xml:space="preserve"> </w:t>
      </w:r>
      <w:hyperlink r:id="rId22">
        <w:r w:rsidRPr="00917E9C">
          <w:rPr>
            <w:rStyle w:val="Hyperlink"/>
            <w:rFonts w:cs="Arial"/>
            <w:highlight w:val="yellow"/>
            <w:lang w:val="sk-SK"/>
          </w:rPr>
          <w:t>http://enrd.ec.europa.eu/enrd-static/evaluation/library/evaluation-helpdesk-publications/en/evaluation-helpdesk-publications_en.html</w:t>
        </w:r>
      </w:hyperlink>
    </w:p>
  </w:footnote>
  <w:footnote w:id="77">
    <w:p w:rsidR="00675B1D" w:rsidRPr="00917E9C" w:rsidRDefault="00675B1D" w:rsidP="00FC0A30">
      <w:pPr>
        <w:pStyle w:val="FootnoteText"/>
        <w:rPr>
          <w:rFonts w:cs="Arial"/>
          <w:highlight w:val="yellow"/>
        </w:rPr>
      </w:pPr>
      <w:r w:rsidRPr="00917E9C">
        <w:rPr>
          <w:rStyle w:val="FootnoteReference"/>
          <w:rFonts w:eastAsiaTheme="minorEastAsia" w:cs="Arial"/>
          <w:highlight w:val="yellow"/>
        </w:rPr>
        <w:footnoteRef/>
      </w:r>
      <w:r w:rsidRPr="00917E9C">
        <w:rPr>
          <w:rFonts w:cs="Arial"/>
          <w:highlight w:val="yellow"/>
        </w:rPr>
        <w:t xml:space="preserve"> Working Paper on the </w:t>
      </w:r>
      <w:hyperlink r:id="rId23">
        <w:r w:rsidRPr="00917E9C">
          <w:rPr>
            <w:rFonts w:cs="Arial"/>
            <w:highlight w:val="yellow"/>
          </w:rPr>
          <w:t>Evaluation of the National Rural Network Programmes</w:t>
        </w:r>
      </w:hyperlink>
      <w:r w:rsidRPr="00917E9C">
        <w:rPr>
          <w:rFonts w:cs="Arial"/>
          <w:highlight w:val="yellow"/>
        </w:rPr>
        <w:t xml:space="preserve"> [Documento di lavoro sulla valutazione dei programmi di rete rurale nazionale] (in inglese), Rete europea per la valutazione dello sviluppo rurale, luglio 2010, pagina 18 </w:t>
      </w:r>
    </w:p>
  </w:footnote>
  <w:footnote w:id="78">
    <w:p w:rsidR="00675B1D" w:rsidRPr="00917E9C" w:rsidRDefault="00675B1D" w:rsidP="00FC0A30">
      <w:pPr>
        <w:pStyle w:val="FootnoteText"/>
        <w:rPr>
          <w:rFonts w:cs="Arial"/>
        </w:rPr>
      </w:pPr>
      <w:r w:rsidRPr="00917E9C">
        <w:rPr>
          <w:rStyle w:val="FootnoteReference"/>
          <w:rFonts w:cs="Arial"/>
          <w:highlight w:val="yellow"/>
        </w:rPr>
        <w:footnoteRef/>
      </w:r>
      <w:r w:rsidRPr="00917E9C">
        <w:rPr>
          <w:rFonts w:cs="Arial"/>
          <w:highlight w:val="yellow"/>
        </w:rPr>
        <w:t xml:space="preserve"> EuropeAid Guide to Evaluations [Guida EuropeAid alle valutazioni] (in inglese) </w:t>
      </w:r>
      <w:r w:rsidRPr="00917E9C">
        <w:rPr>
          <w:rStyle w:val="Hyperlink"/>
          <w:rFonts w:cs="Arial"/>
          <w:highlight w:val="yellow"/>
        </w:rPr>
        <w:t>http://ec.europa.eu/europeaid/evaluation/methodology/methods/mth_cri_en.htm</w:t>
      </w:r>
      <w:r w:rsidRPr="00917E9C">
        <w:rPr>
          <w:rStyle w:val="Hyperlink"/>
          <w:rFonts w:cs="Arial"/>
        </w:rPr>
        <w:t>.</w:t>
      </w:r>
    </w:p>
  </w:footnote>
  <w:footnote w:id="79">
    <w:p w:rsidR="00675B1D" w:rsidRPr="00917E9C" w:rsidRDefault="00675B1D" w:rsidP="00FC0A30">
      <w:pPr>
        <w:pStyle w:val="FootnoteText"/>
        <w:rPr>
          <w:rFonts w:cs="Arial"/>
          <w:sz w:val="18"/>
          <w:szCs w:val="18"/>
        </w:rPr>
      </w:pPr>
      <w:r w:rsidRPr="00917E9C">
        <w:rPr>
          <w:rStyle w:val="FootnoteReference"/>
          <w:rFonts w:cs="Arial"/>
        </w:rPr>
        <w:footnoteRef/>
      </w:r>
      <w:r w:rsidRPr="00917E9C">
        <w:rPr>
          <w:rFonts w:cs="Arial"/>
          <w:sz w:val="18"/>
        </w:rPr>
        <w:t xml:space="preserve"> </w:t>
      </w:r>
      <w:r w:rsidRPr="00917E9C">
        <w:rPr>
          <w:rFonts w:cs="Arial"/>
          <w:szCs w:val="16"/>
          <w:highlight w:val="yellow"/>
        </w:rPr>
        <w:t>Regolamento di esecuzione (UE) n. 808/2014, allegato IV; WD Rural Development programming and target setting (2014-2020) (in inglese) [Documento di lavoro sulla programmazione e la definizione di obiettivi in materia di sviluppo rurale]</w:t>
      </w:r>
      <w:r>
        <w:rPr>
          <w:rFonts w:cs="Arial"/>
          <w:szCs w:val="16"/>
        </w:rPr>
        <w:t>.</w:t>
      </w:r>
    </w:p>
  </w:footnote>
  <w:footnote w:id="80">
    <w:p w:rsidR="00675B1D" w:rsidRPr="00917E9C" w:rsidRDefault="00675B1D" w:rsidP="00FC0A30">
      <w:pPr>
        <w:pStyle w:val="FootnoteText"/>
        <w:rPr>
          <w:rFonts w:cs="Arial"/>
          <w:lang w:val="sk-SK"/>
        </w:rPr>
      </w:pPr>
      <w:r w:rsidRPr="00917E9C">
        <w:rPr>
          <w:rStyle w:val="FootnoteReference"/>
          <w:rFonts w:cs="Arial"/>
        </w:rPr>
        <w:footnoteRef/>
      </w:r>
      <w:r w:rsidRPr="00917E9C">
        <w:rPr>
          <w:rFonts w:cs="Arial"/>
        </w:rPr>
        <w:t xml:space="preserve"> </w:t>
      </w:r>
      <w:r w:rsidRPr="00917E9C">
        <w:rPr>
          <w:rFonts w:cs="Arial"/>
          <w:highlight w:val="yellow"/>
        </w:rPr>
        <w:t xml:space="preserve">Manuale tecnico sul quadro comune di monitoraggio e valutazione della politica agricola comune 2014-2020, (versione in italiano disponibile nel sito in inglese) </w:t>
      </w:r>
      <w:hyperlink r:id="rId24">
        <w:r w:rsidRPr="00917E9C">
          <w:rPr>
            <w:rStyle w:val="Hyperlink"/>
            <w:rFonts w:cs="Arial"/>
            <w:highlight w:val="yellow"/>
          </w:rPr>
          <w:t>http://ec.europa.eu/agriculture/cap-post-2013/monitoring-evaluation/index_en.htm</w:t>
        </w:r>
      </w:hyperlink>
      <w:r w:rsidRPr="00917E9C">
        <w:rPr>
          <w:rStyle w:val="Hyperlink"/>
          <w:rFonts w:cs="Arial"/>
        </w:rPr>
        <w:t>.</w:t>
      </w:r>
    </w:p>
  </w:footnote>
  <w:footnote w:id="81">
    <w:p w:rsidR="00675B1D" w:rsidRPr="00917E9C" w:rsidRDefault="00675B1D" w:rsidP="00FC0A30">
      <w:pPr>
        <w:pStyle w:val="FootnoteText"/>
        <w:rPr>
          <w:rFonts w:cs="Arial"/>
        </w:rPr>
      </w:pPr>
      <w:r w:rsidRPr="00917E9C">
        <w:rPr>
          <w:rStyle w:val="FootnoteReference"/>
          <w:rFonts w:eastAsiaTheme="minorEastAsia" w:cs="Arial"/>
        </w:rPr>
        <w:footnoteRef/>
      </w:r>
      <w:r w:rsidRPr="00917E9C">
        <w:rPr>
          <w:rFonts w:cs="Arial"/>
        </w:rPr>
        <w:t xml:space="preserve"> </w:t>
      </w:r>
      <w:r w:rsidRPr="00917E9C">
        <w:rPr>
          <w:rFonts w:cs="Arial"/>
          <w:highlight w:val="yellow"/>
        </w:rPr>
        <w:t xml:space="preserve">Working Paper on the </w:t>
      </w:r>
      <w:hyperlink r:id="rId25">
        <w:r w:rsidRPr="00917E9C">
          <w:rPr>
            <w:rStyle w:val="Hyperlink"/>
            <w:rFonts w:cs="Arial"/>
            <w:highlight w:val="yellow"/>
          </w:rPr>
          <w:t>Evaluation of the National Rural Network Programmes</w:t>
        </w:r>
      </w:hyperlink>
      <w:r w:rsidRPr="00917E9C">
        <w:rPr>
          <w:rFonts w:cs="Arial"/>
          <w:color w:val="E7E6E6" w:themeColor="background2"/>
          <w:highlight w:val="yellow"/>
        </w:rPr>
        <w:t xml:space="preserve">, </w:t>
      </w:r>
      <w:r w:rsidRPr="00917E9C">
        <w:rPr>
          <w:rFonts w:cs="Arial"/>
          <w:highlight w:val="yellow"/>
        </w:rPr>
        <w:t>[Documento di lavoro sulla valutazione dei programmi di rete rurale nazionale] (in inglese), Rete europea per la valutazione dello sviluppo rurale, luglio 2010, pagine 21-26</w:t>
      </w:r>
      <w:r>
        <w:rPr>
          <w:rFonts w:cs="Arial"/>
        </w:rPr>
        <w:t>.</w:t>
      </w:r>
    </w:p>
  </w:footnote>
  <w:footnote w:id="82">
    <w:p w:rsidR="00675B1D" w:rsidRPr="00917E9C" w:rsidRDefault="00675B1D" w:rsidP="00FC0A30">
      <w:pPr>
        <w:pStyle w:val="FootnoteText"/>
        <w:rPr>
          <w:rFonts w:cs="Arial"/>
        </w:rPr>
      </w:pPr>
      <w:r w:rsidRPr="00917E9C">
        <w:rPr>
          <w:rStyle w:val="FootnoteReference"/>
          <w:rFonts w:eastAsiaTheme="minorEastAsia" w:cs="Arial"/>
        </w:rPr>
        <w:footnoteRef/>
      </w:r>
      <w:r w:rsidRPr="00917E9C">
        <w:rPr>
          <w:rFonts w:cs="Arial"/>
        </w:rPr>
        <w:t xml:space="preserve"> </w:t>
      </w:r>
      <w:r w:rsidRPr="00917E9C">
        <w:rPr>
          <w:rFonts w:cs="Arial"/>
          <w:highlight w:val="yellow"/>
        </w:rPr>
        <w:t>Ulteriori informazioni possono essere desunte dalle «</w:t>
      </w:r>
      <w:hyperlink r:id="rId26">
        <w:r w:rsidRPr="00917E9C">
          <w:rPr>
            <w:rFonts w:cs="Arial"/>
            <w:highlight w:val="yellow"/>
          </w:rPr>
          <w:t>Guidelines on the Mid-Term Evaluation of the Rural Development Programmes 2007-2013</w:t>
        </w:r>
      </w:hyperlink>
      <w:r w:rsidRPr="00917E9C">
        <w:rPr>
          <w:rFonts w:cs="Arial"/>
          <w:highlight w:val="yellow"/>
        </w:rPr>
        <w:t>» [Linee guida sulla valutazione intermedia dei programmi di sviluppo rurale 2007-2013], (in inglese), Rete europea per la valutazione dello sviluppo rurale, luglio 2009, alle pagine 11-13 e dalle «Guidelines: Establishing and implementing the evaluation plan of 2014-2020 RDPs», [Linee guida: definizione e attuazione del piano di valutazione dei PSR 2014-2020] (in inglese; esiste un estratto in italiano), Rete europea per la valutazione dello sviluppo rurale, marzo 2014, pagine 67-72</w:t>
      </w:r>
      <w:r>
        <w:rPr>
          <w:rFonts w:cs="Arial"/>
        </w:rPr>
        <w:t>.</w:t>
      </w:r>
    </w:p>
  </w:footnote>
  <w:footnote w:id="83">
    <w:p w:rsidR="00675B1D" w:rsidRPr="00917E9C" w:rsidRDefault="00675B1D" w:rsidP="001249DA">
      <w:pPr>
        <w:pStyle w:val="CommentText"/>
        <w:spacing w:before="0" w:after="0"/>
        <w:rPr>
          <w:rFonts w:cs="Arial"/>
          <w:lang w:val="sk-SK"/>
        </w:rPr>
      </w:pPr>
      <w:r w:rsidRPr="00917E9C">
        <w:rPr>
          <w:rStyle w:val="FootnoteReference"/>
          <w:rFonts w:cs="Arial"/>
        </w:rPr>
        <w:footnoteRef/>
      </w:r>
      <w:r w:rsidRPr="00917E9C">
        <w:rPr>
          <w:rStyle w:val="FootnoteTextChar1"/>
          <w:rFonts w:cs="Arial"/>
        </w:rPr>
        <w:t xml:space="preserve"> </w:t>
      </w:r>
      <w:r w:rsidRPr="00917E9C">
        <w:rPr>
          <w:rStyle w:val="FootnoteTextChar1"/>
          <w:rFonts w:cs="Arial"/>
          <w:highlight w:val="yellow"/>
        </w:rPr>
        <w:t>Ad esempio, in Portogallo, la RRN ha creato una linea guida metodologica che fornisce una base comune di strumenti (ad esempio questionari per valutare gli eventi) a uso dei beneficiari della RRN nelle loro attività. Questi strumenti sono disponibili online.</w:t>
      </w:r>
    </w:p>
  </w:footnote>
  <w:footnote w:id="84">
    <w:p w:rsidR="00675B1D" w:rsidRPr="00917E9C" w:rsidRDefault="00675B1D" w:rsidP="000574FB">
      <w:pPr>
        <w:pStyle w:val="FootnoteText"/>
        <w:rPr>
          <w:rFonts w:cs="Arial"/>
          <w:highlight w:val="yellow"/>
        </w:rPr>
      </w:pPr>
      <w:r w:rsidRPr="00917E9C">
        <w:rPr>
          <w:rStyle w:val="FootnoteReference"/>
          <w:rFonts w:eastAsiaTheme="minorEastAsia" w:cs="Arial"/>
        </w:rPr>
        <w:footnoteRef/>
      </w:r>
      <w:r w:rsidRPr="00917E9C">
        <w:rPr>
          <w:rFonts w:cs="Arial"/>
        </w:rPr>
        <w:t xml:space="preserve"> </w:t>
      </w:r>
      <w:r w:rsidRPr="00917E9C">
        <w:rPr>
          <w:rFonts w:cs="Arial"/>
          <w:highlight w:val="yellow"/>
        </w:rPr>
        <w:t xml:space="preserve">Ulteriori informazioni sulle quattro fasi di valutazione sono disponibili nel documento </w:t>
      </w:r>
      <w:hyperlink r:id="rId27">
        <w:r w:rsidRPr="00917E9C">
          <w:rPr>
            <w:rStyle w:val="Hyperlink"/>
            <w:rFonts w:cs="Arial"/>
            <w:highlight w:val="yellow"/>
          </w:rPr>
          <w:t>QCMV - Nota di orientamento B – Linee guida per la valutazione</w:t>
        </w:r>
      </w:hyperlink>
      <w:r w:rsidRPr="00917E9C">
        <w:rPr>
          <w:rFonts w:cs="Arial"/>
          <w:color w:val="E7E6E6" w:themeColor="background2"/>
          <w:highlight w:val="yellow"/>
        </w:rPr>
        <w:t xml:space="preserve"> 2007-2013</w:t>
      </w:r>
      <w:r>
        <w:rPr>
          <w:rFonts w:cs="Arial"/>
          <w:color w:val="E7E6E6" w:themeColor="background2"/>
          <w:highlight w:val="yellow"/>
        </w:rPr>
        <w:t>.</w:t>
      </w:r>
    </w:p>
  </w:footnote>
  <w:footnote w:id="85">
    <w:p w:rsidR="00675B1D" w:rsidRPr="00917E9C" w:rsidRDefault="00675B1D" w:rsidP="00352793">
      <w:pPr>
        <w:pStyle w:val="FootnoteText"/>
        <w:rPr>
          <w:rFonts w:cs="Arial"/>
        </w:rPr>
      </w:pPr>
      <w:r w:rsidRPr="00917E9C">
        <w:rPr>
          <w:rStyle w:val="FootnoteReference"/>
          <w:rFonts w:eastAsiaTheme="minorEastAsia" w:cs="Arial"/>
          <w:highlight w:val="yellow"/>
        </w:rPr>
        <w:footnoteRef/>
      </w:r>
      <w:r w:rsidRPr="00917E9C">
        <w:rPr>
          <w:rFonts w:cs="Arial"/>
          <w:highlight w:val="yellow"/>
        </w:rPr>
        <w:t xml:space="preserve"> WFP (Programma alimentare mondiale) - Sistema di assicurazione della qualità della valutazione (in inglese) </w:t>
      </w:r>
      <w:hyperlink r:id="rId28">
        <w:r w:rsidRPr="00917E9C">
          <w:rPr>
            <w:rFonts w:cs="Arial"/>
            <w:highlight w:val="yellow"/>
          </w:rPr>
          <w:t>http://www.wfp.org/evaluation/methods-and-tools/eqas-evaluation-quality-assurance-system</w:t>
        </w:r>
      </w:hyperlink>
      <w:r>
        <w:rPr>
          <w:rFonts w:cs="Arial"/>
        </w:rPr>
        <w:t>.</w:t>
      </w:r>
    </w:p>
  </w:footnote>
  <w:footnote w:id="86">
    <w:p w:rsidR="00675B1D" w:rsidRPr="00917E9C" w:rsidRDefault="00675B1D" w:rsidP="000574FB">
      <w:pPr>
        <w:pStyle w:val="FootnoteText"/>
        <w:rPr>
          <w:rFonts w:cs="Arial"/>
        </w:rPr>
      </w:pPr>
      <w:r w:rsidRPr="00917E9C">
        <w:rPr>
          <w:rStyle w:val="FootnoteReference"/>
          <w:rFonts w:eastAsiaTheme="minorEastAsia" w:cs="Arial"/>
        </w:rPr>
        <w:footnoteRef/>
      </w:r>
      <w:r w:rsidRPr="00917E9C">
        <w:rPr>
          <w:rFonts w:cs="Arial"/>
        </w:rPr>
        <w:t xml:space="preserve"> </w:t>
      </w:r>
      <w:hyperlink r:id="rId29">
        <w:r w:rsidRPr="00917E9C">
          <w:rPr>
            <w:rFonts w:cs="Arial"/>
            <w:highlight w:val="yellow"/>
          </w:rPr>
          <w:t>Annex 6 «Quality Assessment Form»</w:t>
        </w:r>
      </w:hyperlink>
      <w:r w:rsidRPr="00917E9C">
        <w:rPr>
          <w:rFonts w:cs="Arial"/>
          <w:highlight w:val="yellow"/>
        </w:rPr>
        <w:t>, DG Market Guide to Evaluating Legislation, pagine 87-97 (in inglese) [Allegato 6 «Modulo di assicurazione della qualità», DG MARKT, Guida alla legislazione in materia di valutazione]</w:t>
      </w:r>
      <w:r>
        <w:rPr>
          <w:rFonts w:cs="Arial"/>
        </w:rPr>
        <w:t>.</w:t>
      </w:r>
    </w:p>
  </w:footnote>
  <w:footnote w:id="87">
    <w:p w:rsidR="00675B1D" w:rsidRPr="003E4E39" w:rsidRDefault="00675B1D" w:rsidP="00320BBA">
      <w:pPr>
        <w:pStyle w:val="FootnoteText"/>
        <w:rPr>
          <w:lang w:val="en-GB"/>
        </w:rPr>
      </w:pPr>
      <w:r w:rsidRPr="003E4E39">
        <w:rPr>
          <w:rStyle w:val="FootnoteReference"/>
        </w:rPr>
        <w:footnoteRef/>
      </w:r>
      <w:r w:rsidRPr="00E64639">
        <w:rPr>
          <w:lang w:val="en-GB"/>
        </w:rPr>
        <w:t xml:space="preserve"> See also: Helpdesk of the European Rural Evaluation Network (2014): Guidelines for the Ex post Evaluation of 2007-2013 RDPs. Brussels. P. 61ff.,</w:t>
      </w:r>
      <w:hyperlink r:id="rId30">
        <w:r w:rsidRPr="00E64639">
          <w:rPr>
            <w:rStyle w:val="Hyperlink"/>
            <w:lang w:val="en-GB"/>
          </w:rPr>
          <w:t>http://enrd.ec.europa.eu/enrd-static/evaluation/library/evaluation-helpdesk-publications/en/evaluation-helpdesk-publications_en.html</w:t>
        </w:r>
      </w:hyperlink>
    </w:p>
  </w:footnote>
  <w:footnote w:id="88">
    <w:p w:rsidR="00675B1D" w:rsidRPr="00103F56" w:rsidRDefault="00675B1D" w:rsidP="00320BBA">
      <w:pPr>
        <w:pStyle w:val="FootnoteText"/>
        <w:rPr>
          <w:vanish/>
          <w:lang w:val="en-US"/>
        </w:rPr>
      </w:pPr>
      <w:r w:rsidRPr="003E4E39">
        <w:rPr>
          <w:rStyle w:val="FootnoteReference"/>
        </w:rPr>
        <w:footnoteRef/>
      </w:r>
      <w:r w:rsidRPr="00E64639">
        <w:rPr>
          <w:lang w:val="en-GB"/>
        </w:rPr>
        <w:t xml:space="preserve"> See the references for further reading at the end of chapter 3.1.</w:t>
      </w:r>
    </w:p>
  </w:footnote>
  <w:footnote w:id="89">
    <w:p w:rsidR="00675B1D" w:rsidRPr="003E4E39" w:rsidRDefault="00675B1D" w:rsidP="00320BBA">
      <w:pPr>
        <w:pStyle w:val="FootnoteText"/>
        <w:rPr>
          <w:lang w:val="en-GB"/>
        </w:rPr>
      </w:pPr>
      <w:r w:rsidRPr="003E4E39">
        <w:rPr>
          <w:rStyle w:val="FootnoteReference"/>
        </w:rPr>
        <w:footnoteRef/>
      </w:r>
      <w:r w:rsidRPr="00E64639">
        <w:rPr>
          <w:lang w:val="en-GB"/>
        </w:rP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sidRPr="00E64639">
        <w:rPr>
          <w:b/>
          <w:color w:val="E7E6E6" w:themeColor="background2"/>
          <w:lang w:val="en-GB"/>
        </w:rPr>
        <w:t>PART I</w:t>
      </w:r>
      <w:r w:rsidRPr="00E64639">
        <w:rPr>
          <w:lang w:val="en-GB"/>
        </w:rPr>
        <w:t>, Chapter 2.2.2 Preparation of evaluation</w:t>
      </w:r>
    </w:p>
  </w:footnote>
  <w:footnote w:id="90">
    <w:p w:rsidR="00675B1D" w:rsidRPr="009E2C9F" w:rsidRDefault="00675B1D" w:rsidP="00320BBA">
      <w:pPr>
        <w:pStyle w:val="FootnoteText"/>
        <w:rPr>
          <w:lang w:val="sk-SK"/>
        </w:rPr>
      </w:pPr>
      <w:r w:rsidRPr="003E4E39">
        <w:rPr>
          <w:rStyle w:val="FootnoteReference"/>
        </w:rPr>
        <w:footnoteRef/>
      </w:r>
      <w:r w:rsidRPr="00E64639">
        <w:rPr>
          <w:lang w:val="en-GB"/>
        </w:rPr>
        <w:t xml:space="preserve"> RACER: relevant, accepted, credible, easy, robust</w:t>
      </w:r>
    </w:p>
  </w:footnote>
  <w:footnote w:id="91">
    <w:p w:rsidR="00675B1D" w:rsidRPr="003E4E39" w:rsidRDefault="00675B1D" w:rsidP="00320BBA">
      <w:pPr>
        <w:pStyle w:val="FootnoteText"/>
        <w:rPr>
          <w:lang w:val="en-GB"/>
        </w:rPr>
      </w:pPr>
      <w:r w:rsidRPr="003E4E39">
        <w:rPr>
          <w:rStyle w:val="FootnoteReference"/>
        </w:rPr>
        <w:footnoteRef/>
      </w:r>
      <w:r w:rsidRPr="00E64639">
        <w:rPr>
          <w:lang w:val="en-GB"/>
        </w:rPr>
        <w:t xml:space="preserve"> Information about intervention logic´ effects can be found in the guidelines „Assessment of RDP results: How to prepare for reporting on evaluation in 2017“, published in April 2016 </w:t>
      </w:r>
    </w:p>
  </w:footnote>
  <w:footnote w:id="92">
    <w:p w:rsidR="00675B1D" w:rsidRPr="00D75B1B" w:rsidRDefault="00675B1D" w:rsidP="00320BBA">
      <w:pPr>
        <w:pStyle w:val="FootnoteText"/>
      </w:pPr>
      <w:r>
        <w:rPr>
          <w:rStyle w:val="FootnoteReference"/>
        </w:rPr>
        <w:footnoteRef/>
      </w:r>
      <w:r w:rsidRPr="00D75B1B">
        <w:t xml:space="preserve"> </w:t>
      </w:r>
      <w:r w:rsidRPr="00D75B1B">
        <w:rPr>
          <w:highlight w:val="yellow"/>
        </w:rPr>
        <w:t>Maggiori indicazioni a questo riguardo sono contenute nelle linee guida: «Assessment of RDP results: How to prepare for reporting on evaluation in 2017» (in inglese) [Valutazione dei risultati del PSR: come prepararsi per la rendicontazione in merito alla valutazione nel 2017]</w:t>
      </w:r>
      <w:r w:rsidRPr="00D75B1B">
        <w:t>.</w:t>
      </w:r>
    </w:p>
  </w:footnote>
  <w:footnote w:id="93">
    <w:p w:rsidR="00675B1D" w:rsidRPr="003E4E39" w:rsidRDefault="00675B1D" w:rsidP="00320BBA">
      <w:pPr>
        <w:pStyle w:val="FootnoteText"/>
        <w:rPr>
          <w:lang w:val="en-GB"/>
        </w:rPr>
      </w:pPr>
      <w:r w:rsidRPr="003E4E39">
        <w:rPr>
          <w:rStyle w:val="FootnoteReference"/>
        </w:rPr>
        <w:footnoteRef/>
      </w:r>
      <w:r w:rsidRPr="00E64639">
        <w:rPr>
          <w:lang w:val="en-GB"/>
        </w:rPr>
        <w:t xml:space="preserve"> See also the guidelines: Assessment of RDP results: how to prepare for reporting on evaluation in 2017, to be published in 2016, Chapter 7.</w:t>
      </w:r>
    </w:p>
  </w:footnote>
  <w:footnote w:id="94">
    <w:p w:rsidR="00675B1D" w:rsidRPr="003C23DE" w:rsidRDefault="00675B1D" w:rsidP="00320BBA">
      <w:pPr>
        <w:pStyle w:val="FootnoteText"/>
        <w:rPr>
          <w:lang w:val="en-GB"/>
        </w:rPr>
      </w:pPr>
      <w:r w:rsidRPr="003E4E39">
        <w:rPr>
          <w:rStyle w:val="FootnoteReference"/>
        </w:rPr>
        <w:footnoteRef/>
      </w:r>
      <w:r w:rsidRPr="00E64639">
        <w:rPr>
          <w:lang w:val="en-GB"/>
        </w:rPr>
        <w:t xml:space="preserve"> See for example the World Bank’s publications on measuring social capital, such as Working Paper No. 18, 2004: “Measuring social capital: an integrated questionnaire”, </w:t>
      </w:r>
      <w:hyperlink r:id="rId31">
        <w:r w:rsidRPr="00E64639">
          <w:rPr>
            <w:lang w:val="en-GB"/>
          </w:rPr>
          <w:t>http://documents.worldbank.org/curated/en/2004/01/3050371/measuring-social-capital-integrated-questionnaire</w:t>
        </w:r>
      </w:hyperlink>
      <w:r w:rsidRPr="00E64639">
        <w:rPr>
          <w:lang w:val="en-GB"/>
        </w:rPr>
        <w:t xml:space="preserve"> ; or particular approaches to capture changes induced by social innovation, e.g. the Regional Social Innovation Index (</w:t>
      </w:r>
      <w:hyperlink r:id="rId32">
        <w:r w:rsidRPr="00E64639">
          <w:rPr>
            <w:rStyle w:val="Hyperlink"/>
            <w:lang w:val="en-GB"/>
          </w:rPr>
          <w:t>http://avitem.org/IMG/pdf/cuaderno_resindex_eng.pdf</w:t>
        </w:r>
      </w:hyperlink>
      <w:r w:rsidRPr="00E64639">
        <w:rPr>
          <w:lang w:val="en-GB"/>
        </w:rPr>
        <w:t xml:space="preserve">) developed for the Spanish Euskadi Region in 2013; or the achievements of the EU research project IAREG on indicators of social capital in the EU: </w:t>
      </w:r>
      <w:hyperlink r:id="rId33">
        <w:r w:rsidRPr="00E64639">
          <w:rPr>
            <w:rStyle w:val="Hyperlink"/>
            <w:lang w:val="en-GB"/>
          </w:rPr>
          <w:t>http://www.iareg.org/fileadmin/iareg/media/papers/WP2_02.pdf</w:t>
        </w:r>
      </w:hyperlink>
      <w:r w:rsidRPr="00E64639">
        <w:rPr>
          <w:lang w:val="en-GB"/>
        </w:rPr>
        <w:t xml:space="preserve"> </w:t>
      </w:r>
    </w:p>
  </w:footnote>
  <w:footnote w:id="95">
    <w:p w:rsidR="00675B1D" w:rsidRPr="003E4E39" w:rsidRDefault="00675B1D" w:rsidP="00320BBA">
      <w:pPr>
        <w:pStyle w:val="FootnoteText"/>
        <w:rPr>
          <w:lang w:val="en-GB"/>
        </w:rPr>
      </w:pPr>
      <w:r w:rsidRPr="003E4E39">
        <w:rPr>
          <w:rStyle w:val="FootnoteReference"/>
        </w:rPr>
        <w:footnoteRef/>
      </w:r>
      <w:r w:rsidRPr="00E64639">
        <w:rPr>
          <w:lang w:val="en-GB"/>
        </w:rPr>
        <w:t xml:space="preserve"> See also guidelines: Assessment of RDP results: how to prepare for reporting on evaluation in 2017, which will be published in April 2016</w:t>
      </w:r>
    </w:p>
  </w:footnote>
  <w:footnote w:id="96">
    <w:p w:rsidR="00675B1D" w:rsidRPr="003E4E39" w:rsidRDefault="00675B1D" w:rsidP="00320BBA">
      <w:pPr>
        <w:pStyle w:val="FootnoteText"/>
        <w:rPr>
          <w:lang w:val="en-GB"/>
        </w:rPr>
      </w:pPr>
      <w:r w:rsidRPr="003E4E39">
        <w:rPr>
          <w:rStyle w:val="FootnoteReference"/>
        </w:rPr>
        <w:footnoteRef/>
      </w:r>
      <w:r w:rsidRPr="00E64639">
        <w:rPr>
          <w:lang w:val="en-GB"/>
        </w:rPr>
        <w:t xml:space="preserve"> See also the guidelines: Assessment of RDP results: how to prepare for reporting on evaluation in 2017, which will be published in 2016 </w:t>
      </w:r>
    </w:p>
  </w:footnote>
  <w:footnote w:id="97">
    <w:p w:rsidR="00675B1D" w:rsidRPr="003E4E39" w:rsidRDefault="00675B1D" w:rsidP="00320BBA">
      <w:pPr>
        <w:pStyle w:val="FootnoteText"/>
        <w:rPr>
          <w:lang w:val="en-GB"/>
        </w:rPr>
      </w:pPr>
      <w:r w:rsidRPr="003E4E39">
        <w:rPr>
          <w:rStyle w:val="FootnoteReference"/>
        </w:rPr>
        <w:footnoteRef/>
      </w:r>
      <w:r w:rsidRPr="00E64639">
        <w:rPr>
          <w:lang w:val="en-GB"/>
        </w:rPr>
        <w:t xml:space="preserve"> Assessment of RDP results: how to prepare for reporting on evaluation in 2017, which will be published in April and Guidelines for ex post evaluation of 2007-2013 RDPs, </w:t>
      </w:r>
      <w:hyperlink r:id="rId34">
        <w:r w:rsidRPr="00E64639">
          <w:rPr>
            <w:rStyle w:val="Hyperlink"/>
            <w:lang w:val="en-GB"/>
          </w:rPr>
          <w:t>http://enrd.ec.europa.eu/enrd-static/evaluation/library/evaluation-helpdesk-publications/en/evaluation-helpdesk-publications_en.html</w:t>
        </w:r>
      </w:hyperlink>
    </w:p>
  </w:footnote>
  <w:footnote w:id="98">
    <w:p w:rsidR="00675B1D" w:rsidRPr="003E4E39" w:rsidRDefault="00675B1D" w:rsidP="00320BBA">
      <w:pPr>
        <w:pStyle w:val="FootnoteText"/>
        <w:rPr>
          <w:lang w:val="en-US"/>
        </w:rPr>
      </w:pPr>
      <w:r w:rsidRPr="003E4E39">
        <w:rPr>
          <w:rStyle w:val="FootnoteReference"/>
        </w:rPr>
        <w:footnoteRef/>
      </w:r>
      <w:r w:rsidRPr="00E64639">
        <w:rPr>
          <w:lang w:val="en-GB"/>
        </w:rPr>
        <w:t xml:space="preserve"> See the Helpdesk Guide (July 2010): Approaches for assessing the impacts of the Rural Development Programmes in the context of multiple intervening factors, p. 26 ff.</w:t>
      </w:r>
    </w:p>
  </w:footnote>
  <w:footnote w:id="99">
    <w:p w:rsidR="00675B1D" w:rsidRPr="00E64639" w:rsidRDefault="00675B1D" w:rsidP="00320BBA">
      <w:pPr>
        <w:pStyle w:val="FootnoteText"/>
      </w:pPr>
      <w:r w:rsidRPr="003E4E39">
        <w:rPr>
          <w:rStyle w:val="FootnoteReference"/>
        </w:rPr>
        <w:footnoteRef/>
      </w:r>
      <w:r w:rsidRPr="003E4E39">
        <w:t xml:space="preserve"> Idem, p. 56 ff.</w:t>
      </w:r>
    </w:p>
  </w:footnote>
  <w:footnote w:id="100">
    <w:p w:rsidR="00675B1D" w:rsidRPr="00E64639" w:rsidRDefault="00675B1D" w:rsidP="00320BBA">
      <w:pPr>
        <w:pStyle w:val="FootnoteText"/>
      </w:pPr>
      <w:r>
        <w:rPr>
          <w:rStyle w:val="FootnoteReference"/>
        </w:rPr>
        <w:footnoteRef/>
      </w:r>
      <w:r>
        <w:t xml:space="preserve"> </w:t>
      </w:r>
      <w:r>
        <w:rPr>
          <w:highlight w:val="yellow"/>
        </w:rPr>
        <w:t xml:space="preserve">ad esempio SurveyMonkey, </w:t>
      </w:r>
      <w:hyperlink r:id="rId35">
        <w:r>
          <w:rPr>
            <w:rStyle w:val="Hyperlink"/>
            <w:highlight w:val="yellow"/>
          </w:rPr>
          <w:t>https://www.surveymonkey.com/</w:t>
        </w:r>
      </w:hyperlink>
      <w:r>
        <w:rPr>
          <w:highlight w:val="yellow"/>
        </w:rPr>
        <w:t xml:space="preserve">, KvikSurvey (sito in inglese), </w:t>
      </w:r>
      <w:hyperlink r:id="rId36">
        <w:r>
          <w:rPr>
            <w:rStyle w:val="Hyperlink"/>
            <w:highlight w:val="yellow"/>
          </w:rPr>
          <w:t>https://kwiksurveys.com/</w:t>
        </w:r>
      </w:hyperlink>
      <w:r>
        <w:rPr>
          <w:highlight w:val="yellow"/>
        </w:rPr>
        <w:t xml:space="preserve"> ecc.</w:t>
      </w:r>
    </w:p>
  </w:footnote>
  <w:footnote w:id="101">
    <w:p w:rsidR="00675B1D" w:rsidRPr="00E64639" w:rsidRDefault="00675B1D" w:rsidP="00320BBA">
      <w:pPr>
        <w:pStyle w:val="FootnoteText"/>
        <w:rPr>
          <w:highlight w:val="yellow"/>
        </w:rPr>
      </w:pPr>
      <w:r>
        <w:rPr>
          <w:rStyle w:val="FootnoteReference"/>
        </w:rPr>
        <w:footnoteRef/>
      </w:r>
      <w:r>
        <w:t xml:space="preserve"> </w:t>
      </w:r>
      <w:r>
        <w:rPr>
          <w:rStyle w:val="Hyperlink"/>
          <w:highlight w:val="yellow"/>
        </w:rPr>
        <w:t>http://edutechwiki.unige.ch/en/Repertory_grid_technique</w:t>
      </w:r>
      <w:r w:rsidRPr="00D75B1B">
        <w:rPr>
          <w:rStyle w:val="Hyperlink"/>
          <w:highlight w:val="yellow"/>
        </w:rPr>
        <w:t>.</w:t>
      </w:r>
    </w:p>
  </w:footnote>
  <w:footnote w:id="102">
    <w:p w:rsidR="00675B1D" w:rsidRPr="00E64639" w:rsidRDefault="00675B1D" w:rsidP="00320BBA">
      <w:pPr>
        <w:pStyle w:val="FootnoteText"/>
        <w:rPr>
          <w:highlight w:val="yellow"/>
        </w:rPr>
      </w:pPr>
      <w:r>
        <w:rPr>
          <w:rStyle w:val="FootnoteReference"/>
          <w:highlight w:val="yellow"/>
        </w:rPr>
        <w:footnoteRef/>
      </w:r>
      <w:r>
        <w:rPr>
          <w:highlight w:val="yellow"/>
        </w:rPr>
        <w:t xml:space="preserve"> Secondo Steve de Shazer, «You can know what's better without knowing what's good» [Si può sapere ciò è meglio, senza sapere ciò che è buono].</w:t>
      </w:r>
    </w:p>
  </w:footnote>
  <w:footnote w:id="103">
    <w:p w:rsidR="00675B1D" w:rsidRPr="00E64639" w:rsidRDefault="00675B1D" w:rsidP="00320BBA">
      <w:pPr>
        <w:pStyle w:val="FootnoteText"/>
        <w:rPr>
          <w:highlight w:val="yellow"/>
        </w:rPr>
      </w:pPr>
      <w:r>
        <w:rPr>
          <w:rStyle w:val="FootnoteReference"/>
          <w:highlight w:val="yellow"/>
        </w:rPr>
        <w:footnoteRef/>
      </w:r>
      <w:r>
        <w:rPr>
          <w:highlight w:val="yellow"/>
        </w:rPr>
        <w:t xml:space="preserve"> </w:t>
      </w:r>
      <w:hyperlink r:id="rId37">
        <w:r>
          <w:rPr>
            <w:rStyle w:val="Hyperlink"/>
            <w:highlight w:val="yellow"/>
          </w:rPr>
          <w:t>https://it.wikipedia.org/wiki/Intelligenza_collettiva</w:t>
        </w:r>
      </w:hyperlink>
    </w:p>
  </w:footnote>
  <w:footnote w:id="104">
    <w:p w:rsidR="00675B1D" w:rsidRPr="003C23DE" w:rsidRDefault="00675B1D" w:rsidP="00320BBA">
      <w:pPr>
        <w:pStyle w:val="FootnoteText"/>
        <w:rPr>
          <w:lang w:val="en-GB"/>
        </w:rPr>
      </w:pPr>
      <w:r>
        <w:rPr>
          <w:rStyle w:val="FootnoteReference"/>
          <w:highlight w:val="yellow"/>
        </w:rPr>
        <w:footnoteRef/>
      </w:r>
      <w:r w:rsidRPr="00E64639">
        <w:rPr>
          <w:highlight w:val="yellow"/>
          <w:lang w:val="de-DE"/>
        </w:rPr>
        <w:t xml:space="preserve"> Robert Lukesch, Harald Payer, Jutta Rabenau (2008): Wissen von innen – Fokusgruppen in der Begleitforschung von Regionen Aktiv. In: Michael Böcher, Max Krott, Sebastian Tränkner (2008): Regional Governance und integrierte ländliche Entwicklung. pagine 179-205. </w:t>
      </w:r>
      <w:r w:rsidRPr="00E64639">
        <w:rPr>
          <w:highlight w:val="yellow"/>
          <w:lang w:val="en-GB"/>
        </w:rPr>
        <w:t>Springer, Wiesbaden.</w:t>
      </w:r>
    </w:p>
  </w:footnote>
  <w:footnote w:id="105">
    <w:p w:rsidR="00675B1D" w:rsidRPr="000C17C2" w:rsidRDefault="00675B1D" w:rsidP="00320BBA">
      <w:pPr>
        <w:pStyle w:val="FootnoteText"/>
        <w:rPr>
          <w:highlight w:val="yellow"/>
          <w:lang w:val="en-GB"/>
        </w:rPr>
      </w:pPr>
      <w:r>
        <w:rPr>
          <w:rStyle w:val="FootnoteReference"/>
        </w:rPr>
        <w:footnoteRef/>
      </w:r>
      <w:r w:rsidRPr="00E64639">
        <w:rPr>
          <w:lang w:val="en-GB"/>
        </w:rPr>
        <w:t xml:space="preserve"> </w:t>
      </w:r>
      <w:r w:rsidRPr="00E64639">
        <w:rPr>
          <w:highlight w:val="yellow"/>
          <w:lang w:val="en-GB"/>
        </w:rPr>
        <w:t xml:space="preserve">Enrique Mendizabal: </w:t>
      </w:r>
      <w:r w:rsidRPr="00E64639">
        <w:rPr>
          <w:i/>
          <w:highlight w:val="yellow"/>
          <w:lang w:val="en-GB"/>
        </w:rPr>
        <w:t>Understanding networks: The functions of research policy networks</w:t>
      </w:r>
      <w:r w:rsidRPr="00E64639">
        <w:rPr>
          <w:highlight w:val="yellow"/>
          <w:lang w:val="en-GB"/>
        </w:rPr>
        <w:t>, [Comprendere le reti: le funzioni delle reti politiche di ricerca] Overseas Development Institute, London, 2006</w:t>
      </w:r>
      <w:r>
        <w:rPr>
          <w:highlight w:val="yellow"/>
          <w:lang w:val="en-GB"/>
        </w:rPr>
        <w:t>.</w:t>
      </w:r>
    </w:p>
  </w:footnote>
  <w:footnote w:id="106">
    <w:p w:rsidR="00675B1D" w:rsidRPr="000C17C2" w:rsidRDefault="00675B1D" w:rsidP="00B75E70">
      <w:pPr>
        <w:pStyle w:val="FootnoteText"/>
        <w:rPr>
          <w:highlight w:val="yellow"/>
          <w:lang w:val="en-US"/>
        </w:rPr>
      </w:pPr>
      <w:r>
        <w:rPr>
          <w:rStyle w:val="FootnoteReference"/>
          <w:highlight w:val="yellow"/>
        </w:rPr>
        <w:footnoteRef/>
      </w:r>
      <w:r w:rsidRPr="00E64639">
        <w:rPr>
          <w:highlight w:val="yellow"/>
          <w:lang w:val="en-GB"/>
        </w:rPr>
        <w:t xml:space="preserve"> R. Mitchell, B. Agle, and D. Wood, </w:t>
      </w:r>
      <w:r w:rsidRPr="00E64639">
        <w:rPr>
          <w:i/>
          <w:highlight w:val="yellow"/>
          <w:lang w:val="en-GB"/>
        </w:rPr>
        <w:t>Towards a theory of stakeholder identification and salience: defining the principle of who and what really counts</w:t>
      </w:r>
      <w:r w:rsidRPr="00E64639">
        <w:rPr>
          <w:highlight w:val="yellow"/>
          <w:lang w:val="en-GB"/>
        </w:rPr>
        <w:t>, [Verso una teoria per l'identificazione e la rilevanza delle parti interessate: definire il principio di chi e che cosa conti davvero], Academy of Management Review, 22(4) (1997)</w:t>
      </w:r>
      <w:r>
        <w:rPr>
          <w:highlight w:val="yellow"/>
          <w:lang w:val="en-GB"/>
        </w:rPr>
        <w:t>.</w:t>
      </w:r>
    </w:p>
  </w:footnote>
  <w:footnote w:id="107">
    <w:p w:rsidR="00675B1D" w:rsidRPr="00E64639" w:rsidRDefault="00675B1D" w:rsidP="00320BBA">
      <w:pPr>
        <w:pStyle w:val="FootnoteText"/>
      </w:pPr>
      <w:r>
        <w:rPr>
          <w:rStyle w:val="FootnoteReference"/>
          <w:highlight w:val="yellow"/>
        </w:rPr>
        <w:footnoteRef/>
      </w:r>
      <w:r w:rsidRPr="00E64639">
        <w:rPr>
          <w:highlight w:val="yellow"/>
          <w:lang w:val="en-US"/>
        </w:rPr>
        <w:t xml:space="preserve"> David Knoke e Song Young (2008), </w:t>
      </w:r>
      <w:r w:rsidRPr="00E64639">
        <w:rPr>
          <w:i/>
          <w:highlight w:val="yellow"/>
          <w:lang w:val="en-US"/>
        </w:rPr>
        <w:t>Social network analysis, [Analisi delle reti sociali], 2</w:t>
      </w:r>
      <w:r w:rsidRPr="00E64639">
        <w:rPr>
          <w:i/>
          <w:highlight w:val="yellow"/>
          <w:vertAlign w:val="superscript"/>
          <w:lang w:val="en-US"/>
        </w:rPr>
        <w:t>nd</w:t>
      </w:r>
      <w:r w:rsidRPr="00E64639">
        <w:rPr>
          <w:i/>
          <w:highlight w:val="yellow"/>
          <w:lang w:val="en-US"/>
        </w:rPr>
        <w:t xml:space="preserve"> edition</w:t>
      </w:r>
      <w:r w:rsidRPr="00E64639">
        <w:rPr>
          <w:highlight w:val="yellow"/>
          <w:lang w:val="en-US"/>
        </w:rPr>
        <w:t xml:space="preserve">, SAGE Publications; Stanley Wasserman e Katherine Faust (1994), </w:t>
      </w:r>
      <w:r w:rsidRPr="00E64639">
        <w:rPr>
          <w:i/>
          <w:highlight w:val="yellow"/>
          <w:lang w:val="en-US"/>
        </w:rPr>
        <w:t xml:space="preserve">Social network analysis. </w:t>
      </w:r>
      <w:r>
        <w:rPr>
          <w:i/>
          <w:highlight w:val="yellow"/>
        </w:rPr>
        <w:t>Methods and Applications</w:t>
      </w:r>
      <w:r>
        <w:rPr>
          <w:highlight w:val="yellow"/>
        </w:rPr>
        <w:t>, [Analisi delle reti sociali. Metodi e applciazioni], Cambridge University Press.</w:t>
      </w:r>
    </w:p>
  </w:footnote>
  <w:footnote w:id="108">
    <w:p w:rsidR="00675B1D" w:rsidRPr="00E64639" w:rsidRDefault="00675B1D" w:rsidP="00320BBA">
      <w:pPr>
        <w:pStyle w:val="FootnoteText"/>
        <w:rPr>
          <w:highlight w:val="yellow"/>
        </w:rPr>
      </w:pPr>
      <w:r>
        <w:rPr>
          <w:rStyle w:val="FootnoteReference"/>
        </w:rPr>
        <w:footnoteRef/>
      </w:r>
      <w:r w:rsidRPr="00E64639">
        <w:rPr>
          <w:lang w:val="de-DE"/>
        </w:rPr>
        <w:t xml:space="preserve"> </w:t>
      </w:r>
      <w:r w:rsidRPr="00E64639">
        <w:rPr>
          <w:highlight w:val="yellow"/>
          <w:lang w:val="de-DE"/>
        </w:rPr>
        <w:t xml:space="preserve">Gesellschaft für Internationale Zusammenarbeit/GIZ (2015): Cooperation Management for Practitioners. </w:t>
      </w:r>
      <w:r>
        <w:rPr>
          <w:highlight w:val="yellow"/>
        </w:rPr>
        <w:t>Managing Social Change with Capacity WORKS. Springer, Wiesbaden. Il libro è disponibile in inglese, francese e tedesco.</w:t>
      </w:r>
    </w:p>
  </w:footnote>
  <w:footnote w:id="109">
    <w:p w:rsidR="00675B1D" w:rsidRPr="000C17C2" w:rsidRDefault="00675B1D" w:rsidP="00320BBA">
      <w:pPr>
        <w:pStyle w:val="FootnoteText"/>
        <w:rPr>
          <w:highlight w:val="yellow"/>
        </w:rPr>
      </w:pPr>
      <w:r>
        <w:rPr>
          <w:rStyle w:val="FootnoteReference"/>
          <w:highlight w:val="yellow"/>
        </w:rPr>
        <w:footnoteRef/>
      </w:r>
      <w:r w:rsidRPr="00E64639">
        <w:rPr>
          <w:highlight w:val="yellow"/>
          <w:lang w:val="en-GB"/>
        </w:rPr>
        <w:t xml:space="preserve"> Andrè Martinuzzi e Ursula Kopp: Systemic constellations in theory-based evaluations – tools and experiences. </w:t>
      </w:r>
      <w:r>
        <w:rPr>
          <w:highlight w:val="yellow"/>
        </w:rPr>
        <w:t xml:space="preserve">(in inglese) [Costellazioni sistemiche nelle valutazioni basate sulla teoria – strumenti ed esperienze].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675B1D" w:rsidRPr="00E64639" w:rsidRDefault="00675B1D" w:rsidP="00320BBA">
      <w:pPr>
        <w:pStyle w:val="FootnoteText"/>
        <w:rPr>
          <w:highlight w:val="yellow"/>
        </w:rPr>
      </w:pPr>
      <w:r>
        <w:rPr>
          <w:rStyle w:val="FootnoteReference"/>
          <w:highlight w:val="yellow"/>
        </w:rPr>
        <w:footnoteRef/>
      </w:r>
      <w:r>
        <w:rPr>
          <w:highlight w:val="yellow"/>
        </w:rPr>
        <w:t xml:space="preserve"> Cfr. ad esempio: Krysia M. Yardley-Matwiejczuk, 1997: Role Play-Theory and Practice, Sage. [Role play: teoria e pratica].</w:t>
      </w:r>
    </w:p>
  </w:footnote>
  <w:footnote w:id="111">
    <w:p w:rsidR="00675B1D" w:rsidRPr="00E64639" w:rsidRDefault="00675B1D" w:rsidP="00320BBA">
      <w:pPr>
        <w:pStyle w:val="FootnoteText"/>
      </w:pPr>
      <w:r>
        <w:rPr>
          <w:rStyle w:val="FootnoteReference"/>
          <w:highlight w:val="yellow"/>
        </w:rPr>
        <w:footnoteRef/>
      </w:r>
      <w:r>
        <w:rPr>
          <w:highlight w:val="yellow"/>
        </w:rPr>
        <w:t xml:space="preserve"> </w:t>
      </w:r>
      <w:hyperlink r:id="rId39">
        <w:r>
          <w:rPr>
            <w:rStyle w:val="Hyperlink"/>
            <w:highlight w:val="yellow"/>
          </w:rPr>
          <w:t>http://asgpp.org/pdf/psychodrama.conciseintro.pdf</w:t>
        </w:r>
      </w:hyperlink>
      <w:r>
        <w:t xml:space="preserve"> </w:t>
      </w:r>
    </w:p>
  </w:footnote>
  <w:footnote w:id="112">
    <w:p w:rsidR="00675B1D" w:rsidRPr="00E64639" w:rsidRDefault="00675B1D" w:rsidP="00320BBA">
      <w:pPr>
        <w:pStyle w:val="FootnoteText"/>
      </w:pPr>
      <w:r w:rsidRPr="00E64639">
        <w:rPr>
          <w:rStyle w:val="FootnoteReference"/>
          <w:vertAlign w:val="superscript"/>
        </w:rPr>
        <w:footnoteRef/>
      </w:r>
      <w:r>
        <w:t xml:space="preserve"> </w:t>
      </w:r>
      <w:r>
        <w:rPr>
          <w:highlight w:val="yellow"/>
        </w:rPr>
        <w:t>Cfr. anche le linee guida: «Assessment of RDP results: How to prepare for reporting on evaluation in 2017» (in inglese) [Valutazione dei risultati del PSR: come prepararsi per la rendicontazione in merito alla valutazione nel 2017], capitolo 7</w:t>
      </w:r>
      <w:r>
        <w:t>.</w:t>
      </w:r>
    </w:p>
  </w:footnote>
  <w:footnote w:id="113">
    <w:p w:rsidR="00675B1D" w:rsidRPr="003E4E39" w:rsidRDefault="00675B1D" w:rsidP="00320BBA">
      <w:pPr>
        <w:pStyle w:val="FootnoteText"/>
        <w:rPr>
          <w:lang w:val="en-US"/>
        </w:rPr>
      </w:pPr>
      <w:r w:rsidRPr="003E4E39">
        <w:rPr>
          <w:rStyle w:val="FootnoteReference"/>
        </w:rPr>
        <w:footnoteRef/>
      </w:r>
      <w:r w:rsidRPr="00E64639">
        <w:rPr>
          <w:lang w:val="en-GB"/>
        </w:rPr>
        <w:t xml:space="preserve"> The NRN Self-Assessment Toolkit provides a host of useful resources for practicing self-assessment for NSU: </w:t>
      </w:r>
      <w:hyperlink r:id="rId40">
        <w:r w:rsidRPr="00E64639">
          <w:rPr>
            <w:rStyle w:val="Hyperlink"/>
            <w:lang w:val="en-GB"/>
          </w:rPr>
          <w:t>http://enrd.ec.europa.eu/enrd-static/networks-and-networking/nrn-self-assessment-tool-kit/practical-tools-for-nrn-self-assessment/en/practical-tools-for-nrn-self-assessment_en.html</w:t>
        </w:r>
      </w:hyperlink>
      <w:r w:rsidRPr="00E64639">
        <w:rPr>
          <w:lang w:val="en-GB"/>
        </w:rPr>
        <w:t xml:space="preserve"> </w:t>
      </w:r>
    </w:p>
  </w:footnote>
  <w:footnote w:id="114">
    <w:p w:rsidR="00675B1D" w:rsidRPr="00F333A5" w:rsidRDefault="00675B1D" w:rsidP="00320BBA">
      <w:pPr>
        <w:pStyle w:val="FootnoteText"/>
      </w:pPr>
      <w:r w:rsidRPr="00F333A5">
        <w:rPr>
          <w:rStyle w:val="FootnoteReference"/>
        </w:rPr>
        <w:footnoteRef/>
      </w:r>
      <w:r w:rsidRPr="00E64639">
        <w:rPr>
          <w:lang w:val="en-GB"/>
        </w:rPr>
        <w:t xml:space="preserve"> See for example the Scottish case study presented during the Helpdesk workshop held in Rome, 11/12 April 2014: “NRN – How to show their benefits.” </w:t>
      </w:r>
      <w:hyperlink r:id="rId41">
        <w:r w:rsidRPr="00F333A5">
          <w:rPr>
            <w:rStyle w:val="Hyperlink"/>
          </w:rPr>
          <w:t>https://enrd.ec.europa.eu/sites/enrd/files/assets/pdf/evaluation/national-rural-networks/GPW10_Scotland.pdf</w:t>
        </w:r>
      </w:hyperlink>
      <w:r w:rsidRPr="00F333A5">
        <w:t xml:space="preserve"> </w:t>
      </w:r>
    </w:p>
  </w:footnote>
  <w:footnote w:id="115">
    <w:p w:rsidR="00675B1D" w:rsidRPr="003E4E39" w:rsidRDefault="00675B1D" w:rsidP="00320BBA">
      <w:pPr>
        <w:pStyle w:val="FootnoteText"/>
        <w:rPr>
          <w:lang w:val="en-US"/>
        </w:rPr>
      </w:pPr>
      <w:r w:rsidRPr="003E4E39">
        <w:rPr>
          <w:rStyle w:val="FootnoteReference"/>
        </w:rPr>
        <w:footnoteRef/>
      </w:r>
      <w:r w:rsidRPr="00E64639">
        <w:rPr>
          <w:lang w:val="en-GB"/>
        </w:rP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675B1D" w:rsidRPr="00E64639" w:rsidRDefault="00675B1D" w:rsidP="000A3387">
      <w:pPr>
        <w:pStyle w:val="FootnoteText"/>
        <w:rPr>
          <w:highlight w:val="yellow"/>
        </w:rPr>
      </w:pPr>
      <w:r>
        <w:rPr>
          <w:rStyle w:val="FootnoteReference"/>
        </w:rPr>
        <w:footnoteRef/>
      </w:r>
      <w:r>
        <w:t xml:space="preserve"> </w:t>
      </w:r>
      <w:r>
        <w:rPr>
          <w:highlight w:val="yellow"/>
        </w:rPr>
        <w:t>L'approccio «emico» indaga sul modo in cui le persone pensano, su come percepiscono e categorizzano il mondo (Wikipedia, versione inglese).</w:t>
      </w:r>
    </w:p>
  </w:footnote>
  <w:footnote w:id="117">
    <w:p w:rsidR="00675B1D" w:rsidRPr="00E64639" w:rsidRDefault="00675B1D" w:rsidP="000A3387">
      <w:pPr>
        <w:pStyle w:val="FootnoteText"/>
      </w:pPr>
      <w:r>
        <w:rPr>
          <w:rStyle w:val="FootnoteReference"/>
          <w:highlight w:val="yellow"/>
        </w:rPr>
        <w:footnoteRef/>
      </w:r>
      <w:r>
        <w:rPr>
          <w:highlight w:val="yellow"/>
        </w:rPr>
        <w:t xml:space="preserve"> </w:t>
      </w:r>
      <w:r>
        <w:rPr>
          <w:color w:val="808080" w:themeColor="background1" w:themeShade="80"/>
          <w:highlight w:val="yellow"/>
          <w:shd w:val="clear" w:color="auto" w:fill="FFFFFF"/>
        </w:rPr>
        <w:t>Un account «etico» è una descrizione di un </w:t>
      </w:r>
      <w:hyperlink r:id="rId42" w:tooltip="Comportamento">
        <w:r>
          <w:rPr>
            <w:color w:val="808080" w:themeColor="background1" w:themeShade="80"/>
            <w:highlight w:val="yellow"/>
            <w:shd w:val="clear" w:color="auto" w:fill="FFFFFF"/>
          </w:rPr>
          <w:t>comportamento</w:t>
        </w:r>
      </w:hyperlink>
      <w:r>
        <w:rPr>
          <w:color w:val="808080" w:themeColor="background1" w:themeShade="80"/>
          <w:highlight w:val="yellow"/>
          <w:shd w:val="clear" w:color="auto" w:fill="FFFFFF"/>
        </w:rPr>
        <w:t> o di una convinzione data da un analista sociale o un osservatore scientifico (Wikipedia, versione inglese).</w:t>
      </w:r>
    </w:p>
  </w:footnote>
  <w:footnote w:id="118">
    <w:p w:rsidR="00675B1D" w:rsidRPr="003E4E39" w:rsidRDefault="00675B1D" w:rsidP="00320BBA">
      <w:pPr>
        <w:pStyle w:val="FootnoteText"/>
        <w:rPr>
          <w:lang w:val="en-GB"/>
        </w:rPr>
      </w:pPr>
      <w:r w:rsidRPr="003E4E39">
        <w:rPr>
          <w:rStyle w:val="FootnoteReference"/>
        </w:rPr>
        <w:footnoteRef/>
      </w:r>
      <w:r w:rsidRPr="00E64639">
        <w:rPr>
          <w:lang w:val="en-GB"/>
        </w:rPr>
        <w:t xml:space="preserve"> Also see the guidelines: Assessment of RDP results: how to prepare for reporting on evaluation in 2017, Chapter 8.</w:t>
      </w:r>
    </w:p>
  </w:footnote>
  <w:footnote w:id="119">
    <w:p w:rsidR="00675B1D" w:rsidRPr="003E4E39" w:rsidRDefault="00675B1D" w:rsidP="00320BBA">
      <w:pPr>
        <w:pStyle w:val="FootnoteText"/>
        <w:rPr>
          <w:lang w:val="en-US"/>
        </w:rPr>
      </w:pPr>
      <w:r w:rsidRPr="003E4E39">
        <w:rPr>
          <w:rStyle w:val="FootnoteReference"/>
        </w:rPr>
        <w:footnoteRef/>
      </w:r>
      <w:r w:rsidRPr="00E64639">
        <w:rPr>
          <w:lang w:val="en-GB"/>
        </w:rPr>
        <w:t xml:space="preserve"> E.g. multipliers are explicitly addressed by the Austrian Network Strategy.</w:t>
      </w:r>
    </w:p>
  </w:footnote>
  <w:footnote w:id="120">
    <w:p w:rsidR="00675B1D" w:rsidRPr="003E4E39" w:rsidRDefault="00675B1D" w:rsidP="00320BBA">
      <w:pPr>
        <w:pStyle w:val="FootnoteText"/>
        <w:rPr>
          <w:lang w:val="sk-SK"/>
        </w:rPr>
      </w:pPr>
      <w:r w:rsidRPr="003E4E39">
        <w:rPr>
          <w:rStyle w:val="FootnoteReference"/>
        </w:rPr>
        <w:footnoteRef/>
      </w:r>
      <w:r w:rsidRPr="00E64639">
        <w:rPr>
          <w:lang w:val="en-GB"/>
        </w:rPr>
        <w:t xml:space="preserve"> Guidelines for ex post evaluation of 2007-2013 RDPs </w:t>
      </w:r>
      <w:hyperlink r:id="rId43">
        <w:r w:rsidRPr="00E64639">
          <w:rPr>
            <w:rStyle w:val="Hyperlink"/>
            <w:lang w:val="en-GB"/>
          </w:rPr>
          <w:t>http://enrd.ec.europa.eu/enrd-static/evaluation/library/evaluation-helpdesk-publications/en/evaluation-helpdesk-publications_en.html</w:t>
        </w:r>
      </w:hyperlink>
    </w:p>
  </w:footnote>
  <w:footnote w:id="121">
    <w:p w:rsidR="00675B1D" w:rsidRPr="00E07CE3" w:rsidRDefault="00675B1D" w:rsidP="00320BBA">
      <w:pPr>
        <w:pStyle w:val="FootnoteText"/>
        <w:rPr>
          <w:lang w:val="sk-SK"/>
        </w:rPr>
      </w:pPr>
      <w:r w:rsidRPr="003E4E39">
        <w:rPr>
          <w:rStyle w:val="FootnoteReference"/>
        </w:rPr>
        <w:footnoteRef/>
      </w:r>
      <w:r w:rsidRPr="00E64639">
        <w:rPr>
          <w:lang w:val="sk-SK"/>
        </w:rPr>
        <w:t xml:space="preserve"> </w:t>
      </w:r>
      <w:hyperlink r:id="rId44">
        <w:r w:rsidRPr="00E64639">
          <w:rPr>
            <w:rStyle w:val="Hyperlink"/>
            <w:lang w:val="sk-SK"/>
          </w:rPr>
          <w:t>http://ec.europa.eu/agriculture/evaluation/rural-development-reports/2014/investment-support-rdp/fulltext_en.pdf</w:t>
        </w:r>
      </w:hyperlink>
    </w:p>
  </w:footnote>
  <w:footnote w:id="122">
    <w:p w:rsidR="00675B1D" w:rsidRPr="003E4E39" w:rsidRDefault="00675B1D" w:rsidP="00320BBA">
      <w:pPr>
        <w:pStyle w:val="FootnoteText"/>
        <w:rPr>
          <w:lang w:val="en-GB"/>
        </w:rPr>
      </w:pPr>
      <w:r w:rsidRPr="003E4E39">
        <w:rPr>
          <w:rStyle w:val="FootnoteReference"/>
        </w:rPr>
        <w:footnoteRef/>
      </w:r>
      <w:r w:rsidRPr="00E64639">
        <w:rPr>
          <w:lang w:val="en-GB"/>
        </w:rPr>
        <w:t xml:space="preserve"> Helpdesk of the European Evaluation Network for RDPs 2007-2013 (2015): Working Document: Common Evaluation Questions for Rural Development Programmes 2014-2020.</w:t>
      </w:r>
    </w:p>
  </w:footnote>
  <w:footnote w:id="123">
    <w:p w:rsidR="00675B1D" w:rsidRPr="0003537C" w:rsidRDefault="00675B1D"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Regolamento di esecuzione (UE) n. 808/2014, Allegato V</w:t>
      </w:r>
      <w:r>
        <w:rPr>
          <w:rFonts w:asciiTheme="minorHAnsi" w:hAnsiTheme="minorHAnsi"/>
        </w:rPr>
        <w:t>.</w:t>
      </w:r>
    </w:p>
  </w:footnote>
  <w:footnote w:id="124">
    <w:p w:rsidR="00675B1D" w:rsidRPr="000B6415" w:rsidRDefault="00675B1D" w:rsidP="00C4370D">
      <w:pPr>
        <w:pStyle w:val="FootnoteText"/>
        <w:rPr>
          <w:highlight w:val="yellow"/>
        </w:rPr>
      </w:pPr>
      <w:r>
        <w:rPr>
          <w:rStyle w:val="FootnoteReference"/>
        </w:rPr>
        <w:footnoteRef/>
      </w:r>
      <w:r>
        <w:t xml:space="preserve"> </w:t>
      </w:r>
      <w:r>
        <w:rPr>
          <w:i/>
          <w:highlight w:val="yellow"/>
        </w:rPr>
        <w:t>Capturing impacts of Leader and of measures to improve Quality of Life in rural areas</w:t>
      </w:r>
      <w:r>
        <w:rPr>
          <w:highlight w:val="yellow"/>
        </w:rPr>
        <w:t>, (in inglese) [Cogliere gli impatti di Leader e delle misure per migliorare la qualità di vita nelle zone rurali], Rete europea per la valutazione dello sviluppo rurale, 2010.</w:t>
      </w:r>
    </w:p>
  </w:footnote>
  <w:footnote w:id="125">
    <w:p w:rsidR="00675B1D" w:rsidRPr="000B6415" w:rsidRDefault="00675B1D" w:rsidP="00C4370D">
      <w:pPr>
        <w:pStyle w:val="FootnoteText"/>
        <w:rPr>
          <w:highlight w:val="yellow"/>
        </w:rPr>
      </w:pPr>
      <w:r>
        <w:rPr>
          <w:rStyle w:val="FootnoteReference"/>
          <w:highlight w:val="yellow"/>
        </w:rPr>
        <w:footnoteRef/>
      </w:r>
      <w:r>
        <w:rPr>
          <w:highlight w:val="yellow"/>
        </w:rPr>
        <w:t xml:space="preserve"> </w:t>
      </w:r>
      <w:r>
        <w:rPr>
          <w:i/>
          <w:highlight w:val="yellow"/>
        </w:rPr>
        <w:t>Capturing impacts of Leader and of measures to improve Quality of Life in rural areas</w:t>
      </w:r>
      <w:r>
        <w:rPr>
          <w:highlight w:val="yellow"/>
        </w:rPr>
        <w:t>, (in inglese) [Cogliere gli impatti di Leader e delle misure per migliorare la qualità di vita nelle zone rurali], Rete europea per la valutazione dello sviluppo rurale, 2010.</w:t>
      </w:r>
    </w:p>
  </w:footnote>
  <w:footnote w:id="126">
    <w:p w:rsidR="00675B1D" w:rsidRPr="000B6415" w:rsidRDefault="00675B1D" w:rsidP="00C4370D">
      <w:pPr>
        <w:pStyle w:val="FootnoteText"/>
        <w:rPr>
          <w:highlight w:val="yellow"/>
        </w:rPr>
      </w:pPr>
      <w:r>
        <w:rPr>
          <w:rStyle w:val="FootnoteReference"/>
          <w:highlight w:val="yellow"/>
        </w:rPr>
        <w:footnoteRef/>
      </w:r>
      <w:r>
        <w:rPr>
          <w:highlight w:val="yellow"/>
        </w:rPr>
        <w:t xml:space="preserve"> Analisi socio-economica e delle questioni delle pari opportunità (SEAGA) della FAO - http://www.fao.org/knowledge/goodpractices/bp-gender-equity-in-rural/bp-seaga/en/.</w:t>
      </w:r>
    </w:p>
  </w:footnote>
  <w:footnote w:id="127">
    <w:p w:rsidR="00675B1D" w:rsidRPr="000B6415" w:rsidRDefault="00675B1D" w:rsidP="00C4370D">
      <w:pPr>
        <w:pStyle w:val="FootnoteText"/>
      </w:pPr>
      <w:r>
        <w:rPr>
          <w:rStyle w:val="FootnoteReference"/>
          <w:highlight w:val="yellow"/>
        </w:rPr>
        <w:footnoteRef/>
      </w:r>
      <w:r>
        <w:rPr>
          <w:highlight w:val="yellow"/>
        </w:rPr>
        <w:t xml:space="preserve"> Enrique Mendizabal: </w:t>
      </w:r>
      <w:r>
        <w:rPr>
          <w:i/>
          <w:highlight w:val="yellow"/>
        </w:rPr>
        <w:t>Understanding Networks:</w:t>
      </w:r>
      <w:r>
        <w:rPr>
          <w:highlight w:val="yellow"/>
        </w:rPr>
        <w:t xml:space="preserve"> </w:t>
      </w:r>
      <w:r>
        <w:rPr>
          <w:i/>
          <w:highlight w:val="yellow"/>
        </w:rPr>
        <w:t>The Functions of Research Policy Networks</w:t>
      </w:r>
      <w:r>
        <w:rPr>
          <w:highlight w:val="yellow"/>
        </w:rPr>
        <w:t>, [Comprendere le reti: le funzioni delle reti politiche di ricerca] Overseas Development Institute, Londra 2006</w:t>
      </w:r>
      <w:r>
        <w:t>.</w:t>
      </w:r>
    </w:p>
  </w:footnote>
  <w:footnote w:id="128">
    <w:p w:rsidR="00675B1D" w:rsidRPr="000B6415" w:rsidRDefault="00675B1D" w:rsidP="00C4370D">
      <w:pPr>
        <w:pStyle w:val="FootnoteText"/>
        <w:rPr>
          <w:highlight w:val="yellow"/>
          <w:lang w:val="de-DE"/>
        </w:rPr>
      </w:pPr>
      <w:r>
        <w:rPr>
          <w:rStyle w:val="FootnoteReference"/>
        </w:rPr>
        <w:footnoteRef/>
      </w:r>
      <w:r w:rsidRPr="000B6415">
        <w:rPr>
          <w:lang w:val="de-DE"/>
        </w:rPr>
        <w:t xml:space="preserve"> </w:t>
      </w:r>
      <w:r w:rsidRPr="000B6415">
        <w:rPr>
          <w:highlight w:val="yellow"/>
          <w:lang w:val="de-DE"/>
        </w:rPr>
        <w:t xml:space="preserve">Bauer-Wolf, S. et al., (2008), </w:t>
      </w:r>
      <w:r w:rsidRPr="000B6415">
        <w:rPr>
          <w:i/>
          <w:highlight w:val="yellow"/>
          <w:lang w:val="de-DE"/>
        </w:rPr>
        <w:t>Erfolgreich durch Netzwerkkompetenz</w:t>
      </w:r>
      <w:r w:rsidRPr="000B6415">
        <w:rPr>
          <w:highlight w:val="yellow"/>
          <w:lang w:val="de-DE"/>
        </w:rPr>
        <w:t>, Springer-Verlag, Vienna</w:t>
      </w:r>
      <w:r>
        <w:rPr>
          <w:highlight w:val="yellow"/>
          <w:lang w:val="de-DE"/>
        </w:rPr>
        <w:t>.</w:t>
      </w:r>
    </w:p>
  </w:footnote>
  <w:footnote w:id="129">
    <w:p w:rsidR="00675B1D" w:rsidRPr="000B6415" w:rsidRDefault="00675B1D" w:rsidP="00C4370D">
      <w:pPr>
        <w:pStyle w:val="FootnoteText"/>
      </w:pPr>
      <w:r>
        <w:rPr>
          <w:rStyle w:val="FootnoteReference"/>
          <w:highlight w:val="yellow"/>
        </w:rPr>
        <w:footnoteRef/>
      </w:r>
      <w:r>
        <w:rPr>
          <w:highlight w:val="yellow"/>
        </w:rPr>
        <w:t xml:space="preserve"> </w:t>
      </w:r>
      <w:r>
        <w:rPr>
          <w:i/>
          <w:highlight w:val="yellow"/>
        </w:rPr>
        <w:t>Capturing impacts of Leader and of measures to improve Quality of Life in rural areas</w:t>
      </w:r>
      <w:r>
        <w:rPr>
          <w:highlight w:val="yellow"/>
        </w:rPr>
        <w:t>, (in inglese) [Cogliere gli impatti di Leader e delle misure per migliorare la qualità di vita nelle zone rurali], Rete europea per la valutazione dello sviluppo rurale, 2010</w:t>
      </w:r>
      <w:r>
        <w:t>.</w:t>
      </w:r>
    </w:p>
  </w:footnote>
  <w:footnote w:id="130">
    <w:p w:rsidR="00675B1D" w:rsidRPr="0003537C" w:rsidRDefault="00675B1D" w:rsidP="00C4370D">
      <w:pPr>
        <w:pStyle w:val="FootnoteText"/>
        <w:rPr>
          <w:rFonts w:asciiTheme="minorHAnsi" w:hAnsiTheme="minorHAnsi"/>
          <w:lang w:val="sk-SK"/>
        </w:rPr>
      </w:pPr>
      <w:r>
        <w:rPr>
          <w:rStyle w:val="FootnoteReference"/>
          <w:vanish/>
        </w:rPr>
        <w:footnoteRef/>
      </w:r>
      <w:r>
        <w:rPr>
          <w:vanish/>
        </w:rP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Default="00675B1D"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Default="00675B1D" w:rsidP="003637C5">
    <w:pPr>
      <w:pStyle w:val="Header"/>
      <w:pBdr>
        <w:bottom w:val="none" w:sz="0" w:space="0" w:color="auto"/>
      </w:pBdr>
      <w:ind w:right="95"/>
      <w:jc w:val="right"/>
      <w:rPr>
        <w:rFonts w:cs="Arial"/>
      </w:rPr>
    </w:pPr>
    <w:r>
      <w:tab/>
      <w:t>Linee guida per la valutazione delle reti rurali nazionali 2014-2020</w:t>
    </w:r>
  </w:p>
  <w:p w:rsidR="00675B1D" w:rsidRPr="007C19BE" w:rsidRDefault="00675B1D"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8A403B" w:rsidRDefault="00675B1D" w:rsidP="00F15219">
    <w:pPr>
      <w:pStyle w:val="Header"/>
      <w:pBdr>
        <w:bottom w:val="none" w:sz="0" w:space="0" w:color="auto"/>
      </w:pBdr>
      <w:rPr>
        <w:rFonts w:cs="Arial"/>
      </w:rPr>
    </w:pPr>
    <w:r>
      <w:tab/>
      <w:t>Linee guida per la valutazione delle reti rurali nazionali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2C3379" w:rsidRDefault="00675B1D" w:rsidP="006A75AC">
    <w:pPr>
      <w:pStyle w:val="Header"/>
      <w:pBdr>
        <w:bottom w:val="none" w:sz="0" w:space="0" w:color="auto"/>
      </w:pBdr>
      <w:tabs>
        <w:tab w:val="clear" w:pos="8618"/>
        <w:tab w:val="right" w:pos="12869"/>
      </w:tabs>
    </w:pPr>
    <w:r>
      <w:tab/>
      <w:t>Linee guida per la valutazione delle reti rurali nazionali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DD4A55" w:rsidRDefault="00675B1D" w:rsidP="00DD4A55">
    <w:pPr>
      <w:pStyle w:val="Header"/>
      <w:pBdr>
        <w:bottom w:val="none" w:sz="0" w:space="0" w:color="auto"/>
      </w:pBdr>
      <w:tabs>
        <w:tab w:val="clear" w:pos="8618"/>
        <w:tab w:val="right" w:pos="12869"/>
      </w:tabs>
      <w:ind w:left="0"/>
      <w:rPr>
        <w:rFonts w:cs="Arial"/>
      </w:rPr>
    </w:pPr>
    <w:r>
      <w:tab/>
      <w:t>Linee guida per la valutazione delle reti rurali nazionali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Default="00675B1D" w:rsidP="003637C5">
    <w:pPr>
      <w:pStyle w:val="Header"/>
      <w:pBdr>
        <w:bottom w:val="none" w:sz="0" w:space="0" w:color="auto"/>
      </w:pBdr>
      <w:ind w:right="-46"/>
      <w:jc w:val="right"/>
      <w:rPr>
        <w:rFonts w:cs="Arial"/>
      </w:rPr>
    </w:pPr>
    <w:r>
      <w:tab/>
      <w:t>Linee guida per la valutazione delle reti rurali nazionali 2014-2020</w:t>
    </w:r>
  </w:p>
  <w:p w:rsidR="00675B1D" w:rsidRDefault="00675B1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5B1D" w:rsidRPr="00F93622" w:rsidRDefault="00675B1D" w:rsidP="00754C47">
    <w:pPr>
      <w:pStyle w:val="Header"/>
      <w:pBdr>
        <w:bottom w:val="none" w:sz="0" w:space="0" w:color="auto"/>
      </w:pBdr>
      <w:jc w:val="right"/>
    </w:pPr>
    <w:r>
      <w:tab/>
      <w:t>Linee guida per la valutazione delle reti rurali nazionali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7C7" w:rsidRPr="00150D5B" w:rsidRDefault="0091429A"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7C7" w:rsidRPr="00150D5B" w:rsidRDefault="0091429A"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2EE8F56E"/>
    <w:lvl w:ilvl="0" w:tplc="52248894">
      <w:start w:val="1"/>
      <w:numFmt w:val="decimal"/>
      <w:pStyle w:val="HHeadingfigures"/>
      <w:suff w:val="space"/>
      <w:lvlText w:val="Figura %1."/>
      <w:lvlJc w:val="left"/>
      <w:pPr>
        <w:ind w:left="710" w:firstLine="0"/>
      </w:pPr>
      <w:rPr>
        <w:rFonts w:hint="default"/>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90105DEA"/>
    <w:lvl w:ilvl="0" w:tplc="A7AE43FC">
      <w:start w:val="1"/>
      <w:numFmt w:val="decimal"/>
      <w:pStyle w:val="HHeadingtables"/>
      <w:suff w:val="space"/>
      <w:lvlText w:val="Tabella %1."/>
      <w:lvlJc w:val="left"/>
      <w:pPr>
        <w:ind w:left="993" w:firstLine="0"/>
      </w:pPr>
      <w:rPr>
        <w:rFonts w:hint="default"/>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5B1D"/>
    <w:rsid w:val="00387226"/>
    <w:rsid w:val="00675B1D"/>
    <w:rsid w:val="007B323F"/>
    <w:rsid w:val="007F4DD3"/>
    <w:rsid w:val="00866B4D"/>
    <w:rsid w:val="008D05D4"/>
    <w:rsid w:val="0091429A"/>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C65B7E0-EEA7-49AB-BEF8-C2C691F2E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5B1D"/>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it-IT" w:eastAsia="it-IT" w:bidi="it-IT"/>
    </w:rPr>
  </w:style>
  <w:style w:type="paragraph" w:styleId="Heading2">
    <w:name w:val="heading 2"/>
    <w:basedOn w:val="Normal"/>
    <w:next w:val="Normal"/>
    <w:link w:val="Heading2Char"/>
    <w:uiPriority w:val="9"/>
    <w:qFormat/>
    <w:rsid w:val="00675B1D"/>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it-IT" w:eastAsia="it-IT" w:bidi="it-IT"/>
    </w:rPr>
  </w:style>
  <w:style w:type="paragraph" w:styleId="Heading3">
    <w:name w:val="heading 3"/>
    <w:basedOn w:val="Normal"/>
    <w:next w:val="Normal"/>
    <w:link w:val="Heading3Char"/>
    <w:uiPriority w:val="9"/>
    <w:qFormat/>
    <w:rsid w:val="00675B1D"/>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it-IT" w:eastAsia="it-IT" w:bidi="it-IT"/>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675B1D"/>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it-IT" w:eastAsia="it-IT" w:bidi="it-IT"/>
    </w:rPr>
  </w:style>
  <w:style w:type="paragraph" w:styleId="Heading5">
    <w:name w:val="heading 5"/>
    <w:basedOn w:val="Normal"/>
    <w:next w:val="Normal"/>
    <w:link w:val="Heading5Char"/>
    <w:uiPriority w:val="9"/>
    <w:qFormat/>
    <w:rsid w:val="00675B1D"/>
    <w:pPr>
      <w:suppressAutoHyphens/>
      <w:spacing w:before="200" w:after="100" w:line="220" w:lineRule="atLeast"/>
      <w:outlineLvl w:val="4"/>
    </w:pPr>
    <w:rPr>
      <w:rFonts w:ascii="Arial" w:eastAsia="Times New Roman" w:hAnsi="Arial" w:cs="Times New Roman"/>
      <w:b/>
      <w:bCs/>
      <w:iCs/>
      <w:color w:val="5F5F5F"/>
      <w:sz w:val="18"/>
      <w:szCs w:val="26"/>
      <w:lang w:val="it-IT" w:eastAsia="it-IT" w:bidi="it-IT"/>
    </w:rPr>
  </w:style>
  <w:style w:type="paragraph" w:styleId="Heading6">
    <w:name w:val="heading 6"/>
    <w:basedOn w:val="Normal"/>
    <w:next w:val="Normal"/>
    <w:link w:val="Heading6Char"/>
    <w:uiPriority w:val="9"/>
    <w:qFormat/>
    <w:rsid w:val="00675B1D"/>
    <w:pPr>
      <w:suppressAutoHyphens/>
      <w:spacing w:before="140" w:after="140" w:line="200" w:lineRule="exact"/>
      <w:outlineLvl w:val="5"/>
    </w:pPr>
    <w:rPr>
      <w:rFonts w:ascii="Arial" w:eastAsia="Times New Roman" w:hAnsi="Arial" w:cs="Times New Roman"/>
      <w:b/>
      <w:bCs/>
      <w:color w:val="576C88" w:themeColor="text2" w:themeTint="D9"/>
      <w:sz w:val="20"/>
      <w:lang w:val="it-IT" w:eastAsia="it-IT" w:bidi="it-IT"/>
    </w:rPr>
  </w:style>
  <w:style w:type="paragraph" w:styleId="Heading7">
    <w:name w:val="heading 7"/>
    <w:basedOn w:val="Normal"/>
    <w:next w:val="Normal"/>
    <w:link w:val="Heading7Char"/>
    <w:uiPriority w:val="9"/>
    <w:qFormat/>
    <w:rsid w:val="00675B1D"/>
    <w:pPr>
      <w:suppressAutoHyphens/>
      <w:spacing w:before="140" w:after="140" w:line="200" w:lineRule="exact"/>
      <w:outlineLvl w:val="6"/>
    </w:pPr>
    <w:rPr>
      <w:rFonts w:ascii="Arial" w:eastAsia="Times New Roman" w:hAnsi="Arial" w:cs="Times New Roman"/>
      <w:b/>
      <w:color w:val="808080"/>
      <w:sz w:val="16"/>
      <w:szCs w:val="24"/>
      <w:lang w:val="it-IT" w:eastAsia="it-IT" w:bidi="it-IT"/>
    </w:rPr>
  </w:style>
  <w:style w:type="paragraph" w:styleId="Heading8">
    <w:name w:val="heading 8"/>
    <w:basedOn w:val="Normal"/>
    <w:next w:val="Normal"/>
    <w:link w:val="Heading8Char"/>
    <w:uiPriority w:val="9"/>
    <w:qFormat/>
    <w:rsid w:val="00675B1D"/>
    <w:pPr>
      <w:suppressAutoHyphens/>
      <w:spacing w:before="140" w:after="140" w:line="200" w:lineRule="exact"/>
      <w:outlineLvl w:val="7"/>
    </w:pPr>
    <w:rPr>
      <w:rFonts w:ascii="Arial" w:eastAsia="Times New Roman" w:hAnsi="Arial" w:cs="Times New Roman"/>
      <w:b/>
      <w:iCs/>
      <w:color w:val="808080"/>
      <w:sz w:val="16"/>
      <w:szCs w:val="24"/>
      <w:lang w:val="it-IT" w:eastAsia="it-IT" w:bidi="it-IT"/>
    </w:rPr>
  </w:style>
  <w:style w:type="paragraph" w:styleId="Heading9">
    <w:name w:val="heading 9"/>
    <w:basedOn w:val="Heading1"/>
    <w:next w:val="Normal"/>
    <w:link w:val="Heading9Char"/>
    <w:qFormat/>
    <w:rsid w:val="00675B1D"/>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5B1D"/>
    <w:rPr>
      <w:rFonts w:ascii="Arial" w:eastAsia="Times New Roman" w:hAnsi="Arial" w:cs="Arial"/>
      <w:b/>
      <w:bCs/>
      <w:kern w:val="32"/>
      <w:sz w:val="24"/>
      <w:szCs w:val="32"/>
      <w:lang w:val="it-IT" w:eastAsia="it-IT" w:bidi="it-IT"/>
    </w:rPr>
  </w:style>
  <w:style w:type="character" w:customStyle="1" w:styleId="Heading2Char">
    <w:name w:val="Heading 2 Char"/>
    <w:basedOn w:val="DefaultParagraphFont"/>
    <w:link w:val="Heading2"/>
    <w:uiPriority w:val="9"/>
    <w:rsid w:val="00675B1D"/>
    <w:rPr>
      <w:rFonts w:ascii="Arial" w:eastAsia="Times New Roman" w:hAnsi="Arial" w:cs="Arial"/>
      <w:b/>
      <w:bCs/>
      <w:iCs/>
      <w:szCs w:val="28"/>
      <w:lang w:val="it-IT" w:eastAsia="it-IT" w:bidi="it-IT"/>
    </w:rPr>
  </w:style>
  <w:style w:type="character" w:customStyle="1" w:styleId="Heading3Char">
    <w:name w:val="Heading 3 Char"/>
    <w:basedOn w:val="DefaultParagraphFont"/>
    <w:link w:val="Heading3"/>
    <w:uiPriority w:val="9"/>
    <w:rsid w:val="00675B1D"/>
    <w:rPr>
      <w:rFonts w:ascii="Arial" w:eastAsia="Times New Roman" w:hAnsi="Arial" w:cs="Arial"/>
      <w:b/>
      <w:bCs/>
      <w:color w:val="5F5F5F"/>
      <w:sz w:val="20"/>
      <w:szCs w:val="26"/>
      <w:lang w:val="it-IT" w:eastAsia="it-IT" w:bidi="it-IT"/>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675B1D"/>
    <w:rPr>
      <w:rFonts w:ascii="Arial" w:eastAsia="Times New Roman" w:hAnsi="Arial" w:cs="Times New Roman"/>
      <w:b/>
      <w:bCs/>
      <w:color w:val="5F5F5F"/>
      <w:sz w:val="18"/>
      <w:szCs w:val="28"/>
      <w:lang w:val="it-IT" w:eastAsia="it-IT" w:bidi="it-IT"/>
    </w:rPr>
  </w:style>
  <w:style w:type="character" w:customStyle="1" w:styleId="Heading5Char">
    <w:name w:val="Heading 5 Char"/>
    <w:basedOn w:val="DefaultParagraphFont"/>
    <w:link w:val="Heading5"/>
    <w:rsid w:val="00675B1D"/>
    <w:rPr>
      <w:rFonts w:ascii="Arial" w:eastAsia="Times New Roman" w:hAnsi="Arial" w:cs="Times New Roman"/>
      <w:b/>
      <w:bCs/>
      <w:iCs/>
      <w:color w:val="5F5F5F"/>
      <w:sz w:val="18"/>
      <w:szCs w:val="26"/>
      <w:lang w:val="it-IT" w:eastAsia="it-IT" w:bidi="it-IT"/>
    </w:rPr>
  </w:style>
  <w:style w:type="character" w:customStyle="1" w:styleId="Heading6Char">
    <w:name w:val="Heading 6 Char"/>
    <w:basedOn w:val="DefaultParagraphFont"/>
    <w:link w:val="Heading6"/>
    <w:uiPriority w:val="9"/>
    <w:rsid w:val="00675B1D"/>
    <w:rPr>
      <w:rFonts w:ascii="Arial" w:eastAsia="Times New Roman" w:hAnsi="Arial" w:cs="Times New Roman"/>
      <w:b/>
      <w:bCs/>
      <w:color w:val="576C88" w:themeColor="text2" w:themeTint="D9"/>
      <w:sz w:val="20"/>
      <w:lang w:val="it-IT" w:eastAsia="it-IT" w:bidi="it-IT"/>
    </w:rPr>
  </w:style>
  <w:style w:type="character" w:customStyle="1" w:styleId="Heading7Char">
    <w:name w:val="Heading 7 Char"/>
    <w:basedOn w:val="DefaultParagraphFont"/>
    <w:link w:val="Heading7"/>
    <w:rsid w:val="00675B1D"/>
    <w:rPr>
      <w:rFonts w:ascii="Arial" w:eastAsia="Times New Roman" w:hAnsi="Arial" w:cs="Times New Roman"/>
      <w:b/>
      <w:color w:val="808080"/>
      <w:sz w:val="16"/>
      <w:szCs w:val="24"/>
      <w:lang w:val="it-IT" w:eastAsia="it-IT" w:bidi="it-IT"/>
    </w:rPr>
  </w:style>
  <w:style w:type="character" w:customStyle="1" w:styleId="Heading8Char">
    <w:name w:val="Heading 8 Char"/>
    <w:basedOn w:val="DefaultParagraphFont"/>
    <w:link w:val="Heading8"/>
    <w:rsid w:val="00675B1D"/>
    <w:rPr>
      <w:rFonts w:ascii="Arial" w:eastAsia="Times New Roman" w:hAnsi="Arial" w:cs="Times New Roman"/>
      <w:b/>
      <w:iCs/>
      <w:color w:val="808080"/>
      <w:sz w:val="16"/>
      <w:szCs w:val="24"/>
      <w:lang w:val="it-IT" w:eastAsia="it-IT" w:bidi="it-IT"/>
    </w:rPr>
  </w:style>
  <w:style w:type="character" w:customStyle="1" w:styleId="Heading9Char">
    <w:name w:val="Heading 9 Char"/>
    <w:basedOn w:val="DefaultParagraphFont"/>
    <w:link w:val="Heading9"/>
    <w:rsid w:val="00675B1D"/>
    <w:rPr>
      <w:rFonts w:ascii="Arial" w:eastAsia="Times New Roman" w:hAnsi="Arial" w:cs="Arial"/>
      <w:b/>
      <w:bCs/>
      <w:kern w:val="32"/>
      <w:sz w:val="24"/>
      <w:lang w:val="it-IT" w:eastAsia="it-IT" w:bidi="it-IT"/>
    </w:rPr>
  </w:style>
  <w:style w:type="paragraph" w:styleId="TOC2">
    <w:name w:val="toc 2"/>
    <w:next w:val="Normal"/>
    <w:uiPriority w:val="39"/>
    <w:rsid w:val="00675B1D"/>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it-IT" w:eastAsia="it-IT" w:bidi="it-IT"/>
    </w:rPr>
  </w:style>
  <w:style w:type="paragraph" w:styleId="Header">
    <w:name w:val="header"/>
    <w:link w:val="HeaderChar"/>
    <w:uiPriority w:val="99"/>
    <w:rsid w:val="00675B1D"/>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it-IT" w:eastAsia="it-IT" w:bidi="it-IT"/>
    </w:rPr>
  </w:style>
  <w:style w:type="character" w:customStyle="1" w:styleId="HeaderChar">
    <w:name w:val="Header Char"/>
    <w:basedOn w:val="DefaultParagraphFont"/>
    <w:link w:val="Header"/>
    <w:uiPriority w:val="99"/>
    <w:rsid w:val="00675B1D"/>
    <w:rPr>
      <w:rFonts w:ascii="Arial" w:eastAsia="Times New Roman" w:hAnsi="Arial" w:cs="Times New Roman"/>
      <w:color w:val="F07E31"/>
      <w:sz w:val="16"/>
      <w:szCs w:val="20"/>
      <w:lang w:val="it-IT" w:eastAsia="it-IT" w:bidi="it-IT"/>
    </w:rPr>
  </w:style>
  <w:style w:type="paragraph" w:styleId="Footer">
    <w:name w:val="footer"/>
    <w:link w:val="FooterChar"/>
    <w:uiPriority w:val="99"/>
    <w:rsid w:val="00675B1D"/>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it-IT" w:eastAsia="it-IT" w:bidi="it-IT"/>
    </w:rPr>
  </w:style>
  <w:style w:type="character" w:customStyle="1" w:styleId="FooterChar">
    <w:name w:val="Footer Char"/>
    <w:basedOn w:val="DefaultParagraphFont"/>
    <w:link w:val="Footer"/>
    <w:uiPriority w:val="99"/>
    <w:rsid w:val="00675B1D"/>
    <w:rPr>
      <w:rFonts w:ascii="Helvetica LT Pro Light" w:eastAsia="Times New Roman" w:hAnsi="Helvetica LT Pro Light" w:cs="Times New Roman"/>
      <w:color w:val="808080"/>
      <w:sz w:val="18"/>
      <w:szCs w:val="20"/>
      <w:lang w:val="it-IT" w:eastAsia="it-IT" w:bidi="it-IT"/>
    </w:rPr>
  </w:style>
  <w:style w:type="character" w:styleId="PageNumber">
    <w:name w:val="page number"/>
    <w:basedOn w:val="DefaultParagraphFont"/>
    <w:semiHidden/>
    <w:rsid w:val="00675B1D"/>
    <w:rPr>
      <w:rFonts w:ascii="Arial" w:hAnsi="Arial"/>
      <w:color w:val="808080"/>
      <w:sz w:val="18"/>
    </w:rPr>
  </w:style>
  <w:style w:type="paragraph" w:customStyle="1" w:styleId="HTitle2">
    <w:name w:val="H_Title2"/>
    <w:basedOn w:val="Normal"/>
    <w:qFormat/>
    <w:rsid w:val="00675B1D"/>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it-IT" w:eastAsia="it-IT" w:bidi="it-IT"/>
    </w:rPr>
  </w:style>
  <w:style w:type="paragraph" w:customStyle="1" w:styleId="Hlistbullet">
    <w:name w:val="H_list_bullet"/>
    <w:rsid w:val="00675B1D"/>
    <w:pPr>
      <w:numPr>
        <w:numId w:val="2"/>
      </w:numPr>
      <w:spacing w:before="60" w:after="0" w:line="220" w:lineRule="atLeast"/>
      <w:jc w:val="both"/>
    </w:pPr>
    <w:rPr>
      <w:rFonts w:ascii="Arial" w:eastAsia="Times New Roman" w:hAnsi="Arial" w:cs="Arial"/>
      <w:color w:val="576C88" w:themeColor="text2" w:themeTint="D9"/>
      <w:sz w:val="20"/>
      <w:szCs w:val="20"/>
      <w:lang w:val="it-IT" w:eastAsia="it-IT" w:bidi="it-IT"/>
    </w:rPr>
  </w:style>
  <w:style w:type="paragraph" w:customStyle="1" w:styleId="Hlistbullet2">
    <w:name w:val="H_list_bullet2"/>
    <w:basedOn w:val="Hlistbullet"/>
    <w:next w:val="HStandard"/>
    <w:rsid w:val="00675B1D"/>
    <w:pPr>
      <w:spacing w:after="140"/>
    </w:pPr>
  </w:style>
  <w:style w:type="paragraph" w:customStyle="1" w:styleId="Hlistabc">
    <w:name w:val="H_list_abc"/>
    <w:rsid w:val="00675B1D"/>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it-IT" w:eastAsia="it-IT" w:bidi="it-IT"/>
    </w:rPr>
  </w:style>
  <w:style w:type="paragraph" w:customStyle="1" w:styleId="Hlistabc2">
    <w:name w:val="H_list_abc_2"/>
    <w:basedOn w:val="Hlistabc"/>
    <w:next w:val="HStandard"/>
    <w:rsid w:val="00675B1D"/>
    <w:pPr>
      <w:spacing w:after="140"/>
    </w:pPr>
    <w:rPr>
      <w:color w:val="576C88" w:themeColor="text2" w:themeTint="D9"/>
    </w:rPr>
  </w:style>
  <w:style w:type="paragraph" w:customStyle="1" w:styleId="HTitle1">
    <w:name w:val="H_Title1"/>
    <w:basedOn w:val="Normal"/>
    <w:rsid w:val="00675B1D"/>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it-IT" w:eastAsia="it-IT" w:bidi="it-IT"/>
    </w:rPr>
  </w:style>
  <w:style w:type="paragraph" w:customStyle="1" w:styleId="Autor">
    <w:name w:val="Autor"/>
    <w:basedOn w:val="Normal"/>
    <w:rsid w:val="00675B1D"/>
    <w:pPr>
      <w:spacing w:after="0" w:line="280" w:lineRule="exact"/>
    </w:pPr>
    <w:rPr>
      <w:rFonts w:ascii="Arial" w:eastAsia="Times New Roman" w:hAnsi="Arial" w:cs="Times New Roman"/>
      <w:sz w:val="20"/>
      <w:szCs w:val="24"/>
      <w:lang w:val="it-IT" w:eastAsia="it-IT" w:bidi="it-IT"/>
    </w:rPr>
  </w:style>
  <w:style w:type="paragraph" w:customStyle="1" w:styleId="HTitle3">
    <w:name w:val="H_Title3"/>
    <w:basedOn w:val="Autor"/>
    <w:rsid w:val="00675B1D"/>
    <w:rPr>
      <w:rFonts w:ascii="Helvetica LT Pro Light" w:hAnsi="Helvetica LT Pro Light"/>
      <w:b/>
      <w:color w:val="6F6F6F"/>
      <w:sz w:val="28"/>
    </w:rPr>
  </w:style>
  <w:style w:type="paragraph" w:styleId="TOC1">
    <w:name w:val="toc 1"/>
    <w:next w:val="Normal"/>
    <w:uiPriority w:val="39"/>
    <w:rsid w:val="00675B1D"/>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it-IT" w:eastAsia="it-IT" w:bidi="it-IT"/>
    </w:rPr>
  </w:style>
  <w:style w:type="paragraph" w:styleId="TOC3">
    <w:name w:val="toc 3"/>
    <w:next w:val="Normal"/>
    <w:uiPriority w:val="39"/>
    <w:rsid w:val="00675B1D"/>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it-IT" w:eastAsia="it-IT" w:bidi="it-IT"/>
    </w:rPr>
  </w:style>
  <w:style w:type="paragraph" w:customStyle="1" w:styleId="Fuzeilequerformat">
    <w:name w:val="Fußzeile_querformat"/>
    <w:basedOn w:val="Footer"/>
    <w:rsid w:val="00675B1D"/>
    <w:pPr>
      <w:tabs>
        <w:tab w:val="clear" w:pos="8618"/>
        <w:tab w:val="right" w:pos="12871"/>
      </w:tabs>
    </w:pPr>
  </w:style>
  <w:style w:type="paragraph" w:styleId="TableofFigures">
    <w:name w:val="table of figures"/>
    <w:next w:val="HStandard"/>
    <w:uiPriority w:val="99"/>
    <w:rsid w:val="00675B1D"/>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it-IT" w:eastAsia="it-IT" w:bidi="it-IT"/>
    </w:rPr>
  </w:style>
  <w:style w:type="paragraph" w:customStyle="1" w:styleId="Hlistline3">
    <w:name w:val="H_list_line3"/>
    <w:rsid w:val="00675B1D"/>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it-IT" w:eastAsia="it-IT" w:bidi="it-IT"/>
    </w:rPr>
  </w:style>
  <w:style w:type="paragraph" w:customStyle="1" w:styleId="Hlistline4">
    <w:name w:val="H_list_line4"/>
    <w:basedOn w:val="Hlistline3"/>
    <w:next w:val="HStandard"/>
    <w:rsid w:val="00675B1D"/>
    <w:pPr>
      <w:spacing w:after="140"/>
    </w:pPr>
  </w:style>
  <w:style w:type="paragraph" w:customStyle="1" w:styleId="HSource">
    <w:name w:val="H_Source"/>
    <w:next w:val="HStandard"/>
    <w:rsid w:val="00675B1D"/>
    <w:pPr>
      <w:suppressAutoHyphens/>
      <w:spacing w:before="60" w:after="140" w:line="240" w:lineRule="auto"/>
      <w:jc w:val="center"/>
    </w:pPr>
    <w:rPr>
      <w:rFonts w:ascii="Arial" w:eastAsia="Times New Roman" w:hAnsi="Arial" w:cs="Times New Roman"/>
      <w:color w:val="576C88" w:themeColor="text2" w:themeTint="D9"/>
      <w:sz w:val="16"/>
      <w:szCs w:val="20"/>
      <w:lang w:val="it-IT" w:eastAsia="it-IT" w:bidi="it-IT"/>
    </w:rPr>
  </w:style>
  <w:style w:type="paragraph" w:customStyle="1" w:styleId="Htableleft">
    <w:name w:val="H_table_left"/>
    <w:rsid w:val="00675B1D"/>
    <w:pPr>
      <w:suppressAutoHyphens/>
      <w:spacing w:before="40" w:after="40" w:line="240" w:lineRule="auto"/>
    </w:pPr>
    <w:rPr>
      <w:rFonts w:ascii="Arial" w:eastAsia="Times New Roman" w:hAnsi="Arial" w:cs="Times New Roman"/>
      <w:color w:val="262626"/>
      <w:sz w:val="18"/>
      <w:szCs w:val="20"/>
      <w:lang w:val="it-IT" w:eastAsia="it-IT" w:bidi="it-IT"/>
    </w:rPr>
  </w:style>
  <w:style w:type="paragraph" w:customStyle="1" w:styleId="Htablecentered">
    <w:name w:val="H_table_centered"/>
    <w:basedOn w:val="Htableleft"/>
    <w:rsid w:val="00675B1D"/>
    <w:pPr>
      <w:jc w:val="center"/>
    </w:pPr>
  </w:style>
  <w:style w:type="paragraph" w:customStyle="1" w:styleId="Htableleftbolt">
    <w:name w:val="H_table_left_bolt"/>
    <w:basedOn w:val="Htableleft"/>
    <w:rsid w:val="00675B1D"/>
    <w:rPr>
      <w:b/>
      <w:color w:val="576C88" w:themeColor="text2" w:themeTint="D9"/>
      <w:sz w:val="16"/>
    </w:rPr>
  </w:style>
  <w:style w:type="paragraph" w:customStyle="1" w:styleId="Htablecenteredbolt">
    <w:name w:val="H_table_centered_bolt"/>
    <w:basedOn w:val="Htablecentered"/>
    <w:rsid w:val="00675B1D"/>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675B1D"/>
    <w:pPr>
      <w:tabs>
        <w:tab w:val="left" w:pos="170"/>
      </w:tabs>
      <w:spacing w:after="0" w:line="180" w:lineRule="exact"/>
      <w:ind w:left="170" w:hanging="170"/>
    </w:pPr>
    <w:rPr>
      <w:rFonts w:ascii="Arial" w:eastAsia="Times New Roman" w:hAnsi="Arial" w:cs="Times New Roman"/>
      <w:color w:val="808080"/>
      <w:sz w:val="16"/>
      <w:szCs w:val="20"/>
      <w:lang w:val="it-IT" w:eastAsia="it-IT" w:bidi="it-IT"/>
    </w:rPr>
  </w:style>
  <w:style w:type="character" w:customStyle="1" w:styleId="FootnoteTextChar">
    <w:name w:val="Footnote Text Char"/>
    <w:basedOn w:val="DefaultParagraphFont"/>
    <w:uiPriority w:val="99"/>
    <w:rsid w:val="00675B1D"/>
    <w:rPr>
      <w:sz w:val="20"/>
      <w:szCs w:val="20"/>
    </w:rPr>
  </w:style>
  <w:style w:type="paragraph" w:customStyle="1" w:styleId="Htablebullet">
    <w:name w:val="H_table_bullet"/>
    <w:basedOn w:val="Htableleft"/>
    <w:rsid w:val="00675B1D"/>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675B1D"/>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675B1D"/>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675B1D"/>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it-IT" w:eastAsia="it-IT" w:bidi="it-IT"/>
    </w:rPr>
  </w:style>
  <w:style w:type="paragraph" w:customStyle="1" w:styleId="HHeading2">
    <w:name w:val="H_Heading 2"/>
    <w:next w:val="HStandard"/>
    <w:rsid w:val="00675B1D"/>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it-IT" w:eastAsia="it-IT" w:bidi="it-IT"/>
    </w:rPr>
  </w:style>
  <w:style w:type="paragraph" w:customStyle="1" w:styleId="HHeading3">
    <w:name w:val="H_Heading 3"/>
    <w:next w:val="HStandard"/>
    <w:rsid w:val="00675B1D"/>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it-IT" w:eastAsia="it-IT" w:bidi="it-IT"/>
    </w:rPr>
  </w:style>
  <w:style w:type="paragraph" w:customStyle="1" w:styleId="HHeading4">
    <w:name w:val="H_Heading 4"/>
    <w:next w:val="HStandard"/>
    <w:rsid w:val="00675B1D"/>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it-IT" w:eastAsia="it-IT" w:bidi="it-IT"/>
    </w:rPr>
  </w:style>
  <w:style w:type="paragraph" w:customStyle="1" w:styleId="HHeading5">
    <w:name w:val="H_Heading 5"/>
    <w:next w:val="HStandard"/>
    <w:rsid w:val="00675B1D"/>
    <w:pPr>
      <w:keepNext/>
      <w:keepLines/>
      <w:spacing w:before="200" w:after="100" w:line="240" w:lineRule="auto"/>
      <w:outlineLvl w:val="4"/>
    </w:pPr>
    <w:rPr>
      <w:rFonts w:ascii="Arial" w:eastAsia="Times New Roman" w:hAnsi="Arial" w:cs="Arial"/>
      <w:b/>
      <w:color w:val="57825E"/>
      <w:sz w:val="20"/>
      <w:szCs w:val="20"/>
      <w:lang w:val="it-IT" w:eastAsia="it-IT" w:bidi="it-IT"/>
    </w:rPr>
  </w:style>
  <w:style w:type="paragraph" w:customStyle="1" w:styleId="HHeading9">
    <w:name w:val="H_Heading 9"/>
    <w:basedOn w:val="HHeading1"/>
    <w:next w:val="HStandard"/>
    <w:rsid w:val="00675B1D"/>
    <w:pPr>
      <w:numPr>
        <w:numId w:val="0"/>
      </w:numPr>
    </w:pPr>
    <w:rPr>
      <w:noProof/>
    </w:rPr>
  </w:style>
  <w:style w:type="character" w:styleId="Hyperlink">
    <w:name w:val="Hyperlink"/>
    <w:basedOn w:val="DefaultParagraphFont"/>
    <w:uiPriority w:val="99"/>
    <w:rsid w:val="00675B1D"/>
    <w:rPr>
      <w:color w:val="E7E6E6" w:themeColor="background2"/>
      <w:u w:val="single"/>
    </w:rPr>
  </w:style>
  <w:style w:type="paragraph" w:customStyle="1" w:styleId="HStandard">
    <w:name w:val="H_Standard"/>
    <w:rsid w:val="00675B1D"/>
    <w:pPr>
      <w:spacing w:after="120" w:line="280" w:lineRule="atLeast"/>
      <w:jc w:val="both"/>
    </w:pPr>
    <w:rPr>
      <w:rFonts w:ascii="Arial" w:eastAsia="Times New Roman" w:hAnsi="Arial" w:cs="Arial"/>
      <w:color w:val="576C88" w:themeColor="text2" w:themeTint="D9"/>
      <w:sz w:val="20"/>
      <w:szCs w:val="20"/>
      <w:lang w:val="it-IT" w:eastAsia="it-IT" w:bidi="it-IT"/>
    </w:rPr>
  </w:style>
  <w:style w:type="paragraph" w:styleId="DocumentMap">
    <w:name w:val="Document Map"/>
    <w:basedOn w:val="Normal"/>
    <w:link w:val="DocumentMapChar"/>
    <w:semiHidden/>
    <w:rsid w:val="00675B1D"/>
    <w:pPr>
      <w:shd w:val="clear" w:color="auto" w:fill="000080"/>
      <w:spacing w:before="60" w:after="140" w:line="220" w:lineRule="atLeast"/>
      <w:jc w:val="both"/>
    </w:pPr>
    <w:rPr>
      <w:rFonts w:ascii="Tahoma" w:eastAsia="Times New Roman" w:hAnsi="Tahoma" w:cs="Tahoma"/>
      <w:sz w:val="18"/>
      <w:szCs w:val="24"/>
      <w:lang w:val="it-IT" w:eastAsia="it-IT" w:bidi="it-IT"/>
    </w:rPr>
  </w:style>
  <w:style w:type="character" w:customStyle="1" w:styleId="DocumentMapChar">
    <w:name w:val="Document Map Char"/>
    <w:basedOn w:val="DefaultParagraphFont"/>
    <w:link w:val="DocumentMap"/>
    <w:semiHidden/>
    <w:rsid w:val="00675B1D"/>
    <w:rPr>
      <w:rFonts w:ascii="Tahoma" w:eastAsia="Times New Roman" w:hAnsi="Tahoma" w:cs="Tahoma"/>
      <w:sz w:val="18"/>
      <w:szCs w:val="24"/>
      <w:shd w:val="clear" w:color="auto" w:fill="000080"/>
      <w:lang w:val="it-IT" w:eastAsia="it-IT" w:bidi="it-IT"/>
    </w:rPr>
  </w:style>
  <w:style w:type="paragraph" w:styleId="BalloonText">
    <w:name w:val="Balloon Text"/>
    <w:basedOn w:val="Normal"/>
    <w:link w:val="BalloonTextChar"/>
    <w:uiPriority w:val="99"/>
    <w:semiHidden/>
    <w:unhideWhenUsed/>
    <w:rsid w:val="00675B1D"/>
    <w:pPr>
      <w:spacing w:after="0" w:line="240" w:lineRule="auto"/>
      <w:jc w:val="both"/>
    </w:pPr>
    <w:rPr>
      <w:rFonts w:ascii="Tahoma" w:eastAsia="Times New Roman" w:hAnsi="Tahoma" w:cs="Tahoma"/>
      <w:sz w:val="16"/>
      <w:szCs w:val="16"/>
      <w:lang w:val="it-IT" w:eastAsia="it-IT" w:bidi="it-IT"/>
    </w:rPr>
  </w:style>
  <w:style w:type="character" w:customStyle="1" w:styleId="BalloonTextChar">
    <w:name w:val="Balloon Text Char"/>
    <w:basedOn w:val="DefaultParagraphFont"/>
    <w:link w:val="BalloonText"/>
    <w:uiPriority w:val="99"/>
    <w:semiHidden/>
    <w:rsid w:val="00675B1D"/>
    <w:rPr>
      <w:rFonts w:ascii="Tahoma" w:eastAsia="Times New Roman" w:hAnsi="Tahoma" w:cs="Tahoma"/>
      <w:sz w:val="16"/>
      <w:szCs w:val="16"/>
      <w:lang w:val="it-IT" w:eastAsia="it-IT" w:bidi="it-IT"/>
    </w:rPr>
  </w:style>
  <w:style w:type="table" w:styleId="TableGrid">
    <w:name w:val="Table Grid"/>
    <w:basedOn w:val="TableNormal"/>
    <w:uiPriority w:val="59"/>
    <w:rsid w:val="00675B1D"/>
    <w:pPr>
      <w:spacing w:after="0" w:line="240" w:lineRule="auto"/>
    </w:pPr>
    <w:rPr>
      <w:rFonts w:ascii="Times New Roman" w:eastAsia="Times New Roman" w:hAnsi="Times New Roman" w:cs="Times New Roman"/>
      <w:sz w:val="20"/>
      <w:szCs w:val="20"/>
      <w:lang w:val="it-IT" w:eastAsia="it-IT" w:bidi="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675B1D"/>
    <w:pPr>
      <w:numPr>
        <w:numId w:val="7"/>
      </w:numPr>
      <w:spacing w:before="200" w:after="140" w:line="240" w:lineRule="auto"/>
    </w:pPr>
    <w:rPr>
      <w:rFonts w:ascii="Arial" w:eastAsia="Times New Roman" w:hAnsi="Arial" w:cs="Arial"/>
      <w:b/>
      <w:color w:val="576C88" w:themeColor="text2" w:themeTint="D9"/>
      <w:sz w:val="16"/>
      <w:szCs w:val="20"/>
      <w:lang w:val="it-IT" w:eastAsia="it-IT" w:bidi="it-IT"/>
    </w:rPr>
  </w:style>
  <w:style w:type="paragraph" w:customStyle="1" w:styleId="HHeadingfigures">
    <w:name w:val="H_Heading_figures"/>
    <w:basedOn w:val="HHeadingtables"/>
    <w:next w:val="HStandard"/>
    <w:qFormat/>
    <w:rsid w:val="00675B1D"/>
    <w:pPr>
      <w:numPr>
        <w:numId w:val="8"/>
      </w:numPr>
    </w:pPr>
  </w:style>
  <w:style w:type="paragraph" w:customStyle="1" w:styleId="HHeadingmaps">
    <w:name w:val="H_Heading_maps"/>
    <w:basedOn w:val="HHeadingtables"/>
    <w:next w:val="HStandard"/>
    <w:qFormat/>
    <w:rsid w:val="00675B1D"/>
    <w:pPr>
      <w:keepNext/>
      <w:keepLines/>
      <w:numPr>
        <w:numId w:val="9"/>
      </w:numPr>
      <w:outlineLvl w:val="5"/>
    </w:pPr>
    <w:rPr>
      <w:b w:val="0"/>
    </w:rPr>
  </w:style>
  <w:style w:type="paragraph" w:customStyle="1" w:styleId="HHeadingboxes">
    <w:name w:val="H_Heading_boxes"/>
    <w:basedOn w:val="HHeadingtables"/>
    <w:next w:val="HStandard"/>
    <w:qFormat/>
    <w:rsid w:val="00675B1D"/>
    <w:pPr>
      <w:numPr>
        <w:numId w:val="10"/>
      </w:numPr>
    </w:pPr>
  </w:style>
  <w:style w:type="paragraph" w:customStyle="1" w:styleId="HBox">
    <w:name w:val="H_Box"/>
    <w:next w:val="HStandard"/>
    <w:qFormat/>
    <w:rsid w:val="00675B1D"/>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it-IT" w:eastAsia="it-IT" w:bidi="it-IT"/>
    </w:rPr>
  </w:style>
  <w:style w:type="paragraph" w:customStyle="1" w:styleId="HBoxbullet">
    <w:name w:val="H_Box_bullet"/>
    <w:next w:val="HStandard"/>
    <w:qFormat/>
    <w:rsid w:val="00675B1D"/>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it-IT" w:eastAsia="it-IT" w:bidi="it-IT"/>
    </w:rPr>
  </w:style>
  <w:style w:type="paragraph" w:customStyle="1" w:styleId="Hdisclaimer">
    <w:name w:val="H_disclaimer"/>
    <w:qFormat/>
    <w:rsid w:val="00675B1D"/>
    <w:pPr>
      <w:spacing w:after="120" w:line="280" w:lineRule="atLeast"/>
      <w:jc w:val="both"/>
    </w:pPr>
    <w:rPr>
      <w:rFonts w:ascii="Helvetica LT Pro Light" w:eastAsia="Times New Roman" w:hAnsi="Helvetica LT Pro Light" w:cs="Arial"/>
      <w:color w:val="6F6F6F"/>
      <w:sz w:val="18"/>
      <w:szCs w:val="18"/>
      <w:lang w:val="it-IT" w:eastAsia="it-IT" w:bidi="it-IT"/>
    </w:rPr>
  </w:style>
  <w:style w:type="paragraph" w:styleId="EndnoteText">
    <w:name w:val="endnote text"/>
    <w:basedOn w:val="Normal"/>
    <w:link w:val="EndnoteTextChar"/>
    <w:uiPriority w:val="99"/>
    <w:semiHidden/>
    <w:unhideWhenUsed/>
    <w:rsid w:val="00675B1D"/>
    <w:pPr>
      <w:spacing w:after="0" w:line="240" w:lineRule="auto"/>
      <w:jc w:val="both"/>
    </w:pPr>
    <w:rPr>
      <w:rFonts w:ascii="Arial" w:eastAsia="Times New Roman" w:hAnsi="Arial" w:cs="Times New Roman"/>
      <w:sz w:val="20"/>
      <w:szCs w:val="20"/>
      <w:lang w:val="it-IT" w:eastAsia="it-IT" w:bidi="it-IT"/>
    </w:rPr>
  </w:style>
  <w:style w:type="character" w:customStyle="1" w:styleId="EndnoteTextChar">
    <w:name w:val="Endnote Text Char"/>
    <w:basedOn w:val="DefaultParagraphFont"/>
    <w:link w:val="EndnoteText"/>
    <w:uiPriority w:val="99"/>
    <w:semiHidden/>
    <w:rsid w:val="00675B1D"/>
    <w:rPr>
      <w:rFonts w:ascii="Arial" w:eastAsia="Times New Roman" w:hAnsi="Arial" w:cs="Times New Roman"/>
      <w:sz w:val="20"/>
      <w:szCs w:val="20"/>
      <w:lang w:val="it-IT" w:eastAsia="it-IT" w:bidi="it-IT"/>
    </w:rPr>
  </w:style>
  <w:style w:type="character" w:styleId="EndnoteReference">
    <w:name w:val="endnote reference"/>
    <w:basedOn w:val="DefaultParagraphFont"/>
    <w:uiPriority w:val="99"/>
    <w:semiHidden/>
    <w:unhideWhenUsed/>
    <w:rsid w:val="00675B1D"/>
    <w:rPr>
      <w:vertAlign w:val="superscript"/>
    </w:rPr>
  </w:style>
  <w:style w:type="character" w:styleId="CommentReference">
    <w:name w:val="annotation reference"/>
    <w:basedOn w:val="DefaultParagraphFont"/>
    <w:uiPriority w:val="99"/>
    <w:unhideWhenUsed/>
    <w:rsid w:val="00675B1D"/>
    <w:rPr>
      <w:sz w:val="16"/>
      <w:szCs w:val="16"/>
    </w:rPr>
  </w:style>
  <w:style w:type="paragraph" w:styleId="CommentText">
    <w:name w:val="annotation text"/>
    <w:basedOn w:val="Normal"/>
    <w:link w:val="CommentTextChar"/>
    <w:uiPriority w:val="99"/>
    <w:unhideWhenUsed/>
    <w:rsid w:val="00675B1D"/>
    <w:pPr>
      <w:spacing w:before="60" w:after="140" w:line="240" w:lineRule="auto"/>
      <w:jc w:val="both"/>
    </w:pPr>
    <w:rPr>
      <w:rFonts w:ascii="Arial" w:eastAsia="Times New Roman" w:hAnsi="Arial" w:cs="Times New Roman"/>
      <w:sz w:val="20"/>
      <w:szCs w:val="20"/>
      <w:lang w:val="it-IT" w:eastAsia="it-IT" w:bidi="it-IT"/>
    </w:rPr>
  </w:style>
  <w:style w:type="character" w:customStyle="1" w:styleId="CommentTextChar">
    <w:name w:val="Comment Text Char"/>
    <w:basedOn w:val="DefaultParagraphFont"/>
    <w:link w:val="CommentText"/>
    <w:uiPriority w:val="99"/>
    <w:rsid w:val="00675B1D"/>
    <w:rPr>
      <w:rFonts w:ascii="Arial" w:eastAsia="Times New Roman" w:hAnsi="Arial" w:cs="Times New Roman"/>
      <w:sz w:val="20"/>
      <w:szCs w:val="20"/>
      <w:lang w:val="it-IT" w:eastAsia="it-IT" w:bidi="it-IT"/>
    </w:rPr>
  </w:style>
  <w:style w:type="paragraph" w:styleId="CommentSubject">
    <w:name w:val="annotation subject"/>
    <w:basedOn w:val="CommentText"/>
    <w:next w:val="CommentText"/>
    <w:link w:val="CommentSubjectChar"/>
    <w:uiPriority w:val="99"/>
    <w:semiHidden/>
    <w:unhideWhenUsed/>
    <w:rsid w:val="00675B1D"/>
    <w:rPr>
      <w:b/>
      <w:bCs/>
    </w:rPr>
  </w:style>
  <w:style w:type="character" w:customStyle="1" w:styleId="CommentSubjectChar">
    <w:name w:val="Comment Subject Char"/>
    <w:basedOn w:val="CommentTextChar"/>
    <w:link w:val="CommentSubject"/>
    <w:uiPriority w:val="99"/>
    <w:semiHidden/>
    <w:rsid w:val="00675B1D"/>
    <w:rPr>
      <w:rFonts w:ascii="Arial" w:eastAsia="Times New Roman" w:hAnsi="Arial" w:cs="Times New Roman"/>
      <w:b/>
      <w:bCs/>
      <w:sz w:val="20"/>
      <w:szCs w:val="20"/>
      <w:lang w:val="it-IT" w:eastAsia="it-IT" w:bidi="it-IT"/>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675B1D"/>
    <w:rPr>
      <w:rFonts w:ascii="Arial" w:eastAsia="Times New Roman" w:hAnsi="Arial" w:cs="Times New Roman"/>
      <w:color w:val="808080"/>
      <w:sz w:val="16"/>
      <w:szCs w:val="20"/>
      <w:lang w:val="it-IT" w:eastAsia="it-IT" w:bidi="it-IT"/>
    </w:rPr>
  </w:style>
  <w:style w:type="paragraph" w:styleId="ListParagraph">
    <w:name w:val="List Paragraph"/>
    <w:basedOn w:val="Normal"/>
    <w:uiPriority w:val="34"/>
    <w:qFormat/>
    <w:rsid w:val="00675B1D"/>
    <w:pPr>
      <w:ind w:left="720"/>
      <w:contextualSpacing/>
    </w:pPr>
    <w:rPr>
      <w:lang w:val="it-IT" w:eastAsia="it-IT" w:bidi="it-IT"/>
    </w:rPr>
  </w:style>
  <w:style w:type="paragraph" w:customStyle="1" w:styleId="Default">
    <w:name w:val="Default"/>
    <w:rsid w:val="00675B1D"/>
    <w:pPr>
      <w:autoSpaceDE w:val="0"/>
      <w:autoSpaceDN w:val="0"/>
      <w:adjustRightInd w:val="0"/>
      <w:spacing w:after="0" w:line="240" w:lineRule="auto"/>
    </w:pPr>
    <w:rPr>
      <w:rFonts w:ascii="EUAlbertina" w:hAnsi="EUAlbertina" w:cs="EUAlbertina"/>
      <w:color w:val="000000"/>
      <w:sz w:val="24"/>
      <w:szCs w:val="24"/>
      <w:lang w:val="it-IT" w:eastAsia="it-IT" w:bidi="it-IT"/>
    </w:rPr>
  </w:style>
  <w:style w:type="paragraph" w:styleId="Caption">
    <w:name w:val="caption"/>
    <w:aliases w:val="Table"/>
    <w:basedOn w:val="Normal"/>
    <w:next w:val="Normal"/>
    <w:link w:val="CaptionChar"/>
    <w:qFormat/>
    <w:rsid w:val="00675B1D"/>
    <w:pPr>
      <w:keepNext/>
      <w:keepLines/>
      <w:spacing w:after="120" w:line="240" w:lineRule="auto"/>
      <w:jc w:val="both"/>
    </w:pPr>
    <w:rPr>
      <w:rFonts w:ascii="Arial" w:eastAsia="Times New Roman" w:hAnsi="Arial" w:cs="Times New Roman"/>
      <w:b/>
      <w:bCs/>
      <w:sz w:val="16"/>
      <w:szCs w:val="20"/>
      <w:lang w:val="it-IT" w:eastAsia="it-IT" w:bidi="it-IT"/>
    </w:rPr>
  </w:style>
  <w:style w:type="character" w:customStyle="1" w:styleId="CaptionChar">
    <w:name w:val="Caption Char"/>
    <w:aliases w:val="Table Char"/>
    <w:link w:val="Caption"/>
    <w:locked/>
    <w:rsid w:val="00675B1D"/>
    <w:rPr>
      <w:rFonts w:ascii="Arial" w:eastAsia="Times New Roman" w:hAnsi="Arial" w:cs="Times New Roman"/>
      <w:b/>
      <w:bCs/>
      <w:sz w:val="16"/>
      <w:szCs w:val="20"/>
      <w:lang w:val="it-IT" w:eastAsia="it-IT" w:bidi="it-IT"/>
    </w:rPr>
  </w:style>
  <w:style w:type="paragraph" w:styleId="Subtitle">
    <w:name w:val="Subtitle"/>
    <w:basedOn w:val="Normal"/>
    <w:next w:val="Normal"/>
    <w:link w:val="SubtitleChar"/>
    <w:uiPriority w:val="11"/>
    <w:qFormat/>
    <w:rsid w:val="00675B1D"/>
    <w:pPr>
      <w:numPr>
        <w:ilvl w:val="1"/>
      </w:numPr>
    </w:pPr>
    <w:rPr>
      <w:rFonts w:eastAsiaTheme="minorEastAsia"/>
      <w:color w:val="5A5A5A" w:themeColor="text1" w:themeTint="A5"/>
      <w:spacing w:val="15"/>
      <w:lang w:val="it-IT" w:eastAsia="it-IT" w:bidi="it-IT"/>
    </w:rPr>
  </w:style>
  <w:style w:type="character" w:customStyle="1" w:styleId="SubtitleChar">
    <w:name w:val="Subtitle Char"/>
    <w:basedOn w:val="DefaultParagraphFont"/>
    <w:link w:val="Subtitle"/>
    <w:uiPriority w:val="11"/>
    <w:rsid w:val="00675B1D"/>
    <w:rPr>
      <w:rFonts w:eastAsiaTheme="minorEastAsia"/>
      <w:color w:val="5A5A5A" w:themeColor="text1" w:themeTint="A5"/>
      <w:spacing w:val="15"/>
      <w:lang w:val="it-IT" w:eastAsia="it-IT" w:bidi="it-IT"/>
    </w:rPr>
  </w:style>
  <w:style w:type="character" w:styleId="Emphasis">
    <w:name w:val="Emphasis"/>
    <w:basedOn w:val="DefaultParagraphFont"/>
    <w:uiPriority w:val="20"/>
    <w:qFormat/>
    <w:rsid w:val="00675B1D"/>
    <w:rPr>
      <w:i/>
      <w:iCs/>
    </w:rPr>
  </w:style>
  <w:style w:type="paragraph" w:styleId="NormalWeb">
    <w:name w:val="Normal (Web)"/>
    <w:basedOn w:val="Normal"/>
    <w:uiPriority w:val="99"/>
    <w:semiHidden/>
    <w:unhideWhenUsed/>
    <w:rsid w:val="00675B1D"/>
    <w:pPr>
      <w:spacing w:before="100" w:beforeAutospacing="1" w:after="100" w:afterAutospacing="1" w:line="240" w:lineRule="auto"/>
    </w:pPr>
    <w:rPr>
      <w:rFonts w:ascii="Times New Roman" w:eastAsia="Times New Roman" w:hAnsi="Times New Roman" w:cs="Times New Roman"/>
      <w:sz w:val="24"/>
      <w:szCs w:val="24"/>
      <w:lang w:val="it-IT" w:eastAsia="it-IT" w:bidi="it-IT"/>
    </w:rPr>
  </w:style>
  <w:style w:type="character" w:styleId="IntenseEmphasis">
    <w:name w:val="Intense Emphasis"/>
    <w:basedOn w:val="DefaultParagraphFont"/>
    <w:uiPriority w:val="21"/>
    <w:qFormat/>
    <w:rsid w:val="00675B1D"/>
    <w:rPr>
      <w:i/>
      <w:iCs/>
      <w:color w:val="5B9BD5" w:themeColor="accent1"/>
    </w:rPr>
  </w:style>
  <w:style w:type="character" w:styleId="IntenseReference">
    <w:name w:val="Intense Reference"/>
    <w:basedOn w:val="DefaultParagraphFont"/>
    <w:uiPriority w:val="32"/>
    <w:qFormat/>
    <w:rsid w:val="00675B1D"/>
    <w:rPr>
      <w:b/>
      <w:bCs/>
      <w:smallCaps/>
      <w:color w:val="5B9BD5" w:themeColor="accent1"/>
      <w:spacing w:val="5"/>
    </w:rPr>
  </w:style>
  <w:style w:type="paragraph" w:styleId="Title">
    <w:name w:val="Title"/>
    <w:basedOn w:val="Normal"/>
    <w:link w:val="TitleChar"/>
    <w:qFormat/>
    <w:rsid w:val="00675B1D"/>
    <w:pPr>
      <w:spacing w:before="240" w:after="60" w:line="240" w:lineRule="auto"/>
      <w:outlineLvl w:val="4"/>
    </w:pPr>
    <w:rPr>
      <w:rFonts w:ascii="Arial" w:eastAsia="Times New Roman" w:hAnsi="Arial" w:cs="Times New Roman"/>
      <w:b/>
      <w:i/>
      <w:snapToGrid w:val="0"/>
      <w:color w:val="749B29"/>
      <w:kern w:val="28"/>
      <w:sz w:val="20"/>
      <w:szCs w:val="20"/>
      <w:lang w:val="it-IT" w:eastAsia="it-IT" w:bidi="it-IT"/>
    </w:rPr>
  </w:style>
  <w:style w:type="character" w:customStyle="1" w:styleId="TitleChar">
    <w:name w:val="Title Char"/>
    <w:basedOn w:val="DefaultParagraphFont"/>
    <w:link w:val="Title"/>
    <w:rsid w:val="00675B1D"/>
    <w:rPr>
      <w:rFonts w:ascii="Arial" w:eastAsia="Times New Roman" w:hAnsi="Arial" w:cs="Times New Roman"/>
      <w:b/>
      <w:i/>
      <w:snapToGrid w:val="0"/>
      <w:color w:val="749B29"/>
      <w:kern w:val="28"/>
      <w:sz w:val="20"/>
      <w:szCs w:val="20"/>
      <w:lang w:val="it-IT" w:eastAsia="it-IT" w:bidi="it-IT"/>
    </w:rPr>
  </w:style>
  <w:style w:type="paragraph" w:styleId="BodyText2">
    <w:name w:val="Body Text 2"/>
    <w:basedOn w:val="Normal"/>
    <w:link w:val="BodyText2Char"/>
    <w:rsid w:val="00675B1D"/>
    <w:pPr>
      <w:spacing w:after="0" w:line="240" w:lineRule="auto"/>
      <w:jc w:val="both"/>
    </w:pPr>
    <w:rPr>
      <w:rFonts w:ascii="Times New Roman" w:eastAsia="Times New Roman" w:hAnsi="Times New Roman" w:cs="Times New Roman"/>
      <w:sz w:val="24"/>
      <w:szCs w:val="20"/>
      <w:lang w:val="it-IT" w:eastAsia="it-IT" w:bidi="it-IT"/>
    </w:rPr>
  </w:style>
  <w:style w:type="character" w:customStyle="1" w:styleId="BodyText2Char">
    <w:name w:val="Body Text 2 Char"/>
    <w:basedOn w:val="DefaultParagraphFont"/>
    <w:link w:val="BodyText2"/>
    <w:rsid w:val="00675B1D"/>
    <w:rPr>
      <w:rFonts w:ascii="Times New Roman" w:eastAsia="Times New Roman" w:hAnsi="Times New Roman" w:cs="Times New Roman"/>
      <w:sz w:val="24"/>
      <w:szCs w:val="20"/>
      <w:lang w:val="it-IT" w:eastAsia="it-IT" w:bidi="it-IT"/>
    </w:rPr>
  </w:style>
  <w:style w:type="paragraph" w:styleId="BodyText">
    <w:name w:val="Body Text"/>
    <w:basedOn w:val="Normal"/>
    <w:link w:val="BodyTextChar"/>
    <w:uiPriority w:val="99"/>
    <w:rsid w:val="00675B1D"/>
    <w:pPr>
      <w:spacing w:after="120" w:line="240" w:lineRule="auto"/>
      <w:jc w:val="both"/>
    </w:pPr>
    <w:rPr>
      <w:rFonts w:ascii="Arial" w:eastAsia="Times New Roman" w:hAnsi="Arial" w:cs="Times New Roman"/>
      <w:sz w:val="18"/>
      <w:szCs w:val="20"/>
      <w:lang w:val="it-IT" w:eastAsia="it-IT" w:bidi="it-IT"/>
    </w:rPr>
  </w:style>
  <w:style w:type="character" w:customStyle="1" w:styleId="BodyTextChar">
    <w:name w:val="Body Text Char"/>
    <w:basedOn w:val="DefaultParagraphFont"/>
    <w:link w:val="BodyText"/>
    <w:uiPriority w:val="99"/>
    <w:rsid w:val="00675B1D"/>
    <w:rPr>
      <w:rFonts w:ascii="Arial" w:eastAsia="Times New Roman" w:hAnsi="Arial" w:cs="Times New Roman"/>
      <w:sz w:val="18"/>
      <w:szCs w:val="20"/>
      <w:lang w:val="it-IT" w:eastAsia="it-IT" w:bidi="it-IT"/>
    </w:rPr>
  </w:style>
  <w:style w:type="paragraph" w:customStyle="1" w:styleId="Cuerpo">
    <w:name w:val="Cuerpo"/>
    <w:rsid w:val="00675B1D"/>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it-IT" w:eastAsia="it-IT" w:bidi="it-IT"/>
    </w:rPr>
  </w:style>
  <w:style w:type="paragraph" w:styleId="Revision">
    <w:name w:val="Revision"/>
    <w:hidden/>
    <w:uiPriority w:val="99"/>
    <w:semiHidden/>
    <w:rsid w:val="00675B1D"/>
    <w:pPr>
      <w:spacing w:after="0" w:line="240" w:lineRule="auto"/>
    </w:pPr>
    <w:rPr>
      <w:lang w:val="it-IT" w:eastAsia="it-IT" w:bidi="it-IT"/>
    </w:rPr>
  </w:style>
  <w:style w:type="paragraph" w:customStyle="1" w:styleId="CM4">
    <w:name w:val="CM4"/>
    <w:basedOn w:val="Normal"/>
    <w:next w:val="Normal"/>
    <w:uiPriority w:val="99"/>
    <w:rsid w:val="00675B1D"/>
    <w:pPr>
      <w:autoSpaceDE w:val="0"/>
      <w:autoSpaceDN w:val="0"/>
      <w:adjustRightInd w:val="0"/>
      <w:spacing w:after="0" w:line="240" w:lineRule="auto"/>
    </w:pPr>
    <w:rPr>
      <w:rFonts w:ascii="EUAlbertina" w:eastAsia="Times New Roman" w:hAnsi="EUAlbertina" w:cs="Times New Roman"/>
      <w:sz w:val="24"/>
      <w:szCs w:val="24"/>
      <w:lang w:val="it-IT" w:eastAsia="it-IT" w:bidi="it-IT"/>
    </w:rPr>
  </w:style>
  <w:style w:type="table" w:styleId="LightList-Accent3">
    <w:name w:val="Light List Accent 3"/>
    <w:basedOn w:val="TableNormal"/>
    <w:uiPriority w:val="61"/>
    <w:rsid w:val="00675B1D"/>
    <w:pPr>
      <w:spacing w:after="0" w:line="240" w:lineRule="auto"/>
    </w:pPr>
    <w:rPr>
      <w:rFonts w:ascii="Times New Roman" w:eastAsia="Times New Roman" w:hAnsi="Times New Roman" w:cs="Times New Roman"/>
      <w:sz w:val="20"/>
      <w:szCs w:val="20"/>
      <w:lang w:val="it-IT" w:eastAsia="it-IT" w:bidi="it-IT"/>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675B1D"/>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675B1D"/>
    <w:rPr>
      <w:rFonts w:ascii="Calibri" w:eastAsia="Arial Unicode MS" w:hAnsi="Calibri" w:cs="Calibri"/>
      <w:bdr w:val="nil"/>
      <w:lang w:val="it-IT" w:eastAsia="it-IT" w:bidi="it-IT"/>
    </w:rPr>
  </w:style>
  <w:style w:type="paragraph" w:styleId="NoSpacing">
    <w:name w:val="No Spacing"/>
    <w:uiPriority w:val="1"/>
    <w:qFormat/>
    <w:rsid w:val="00675B1D"/>
    <w:pPr>
      <w:spacing w:after="0" w:line="240" w:lineRule="auto"/>
    </w:pPr>
    <w:rPr>
      <w:lang w:val="it-IT" w:eastAsia="it-IT" w:bidi="it-IT"/>
    </w:rPr>
  </w:style>
  <w:style w:type="table" w:customStyle="1" w:styleId="TableGrid2">
    <w:name w:val="Table Grid2"/>
    <w:basedOn w:val="TableNormal"/>
    <w:next w:val="TableGrid"/>
    <w:uiPriority w:val="39"/>
    <w:rsid w:val="00675B1D"/>
    <w:pPr>
      <w:spacing w:after="0" w:line="240" w:lineRule="auto"/>
    </w:pPr>
    <w:rPr>
      <w:lang w:val="it-IT" w:eastAsia="it-IT" w:bidi="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75B1D"/>
  </w:style>
  <w:style w:type="table" w:customStyle="1" w:styleId="Mriekatabuky1">
    <w:name w:val="Mriežka tabuľky1"/>
    <w:basedOn w:val="TableNormal"/>
    <w:next w:val="TableGrid"/>
    <w:uiPriority w:val="59"/>
    <w:rsid w:val="00675B1D"/>
    <w:pPr>
      <w:spacing w:after="0" w:line="240" w:lineRule="auto"/>
    </w:pPr>
    <w:rPr>
      <w:rFonts w:ascii="Calibri" w:eastAsia="Times New Roman" w:hAnsi="Calibri" w:cs="Times New Roman"/>
      <w:sz w:val="24"/>
      <w:szCs w:val="24"/>
      <w:lang w:val="it-IT" w:eastAsia="it-IT" w:bidi="it-IT"/>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675B1D"/>
    <w:pPr>
      <w:spacing w:after="0" w:line="240" w:lineRule="auto"/>
    </w:pPr>
    <w:rPr>
      <w:rFonts w:ascii="Times New Roman" w:eastAsia="Times New Roman" w:hAnsi="Times New Roman" w:cs="Times New Roman"/>
      <w:color w:val="C45911" w:themeColor="accent2" w:themeShade="BF"/>
      <w:sz w:val="20"/>
      <w:szCs w:val="20"/>
      <w:lang w:val="it-IT" w:eastAsia="it-IT" w:bidi="it-IT"/>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675B1D"/>
    <w:pPr>
      <w:spacing w:after="0" w:line="240" w:lineRule="auto"/>
    </w:pPr>
    <w:rPr>
      <w:rFonts w:ascii="Times New Roman" w:eastAsia="Times New Roman" w:hAnsi="Times New Roman" w:cs="Times New Roman"/>
      <w:color w:val="7B7B7B" w:themeColor="accent3" w:themeShade="BF"/>
      <w:sz w:val="20"/>
      <w:szCs w:val="20"/>
      <w:lang w:val="it-IT" w:eastAsia="it-IT" w:bidi="it-IT"/>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675B1D"/>
    <w:pPr>
      <w:spacing w:after="0" w:line="240" w:lineRule="auto"/>
    </w:pPr>
    <w:rPr>
      <w:rFonts w:ascii="Times New Roman" w:eastAsia="Times New Roman" w:hAnsi="Times New Roman" w:cs="Times New Roman"/>
      <w:sz w:val="20"/>
      <w:szCs w:val="20"/>
      <w:lang w:val="it-IT" w:eastAsia="it-IT" w:bidi="it-IT"/>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675B1D"/>
    <w:rPr>
      <w:color w:val="954F72" w:themeColor="followedHyperlink"/>
      <w:u w:val="single"/>
    </w:rPr>
  </w:style>
  <w:style w:type="paragraph" w:customStyle="1" w:styleId="Normal1">
    <w:name w:val="Normal1"/>
    <w:next w:val="Normal"/>
    <w:rsid w:val="00675B1D"/>
    <w:pPr>
      <w:numPr>
        <w:numId w:val="20"/>
      </w:numPr>
      <w:spacing w:after="120" w:line="280" w:lineRule="atLeast"/>
      <w:jc w:val="both"/>
    </w:pPr>
    <w:rPr>
      <w:rFonts w:ascii="Arial" w:eastAsia="Times New Roman" w:hAnsi="Arial" w:cs="Times New Roman"/>
      <w:sz w:val="20"/>
      <w:lang w:val="it-IT" w:eastAsia="it-IT" w:bidi="it-IT"/>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675B1D"/>
    <w:rPr>
      <w:rFonts w:ascii="Arial" w:hAnsi="Arial" w:cs="Times New Roman"/>
      <w:sz w:val="16"/>
      <w:lang w:val="it-IT" w:eastAsia="it-IT"/>
    </w:rPr>
  </w:style>
  <w:style w:type="paragraph" w:customStyle="1" w:styleId="H-Standard">
    <w:name w:val="H-Standard"/>
    <w:basedOn w:val="Normal"/>
    <w:qFormat/>
    <w:rsid w:val="00675B1D"/>
    <w:pPr>
      <w:spacing w:after="120" w:line="280" w:lineRule="atLeast"/>
      <w:jc w:val="both"/>
    </w:pPr>
    <w:rPr>
      <w:rFonts w:ascii="Arial" w:eastAsia="Times New Roman" w:hAnsi="Arial" w:cs="Arial"/>
      <w:color w:val="576C88" w:themeColor="text2" w:themeTint="D9"/>
      <w:sz w:val="20"/>
      <w:szCs w:val="18"/>
      <w:lang w:val="it-IT" w:eastAsia="it-IT" w:bidi="it-IT"/>
    </w:rPr>
  </w:style>
  <w:style w:type="paragraph" w:customStyle="1" w:styleId="H-Heading1">
    <w:name w:val="H-Heading 1"/>
    <w:basedOn w:val="Heading1"/>
    <w:qFormat/>
    <w:rsid w:val="00675B1D"/>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675B1D"/>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675B1D"/>
    <w:pPr>
      <w:numPr>
        <w:ilvl w:val="1"/>
        <w:numId w:val="22"/>
      </w:numPr>
      <w:spacing w:before="240" w:after="240"/>
    </w:pPr>
    <w:rPr>
      <w:caps w:val="0"/>
      <w:color w:val="6F6F6F"/>
      <w:sz w:val="20"/>
    </w:rPr>
  </w:style>
  <w:style w:type="paragraph" w:customStyle="1" w:styleId="H-Heading3">
    <w:name w:val="H-Heading 3"/>
    <w:basedOn w:val="H-Heading2"/>
    <w:rsid w:val="00675B1D"/>
    <w:pPr>
      <w:numPr>
        <w:ilvl w:val="2"/>
        <w:numId w:val="23"/>
      </w:numPr>
    </w:pPr>
    <w:rPr>
      <w:b w:val="0"/>
      <w:color w:val="DF6532"/>
    </w:rPr>
  </w:style>
  <w:style w:type="paragraph" w:customStyle="1" w:styleId="H-Heading4">
    <w:name w:val="H-Heading 4"/>
    <w:basedOn w:val="H-Heading3"/>
    <w:qFormat/>
    <w:rsid w:val="00675B1D"/>
    <w:pPr>
      <w:numPr>
        <w:ilvl w:val="0"/>
        <w:numId w:val="0"/>
      </w:numPr>
    </w:pPr>
    <w:rPr>
      <w:b/>
      <w:color w:val="6E8967"/>
    </w:rPr>
  </w:style>
  <w:style w:type="paragraph" w:styleId="Bibliography">
    <w:name w:val="Bibliography"/>
    <w:basedOn w:val="Normal"/>
    <w:next w:val="Normal"/>
    <w:uiPriority w:val="37"/>
    <w:semiHidden/>
    <w:unhideWhenUsed/>
    <w:rsid w:val="00675B1D"/>
    <w:pPr>
      <w:spacing w:before="60" w:after="140" w:line="220" w:lineRule="atLeast"/>
      <w:jc w:val="both"/>
    </w:pPr>
    <w:rPr>
      <w:rFonts w:ascii="Arial" w:eastAsia="Times New Roman" w:hAnsi="Arial" w:cs="Times New Roman"/>
      <w:sz w:val="18"/>
      <w:szCs w:val="24"/>
      <w:lang w:val="it-IT" w:eastAsia="it-IT" w:bidi="it-IT"/>
    </w:rPr>
  </w:style>
  <w:style w:type="paragraph" w:styleId="BlockText">
    <w:name w:val="Block Text"/>
    <w:basedOn w:val="Normal"/>
    <w:uiPriority w:val="99"/>
    <w:semiHidden/>
    <w:unhideWhenUsed/>
    <w:rsid w:val="00675B1D"/>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it-IT" w:eastAsia="it-IT" w:bidi="it-IT"/>
    </w:rPr>
  </w:style>
  <w:style w:type="paragraph" w:styleId="BodyText3">
    <w:name w:val="Body Text 3"/>
    <w:basedOn w:val="Normal"/>
    <w:link w:val="BodyText3Char"/>
    <w:uiPriority w:val="99"/>
    <w:semiHidden/>
    <w:unhideWhenUsed/>
    <w:rsid w:val="00675B1D"/>
    <w:pPr>
      <w:spacing w:before="60" w:after="120" w:line="220" w:lineRule="atLeast"/>
      <w:jc w:val="both"/>
    </w:pPr>
    <w:rPr>
      <w:rFonts w:ascii="Arial" w:eastAsia="Times New Roman" w:hAnsi="Arial" w:cs="Times New Roman"/>
      <w:sz w:val="16"/>
      <w:szCs w:val="16"/>
      <w:lang w:val="it-IT" w:eastAsia="it-IT" w:bidi="it-IT"/>
    </w:rPr>
  </w:style>
  <w:style w:type="character" w:customStyle="1" w:styleId="BodyText3Char">
    <w:name w:val="Body Text 3 Char"/>
    <w:basedOn w:val="DefaultParagraphFont"/>
    <w:link w:val="BodyText3"/>
    <w:uiPriority w:val="99"/>
    <w:semiHidden/>
    <w:rsid w:val="00675B1D"/>
    <w:rPr>
      <w:rFonts w:ascii="Arial" w:eastAsia="Times New Roman" w:hAnsi="Arial" w:cs="Times New Roman"/>
      <w:sz w:val="16"/>
      <w:szCs w:val="16"/>
      <w:lang w:val="it-IT" w:eastAsia="it-IT" w:bidi="it-IT"/>
    </w:rPr>
  </w:style>
  <w:style w:type="paragraph" w:styleId="BodyTextFirstIndent">
    <w:name w:val="Body Text First Indent"/>
    <w:basedOn w:val="BodyText"/>
    <w:link w:val="BodyTextFirstIndentChar"/>
    <w:uiPriority w:val="99"/>
    <w:semiHidden/>
    <w:unhideWhenUsed/>
    <w:rsid w:val="00675B1D"/>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675B1D"/>
    <w:rPr>
      <w:rFonts w:ascii="Arial" w:eastAsia="Times New Roman" w:hAnsi="Arial" w:cs="Times New Roman"/>
      <w:sz w:val="18"/>
      <w:szCs w:val="24"/>
      <w:lang w:val="it-IT" w:eastAsia="it-IT" w:bidi="it-IT"/>
    </w:rPr>
  </w:style>
  <w:style w:type="paragraph" w:styleId="BodyTextIndent">
    <w:name w:val="Body Text Indent"/>
    <w:basedOn w:val="Normal"/>
    <w:link w:val="BodyTextIndentChar"/>
    <w:uiPriority w:val="99"/>
    <w:semiHidden/>
    <w:unhideWhenUsed/>
    <w:rsid w:val="00675B1D"/>
    <w:pPr>
      <w:spacing w:before="60" w:after="120" w:line="220" w:lineRule="atLeast"/>
      <w:ind w:left="283"/>
      <w:jc w:val="both"/>
    </w:pPr>
    <w:rPr>
      <w:rFonts w:ascii="Arial" w:eastAsia="Times New Roman" w:hAnsi="Arial" w:cs="Times New Roman"/>
      <w:sz w:val="18"/>
      <w:szCs w:val="24"/>
      <w:lang w:val="it-IT" w:eastAsia="it-IT" w:bidi="it-IT"/>
    </w:rPr>
  </w:style>
  <w:style w:type="character" w:customStyle="1" w:styleId="BodyTextIndentChar">
    <w:name w:val="Body Text Indent Char"/>
    <w:basedOn w:val="DefaultParagraphFont"/>
    <w:link w:val="BodyTextIndent"/>
    <w:uiPriority w:val="99"/>
    <w:semiHidden/>
    <w:rsid w:val="00675B1D"/>
    <w:rPr>
      <w:rFonts w:ascii="Arial" w:eastAsia="Times New Roman" w:hAnsi="Arial" w:cs="Times New Roman"/>
      <w:sz w:val="18"/>
      <w:szCs w:val="24"/>
      <w:lang w:val="it-IT" w:eastAsia="it-IT" w:bidi="it-IT"/>
    </w:rPr>
  </w:style>
  <w:style w:type="paragraph" w:styleId="BodyTextFirstIndent2">
    <w:name w:val="Body Text First Indent 2"/>
    <w:basedOn w:val="BodyTextIndent"/>
    <w:link w:val="BodyTextFirstIndent2Char"/>
    <w:uiPriority w:val="99"/>
    <w:semiHidden/>
    <w:unhideWhenUsed/>
    <w:rsid w:val="00675B1D"/>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675B1D"/>
    <w:rPr>
      <w:rFonts w:ascii="Arial" w:eastAsia="Times New Roman" w:hAnsi="Arial" w:cs="Times New Roman"/>
      <w:sz w:val="18"/>
      <w:szCs w:val="24"/>
      <w:lang w:val="it-IT" w:eastAsia="it-IT" w:bidi="it-IT"/>
    </w:rPr>
  </w:style>
  <w:style w:type="paragraph" w:styleId="BodyTextIndent2">
    <w:name w:val="Body Text Indent 2"/>
    <w:basedOn w:val="Normal"/>
    <w:link w:val="BodyTextIndent2Char"/>
    <w:uiPriority w:val="99"/>
    <w:semiHidden/>
    <w:unhideWhenUsed/>
    <w:rsid w:val="00675B1D"/>
    <w:pPr>
      <w:spacing w:before="60" w:after="120" w:line="480" w:lineRule="auto"/>
      <w:ind w:left="283"/>
      <w:jc w:val="both"/>
    </w:pPr>
    <w:rPr>
      <w:rFonts w:ascii="Arial" w:eastAsia="Times New Roman" w:hAnsi="Arial" w:cs="Times New Roman"/>
      <w:sz w:val="18"/>
      <w:szCs w:val="24"/>
      <w:lang w:val="it-IT" w:eastAsia="it-IT" w:bidi="it-IT"/>
    </w:rPr>
  </w:style>
  <w:style w:type="character" w:customStyle="1" w:styleId="BodyTextIndent2Char">
    <w:name w:val="Body Text Indent 2 Char"/>
    <w:basedOn w:val="DefaultParagraphFont"/>
    <w:link w:val="BodyTextIndent2"/>
    <w:uiPriority w:val="99"/>
    <w:semiHidden/>
    <w:rsid w:val="00675B1D"/>
    <w:rPr>
      <w:rFonts w:ascii="Arial" w:eastAsia="Times New Roman" w:hAnsi="Arial" w:cs="Times New Roman"/>
      <w:sz w:val="18"/>
      <w:szCs w:val="24"/>
      <w:lang w:val="it-IT" w:eastAsia="it-IT" w:bidi="it-IT"/>
    </w:rPr>
  </w:style>
  <w:style w:type="paragraph" w:styleId="BodyTextIndent3">
    <w:name w:val="Body Text Indent 3"/>
    <w:basedOn w:val="Normal"/>
    <w:link w:val="BodyTextIndent3Char"/>
    <w:uiPriority w:val="99"/>
    <w:semiHidden/>
    <w:unhideWhenUsed/>
    <w:rsid w:val="00675B1D"/>
    <w:pPr>
      <w:spacing w:before="60" w:after="120" w:line="220" w:lineRule="atLeast"/>
      <w:ind w:left="283"/>
      <w:jc w:val="both"/>
    </w:pPr>
    <w:rPr>
      <w:rFonts w:ascii="Arial" w:eastAsia="Times New Roman" w:hAnsi="Arial" w:cs="Times New Roman"/>
      <w:sz w:val="16"/>
      <w:szCs w:val="16"/>
      <w:lang w:val="it-IT" w:eastAsia="it-IT" w:bidi="it-IT"/>
    </w:rPr>
  </w:style>
  <w:style w:type="character" w:customStyle="1" w:styleId="BodyTextIndent3Char">
    <w:name w:val="Body Text Indent 3 Char"/>
    <w:basedOn w:val="DefaultParagraphFont"/>
    <w:link w:val="BodyTextIndent3"/>
    <w:uiPriority w:val="99"/>
    <w:semiHidden/>
    <w:rsid w:val="00675B1D"/>
    <w:rPr>
      <w:rFonts w:ascii="Arial" w:eastAsia="Times New Roman" w:hAnsi="Arial" w:cs="Times New Roman"/>
      <w:sz w:val="16"/>
      <w:szCs w:val="16"/>
      <w:lang w:val="it-IT" w:eastAsia="it-IT" w:bidi="it-IT"/>
    </w:rPr>
  </w:style>
  <w:style w:type="paragraph" w:styleId="Closing">
    <w:name w:val="Closing"/>
    <w:basedOn w:val="Normal"/>
    <w:link w:val="ClosingChar"/>
    <w:uiPriority w:val="99"/>
    <w:semiHidden/>
    <w:unhideWhenUsed/>
    <w:rsid w:val="00675B1D"/>
    <w:pPr>
      <w:spacing w:after="0" w:line="240" w:lineRule="auto"/>
      <w:ind w:left="4252"/>
      <w:jc w:val="both"/>
    </w:pPr>
    <w:rPr>
      <w:rFonts w:ascii="Arial" w:eastAsia="Times New Roman" w:hAnsi="Arial" w:cs="Times New Roman"/>
      <w:sz w:val="18"/>
      <w:szCs w:val="24"/>
      <w:lang w:val="it-IT" w:eastAsia="it-IT" w:bidi="it-IT"/>
    </w:rPr>
  </w:style>
  <w:style w:type="character" w:customStyle="1" w:styleId="ClosingChar">
    <w:name w:val="Closing Char"/>
    <w:basedOn w:val="DefaultParagraphFont"/>
    <w:link w:val="Closing"/>
    <w:uiPriority w:val="99"/>
    <w:semiHidden/>
    <w:rsid w:val="00675B1D"/>
    <w:rPr>
      <w:rFonts w:ascii="Arial" w:eastAsia="Times New Roman" w:hAnsi="Arial" w:cs="Times New Roman"/>
      <w:sz w:val="18"/>
      <w:szCs w:val="24"/>
      <w:lang w:val="it-IT" w:eastAsia="it-IT" w:bidi="it-IT"/>
    </w:rPr>
  </w:style>
  <w:style w:type="paragraph" w:styleId="Date">
    <w:name w:val="Date"/>
    <w:basedOn w:val="Normal"/>
    <w:next w:val="Normal"/>
    <w:link w:val="DateChar"/>
    <w:uiPriority w:val="99"/>
    <w:semiHidden/>
    <w:unhideWhenUsed/>
    <w:rsid w:val="00675B1D"/>
    <w:pPr>
      <w:spacing w:before="60" w:after="140" w:line="220" w:lineRule="atLeast"/>
      <w:jc w:val="both"/>
    </w:pPr>
    <w:rPr>
      <w:rFonts w:ascii="Arial" w:eastAsia="Times New Roman" w:hAnsi="Arial" w:cs="Times New Roman"/>
      <w:sz w:val="18"/>
      <w:szCs w:val="24"/>
      <w:lang w:val="it-IT" w:eastAsia="it-IT" w:bidi="it-IT"/>
    </w:rPr>
  </w:style>
  <w:style w:type="character" w:customStyle="1" w:styleId="DateChar">
    <w:name w:val="Date Char"/>
    <w:basedOn w:val="DefaultParagraphFont"/>
    <w:link w:val="Date"/>
    <w:uiPriority w:val="99"/>
    <w:semiHidden/>
    <w:rsid w:val="00675B1D"/>
    <w:rPr>
      <w:rFonts w:ascii="Arial" w:eastAsia="Times New Roman" w:hAnsi="Arial" w:cs="Times New Roman"/>
      <w:sz w:val="18"/>
      <w:szCs w:val="24"/>
      <w:lang w:val="it-IT" w:eastAsia="it-IT" w:bidi="it-IT"/>
    </w:rPr>
  </w:style>
  <w:style w:type="paragraph" w:styleId="E-mailSignature">
    <w:name w:val="E-mail Signature"/>
    <w:basedOn w:val="Normal"/>
    <w:link w:val="E-mailSignatureChar"/>
    <w:uiPriority w:val="99"/>
    <w:semiHidden/>
    <w:unhideWhenUsed/>
    <w:rsid w:val="00675B1D"/>
    <w:pPr>
      <w:spacing w:after="0" w:line="240" w:lineRule="auto"/>
      <w:jc w:val="both"/>
    </w:pPr>
    <w:rPr>
      <w:rFonts w:ascii="Arial" w:eastAsia="Times New Roman" w:hAnsi="Arial" w:cs="Times New Roman"/>
      <w:sz w:val="18"/>
      <w:szCs w:val="24"/>
      <w:lang w:val="it-IT" w:eastAsia="it-IT" w:bidi="it-IT"/>
    </w:rPr>
  </w:style>
  <w:style w:type="character" w:customStyle="1" w:styleId="E-mailSignatureChar">
    <w:name w:val="E-mail Signature Char"/>
    <w:basedOn w:val="DefaultParagraphFont"/>
    <w:link w:val="E-mailSignature"/>
    <w:uiPriority w:val="99"/>
    <w:semiHidden/>
    <w:rsid w:val="00675B1D"/>
    <w:rPr>
      <w:rFonts w:ascii="Arial" w:eastAsia="Times New Roman" w:hAnsi="Arial" w:cs="Times New Roman"/>
      <w:sz w:val="18"/>
      <w:szCs w:val="24"/>
      <w:lang w:val="it-IT" w:eastAsia="it-IT" w:bidi="it-IT"/>
    </w:rPr>
  </w:style>
  <w:style w:type="paragraph" w:styleId="EnvelopeAddress">
    <w:name w:val="envelope address"/>
    <w:basedOn w:val="Normal"/>
    <w:uiPriority w:val="99"/>
    <w:semiHidden/>
    <w:unhideWhenUsed/>
    <w:rsid w:val="00675B1D"/>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it-IT" w:eastAsia="it-IT" w:bidi="it-IT"/>
    </w:rPr>
  </w:style>
  <w:style w:type="paragraph" w:styleId="EnvelopeReturn">
    <w:name w:val="envelope return"/>
    <w:basedOn w:val="Normal"/>
    <w:uiPriority w:val="99"/>
    <w:semiHidden/>
    <w:unhideWhenUsed/>
    <w:rsid w:val="00675B1D"/>
    <w:pPr>
      <w:spacing w:after="0" w:line="240" w:lineRule="auto"/>
      <w:jc w:val="both"/>
    </w:pPr>
    <w:rPr>
      <w:rFonts w:asciiTheme="majorHAnsi" w:eastAsiaTheme="majorEastAsia" w:hAnsiTheme="majorHAnsi" w:cstheme="majorBidi"/>
      <w:sz w:val="20"/>
      <w:szCs w:val="20"/>
      <w:lang w:val="it-IT" w:eastAsia="it-IT" w:bidi="it-IT"/>
    </w:rPr>
  </w:style>
  <w:style w:type="paragraph" w:styleId="HTMLAddress">
    <w:name w:val="HTML Address"/>
    <w:basedOn w:val="Normal"/>
    <w:link w:val="HTMLAddressChar"/>
    <w:uiPriority w:val="99"/>
    <w:semiHidden/>
    <w:unhideWhenUsed/>
    <w:rsid w:val="00675B1D"/>
    <w:pPr>
      <w:spacing w:after="0" w:line="240" w:lineRule="auto"/>
      <w:jc w:val="both"/>
    </w:pPr>
    <w:rPr>
      <w:rFonts w:ascii="Arial" w:eastAsia="Times New Roman" w:hAnsi="Arial" w:cs="Times New Roman"/>
      <w:i/>
      <w:iCs/>
      <w:sz w:val="18"/>
      <w:szCs w:val="24"/>
      <w:lang w:val="it-IT" w:eastAsia="it-IT" w:bidi="it-IT"/>
    </w:rPr>
  </w:style>
  <w:style w:type="character" w:customStyle="1" w:styleId="HTMLAddressChar">
    <w:name w:val="HTML Address Char"/>
    <w:basedOn w:val="DefaultParagraphFont"/>
    <w:link w:val="HTMLAddress"/>
    <w:uiPriority w:val="99"/>
    <w:semiHidden/>
    <w:rsid w:val="00675B1D"/>
    <w:rPr>
      <w:rFonts w:ascii="Arial" w:eastAsia="Times New Roman" w:hAnsi="Arial" w:cs="Times New Roman"/>
      <w:i/>
      <w:iCs/>
      <w:sz w:val="18"/>
      <w:szCs w:val="24"/>
      <w:lang w:val="it-IT" w:eastAsia="it-IT" w:bidi="it-IT"/>
    </w:rPr>
  </w:style>
  <w:style w:type="paragraph" w:styleId="HTMLPreformatted">
    <w:name w:val="HTML Preformatted"/>
    <w:basedOn w:val="Normal"/>
    <w:link w:val="HTMLPreformattedChar"/>
    <w:uiPriority w:val="99"/>
    <w:semiHidden/>
    <w:unhideWhenUsed/>
    <w:rsid w:val="00675B1D"/>
    <w:pPr>
      <w:spacing w:after="0" w:line="240" w:lineRule="auto"/>
      <w:jc w:val="both"/>
    </w:pPr>
    <w:rPr>
      <w:rFonts w:ascii="Consolas" w:eastAsia="Times New Roman" w:hAnsi="Consolas" w:cs="Times New Roman"/>
      <w:sz w:val="20"/>
      <w:szCs w:val="20"/>
      <w:lang w:val="it-IT" w:eastAsia="it-IT" w:bidi="it-IT"/>
    </w:rPr>
  </w:style>
  <w:style w:type="character" w:customStyle="1" w:styleId="HTMLPreformattedChar">
    <w:name w:val="HTML Preformatted Char"/>
    <w:basedOn w:val="DefaultParagraphFont"/>
    <w:link w:val="HTMLPreformatted"/>
    <w:uiPriority w:val="99"/>
    <w:semiHidden/>
    <w:rsid w:val="00675B1D"/>
    <w:rPr>
      <w:rFonts w:ascii="Consolas" w:eastAsia="Times New Roman" w:hAnsi="Consolas" w:cs="Times New Roman"/>
      <w:sz w:val="20"/>
      <w:szCs w:val="20"/>
      <w:lang w:val="it-IT" w:eastAsia="it-IT" w:bidi="it-IT"/>
    </w:rPr>
  </w:style>
  <w:style w:type="paragraph" w:styleId="Index1">
    <w:name w:val="index 1"/>
    <w:basedOn w:val="Normal"/>
    <w:next w:val="Normal"/>
    <w:autoRedefine/>
    <w:uiPriority w:val="99"/>
    <w:semiHidden/>
    <w:unhideWhenUsed/>
    <w:rsid w:val="00675B1D"/>
    <w:pPr>
      <w:spacing w:after="0" w:line="240" w:lineRule="auto"/>
      <w:ind w:left="180" w:hanging="180"/>
      <w:jc w:val="both"/>
    </w:pPr>
    <w:rPr>
      <w:rFonts w:ascii="Arial" w:eastAsia="Times New Roman" w:hAnsi="Arial" w:cs="Times New Roman"/>
      <w:sz w:val="18"/>
      <w:szCs w:val="24"/>
      <w:lang w:val="it-IT" w:eastAsia="it-IT" w:bidi="it-IT"/>
    </w:rPr>
  </w:style>
  <w:style w:type="paragraph" w:styleId="Index2">
    <w:name w:val="index 2"/>
    <w:basedOn w:val="Normal"/>
    <w:next w:val="Normal"/>
    <w:autoRedefine/>
    <w:uiPriority w:val="99"/>
    <w:semiHidden/>
    <w:unhideWhenUsed/>
    <w:rsid w:val="00675B1D"/>
    <w:pPr>
      <w:spacing w:after="0" w:line="240" w:lineRule="auto"/>
      <w:ind w:left="360" w:hanging="180"/>
      <w:jc w:val="both"/>
    </w:pPr>
    <w:rPr>
      <w:rFonts w:ascii="Arial" w:eastAsia="Times New Roman" w:hAnsi="Arial" w:cs="Times New Roman"/>
      <w:sz w:val="18"/>
      <w:szCs w:val="24"/>
      <w:lang w:val="it-IT" w:eastAsia="it-IT" w:bidi="it-IT"/>
    </w:rPr>
  </w:style>
  <w:style w:type="paragraph" w:styleId="Index3">
    <w:name w:val="index 3"/>
    <w:basedOn w:val="Normal"/>
    <w:next w:val="Normal"/>
    <w:autoRedefine/>
    <w:uiPriority w:val="99"/>
    <w:semiHidden/>
    <w:unhideWhenUsed/>
    <w:rsid w:val="00675B1D"/>
    <w:pPr>
      <w:spacing w:after="0" w:line="240" w:lineRule="auto"/>
      <w:ind w:left="540" w:hanging="180"/>
      <w:jc w:val="both"/>
    </w:pPr>
    <w:rPr>
      <w:rFonts w:ascii="Arial" w:eastAsia="Times New Roman" w:hAnsi="Arial" w:cs="Times New Roman"/>
      <w:sz w:val="18"/>
      <w:szCs w:val="24"/>
      <w:lang w:val="it-IT" w:eastAsia="it-IT" w:bidi="it-IT"/>
    </w:rPr>
  </w:style>
  <w:style w:type="paragraph" w:styleId="Index4">
    <w:name w:val="index 4"/>
    <w:basedOn w:val="Normal"/>
    <w:next w:val="Normal"/>
    <w:autoRedefine/>
    <w:uiPriority w:val="99"/>
    <w:semiHidden/>
    <w:unhideWhenUsed/>
    <w:rsid w:val="00675B1D"/>
    <w:pPr>
      <w:spacing w:after="0" w:line="240" w:lineRule="auto"/>
      <w:ind w:left="720" w:hanging="180"/>
      <w:jc w:val="both"/>
    </w:pPr>
    <w:rPr>
      <w:rFonts w:ascii="Arial" w:eastAsia="Times New Roman" w:hAnsi="Arial" w:cs="Times New Roman"/>
      <w:sz w:val="18"/>
      <w:szCs w:val="24"/>
      <w:lang w:val="it-IT" w:eastAsia="it-IT" w:bidi="it-IT"/>
    </w:rPr>
  </w:style>
  <w:style w:type="paragraph" w:styleId="Index5">
    <w:name w:val="index 5"/>
    <w:basedOn w:val="Normal"/>
    <w:next w:val="Normal"/>
    <w:autoRedefine/>
    <w:uiPriority w:val="99"/>
    <w:semiHidden/>
    <w:unhideWhenUsed/>
    <w:rsid w:val="00675B1D"/>
    <w:pPr>
      <w:spacing w:after="0" w:line="240" w:lineRule="auto"/>
      <w:ind w:left="900" w:hanging="180"/>
      <w:jc w:val="both"/>
    </w:pPr>
    <w:rPr>
      <w:rFonts w:ascii="Arial" w:eastAsia="Times New Roman" w:hAnsi="Arial" w:cs="Times New Roman"/>
      <w:sz w:val="18"/>
      <w:szCs w:val="24"/>
      <w:lang w:val="it-IT" w:eastAsia="it-IT" w:bidi="it-IT"/>
    </w:rPr>
  </w:style>
  <w:style w:type="paragraph" w:styleId="Index6">
    <w:name w:val="index 6"/>
    <w:basedOn w:val="Normal"/>
    <w:next w:val="Normal"/>
    <w:autoRedefine/>
    <w:uiPriority w:val="99"/>
    <w:semiHidden/>
    <w:unhideWhenUsed/>
    <w:rsid w:val="00675B1D"/>
    <w:pPr>
      <w:spacing w:after="0" w:line="240" w:lineRule="auto"/>
      <w:ind w:left="1080" w:hanging="180"/>
      <w:jc w:val="both"/>
    </w:pPr>
    <w:rPr>
      <w:rFonts w:ascii="Arial" w:eastAsia="Times New Roman" w:hAnsi="Arial" w:cs="Times New Roman"/>
      <w:sz w:val="18"/>
      <w:szCs w:val="24"/>
      <w:lang w:val="it-IT" w:eastAsia="it-IT" w:bidi="it-IT"/>
    </w:rPr>
  </w:style>
  <w:style w:type="paragraph" w:styleId="Index7">
    <w:name w:val="index 7"/>
    <w:basedOn w:val="Normal"/>
    <w:next w:val="Normal"/>
    <w:autoRedefine/>
    <w:uiPriority w:val="99"/>
    <w:semiHidden/>
    <w:unhideWhenUsed/>
    <w:rsid w:val="00675B1D"/>
    <w:pPr>
      <w:spacing w:after="0" w:line="240" w:lineRule="auto"/>
      <w:ind w:left="1260" w:hanging="180"/>
      <w:jc w:val="both"/>
    </w:pPr>
    <w:rPr>
      <w:rFonts w:ascii="Arial" w:eastAsia="Times New Roman" w:hAnsi="Arial" w:cs="Times New Roman"/>
      <w:sz w:val="18"/>
      <w:szCs w:val="24"/>
      <w:lang w:val="it-IT" w:eastAsia="it-IT" w:bidi="it-IT"/>
    </w:rPr>
  </w:style>
  <w:style w:type="paragraph" w:styleId="Index8">
    <w:name w:val="index 8"/>
    <w:basedOn w:val="Normal"/>
    <w:next w:val="Normal"/>
    <w:autoRedefine/>
    <w:uiPriority w:val="99"/>
    <w:semiHidden/>
    <w:unhideWhenUsed/>
    <w:rsid w:val="00675B1D"/>
    <w:pPr>
      <w:spacing w:after="0" w:line="240" w:lineRule="auto"/>
      <w:ind w:left="1440" w:hanging="180"/>
      <w:jc w:val="both"/>
    </w:pPr>
    <w:rPr>
      <w:rFonts w:ascii="Arial" w:eastAsia="Times New Roman" w:hAnsi="Arial" w:cs="Times New Roman"/>
      <w:sz w:val="18"/>
      <w:szCs w:val="24"/>
      <w:lang w:val="it-IT" w:eastAsia="it-IT" w:bidi="it-IT"/>
    </w:rPr>
  </w:style>
  <w:style w:type="paragraph" w:styleId="Index9">
    <w:name w:val="index 9"/>
    <w:basedOn w:val="Normal"/>
    <w:next w:val="Normal"/>
    <w:autoRedefine/>
    <w:uiPriority w:val="99"/>
    <w:semiHidden/>
    <w:unhideWhenUsed/>
    <w:rsid w:val="00675B1D"/>
    <w:pPr>
      <w:spacing w:after="0" w:line="240" w:lineRule="auto"/>
      <w:ind w:left="1620" w:hanging="180"/>
      <w:jc w:val="both"/>
    </w:pPr>
    <w:rPr>
      <w:rFonts w:ascii="Arial" w:eastAsia="Times New Roman" w:hAnsi="Arial" w:cs="Times New Roman"/>
      <w:sz w:val="18"/>
      <w:szCs w:val="24"/>
      <w:lang w:val="it-IT" w:eastAsia="it-IT" w:bidi="it-IT"/>
    </w:rPr>
  </w:style>
  <w:style w:type="paragraph" w:styleId="IndexHeading">
    <w:name w:val="index heading"/>
    <w:basedOn w:val="Normal"/>
    <w:next w:val="Index1"/>
    <w:uiPriority w:val="99"/>
    <w:semiHidden/>
    <w:unhideWhenUsed/>
    <w:rsid w:val="00675B1D"/>
    <w:pPr>
      <w:spacing w:before="60" w:after="140" w:line="220" w:lineRule="atLeast"/>
      <w:jc w:val="both"/>
    </w:pPr>
    <w:rPr>
      <w:rFonts w:asciiTheme="majorHAnsi" w:eastAsiaTheme="majorEastAsia" w:hAnsiTheme="majorHAnsi" w:cstheme="majorBidi"/>
      <w:b/>
      <w:bCs/>
      <w:sz w:val="18"/>
      <w:szCs w:val="24"/>
      <w:lang w:val="it-IT" w:eastAsia="it-IT" w:bidi="it-IT"/>
    </w:rPr>
  </w:style>
  <w:style w:type="paragraph" w:styleId="IntenseQuote">
    <w:name w:val="Intense Quote"/>
    <w:basedOn w:val="Normal"/>
    <w:next w:val="Normal"/>
    <w:link w:val="IntenseQuoteChar"/>
    <w:uiPriority w:val="30"/>
    <w:qFormat/>
    <w:rsid w:val="00675B1D"/>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it-IT" w:eastAsia="it-IT" w:bidi="it-IT"/>
    </w:rPr>
  </w:style>
  <w:style w:type="character" w:customStyle="1" w:styleId="IntenseQuoteChar">
    <w:name w:val="Intense Quote Char"/>
    <w:basedOn w:val="DefaultParagraphFont"/>
    <w:link w:val="IntenseQuote"/>
    <w:uiPriority w:val="30"/>
    <w:rsid w:val="00675B1D"/>
    <w:rPr>
      <w:rFonts w:ascii="Arial" w:eastAsia="Times New Roman" w:hAnsi="Arial" w:cs="Times New Roman"/>
      <w:i/>
      <w:iCs/>
      <w:color w:val="5B9BD5" w:themeColor="accent1"/>
      <w:sz w:val="18"/>
      <w:szCs w:val="24"/>
      <w:lang w:val="it-IT" w:eastAsia="it-IT" w:bidi="it-IT"/>
    </w:rPr>
  </w:style>
  <w:style w:type="paragraph" w:styleId="List">
    <w:name w:val="List"/>
    <w:basedOn w:val="Normal"/>
    <w:uiPriority w:val="99"/>
    <w:semiHidden/>
    <w:unhideWhenUsed/>
    <w:rsid w:val="00675B1D"/>
    <w:pPr>
      <w:spacing w:before="60" w:after="140" w:line="220" w:lineRule="atLeast"/>
      <w:ind w:left="283" w:hanging="283"/>
      <w:contextualSpacing/>
      <w:jc w:val="both"/>
    </w:pPr>
    <w:rPr>
      <w:rFonts w:ascii="Arial" w:eastAsia="Times New Roman" w:hAnsi="Arial" w:cs="Times New Roman"/>
      <w:sz w:val="18"/>
      <w:szCs w:val="24"/>
      <w:lang w:val="it-IT" w:eastAsia="it-IT" w:bidi="it-IT"/>
    </w:rPr>
  </w:style>
  <w:style w:type="paragraph" w:styleId="List2">
    <w:name w:val="List 2"/>
    <w:basedOn w:val="Normal"/>
    <w:uiPriority w:val="99"/>
    <w:semiHidden/>
    <w:unhideWhenUsed/>
    <w:rsid w:val="00675B1D"/>
    <w:pPr>
      <w:spacing w:before="60" w:after="140" w:line="220" w:lineRule="atLeast"/>
      <w:ind w:left="566" w:hanging="283"/>
      <w:contextualSpacing/>
      <w:jc w:val="both"/>
    </w:pPr>
    <w:rPr>
      <w:rFonts w:ascii="Arial" w:eastAsia="Times New Roman" w:hAnsi="Arial" w:cs="Times New Roman"/>
      <w:sz w:val="18"/>
      <w:szCs w:val="24"/>
      <w:lang w:val="it-IT" w:eastAsia="it-IT" w:bidi="it-IT"/>
    </w:rPr>
  </w:style>
  <w:style w:type="paragraph" w:styleId="List3">
    <w:name w:val="List 3"/>
    <w:basedOn w:val="Normal"/>
    <w:uiPriority w:val="99"/>
    <w:semiHidden/>
    <w:unhideWhenUsed/>
    <w:rsid w:val="00675B1D"/>
    <w:pPr>
      <w:spacing w:before="60" w:after="140" w:line="220" w:lineRule="atLeast"/>
      <w:ind w:left="849" w:hanging="283"/>
      <w:contextualSpacing/>
      <w:jc w:val="both"/>
    </w:pPr>
    <w:rPr>
      <w:rFonts w:ascii="Arial" w:eastAsia="Times New Roman" w:hAnsi="Arial" w:cs="Times New Roman"/>
      <w:sz w:val="18"/>
      <w:szCs w:val="24"/>
      <w:lang w:val="it-IT" w:eastAsia="it-IT" w:bidi="it-IT"/>
    </w:rPr>
  </w:style>
  <w:style w:type="paragraph" w:styleId="List4">
    <w:name w:val="List 4"/>
    <w:basedOn w:val="Normal"/>
    <w:uiPriority w:val="99"/>
    <w:semiHidden/>
    <w:unhideWhenUsed/>
    <w:rsid w:val="00675B1D"/>
    <w:pPr>
      <w:spacing w:before="60" w:after="140" w:line="220" w:lineRule="atLeast"/>
      <w:ind w:left="1132" w:hanging="283"/>
      <w:contextualSpacing/>
      <w:jc w:val="both"/>
    </w:pPr>
    <w:rPr>
      <w:rFonts w:ascii="Arial" w:eastAsia="Times New Roman" w:hAnsi="Arial" w:cs="Times New Roman"/>
      <w:sz w:val="18"/>
      <w:szCs w:val="24"/>
      <w:lang w:val="it-IT" w:eastAsia="it-IT" w:bidi="it-IT"/>
    </w:rPr>
  </w:style>
  <w:style w:type="paragraph" w:styleId="List5">
    <w:name w:val="List 5"/>
    <w:basedOn w:val="Normal"/>
    <w:uiPriority w:val="99"/>
    <w:semiHidden/>
    <w:unhideWhenUsed/>
    <w:rsid w:val="00675B1D"/>
    <w:pPr>
      <w:spacing w:before="60" w:after="140" w:line="220" w:lineRule="atLeast"/>
      <w:ind w:left="1415" w:hanging="283"/>
      <w:contextualSpacing/>
      <w:jc w:val="both"/>
    </w:pPr>
    <w:rPr>
      <w:rFonts w:ascii="Arial" w:eastAsia="Times New Roman" w:hAnsi="Arial" w:cs="Times New Roman"/>
      <w:sz w:val="18"/>
      <w:szCs w:val="24"/>
      <w:lang w:val="it-IT" w:eastAsia="it-IT" w:bidi="it-IT"/>
    </w:rPr>
  </w:style>
  <w:style w:type="paragraph" w:styleId="ListBullet">
    <w:name w:val="List Bullet"/>
    <w:basedOn w:val="Normal"/>
    <w:uiPriority w:val="99"/>
    <w:semiHidden/>
    <w:unhideWhenUsed/>
    <w:rsid w:val="00675B1D"/>
    <w:pPr>
      <w:numPr>
        <w:numId w:val="28"/>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Bullet2">
    <w:name w:val="List Bullet 2"/>
    <w:basedOn w:val="Normal"/>
    <w:uiPriority w:val="99"/>
    <w:semiHidden/>
    <w:unhideWhenUsed/>
    <w:rsid w:val="00675B1D"/>
    <w:pPr>
      <w:numPr>
        <w:numId w:val="29"/>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Bullet3">
    <w:name w:val="List Bullet 3"/>
    <w:basedOn w:val="Normal"/>
    <w:uiPriority w:val="99"/>
    <w:semiHidden/>
    <w:unhideWhenUsed/>
    <w:rsid w:val="00675B1D"/>
    <w:pPr>
      <w:numPr>
        <w:numId w:val="30"/>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Bullet4">
    <w:name w:val="List Bullet 4"/>
    <w:basedOn w:val="Normal"/>
    <w:uiPriority w:val="99"/>
    <w:semiHidden/>
    <w:unhideWhenUsed/>
    <w:rsid w:val="00675B1D"/>
    <w:pPr>
      <w:numPr>
        <w:numId w:val="31"/>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Bullet5">
    <w:name w:val="List Bullet 5"/>
    <w:basedOn w:val="Normal"/>
    <w:uiPriority w:val="99"/>
    <w:semiHidden/>
    <w:unhideWhenUsed/>
    <w:rsid w:val="00675B1D"/>
    <w:pPr>
      <w:numPr>
        <w:numId w:val="32"/>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Continue">
    <w:name w:val="List Continue"/>
    <w:basedOn w:val="Normal"/>
    <w:uiPriority w:val="99"/>
    <w:semiHidden/>
    <w:unhideWhenUsed/>
    <w:rsid w:val="00675B1D"/>
    <w:pPr>
      <w:spacing w:before="60" w:after="120" w:line="220" w:lineRule="atLeast"/>
      <w:ind w:left="283"/>
      <w:contextualSpacing/>
      <w:jc w:val="both"/>
    </w:pPr>
    <w:rPr>
      <w:rFonts w:ascii="Arial" w:eastAsia="Times New Roman" w:hAnsi="Arial" w:cs="Times New Roman"/>
      <w:sz w:val="18"/>
      <w:szCs w:val="24"/>
      <w:lang w:val="it-IT" w:eastAsia="it-IT" w:bidi="it-IT"/>
    </w:rPr>
  </w:style>
  <w:style w:type="paragraph" w:styleId="ListContinue2">
    <w:name w:val="List Continue 2"/>
    <w:basedOn w:val="Normal"/>
    <w:uiPriority w:val="99"/>
    <w:semiHidden/>
    <w:unhideWhenUsed/>
    <w:rsid w:val="00675B1D"/>
    <w:pPr>
      <w:spacing w:before="60" w:after="120" w:line="220" w:lineRule="atLeast"/>
      <w:ind w:left="566"/>
      <w:contextualSpacing/>
      <w:jc w:val="both"/>
    </w:pPr>
    <w:rPr>
      <w:rFonts w:ascii="Arial" w:eastAsia="Times New Roman" w:hAnsi="Arial" w:cs="Times New Roman"/>
      <w:sz w:val="18"/>
      <w:szCs w:val="24"/>
      <w:lang w:val="it-IT" w:eastAsia="it-IT" w:bidi="it-IT"/>
    </w:rPr>
  </w:style>
  <w:style w:type="paragraph" w:styleId="ListContinue3">
    <w:name w:val="List Continue 3"/>
    <w:basedOn w:val="Normal"/>
    <w:uiPriority w:val="99"/>
    <w:semiHidden/>
    <w:unhideWhenUsed/>
    <w:rsid w:val="00675B1D"/>
    <w:pPr>
      <w:spacing w:before="60" w:after="120" w:line="220" w:lineRule="atLeast"/>
      <w:ind w:left="849"/>
      <w:contextualSpacing/>
      <w:jc w:val="both"/>
    </w:pPr>
    <w:rPr>
      <w:rFonts w:ascii="Arial" w:eastAsia="Times New Roman" w:hAnsi="Arial" w:cs="Times New Roman"/>
      <w:sz w:val="18"/>
      <w:szCs w:val="24"/>
      <w:lang w:val="it-IT" w:eastAsia="it-IT" w:bidi="it-IT"/>
    </w:rPr>
  </w:style>
  <w:style w:type="paragraph" w:styleId="ListContinue4">
    <w:name w:val="List Continue 4"/>
    <w:basedOn w:val="Normal"/>
    <w:uiPriority w:val="99"/>
    <w:semiHidden/>
    <w:unhideWhenUsed/>
    <w:rsid w:val="00675B1D"/>
    <w:pPr>
      <w:spacing w:before="60" w:after="120" w:line="220" w:lineRule="atLeast"/>
      <w:ind w:left="1132"/>
      <w:contextualSpacing/>
      <w:jc w:val="both"/>
    </w:pPr>
    <w:rPr>
      <w:rFonts w:ascii="Arial" w:eastAsia="Times New Roman" w:hAnsi="Arial" w:cs="Times New Roman"/>
      <w:sz w:val="18"/>
      <w:szCs w:val="24"/>
      <w:lang w:val="it-IT" w:eastAsia="it-IT" w:bidi="it-IT"/>
    </w:rPr>
  </w:style>
  <w:style w:type="paragraph" w:styleId="ListContinue5">
    <w:name w:val="List Continue 5"/>
    <w:basedOn w:val="Normal"/>
    <w:uiPriority w:val="99"/>
    <w:semiHidden/>
    <w:unhideWhenUsed/>
    <w:rsid w:val="00675B1D"/>
    <w:pPr>
      <w:spacing w:before="60" w:after="120" w:line="220" w:lineRule="atLeast"/>
      <w:ind w:left="1415"/>
      <w:contextualSpacing/>
      <w:jc w:val="both"/>
    </w:pPr>
    <w:rPr>
      <w:rFonts w:ascii="Arial" w:eastAsia="Times New Roman" w:hAnsi="Arial" w:cs="Times New Roman"/>
      <w:sz w:val="18"/>
      <w:szCs w:val="24"/>
      <w:lang w:val="it-IT" w:eastAsia="it-IT" w:bidi="it-IT"/>
    </w:rPr>
  </w:style>
  <w:style w:type="paragraph" w:styleId="ListNumber">
    <w:name w:val="List Number"/>
    <w:basedOn w:val="Normal"/>
    <w:uiPriority w:val="99"/>
    <w:semiHidden/>
    <w:unhideWhenUsed/>
    <w:rsid w:val="00675B1D"/>
    <w:pPr>
      <w:numPr>
        <w:numId w:val="33"/>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Number2">
    <w:name w:val="List Number 2"/>
    <w:basedOn w:val="Normal"/>
    <w:uiPriority w:val="99"/>
    <w:semiHidden/>
    <w:unhideWhenUsed/>
    <w:rsid w:val="00675B1D"/>
    <w:pPr>
      <w:numPr>
        <w:numId w:val="34"/>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Number3">
    <w:name w:val="List Number 3"/>
    <w:basedOn w:val="Normal"/>
    <w:uiPriority w:val="99"/>
    <w:semiHidden/>
    <w:unhideWhenUsed/>
    <w:rsid w:val="00675B1D"/>
    <w:pPr>
      <w:numPr>
        <w:numId w:val="35"/>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Number4">
    <w:name w:val="List Number 4"/>
    <w:basedOn w:val="Normal"/>
    <w:uiPriority w:val="99"/>
    <w:semiHidden/>
    <w:unhideWhenUsed/>
    <w:rsid w:val="00675B1D"/>
    <w:pPr>
      <w:numPr>
        <w:numId w:val="36"/>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ListNumber5">
    <w:name w:val="List Number 5"/>
    <w:basedOn w:val="Normal"/>
    <w:uiPriority w:val="99"/>
    <w:semiHidden/>
    <w:unhideWhenUsed/>
    <w:rsid w:val="00675B1D"/>
    <w:pPr>
      <w:numPr>
        <w:numId w:val="37"/>
      </w:numPr>
      <w:spacing w:before="60" w:after="140" w:line="220" w:lineRule="atLeast"/>
      <w:contextualSpacing/>
      <w:jc w:val="both"/>
    </w:pPr>
    <w:rPr>
      <w:rFonts w:ascii="Arial" w:eastAsia="Times New Roman" w:hAnsi="Arial" w:cs="Times New Roman"/>
      <w:sz w:val="18"/>
      <w:szCs w:val="24"/>
      <w:lang w:val="it-IT" w:eastAsia="it-IT" w:bidi="it-IT"/>
    </w:rPr>
  </w:style>
  <w:style w:type="paragraph" w:styleId="MacroText">
    <w:name w:val="macro"/>
    <w:link w:val="MacroTextChar"/>
    <w:uiPriority w:val="99"/>
    <w:semiHidden/>
    <w:unhideWhenUsed/>
    <w:rsid w:val="00675B1D"/>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it-IT" w:eastAsia="it-IT" w:bidi="it-IT"/>
    </w:rPr>
  </w:style>
  <w:style w:type="character" w:customStyle="1" w:styleId="MacroTextChar">
    <w:name w:val="Macro Text Char"/>
    <w:basedOn w:val="DefaultParagraphFont"/>
    <w:link w:val="MacroText"/>
    <w:uiPriority w:val="99"/>
    <w:semiHidden/>
    <w:rsid w:val="00675B1D"/>
    <w:rPr>
      <w:rFonts w:ascii="Consolas" w:eastAsia="Times New Roman" w:hAnsi="Consolas" w:cs="Times New Roman"/>
      <w:sz w:val="20"/>
      <w:szCs w:val="20"/>
      <w:lang w:val="it-IT" w:eastAsia="it-IT" w:bidi="it-IT"/>
    </w:rPr>
  </w:style>
  <w:style w:type="paragraph" w:styleId="MessageHeader">
    <w:name w:val="Message Header"/>
    <w:basedOn w:val="Normal"/>
    <w:link w:val="MessageHeaderChar"/>
    <w:uiPriority w:val="99"/>
    <w:semiHidden/>
    <w:unhideWhenUsed/>
    <w:rsid w:val="00675B1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it-IT" w:eastAsia="it-IT" w:bidi="it-IT"/>
    </w:rPr>
  </w:style>
  <w:style w:type="character" w:customStyle="1" w:styleId="MessageHeaderChar">
    <w:name w:val="Message Header Char"/>
    <w:basedOn w:val="DefaultParagraphFont"/>
    <w:link w:val="MessageHeader"/>
    <w:uiPriority w:val="99"/>
    <w:semiHidden/>
    <w:rsid w:val="00675B1D"/>
    <w:rPr>
      <w:rFonts w:asciiTheme="majorHAnsi" w:eastAsiaTheme="majorEastAsia" w:hAnsiTheme="majorHAnsi" w:cstheme="majorBidi"/>
      <w:sz w:val="24"/>
      <w:szCs w:val="24"/>
      <w:shd w:val="pct20" w:color="auto" w:fill="auto"/>
      <w:lang w:val="it-IT" w:eastAsia="it-IT" w:bidi="it-IT"/>
    </w:rPr>
  </w:style>
  <w:style w:type="paragraph" w:styleId="NormalIndent">
    <w:name w:val="Normal Indent"/>
    <w:basedOn w:val="Normal"/>
    <w:uiPriority w:val="99"/>
    <w:semiHidden/>
    <w:unhideWhenUsed/>
    <w:rsid w:val="00675B1D"/>
    <w:pPr>
      <w:spacing w:before="60" w:after="140" w:line="220" w:lineRule="atLeast"/>
      <w:ind w:left="708"/>
      <w:jc w:val="both"/>
    </w:pPr>
    <w:rPr>
      <w:rFonts w:ascii="Arial" w:eastAsia="Times New Roman" w:hAnsi="Arial" w:cs="Times New Roman"/>
      <w:sz w:val="18"/>
      <w:szCs w:val="24"/>
      <w:lang w:val="it-IT" w:eastAsia="it-IT" w:bidi="it-IT"/>
    </w:rPr>
  </w:style>
  <w:style w:type="paragraph" w:styleId="NoteHeading">
    <w:name w:val="Note Heading"/>
    <w:basedOn w:val="Normal"/>
    <w:next w:val="Normal"/>
    <w:link w:val="NoteHeadingChar"/>
    <w:uiPriority w:val="99"/>
    <w:semiHidden/>
    <w:unhideWhenUsed/>
    <w:rsid w:val="00675B1D"/>
    <w:pPr>
      <w:spacing w:after="0" w:line="240" w:lineRule="auto"/>
      <w:jc w:val="both"/>
    </w:pPr>
    <w:rPr>
      <w:rFonts w:ascii="Arial" w:eastAsia="Times New Roman" w:hAnsi="Arial" w:cs="Times New Roman"/>
      <w:sz w:val="18"/>
      <w:szCs w:val="24"/>
      <w:lang w:val="it-IT" w:eastAsia="it-IT" w:bidi="it-IT"/>
    </w:rPr>
  </w:style>
  <w:style w:type="character" w:customStyle="1" w:styleId="NoteHeadingChar">
    <w:name w:val="Note Heading Char"/>
    <w:basedOn w:val="DefaultParagraphFont"/>
    <w:link w:val="NoteHeading"/>
    <w:uiPriority w:val="99"/>
    <w:semiHidden/>
    <w:rsid w:val="00675B1D"/>
    <w:rPr>
      <w:rFonts w:ascii="Arial" w:eastAsia="Times New Roman" w:hAnsi="Arial" w:cs="Times New Roman"/>
      <w:sz w:val="18"/>
      <w:szCs w:val="24"/>
      <w:lang w:val="it-IT" w:eastAsia="it-IT" w:bidi="it-IT"/>
    </w:rPr>
  </w:style>
  <w:style w:type="paragraph" w:styleId="PlainText">
    <w:name w:val="Plain Text"/>
    <w:basedOn w:val="Normal"/>
    <w:link w:val="PlainTextChar"/>
    <w:uiPriority w:val="99"/>
    <w:semiHidden/>
    <w:unhideWhenUsed/>
    <w:rsid w:val="00675B1D"/>
    <w:pPr>
      <w:spacing w:after="0" w:line="240" w:lineRule="auto"/>
      <w:jc w:val="both"/>
    </w:pPr>
    <w:rPr>
      <w:rFonts w:ascii="Consolas" w:eastAsia="Times New Roman" w:hAnsi="Consolas" w:cs="Times New Roman"/>
      <w:sz w:val="21"/>
      <w:szCs w:val="21"/>
      <w:lang w:val="it-IT" w:eastAsia="it-IT" w:bidi="it-IT"/>
    </w:rPr>
  </w:style>
  <w:style w:type="character" w:customStyle="1" w:styleId="PlainTextChar">
    <w:name w:val="Plain Text Char"/>
    <w:basedOn w:val="DefaultParagraphFont"/>
    <w:link w:val="PlainText"/>
    <w:uiPriority w:val="99"/>
    <w:semiHidden/>
    <w:rsid w:val="00675B1D"/>
    <w:rPr>
      <w:rFonts w:ascii="Consolas" w:eastAsia="Times New Roman" w:hAnsi="Consolas" w:cs="Times New Roman"/>
      <w:sz w:val="21"/>
      <w:szCs w:val="21"/>
      <w:lang w:val="it-IT" w:eastAsia="it-IT" w:bidi="it-IT"/>
    </w:rPr>
  </w:style>
  <w:style w:type="paragraph" w:styleId="Quote">
    <w:name w:val="Quote"/>
    <w:basedOn w:val="Normal"/>
    <w:next w:val="Normal"/>
    <w:link w:val="QuoteChar"/>
    <w:uiPriority w:val="29"/>
    <w:qFormat/>
    <w:rsid w:val="00675B1D"/>
    <w:pPr>
      <w:spacing w:before="200" w:line="220" w:lineRule="atLeast"/>
      <w:ind w:left="864" w:right="864"/>
      <w:jc w:val="center"/>
    </w:pPr>
    <w:rPr>
      <w:rFonts w:ascii="Arial" w:eastAsia="Times New Roman" w:hAnsi="Arial" w:cs="Times New Roman"/>
      <w:i/>
      <w:iCs/>
      <w:color w:val="404040" w:themeColor="text1" w:themeTint="BF"/>
      <w:sz w:val="18"/>
      <w:szCs w:val="24"/>
      <w:lang w:val="it-IT" w:eastAsia="it-IT" w:bidi="it-IT"/>
    </w:rPr>
  </w:style>
  <w:style w:type="character" w:customStyle="1" w:styleId="QuoteChar">
    <w:name w:val="Quote Char"/>
    <w:basedOn w:val="DefaultParagraphFont"/>
    <w:link w:val="Quote"/>
    <w:uiPriority w:val="29"/>
    <w:rsid w:val="00675B1D"/>
    <w:rPr>
      <w:rFonts w:ascii="Arial" w:eastAsia="Times New Roman" w:hAnsi="Arial" w:cs="Times New Roman"/>
      <w:i/>
      <w:iCs/>
      <w:color w:val="404040" w:themeColor="text1" w:themeTint="BF"/>
      <w:sz w:val="18"/>
      <w:szCs w:val="24"/>
      <w:lang w:val="it-IT" w:eastAsia="it-IT" w:bidi="it-IT"/>
    </w:rPr>
  </w:style>
  <w:style w:type="paragraph" w:styleId="Salutation">
    <w:name w:val="Salutation"/>
    <w:basedOn w:val="Normal"/>
    <w:next w:val="Normal"/>
    <w:link w:val="SalutationChar"/>
    <w:uiPriority w:val="99"/>
    <w:semiHidden/>
    <w:unhideWhenUsed/>
    <w:rsid w:val="00675B1D"/>
    <w:pPr>
      <w:spacing w:before="60" w:after="140" w:line="220" w:lineRule="atLeast"/>
      <w:jc w:val="both"/>
    </w:pPr>
    <w:rPr>
      <w:rFonts w:ascii="Arial" w:eastAsia="Times New Roman" w:hAnsi="Arial" w:cs="Times New Roman"/>
      <w:sz w:val="18"/>
      <w:szCs w:val="24"/>
      <w:lang w:val="it-IT" w:eastAsia="it-IT" w:bidi="it-IT"/>
    </w:rPr>
  </w:style>
  <w:style w:type="character" w:customStyle="1" w:styleId="SalutationChar">
    <w:name w:val="Salutation Char"/>
    <w:basedOn w:val="DefaultParagraphFont"/>
    <w:link w:val="Salutation"/>
    <w:uiPriority w:val="99"/>
    <w:semiHidden/>
    <w:rsid w:val="00675B1D"/>
    <w:rPr>
      <w:rFonts w:ascii="Arial" w:eastAsia="Times New Roman" w:hAnsi="Arial" w:cs="Times New Roman"/>
      <w:sz w:val="18"/>
      <w:szCs w:val="24"/>
      <w:lang w:val="it-IT" w:eastAsia="it-IT" w:bidi="it-IT"/>
    </w:rPr>
  </w:style>
  <w:style w:type="paragraph" w:styleId="Signature">
    <w:name w:val="Signature"/>
    <w:basedOn w:val="Normal"/>
    <w:link w:val="SignatureChar"/>
    <w:uiPriority w:val="99"/>
    <w:semiHidden/>
    <w:unhideWhenUsed/>
    <w:rsid w:val="00675B1D"/>
    <w:pPr>
      <w:spacing w:after="0" w:line="240" w:lineRule="auto"/>
      <w:ind w:left="4252"/>
      <w:jc w:val="both"/>
    </w:pPr>
    <w:rPr>
      <w:rFonts w:ascii="Arial" w:eastAsia="Times New Roman" w:hAnsi="Arial" w:cs="Times New Roman"/>
      <w:sz w:val="18"/>
      <w:szCs w:val="24"/>
      <w:lang w:val="it-IT" w:eastAsia="it-IT" w:bidi="it-IT"/>
    </w:rPr>
  </w:style>
  <w:style w:type="character" w:customStyle="1" w:styleId="SignatureChar">
    <w:name w:val="Signature Char"/>
    <w:basedOn w:val="DefaultParagraphFont"/>
    <w:link w:val="Signature"/>
    <w:uiPriority w:val="99"/>
    <w:semiHidden/>
    <w:rsid w:val="00675B1D"/>
    <w:rPr>
      <w:rFonts w:ascii="Arial" w:eastAsia="Times New Roman" w:hAnsi="Arial" w:cs="Times New Roman"/>
      <w:sz w:val="18"/>
      <w:szCs w:val="24"/>
      <w:lang w:val="it-IT" w:eastAsia="it-IT" w:bidi="it-IT"/>
    </w:rPr>
  </w:style>
  <w:style w:type="paragraph" w:styleId="TableofAuthorities">
    <w:name w:val="table of authorities"/>
    <w:basedOn w:val="Normal"/>
    <w:next w:val="Normal"/>
    <w:uiPriority w:val="99"/>
    <w:semiHidden/>
    <w:unhideWhenUsed/>
    <w:rsid w:val="00675B1D"/>
    <w:pPr>
      <w:spacing w:before="60" w:after="0" w:line="220" w:lineRule="atLeast"/>
      <w:ind w:left="180" w:hanging="180"/>
      <w:jc w:val="both"/>
    </w:pPr>
    <w:rPr>
      <w:rFonts w:ascii="Arial" w:eastAsia="Times New Roman" w:hAnsi="Arial" w:cs="Times New Roman"/>
      <w:sz w:val="18"/>
      <w:szCs w:val="24"/>
      <w:lang w:val="it-IT" w:eastAsia="it-IT" w:bidi="it-IT"/>
    </w:rPr>
  </w:style>
  <w:style w:type="paragraph" w:styleId="TOAHeading">
    <w:name w:val="toa heading"/>
    <w:basedOn w:val="Normal"/>
    <w:next w:val="Normal"/>
    <w:uiPriority w:val="99"/>
    <w:semiHidden/>
    <w:unhideWhenUsed/>
    <w:rsid w:val="00675B1D"/>
    <w:pPr>
      <w:spacing w:before="120" w:after="140" w:line="220" w:lineRule="atLeast"/>
      <w:jc w:val="both"/>
    </w:pPr>
    <w:rPr>
      <w:rFonts w:asciiTheme="majorHAnsi" w:eastAsiaTheme="majorEastAsia" w:hAnsiTheme="majorHAnsi" w:cstheme="majorBidi"/>
      <w:b/>
      <w:bCs/>
      <w:sz w:val="24"/>
      <w:szCs w:val="24"/>
      <w:lang w:val="it-IT" w:eastAsia="it-IT" w:bidi="it-IT"/>
    </w:rPr>
  </w:style>
  <w:style w:type="paragraph" w:styleId="TOC4">
    <w:name w:val="toc 4"/>
    <w:basedOn w:val="Normal"/>
    <w:next w:val="Normal"/>
    <w:autoRedefine/>
    <w:uiPriority w:val="39"/>
    <w:semiHidden/>
    <w:unhideWhenUsed/>
    <w:rsid w:val="00675B1D"/>
    <w:pPr>
      <w:spacing w:before="60" w:after="100" w:line="220" w:lineRule="atLeast"/>
      <w:ind w:left="540"/>
      <w:jc w:val="both"/>
    </w:pPr>
    <w:rPr>
      <w:rFonts w:ascii="Arial" w:eastAsia="Times New Roman" w:hAnsi="Arial" w:cs="Times New Roman"/>
      <w:sz w:val="18"/>
      <w:szCs w:val="24"/>
      <w:lang w:val="it-IT" w:eastAsia="it-IT" w:bidi="it-IT"/>
    </w:rPr>
  </w:style>
  <w:style w:type="paragraph" w:styleId="TOC5">
    <w:name w:val="toc 5"/>
    <w:basedOn w:val="Normal"/>
    <w:next w:val="Normal"/>
    <w:autoRedefine/>
    <w:uiPriority w:val="39"/>
    <w:semiHidden/>
    <w:unhideWhenUsed/>
    <w:rsid w:val="00675B1D"/>
    <w:pPr>
      <w:spacing w:before="60" w:after="100" w:line="220" w:lineRule="atLeast"/>
      <w:ind w:left="720"/>
      <w:jc w:val="both"/>
    </w:pPr>
    <w:rPr>
      <w:rFonts w:ascii="Arial" w:eastAsia="Times New Roman" w:hAnsi="Arial" w:cs="Times New Roman"/>
      <w:sz w:val="18"/>
      <w:szCs w:val="24"/>
      <w:lang w:val="it-IT" w:eastAsia="it-IT" w:bidi="it-IT"/>
    </w:rPr>
  </w:style>
  <w:style w:type="paragraph" w:styleId="TOC6">
    <w:name w:val="toc 6"/>
    <w:basedOn w:val="Normal"/>
    <w:next w:val="Normal"/>
    <w:autoRedefine/>
    <w:uiPriority w:val="39"/>
    <w:semiHidden/>
    <w:unhideWhenUsed/>
    <w:rsid w:val="00675B1D"/>
    <w:pPr>
      <w:spacing w:before="60" w:after="100" w:line="220" w:lineRule="atLeast"/>
      <w:ind w:left="900"/>
      <w:jc w:val="both"/>
    </w:pPr>
    <w:rPr>
      <w:rFonts w:ascii="Arial" w:eastAsia="Times New Roman" w:hAnsi="Arial" w:cs="Times New Roman"/>
      <w:sz w:val="18"/>
      <w:szCs w:val="24"/>
      <w:lang w:val="it-IT" w:eastAsia="it-IT" w:bidi="it-IT"/>
    </w:rPr>
  </w:style>
  <w:style w:type="paragraph" w:styleId="TOC7">
    <w:name w:val="toc 7"/>
    <w:basedOn w:val="Normal"/>
    <w:next w:val="Normal"/>
    <w:autoRedefine/>
    <w:uiPriority w:val="39"/>
    <w:semiHidden/>
    <w:unhideWhenUsed/>
    <w:rsid w:val="00675B1D"/>
    <w:pPr>
      <w:spacing w:before="60" w:after="100" w:line="220" w:lineRule="atLeast"/>
      <w:ind w:left="1080"/>
      <w:jc w:val="both"/>
    </w:pPr>
    <w:rPr>
      <w:rFonts w:ascii="Arial" w:eastAsia="Times New Roman" w:hAnsi="Arial" w:cs="Times New Roman"/>
      <w:sz w:val="18"/>
      <w:szCs w:val="24"/>
      <w:lang w:val="it-IT" w:eastAsia="it-IT" w:bidi="it-IT"/>
    </w:rPr>
  </w:style>
  <w:style w:type="paragraph" w:styleId="TOC8">
    <w:name w:val="toc 8"/>
    <w:basedOn w:val="Normal"/>
    <w:next w:val="Normal"/>
    <w:autoRedefine/>
    <w:uiPriority w:val="39"/>
    <w:semiHidden/>
    <w:unhideWhenUsed/>
    <w:rsid w:val="00675B1D"/>
    <w:pPr>
      <w:spacing w:before="60" w:after="100" w:line="220" w:lineRule="atLeast"/>
      <w:ind w:left="1260"/>
      <w:jc w:val="both"/>
    </w:pPr>
    <w:rPr>
      <w:rFonts w:ascii="Arial" w:eastAsia="Times New Roman" w:hAnsi="Arial" w:cs="Times New Roman"/>
      <w:sz w:val="18"/>
      <w:szCs w:val="24"/>
      <w:lang w:val="it-IT" w:eastAsia="it-IT" w:bidi="it-IT"/>
    </w:rPr>
  </w:style>
  <w:style w:type="paragraph" w:styleId="TOC9">
    <w:name w:val="toc 9"/>
    <w:basedOn w:val="Normal"/>
    <w:next w:val="Normal"/>
    <w:autoRedefine/>
    <w:uiPriority w:val="39"/>
    <w:semiHidden/>
    <w:unhideWhenUsed/>
    <w:rsid w:val="00675B1D"/>
    <w:pPr>
      <w:spacing w:before="60" w:after="100" w:line="220" w:lineRule="atLeast"/>
      <w:ind w:left="1440"/>
      <w:jc w:val="both"/>
    </w:pPr>
    <w:rPr>
      <w:rFonts w:ascii="Arial" w:eastAsia="Times New Roman" w:hAnsi="Arial" w:cs="Times New Roman"/>
      <w:sz w:val="18"/>
      <w:szCs w:val="24"/>
      <w:lang w:val="it-IT" w:eastAsia="it-IT" w:bidi="it-IT"/>
    </w:rPr>
  </w:style>
  <w:style w:type="paragraph" w:styleId="TOCHeading">
    <w:name w:val="TOC Heading"/>
    <w:basedOn w:val="Heading1"/>
    <w:next w:val="Normal"/>
    <w:uiPriority w:val="39"/>
    <w:semiHidden/>
    <w:unhideWhenUsed/>
    <w:qFormat/>
    <w:rsid w:val="00675B1D"/>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emf"/><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3.emf"/><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emf"/><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emf"/><Relationship Id="rId39" Type="http://schemas.openxmlformats.org/officeDocument/2006/relationships/image" Target="media/image22.png"/><Relationship Id="rId34" Type="http://schemas.openxmlformats.org/officeDocument/2006/relationships/image" Target="media/image17.emf"/><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it.wikipedia.org/wiki/Comportamento"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enrd.ec.europa.eu/networking/network-self-assessment_i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enrd-static/app_templates/enrd_assets/word/evaluation/AGRI-2014-60962-00-00-IT-TRA-00.doc"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enrd-static/networks-and-networking/nrn-self-assessment-tool-kit/it/index_it.html"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it.wikipedia.org/wiki/Intelligenza_collettiva"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enrd-static/app_templates/enrd_assets/word/evaluation/AGRI-2014-60962-00-00-IT-TRA-00.doc"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enrd-static/app_templates/enrd_assets/word/evaluation/AGRI-2014-60962-00-00-IT-TRA-00.doc" TargetMode="External"/><Relationship Id="rId9" Type="http://schemas.openxmlformats.org/officeDocument/2006/relationships/hyperlink" Target="http://www.fao.org/docrep/008/y5702e/y5702e00.htm%20(in%20inglese)" TargetMode="External"/><Relationship Id="rId14" Type="http://schemas.openxmlformats.org/officeDocument/2006/relationships/hyperlink" Target="http://enrd.ec.europa.eu/evaluation-helpdesks-publications_it"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it.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79DC42B-3820-4E96-9B16-E4402033D961}"/>
</file>

<file path=customXml/itemProps2.xml><?xml version="1.0" encoding="utf-8"?>
<ds:datastoreItem xmlns:ds="http://schemas.openxmlformats.org/officeDocument/2006/customXml" ds:itemID="{AF29E1AC-EB19-4697-BB06-3498FEF8BD79}"/>
</file>

<file path=customXml/itemProps3.xml><?xml version="1.0" encoding="utf-8"?>
<ds:datastoreItem xmlns:ds="http://schemas.openxmlformats.org/officeDocument/2006/customXml" ds:itemID="{8FB24F4B-F354-450E-AE22-528F15DCD0A8}"/>
</file>

<file path=docProps/app.xml><?xml version="1.0" encoding="utf-8"?>
<Properties xmlns="http://schemas.openxmlformats.org/officeDocument/2006/extended-properties" xmlns:vt="http://schemas.openxmlformats.org/officeDocument/2006/docPropsVTypes">
  <Template>Normal</Template>
  <TotalTime>1</TotalTime>
  <Pages>130</Pages>
  <Words>45248</Words>
  <Characters>257919</Characters>
  <Application>Microsoft Office Word</Application>
  <DocSecurity>0</DocSecurity>
  <Lines>2149</Lines>
  <Paragraphs>605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2016-10-24T15:50:00Z</dcterms:created>
  <dcterms:modified xsi:type="dcterms:W3CDTF">2016-10-24T15:51:00Z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