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571D58" w:rsidRDefault="000B213F" w:rsidP="000B4920">
      <w:pPr>
        <w:pStyle w:val="HHeadingboxes"/>
      </w:pPr>
      <w:r>
        <w:rPr>
          <w:noProof/>
          <w:szCs w:val="24"/>
          <w:lang w:bidi="ar-SA"/>
        </w:rPr>
        <mc:AlternateContent>
          <mc:Choice Requires="wps">
            <w:drawing>
              <wp:anchor distT="0" distB="0" distL="114300" distR="114300" simplePos="0" relativeHeight="251654656" behindDoc="1" locked="0" layoutInCell="1" allowOverlap="1" wp14:anchorId="59E4466D" wp14:editId="256EB497">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F0E" w:rsidRPr="00E76949" w:rsidRDefault="00470F0E" w:rsidP="00E76949">
                            <w:pPr>
                              <w:pStyle w:val="HTitle1"/>
                            </w:pPr>
                            <w:r>
                              <w:t>USMERNENIA</w:t>
                            </w:r>
                          </w:p>
                          <w:p w:rsidR="00470F0E" w:rsidRPr="00196DF6" w:rsidRDefault="00470F0E" w:rsidP="00196DF6">
                            <w:pPr>
                              <w:pStyle w:val="HTitle2"/>
                            </w:pPr>
                            <w:r>
                              <w:t>Posudzovanie úspešnosti a vplyvov programov rozvoja vidieka v roku 2019</w:t>
                            </w:r>
                          </w:p>
                          <w:p w:rsidR="00470F0E" w:rsidRPr="00F15219" w:rsidRDefault="00470F0E" w:rsidP="00196DF6">
                            <w:pPr>
                              <w:pStyle w:val="HTitle2"/>
                            </w:pPr>
                          </w:p>
                          <w:p w:rsidR="00470F0E" w:rsidRPr="00435F02" w:rsidRDefault="00470F0E" w:rsidP="00196DF6">
                            <w:pPr>
                              <w:pStyle w:val="HTitle3"/>
                              <w:rPr>
                                <w:color w:val="auto"/>
                              </w:rPr>
                            </w:pPr>
                            <w:r>
                              <w:rPr>
                                <w:color w:val="auto"/>
                              </w:rPr>
                              <w:t>August 2018</w:t>
                            </w:r>
                          </w:p>
                          <w:p w:rsidR="00470F0E" w:rsidRDefault="00470F0E"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4466D" id="_x0000_t202" coordsize="21600,21600" o:spt="202" path="m,l,21600r21600,l21600,xe">
                <v:stroke joinstyle="miter"/>
                <v:path gradientshapeok="t" o:connecttype="rect"/>
              </v:shapetype>
              <v:shape id="Text Box 5" o:spid="_x0000_s1026" type="#_x0000_t202" style="position:absolute;left:0;text-align:left;margin-left:161.7pt;margin-top:395.45pt;width:376.05pt;height:248.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470F0E" w:rsidRPr="00E76949" w:rsidRDefault="00470F0E" w:rsidP="00E76949">
                      <w:pPr>
                        <w:pStyle w:val="HTitle1"/>
                      </w:pPr>
                      <w:r>
                        <w:t>USMERNENIA</w:t>
                      </w:r>
                    </w:p>
                    <w:p w:rsidR="00470F0E" w:rsidRPr="00196DF6" w:rsidRDefault="00470F0E" w:rsidP="00196DF6">
                      <w:pPr>
                        <w:pStyle w:val="HTitle2"/>
                      </w:pPr>
                      <w:r>
                        <w:t>Posudzovanie úspešnosti a vplyvov programov rozvoja vidieka v roku 2019</w:t>
                      </w:r>
                    </w:p>
                    <w:p w:rsidR="00470F0E" w:rsidRPr="00F15219" w:rsidRDefault="00470F0E" w:rsidP="00196DF6">
                      <w:pPr>
                        <w:pStyle w:val="HTitle2"/>
                      </w:pPr>
                    </w:p>
                    <w:p w:rsidR="00470F0E" w:rsidRPr="00435F02" w:rsidRDefault="00470F0E" w:rsidP="00196DF6">
                      <w:pPr>
                        <w:pStyle w:val="HTitle3"/>
                        <w:rPr>
                          <w:color w:val="auto"/>
                        </w:rPr>
                      </w:pPr>
                      <w:r>
                        <w:rPr>
                          <w:color w:val="auto"/>
                        </w:rPr>
                        <w:t>August 2018</w:t>
                      </w:r>
                    </w:p>
                    <w:p w:rsidR="00470F0E" w:rsidRDefault="00470F0E" w:rsidP="00196DF6">
                      <w:pPr>
                        <w:pStyle w:val="HTitle3"/>
                      </w:pPr>
                    </w:p>
                  </w:txbxContent>
                </v:textbox>
                <w10:wrap type="tight" anchorx="page" anchory="page"/>
              </v:shape>
            </w:pict>
          </mc:Fallback>
        </mc:AlternateContent>
      </w:r>
      <w:r>
        <w:rPr>
          <w:noProof/>
          <w:lang w:bidi="ar-SA"/>
        </w:rPr>
        <w:drawing>
          <wp:anchor distT="0" distB="0" distL="114300" distR="114300" simplePos="0" relativeHeight="251653631" behindDoc="1" locked="0" layoutInCell="1" allowOverlap="1" wp14:anchorId="2312DB66" wp14:editId="2577AA07">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t xml:space="preserve"> </w:t>
      </w:r>
      <w:r>
        <w:br w:type="page"/>
      </w:r>
    </w:p>
    <w:p w:rsidR="00016061" w:rsidRPr="00571D58" w:rsidRDefault="000B213F" w:rsidP="007C6797">
      <w:pPr>
        <w:pStyle w:val="HStandard"/>
      </w:pPr>
      <w:r>
        <w:rPr>
          <w:noProof/>
          <w:lang w:bidi="ar-SA"/>
        </w:rPr>
        <w:lastRenderedPageBreak/>
        <mc:AlternateContent>
          <mc:Choice Requires="wps">
            <w:drawing>
              <wp:anchor distT="0" distB="0" distL="114300" distR="114300" simplePos="0" relativeHeight="251664896" behindDoc="0" locked="0" layoutInCell="1" allowOverlap="1" wp14:anchorId="7AC29D70" wp14:editId="171EDC28">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470F0E" w:rsidRPr="00811EF1" w:rsidRDefault="00470F0E" w:rsidP="00811EF1">
                            <w:pPr>
                              <w:pStyle w:val="Hdisclaimer"/>
                            </w:pPr>
                            <w:r>
                              <w:t>Upozornenie o autorských právach</w:t>
                            </w:r>
                          </w:p>
                          <w:p w:rsidR="00470F0E" w:rsidRPr="00811EF1" w:rsidRDefault="00470F0E" w:rsidP="00811EF1">
                            <w:pPr>
                              <w:pStyle w:val="Hdisclaimer"/>
                            </w:pPr>
                            <w:r>
                              <w:t>© Európska únia, 2018</w:t>
                            </w:r>
                          </w:p>
                          <w:p w:rsidR="00470F0E" w:rsidRPr="00811EF1" w:rsidRDefault="00470F0E" w:rsidP="00811EF1">
                            <w:pPr>
                              <w:pStyle w:val="Hdisclaimer"/>
                            </w:pPr>
                            <w:r>
                              <w:t>Reprodukcia je povolená len s uvedením zdroja.</w:t>
                            </w:r>
                          </w:p>
                          <w:p w:rsidR="00470F0E" w:rsidRPr="00811EF1" w:rsidRDefault="00470F0E" w:rsidP="00811EF1">
                            <w:pPr>
                              <w:pStyle w:val="Hdisclaimer"/>
                            </w:pPr>
                            <w:r>
                              <w:t xml:space="preserve">Odporúčaná citácia: </w:t>
                            </w:r>
                          </w:p>
                          <w:p w:rsidR="00470F0E" w:rsidRDefault="00470F0E" w:rsidP="00435F02">
                            <w:pPr>
                              <w:pStyle w:val="Hdisclaimer"/>
                            </w:pPr>
                            <w:r>
                              <w:t xml:space="preserve">EURÓPSKA KOMISIA – Generálne riaditeľstvo pre poľnohospodárstvo a rozvoj vidieka – Oddelenie C.4 (2018): Usmernenia. Posudzovanie úspešnosti a vplyvov programov rozvoja vidieka v roku 2019. V Bruseli, august 2018. </w:t>
                            </w:r>
                          </w:p>
                          <w:p w:rsidR="00470F0E" w:rsidRPr="00811EF1" w:rsidRDefault="00470F0E" w:rsidP="00811EF1">
                            <w:pPr>
                              <w:pStyle w:val="Hdisclaimer"/>
                            </w:pPr>
                            <w:r>
                              <w:t>Vyhlásenie:</w:t>
                            </w:r>
                          </w:p>
                          <w:p w:rsidR="00470F0E" w:rsidRPr="00811EF1" w:rsidRDefault="00470F0E" w:rsidP="00811EF1">
                            <w:pPr>
                              <w:pStyle w:val="Hdisclaimer"/>
                            </w:pPr>
                            <w:r>
                              <w:t>Informácie a názory uvedené v týchto usmerneniach sú informáciami a názormi autora/autorov a nemusia predstavovať oficiálne stanovisko Komisie. Komisia neručí za presnosť údajov uvedených v týchto usmerneniach. Komisia ani žiadna iná osoba, ktorá koná v jej mene, nezodpovedá za prípadné použitie informácií uvedených v tomto dokumente.</w:t>
                            </w:r>
                          </w:p>
                          <w:p w:rsidR="00470F0E" w:rsidRPr="00811EF1" w:rsidRDefault="00470F0E" w:rsidP="005B24FC">
                            <w:pPr>
                              <w:pStyle w:val="Hdisclaimer"/>
                              <w:tabs>
                                <w:tab w:val="right" w:pos="10065"/>
                              </w:tabs>
                            </w:pPr>
                            <w:r>
                              <w:rPr>
                                <w:noProof/>
                                <w:color w:val="auto"/>
                                <w:lang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70F0E" w:rsidRPr="00811EF1" w:rsidRDefault="00470F0E" w:rsidP="00811EF1">
                            <w:pPr>
                              <w:pStyle w:val="Hdisclaimer"/>
                            </w:pPr>
                            <w:r>
                              <w:t>Poradenské centrum pre hodnotenie zodpovedá za činnosti hodnotenia v rámci Európskej siete pre rozvoj vidieka (ENRD), pričom poskytuje usmernenia o hodnotení programov rozvoja vidieka (PRV) a politikách, ktoré patria do pôsobnosti a pod vedenie oddelenia C.4 „Monitorovanie a hodnotenie“ Generálneho riaditeľstva Európskej komisie pre poľnohospodárstvo a rozvoj vidieka (GR AGRI). V záujme zlepšenia hodnotenia politiky rozvoja vidieka EÚ poradenské centrum pre hodnotenie podporuje všetky strany podieľajúce sa na hodnotení, najmä GR AGRI, vnútroštátne orgány, riadiace orgány PRV a hodnotiteľov PRV, a to prostredníctvom rozvoja a šírenia vhodných metodík a nástrojov, sústreďovania a výmeny osvedčených postupov, budovania kapacít a komunikácie s členmi siete o témach súvisiacich s hodnotením.</w:t>
                            </w:r>
                          </w:p>
                          <w:p w:rsidR="00470F0E" w:rsidRPr="00811EF1" w:rsidRDefault="00470F0E" w:rsidP="00811EF1">
                            <w:pPr>
                              <w:pStyle w:val="Hdisclaimer"/>
                            </w:pPr>
                            <w:r>
                              <w:t>Ďalšie informácie o činnostiach Európskeho poradenského centra pre hodnotenie v oblasti rozvoja vidieka sú k dispozícii na internete na serveri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29D7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470F0E" w:rsidRPr="00811EF1" w:rsidRDefault="00470F0E" w:rsidP="00811EF1">
                      <w:pPr>
                        <w:pStyle w:val="Hdisclaimer"/>
                      </w:pPr>
                      <w:r>
                        <w:t>Upozornenie o autorských právach</w:t>
                      </w:r>
                    </w:p>
                    <w:p w:rsidR="00470F0E" w:rsidRPr="00811EF1" w:rsidRDefault="00470F0E" w:rsidP="00811EF1">
                      <w:pPr>
                        <w:pStyle w:val="Hdisclaimer"/>
                      </w:pPr>
                      <w:r>
                        <w:t>© Európska únia, 2018</w:t>
                      </w:r>
                    </w:p>
                    <w:p w:rsidR="00470F0E" w:rsidRPr="00811EF1" w:rsidRDefault="00470F0E" w:rsidP="00811EF1">
                      <w:pPr>
                        <w:pStyle w:val="Hdisclaimer"/>
                      </w:pPr>
                      <w:r>
                        <w:t>Reprodukcia je povolená len s uvedením zdroja.</w:t>
                      </w:r>
                    </w:p>
                    <w:p w:rsidR="00470F0E" w:rsidRPr="00811EF1" w:rsidRDefault="00470F0E" w:rsidP="00811EF1">
                      <w:pPr>
                        <w:pStyle w:val="Hdisclaimer"/>
                      </w:pPr>
                      <w:r>
                        <w:t xml:space="preserve">Odporúčaná citácia: </w:t>
                      </w:r>
                    </w:p>
                    <w:p w:rsidR="00470F0E" w:rsidRDefault="00470F0E" w:rsidP="00435F02">
                      <w:pPr>
                        <w:pStyle w:val="Hdisclaimer"/>
                      </w:pPr>
                      <w:r>
                        <w:t xml:space="preserve">EURÓPSKA KOMISIA – Generálne riaditeľstvo pre poľnohospodárstvo a rozvoj vidieka – Oddelenie C.4 (2018): Usmernenia. Posudzovanie úspešnosti a vplyvov programov rozvoja vidieka v roku 2019. V Bruseli, august 2018. </w:t>
                      </w:r>
                    </w:p>
                    <w:p w:rsidR="00470F0E" w:rsidRPr="00811EF1" w:rsidRDefault="00470F0E" w:rsidP="00811EF1">
                      <w:pPr>
                        <w:pStyle w:val="Hdisclaimer"/>
                      </w:pPr>
                      <w:r>
                        <w:t>Vyhlásenie:</w:t>
                      </w:r>
                    </w:p>
                    <w:p w:rsidR="00470F0E" w:rsidRPr="00811EF1" w:rsidRDefault="00470F0E" w:rsidP="00811EF1">
                      <w:pPr>
                        <w:pStyle w:val="Hdisclaimer"/>
                      </w:pPr>
                      <w:r>
                        <w:t>Informácie a názory uvedené v týchto usmerneniach sú informáciami a názormi autora/autorov a nemusia predstavovať oficiálne stanovisko Komisie. Komisia neručí za presnosť údajov uvedených v týchto usmerneniach. Komisia ani žiadna iná osoba, ktorá koná v jej mene, nezodpovedá za prípadné použitie informácií uvedených v tomto dokumente.</w:t>
                      </w:r>
                    </w:p>
                    <w:p w:rsidR="00470F0E" w:rsidRPr="00811EF1" w:rsidRDefault="00470F0E" w:rsidP="005B24FC">
                      <w:pPr>
                        <w:pStyle w:val="Hdisclaimer"/>
                        <w:tabs>
                          <w:tab w:val="right" w:pos="10065"/>
                        </w:tabs>
                      </w:pPr>
                      <w:r>
                        <w:rPr>
                          <w:noProof/>
                          <w:color w:val="auto"/>
                          <w:lang w:bidi="ar-SA"/>
                        </w:rPr>
                        <w:drawing>
                          <wp:inline distT="0" distB="0" distL="0" distR="0" wp14:anchorId="6C00EE35" wp14:editId="7ABF5206">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bidi="ar-SA"/>
                        </w:rPr>
                        <w:drawing>
                          <wp:inline distT="0" distB="0" distL="0" distR="0" wp14:anchorId="18BAAA3E" wp14:editId="4C21BBF4">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470F0E" w:rsidRPr="00811EF1" w:rsidRDefault="00470F0E" w:rsidP="00811EF1">
                      <w:pPr>
                        <w:pStyle w:val="Hdisclaimer"/>
                      </w:pPr>
                      <w:r>
                        <w:t>Poradenské centrum pre hodnotenie zodpovedá za činnosti hodnotenia v rámci Európskej siete pre rozvoj vidieka (ENRD), pričom poskytuje usmernenia o hodnotení programov rozvoja vidieka (PRV) a politikách, ktoré patria do pôsobnosti a pod vedenie oddelenia C.4 „Monitorovanie a hodnotenie“ Generálneho riaditeľstva Európskej komisie pre poľnohospodárstvo a rozvoj vidieka (GR AGRI). V záujme zlepšenia hodnotenia politiky rozvoja vidieka EÚ poradenské centrum pre hodnotenie podporuje všetky strany podieľajúce sa na hodnotení, najmä GR AGRI, vnútroštátne orgány, riadiace orgány PRV a hodnotiteľov PRV, a to prostredníctvom rozvoja a šírenia vhodných metodík a nástrojov, sústreďovania a výmeny osvedčených postupov, budovania kapacít a komunikácie s členmi siete o témach súvisiacich s hodnotením.</w:t>
                      </w:r>
                    </w:p>
                    <w:p w:rsidR="00470F0E" w:rsidRPr="00811EF1" w:rsidRDefault="00470F0E" w:rsidP="00811EF1">
                      <w:pPr>
                        <w:pStyle w:val="Hdisclaimer"/>
                      </w:pPr>
                      <w:r>
                        <w:t>Ďalšie informácie o činnostiach Európskeho poradenského centra pre hodnotenie v oblasti rozvoja vidieka sú k dispozícii na internete na serveri Europa (http://enrd.ec.europa.eu).</w:t>
                      </w:r>
                    </w:p>
                  </w:txbxContent>
                </v:textbox>
                <w10:wrap anchorx="margin"/>
              </v:shape>
            </w:pict>
          </mc:Fallback>
        </mc:AlternateContent>
      </w:r>
      <w:r>
        <w:br w:type="page"/>
      </w:r>
    </w:p>
    <w:p w:rsidR="00016061" w:rsidRPr="00571D58" w:rsidRDefault="00016061" w:rsidP="007C6797">
      <w:pPr>
        <w:pStyle w:val="HStandard"/>
      </w:pPr>
    </w:p>
    <w:p w:rsidR="00016061" w:rsidRPr="00571D58" w:rsidRDefault="00016061" w:rsidP="007C6797">
      <w:pPr>
        <w:pStyle w:val="HStandard"/>
      </w:pPr>
    </w:p>
    <w:p w:rsidR="00016061" w:rsidRPr="00571D58" w:rsidRDefault="00016061" w:rsidP="007C6797">
      <w:pPr>
        <w:pStyle w:val="HStandard"/>
      </w:pPr>
    </w:p>
    <w:p w:rsidR="00016061" w:rsidRPr="00571D58" w:rsidRDefault="000B213F" w:rsidP="007C6797">
      <w:pPr>
        <w:pStyle w:val="HStandard"/>
      </w:pPr>
      <w:r>
        <w:rPr>
          <w:noProof/>
          <w:lang w:bidi="ar-SA"/>
        </w:rPr>
        <mc:AlternateContent>
          <mc:Choice Requires="wps">
            <w:drawing>
              <wp:anchor distT="0" distB="0" distL="114300" distR="114300" simplePos="0" relativeHeight="251665920" behindDoc="1" locked="0" layoutInCell="1" allowOverlap="1" wp14:anchorId="15F0B7C9" wp14:editId="4EC757E9">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F0E" w:rsidRPr="00F15219" w:rsidRDefault="00470F0E" w:rsidP="00E76949">
                            <w:pPr>
                              <w:pStyle w:val="HTitle1"/>
                            </w:pPr>
                            <w:r>
                              <w:t>Usmernenia</w:t>
                            </w:r>
                          </w:p>
                          <w:p w:rsidR="00470F0E" w:rsidRPr="00F15219" w:rsidRDefault="00470F0E" w:rsidP="00BE49CF">
                            <w:pPr>
                              <w:pStyle w:val="HTitle2"/>
                            </w:pPr>
                            <w:r>
                              <w:t>POSUDZOVANIE ÚSPEŠNOSTI A VPLYVOV PROGRAMOV ROZVOJA VIDIEKA V ROKU 2019</w:t>
                            </w:r>
                          </w:p>
                          <w:p w:rsidR="00470F0E" w:rsidRPr="00F15219" w:rsidRDefault="00470F0E" w:rsidP="00196DF6">
                            <w:pPr>
                              <w:pStyle w:val="HTitle2"/>
                            </w:pPr>
                          </w:p>
                          <w:p w:rsidR="00470F0E" w:rsidRPr="00D46054" w:rsidRDefault="00470F0E" w:rsidP="00BE49CF">
                            <w:pPr>
                              <w:pStyle w:val="HTitle3"/>
                              <w:rPr>
                                <w:color w:val="auto"/>
                              </w:rPr>
                            </w:pPr>
                            <w:r>
                              <w:rPr>
                                <w:color w:val="auto"/>
                              </w:rPr>
                              <w:t>August 2018</w:t>
                            </w:r>
                          </w:p>
                          <w:p w:rsidR="00470F0E" w:rsidRPr="00D46054" w:rsidRDefault="00470F0E"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B7C9"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470F0E" w:rsidRPr="00F15219" w:rsidRDefault="00470F0E" w:rsidP="00E76949">
                      <w:pPr>
                        <w:pStyle w:val="HTitle1"/>
                      </w:pPr>
                      <w:r>
                        <w:t>Usmernenia</w:t>
                      </w:r>
                    </w:p>
                    <w:p w:rsidR="00470F0E" w:rsidRPr="00F15219" w:rsidRDefault="00470F0E" w:rsidP="00BE49CF">
                      <w:pPr>
                        <w:pStyle w:val="HTitle2"/>
                      </w:pPr>
                      <w:r>
                        <w:t>POSUDZOVANIE ÚSPEŠNOSTI A VPLYVOV PROGRAMOV ROZVOJA VIDIEKA V ROKU 2019</w:t>
                      </w:r>
                    </w:p>
                    <w:p w:rsidR="00470F0E" w:rsidRPr="00F15219" w:rsidRDefault="00470F0E" w:rsidP="00196DF6">
                      <w:pPr>
                        <w:pStyle w:val="HTitle2"/>
                      </w:pPr>
                    </w:p>
                    <w:p w:rsidR="00470F0E" w:rsidRPr="00D46054" w:rsidRDefault="00470F0E" w:rsidP="00BE49CF">
                      <w:pPr>
                        <w:pStyle w:val="HTitle3"/>
                        <w:rPr>
                          <w:color w:val="auto"/>
                        </w:rPr>
                      </w:pPr>
                      <w:r>
                        <w:rPr>
                          <w:color w:val="auto"/>
                        </w:rPr>
                        <w:t>August 2018</w:t>
                      </w:r>
                    </w:p>
                    <w:p w:rsidR="00470F0E" w:rsidRPr="00D46054" w:rsidRDefault="00470F0E" w:rsidP="00196DF6">
                      <w:pPr>
                        <w:pStyle w:val="HTitle3"/>
                        <w:rPr>
                          <w:color w:val="auto"/>
                        </w:rPr>
                      </w:pPr>
                    </w:p>
                  </w:txbxContent>
                </v:textbox>
                <w10:wrap type="tight" anchorx="page" anchory="page"/>
              </v:shape>
            </w:pict>
          </mc:Fallback>
        </mc:AlternateContent>
      </w:r>
    </w:p>
    <w:p w:rsidR="00016061" w:rsidRPr="00571D58" w:rsidRDefault="00016061" w:rsidP="007C6797">
      <w:pPr>
        <w:pStyle w:val="HStandard"/>
        <w:sectPr w:rsidR="00016061" w:rsidRPr="00571D58" w:rsidSect="00FA7E7B">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134" w:left="1440" w:header="284" w:footer="709" w:gutter="0"/>
          <w:cols w:space="708"/>
          <w:titlePg/>
          <w:docGrid w:linePitch="360"/>
        </w:sectPr>
      </w:pPr>
    </w:p>
    <w:p w:rsidR="008B6E5C" w:rsidRPr="00571D58" w:rsidRDefault="008B6E5C">
      <w:pPr>
        <w:spacing w:before="0" w:after="0" w:line="240" w:lineRule="auto"/>
        <w:jc w:val="left"/>
        <w:rPr>
          <w:rFonts w:cs="Arial"/>
          <w:b/>
          <w:bCs/>
          <w:caps/>
          <w:color w:val="F07E31" w:themeColor="accent1"/>
          <w:kern w:val="32"/>
          <w:sz w:val="20"/>
          <w:szCs w:val="32"/>
        </w:rPr>
      </w:pPr>
      <w:r>
        <w:lastRenderedPageBreak/>
        <w:br w:type="page"/>
      </w:r>
    </w:p>
    <w:p w:rsidR="000B62C2" w:rsidRPr="00571D58" w:rsidRDefault="000B62C2" w:rsidP="000B62C2">
      <w:pPr>
        <w:pStyle w:val="HContent"/>
      </w:pPr>
      <w:r>
        <w:lastRenderedPageBreak/>
        <w:t>Obsah</w:t>
      </w:r>
    </w:p>
    <w:p w:rsidR="00FB5A40" w:rsidRDefault="00FB5A40" w:rsidP="00FB5A40">
      <w:r>
        <w:t>Poďakovanie</w:t>
      </w:r>
      <w:r>
        <w:tab/>
      </w:r>
      <w:r w:rsidR="008540B6">
        <w:t xml:space="preserve">                                                                                                                                                      </w:t>
      </w:r>
      <w:r>
        <w:t>1</w:t>
      </w:r>
    </w:p>
    <w:p w:rsidR="00FB5A40" w:rsidRDefault="008540B6" w:rsidP="00FB5A40">
      <w:r>
        <w:t>ÚVOD</w:t>
      </w:r>
      <w:r>
        <w:tab/>
        <w:t xml:space="preserve">                                                                                                                                                                    2</w:t>
      </w:r>
    </w:p>
    <w:p w:rsidR="00FB5A40" w:rsidRDefault="00FB5A40" w:rsidP="00FB5A40">
      <w:r>
        <w:t>1</w:t>
      </w:r>
      <w:r>
        <w:tab/>
        <w:t>Aké informácie je nutné uviesť vo</w:t>
      </w:r>
      <w:r w:rsidR="0027665C">
        <w:t> </w:t>
      </w:r>
      <w:r>
        <w:t xml:space="preserve"> </w:t>
      </w:r>
      <w:r w:rsidR="0027665C">
        <w:t>VSV</w:t>
      </w:r>
      <w:r>
        <w:t xml:space="preserve"> </w:t>
      </w:r>
      <w:r w:rsidR="0027665C">
        <w:t>predkladanej</w:t>
      </w:r>
      <w:r>
        <w:t xml:space="preserve"> v roku 2019? (Časť I)</w:t>
      </w:r>
      <w:r w:rsidR="008540B6">
        <w:t xml:space="preserve">                                         </w:t>
      </w:r>
      <w:r>
        <w:tab/>
      </w:r>
      <w:r w:rsidR="008540B6">
        <w:t xml:space="preserve">        </w:t>
      </w:r>
      <w:r>
        <w:t>3</w:t>
      </w:r>
    </w:p>
    <w:p w:rsidR="00FB5A40" w:rsidRDefault="00FB5A40" w:rsidP="00FB5A40">
      <w:r>
        <w:t>1.1</w:t>
      </w:r>
      <w:r>
        <w:tab/>
        <w:t>Právny rámec a hlavné zameranie hodnotenia v roku 2019</w:t>
      </w:r>
      <w:r>
        <w:tab/>
      </w:r>
      <w:r w:rsidR="009119D2">
        <w:tab/>
      </w:r>
      <w:r w:rsidR="008540B6">
        <w:t xml:space="preserve">                                                  </w:t>
      </w:r>
      <w:r>
        <w:t>3</w:t>
      </w:r>
    </w:p>
    <w:p w:rsidR="00FB5A40" w:rsidRDefault="00FB5A40" w:rsidP="00FB5A40">
      <w:r>
        <w:t>1.2</w:t>
      </w:r>
      <w:r>
        <w:tab/>
        <w:t>Ako podávať správy o spoločných hodnotiacich otázkach v roku 2019?</w:t>
      </w:r>
      <w:r w:rsidR="009119D2">
        <w:tab/>
      </w:r>
      <w:r>
        <w:tab/>
      </w:r>
      <w:r w:rsidR="008540B6">
        <w:t xml:space="preserve">                                    </w:t>
      </w:r>
      <w:r>
        <w:t>6</w:t>
      </w:r>
    </w:p>
    <w:p w:rsidR="00FB5A40" w:rsidRDefault="00FB5A40" w:rsidP="00FB5A40">
      <w:r>
        <w:t>1.3</w:t>
      </w:r>
      <w:r>
        <w:tab/>
        <w:t xml:space="preserve">Príprava na </w:t>
      </w:r>
      <w:r w:rsidR="0027665C">
        <w:t>VSV</w:t>
      </w:r>
      <w:r>
        <w:t xml:space="preserve"> v roku 2019</w:t>
      </w:r>
      <w:r>
        <w:tab/>
      </w:r>
      <w:r w:rsidR="008540B6">
        <w:t xml:space="preserve">                                                                                                           </w:t>
      </w:r>
      <w:r>
        <w:t>8</w:t>
      </w:r>
    </w:p>
    <w:p w:rsidR="00FB5A40" w:rsidRDefault="00FB5A40" w:rsidP="00FB5A40">
      <w:r>
        <w:t>2</w:t>
      </w:r>
      <w:r>
        <w:tab/>
      </w:r>
      <w:r w:rsidR="001D70DD">
        <w:t>Prístup</w:t>
      </w:r>
      <w:r>
        <w:t>y na posudzovanie vplyvov PRV v roku 2019 (ČASŤ II)</w:t>
      </w:r>
      <w:r w:rsidR="009119D2">
        <w:tab/>
      </w:r>
      <w:r>
        <w:tab/>
      </w:r>
      <w:r w:rsidR="008540B6">
        <w:t xml:space="preserve">                                                </w:t>
      </w:r>
      <w:r>
        <w:t>12</w:t>
      </w:r>
    </w:p>
    <w:p w:rsidR="00FB5A40" w:rsidRDefault="00FB5A40" w:rsidP="00FB5A40">
      <w:r>
        <w:t>2.1</w:t>
      </w:r>
      <w:r>
        <w:tab/>
        <w:t xml:space="preserve">Výber vhodných hodnotiacich </w:t>
      </w:r>
      <w:r w:rsidR="001D70DD">
        <w:t>prístup</w:t>
      </w:r>
      <w:r>
        <w:t>ov na posudzovanie vplyvov PRV</w:t>
      </w:r>
      <w:r>
        <w:tab/>
      </w:r>
      <w:r w:rsidR="009119D2">
        <w:tab/>
      </w:r>
      <w:r w:rsidR="008540B6">
        <w:t xml:space="preserve">                                  </w:t>
      </w:r>
      <w:r>
        <w:t>12</w:t>
      </w:r>
    </w:p>
    <w:p w:rsidR="00FB5A40" w:rsidRDefault="00FB5A40" w:rsidP="00FB5A40">
      <w:r>
        <w:t>2.1.1</w:t>
      </w:r>
      <w:r>
        <w:tab/>
        <w:t xml:space="preserve">Ako možno na základe logických modelov určiť, ktoré hodnotiace </w:t>
      </w:r>
      <w:r w:rsidR="001D70DD">
        <w:t>prístup</w:t>
      </w:r>
      <w:r>
        <w:t>y sú vhodné?</w:t>
      </w:r>
      <w:r w:rsidR="009119D2">
        <w:tab/>
      </w:r>
      <w:r>
        <w:tab/>
      </w:r>
      <w:r w:rsidR="008540B6">
        <w:t xml:space="preserve">      </w:t>
      </w:r>
      <w:r>
        <w:t>12</w:t>
      </w:r>
    </w:p>
    <w:p w:rsidR="00FB5A40" w:rsidRDefault="00FB5A40" w:rsidP="00FB5A40">
      <w:r>
        <w:t>2.1.2</w:t>
      </w:r>
      <w:r>
        <w:tab/>
        <w:t xml:space="preserve">Prehľad odporúčaných hodnotiacich </w:t>
      </w:r>
      <w:r w:rsidR="001D70DD">
        <w:t>prístup</w:t>
      </w:r>
      <w:r>
        <w:t>ov na posudzovanie ukazovateľov vplyvu SPP</w:t>
      </w:r>
      <w:r>
        <w:tab/>
      </w:r>
      <w:r w:rsidR="009119D2">
        <w:t xml:space="preserve">  </w:t>
      </w:r>
      <w:r w:rsidR="008540B6">
        <w:t xml:space="preserve">    </w:t>
      </w:r>
      <w:r>
        <w:t>23</w:t>
      </w:r>
    </w:p>
    <w:p w:rsidR="00016061" w:rsidRPr="001C6ACF" w:rsidRDefault="00542440" w:rsidP="000B62C2">
      <w:pPr>
        <w:pStyle w:val="HContent"/>
      </w:pPr>
      <w:r>
        <w:lastRenderedPageBreak/>
        <w:t xml:space="preserve">Tabuľky a obrázky </w:t>
      </w:r>
    </w:p>
    <w:p w:rsidR="00FB5A40" w:rsidRDefault="009119D2" w:rsidP="00FB5A40">
      <w:r>
        <w:t xml:space="preserve">Tabuľka 1 </w:t>
      </w:r>
      <w:r w:rsidR="00FB5A40">
        <w:t xml:space="preserve">Usmernenie na zodpovedanie spoločných hodnotiacich otázok vo </w:t>
      </w:r>
      <w:r w:rsidR="0027665C">
        <w:t>VSV</w:t>
      </w:r>
      <w:r w:rsidR="00FB5A40">
        <w:t xml:space="preserve"> v roku 2019</w:t>
      </w:r>
      <w:r w:rsidR="00FB5A40">
        <w:tab/>
      </w:r>
      <w:r>
        <w:t xml:space="preserve">                 </w:t>
      </w:r>
      <w:r w:rsidR="00FB5A40">
        <w:t>7</w:t>
      </w:r>
    </w:p>
    <w:p w:rsidR="00FB5A40" w:rsidRDefault="009119D2" w:rsidP="00FB5A40">
      <w:r>
        <w:t xml:space="preserve">Tabuľka 2 </w:t>
      </w:r>
      <w:r w:rsidR="00FB5A40">
        <w:t>Kontrolný zoznam odporúčaných krokov na hodnotenie v roku 2019</w:t>
      </w:r>
      <w:r w:rsidR="00FB5A40">
        <w:tab/>
      </w:r>
      <w:r>
        <w:t xml:space="preserve">                                              </w:t>
      </w:r>
      <w:r w:rsidR="00FB5A40">
        <w:t>9</w:t>
      </w:r>
    </w:p>
    <w:p w:rsidR="00FB5A40" w:rsidRDefault="009119D2" w:rsidP="00FB5A40">
      <w:r>
        <w:t xml:space="preserve">Tabuľka 3 </w:t>
      </w:r>
      <w:r w:rsidR="00FB5A40">
        <w:t xml:space="preserve">Príklady odporúčaných hodnotiacich </w:t>
      </w:r>
      <w:r w:rsidR="001D70DD">
        <w:t>prístup</w:t>
      </w:r>
      <w:r w:rsidR="00FB5A40">
        <w:t>ov na posudzovanie ukazovateľov vplyvu SPP</w:t>
      </w:r>
      <w:r w:rsidR="00FB5A40">
        <w:tab/>
      </w:r>
      <w:r>
        <w:t xml:space="preserve">   </w:t>
      </w:r>
      <w:r w:rsidR="00FB5A40">
        <w:t>24</w:t>
      </w:r>
    </w:p>
    <w:p w:rsidR="00FE491B" w:rsidRPr="00571D58" w:rsidRDefault="00FE491B" w:rsidP="00FE491B">
      <w:pPr>
        <w:pStyle w:val="HContent"/>
      </w:pPr>
      <w:r>
        <w:lastRenderedPageBreak/>
        <w:t>Zoznam skratiek</w:t>
      </w:r>
    </w:p>
    <w:p w:rsidR="00641F29" w:rsidRPr="00FB6C06" w:rsidRDefault="00641F29" w:rsidP="00FE491B">
      <w:pPr>
        <w:pStyle w:val="HStandard"/>
        <w:ind w:left="993" w:hanging="993"/>
      </w:pPr>
      <w:r>
        <w:t>AEU</w:t>
      </w:r>
      <w:r>
        <w:tab/>
      </w:r>
      <w:r>
        <w:tab/>
        <w:t>agroenvironmentálne ukazovatele</w:t>
      </w:r>
    </w:p>
    <w:p w:rsidR="00641F29" w:rsidRDefault="00641F29" w:rsidP="00FE491B">
      <w:pPr>
        <w:pStyle w:val="HStandard"/>
        <w:ind w:left="993" w:hanging="993"/>
      </w:pPr>
      <w:r>
        <w:t>AROPE</w:t>
      </w:r>
      <w:r>
        <w:tab/>
      </w:r>
      <w:r>
        <w:tab/>
        <w:t>miera rizika chudoby alebo sociálneho vylúčenia</w:t>
      </w:r>
    </w:p>
    <w:p w:rsidR="002632DB" w:rsidRPr="001C6ACF" w:rsidRDefault="002632DB" w:rsidP="00FE491B">
      <w:pPr>
        <w:pStyle w:val="HStandard"/>
        <w:ind w:left="993" w:hanging="993"/>
      </w:pPr>
      <w:r w:rsidRPr="002632DB">
        <w:t>ATT</w:t>
      </w:r>
      <w:r w:rsidRPr="002632DB">
        <w:tab/>
      </w:r>
      <w:r w:rsidRPr="002632DB">
        <w:tab/>
        <w:t xml:space="preserve">priemerné účinky </w:t>
      </w:r>
      <w:r>
        <w:t>podpory na podporených (Average Treatment Effects on Treated)</w:t>
      </w:r>
    </w:p>
    <w:p w:rsidR="00641F29" w:rsidRPr="001C6ACF" w:rsidRDefault="00641F29" w:rsidP="00FE491B">
      <w:pPr>
        <w:pStyle w:val="HStandard"/>
        <w:ind w:left="993" w:hanging="993"/>
      </w:pPr>
      <w:r>
        <w:t>AVV</w:t>
      </w:r>
      <w:r>
        <w:tab/>
      </w:r>
      <w:r>
        <w:tab/>
        <w:t>analýza vstupov a výstupov</w:t>
      </w:r>
    </w:p>
    <w:p w:rsidR="00641F29" w:rsidRPr="001C6ACF" w:rsidRDefault="00641F29" w:rsidP="00FE491B">
      <w:pPr>
        <w:pStyle w:val="HStandard"/>
        <w:ind w:left="993" w:hanging="993"/>
      </w:pPr>
      <w:r>
        <w:t>BŽ</w:t>
      </w:r>
      <w:r>
        <w:tab/>
      </w:r>
      <w:r>
        <w:tab/>
        <w:t>bilancia živín</w:t>
      </w:r>
    </w:p>
    <w:p w:rsidR="00641F29" w:rsidRPr="001C6ACF" w:rsidRDefault="00641F29" w:rsidP="00FE491B">
      <w:pPr>
        <w:pStyle w:val="HStandard"/>
        <w:ind w:left="993" w:hanging="993"/>
      </w:pPr>
      <w:r>
        <w:t>CGE</w:t>
      </w:r>
      <w:r>
        <w:tab/>
      </w:r>
      <w:r>
        <w:tab/>
        <w:t>vypočítateľná všeobecná rovnováha</w:t>
      </w:r>
    </w:p>
    <w:p w:rsidR="00641F29" w:rsidRPr="001C6ACF" w:rsidRDefault="00641F29" w:rsidP="00FE491B">
      <w:pPr>
        <w:pStyle w:val="HStandard"/>
        <w:ind w:left="993" w:hanging="993"/>
      </w:pPr>
      <w:r>
        <w:t>CLLD</w:t>
      </w:r>
      <w:r>
        <w:tab/>
      </w:r>
      <w:r>
        <w:tab/>
        <w:t>miestny rozvoj vedený komunitou</w:t>
      </w:r>
    </w:p>
    <w:p w:rsidR="00641F29" w:rsidRPr="001C6ACF" w:rsidRDefault="00641F29" w:rsidP="00FE491B">
      <w:pPr>
        <w:pStyle w:val="HStandard"/>
        <w:ind w:left="993" w:hanging="993"/>
      </w:pPr>
      <w:r>
        <w:t>CU</w:t>
      </w:r>
      <w:r>
        <w:tab/>
      </w:r>
      <w:r>
        <w:tab/>
        <w:t>cieľový ukazovateľ</w:t>
      </w:r>
    </w:p>
    <w:p w:rsidR="00641F29" w:rsidRPr="001C6ACF" w:rsidRDefault="00641F29" w:rsidP="00FE491B">
      <w:pPr>
        <w:pStyle w:val="HStandard"/>
        <w:ind w:left="993" w:hanging="993"/>
      </w:pPr>
      <w:r>
        <w:t>ČŠ</w:t>
      </w:r>
      <w:r>
        <w:tab/>
      </w:r>
      <w:r>
        <w:tab/>
        <w:t>členský štát</w:t>
      </w:r>
    </w:p>
    <w:p w:rsidR="00641F29" w:rsidRPr="001C6ACF" w:rsidRDefault="00641F29" w:rsidP="00FE491B">
      <w:pPr>
        <w:pStyle w:val="HStandard"/>
        <w:ind w:left="993" w:hanging="993"/>
      </w:pPr>
      <w:r>
        <w:t>DiD</w:t>
      </w:r>
      <w:r>
        <w:tab/>
      </w:r>
      <w:r>
        <w:tab/>
        <w:t>metóda rozdiel v rozdieloch</w:t>
      </w:r>
      <w:r w:rsidR="00905ED8">
        <w:t xml:space="preserve"> (Difference-In-Differences)</w:t>
      </w:r>
    </w:p>
    <w:p w:rsidR="00641F29" w:rsidRPr="001C6ACF" w:rsidRDefault="00641F29" w:rsidP="00FE491B">
      <w:pPr>
        <w:pStyle w:val="HStandard"/>
        <w:ind w:left="993" w:hanging="993"/>
      </w:pPr>
      <w:r>
        <w:t>DJ</w:t>
      </w:r>
      <w:r>
        <w:tab/>
      </w:r>
      <w:r>
        <w:tab/>
        <w:t>dobytčia jednotka</w:t>
      </w:r>
    </w:p>
    <w:p w:rsidR="00641F29" w:rsidRPr="001C6ACF" w:rsidRDefault="00641F29" w:rsidP="00FE491B">
      <w:pPr>
        <w:pStyle w:val="HStandard"/>
        <w:ind w:left="993" w:hanging="993"/>
      </w:pPr>
      <w:r>
        <w:t>EAP</w:t>
      </w:r>
      <w:r>
        <w:tab/>
      </w:r>
      <w:r>
        <w:tab/>
        <w:t>environmentálny akčný program</w:t>
      </w:r>
    </w:p>
    <w:p w:rsidR="00641F29" w:rsidRPr="001C6ACF" w:rsidRDefault="00641F29" w:rsidP="00FE491B">
      <w:pPr>
        <w:pStyle w:val="HStandard"/>
        <w:ind w:left="993" w:hanging="993"/>
      </w:pPr>
      <w:r>
        <w:t>EDGAR</w:t>
      </w:r>
      <w:r>
        <w:tab/>
      </w:r>
      <w:r>
        <w:tab/>
        <w:t>databáza emisií na celosvetový atmosférický výskum</w:t>
      </w:r>
    </w:p>
    <w:p w:rsidR="00641F29" w:rsidRPr="001C6ACF" w:rsidRDefault="00641F29" w:rsidP="00FE491B">
      <w:pPr>
        <w:pStyle w:val="HStandard"/>
        <w:ind w:left="993" w:hanging="993"/>
      </w:pPr>
      <w:r>
        <w:t>EIP</w:t>
      </w:r>
      <w:r>
        <w:tab/>
      </w:r>
      <w:r>
        <w:tab/>
        <w:t>európske partnerstvo v oblasti inovácií</w:t>
      </w:r>
    </w:p>
    <w:p w:rsidR="00641F29" w:rsidRPr="001C6ACF" w:rsidRDefault="00641F29" w:rsidP="00FE491B">
      <w:pPr>
        <w:pStyle w:val="HStandard"/>
        <w:ind w:left="993" w:hanging="993"/>
      </w:pPr>
      <w:r>
        <w:t>EPFRV</w:t>
      </w:r>
      <w:r>
        <w:tab/>
      </w:r>
      <w:r>
        <w:tab/>
        <w:t>Európsky poľnohospodársky fond pre rozvoj vidieka</w:t>
      </w:r>
    </w:p>
    <w:p w:rsidR="00641F29" w:rsidRPr="001C6ACF" w:rsidRDefault="00641F29" w:rsidP="00FE491B">
      <w:pPr>
        <w:pStyle w:val="HStandard"/>
        <w:ind w:left="993" w:hanging="993"/>
      </w:pPr>
      <w:r>
        <w:t>ESDAC</w:t>
      </w:r>
      <w:r>
        <w:tab/>
      </w:r>
      <w:r>
        <w:tab/>
        <w:t>európske centrum údajov o pôde</w:t>
      </w:r>
    </w:p>
    <w:p w:rsidR="00641F29" w:rsidRPr="001C6ACF" w:rsidRDefault="00641F29" w:rsidP="00FE491B">
      <w:pPr>
        <w:pStyle w:val="HStandard"/>
        <w:ind w:left="993" w:hanging="993"/>
      </w:pPr>
      <w:r>
        <w:t>EŠIF</w:t>
      </w:r>
      <w:r>
        <w:tab/>
      </w:r>
      <w:r>
        <w:tab/>
        <w:t>európske štrukturálne a investičné fondy</w:t>
      </w:r>
    </w:p>
    <w:p w:rsidR="00641F29" w:rsidRPr="001C6ACF" w:rsidRDefault="00641F29" w:rsidP="00FE491B">
      <w:pPr>
        <w:pStyle w:val="HStandard"/>
        <w:ind w:left="993" w:hanging="993"/>
      </w:pPr>
      <w:r>
        <w:t>EÚ</w:t>
      </w:r>
      <w:r>
        <w:tab/>
      </w:r>
      <w:r>
        <w:tab/>
        <w:t>Európska únia</w:t>
      </w:r>
    </w:p>
    <w:p w:rsidR="00641F29" w:rsidRPr="001C6ACF" w:rsidRDefault="00641F29" w:rsidP="00FE491B">
      <w:pPr>
        <w:pStyle w:val="HStandard"/>
        <w:ind w:left="993" w:hanging="993"/>
      </w:pPr>
      <w:r>
        <w:t>EÚP</w:t>
      </w:r>
      <w:r>
        <w:tab/>
      </w:r>
      <w:r>
        <w:tab/>
        <w:t>ekonomický účet pre poľnohospodárstvo</w:t>
      </w:r>
    </w:p>
    <w:p w:rsidR="00641F29" w:rsidRPr="001C6ACF" w:rsidRDefault="00641F29" w:rsidP="00FE491B">
      <w:pPr>
        <w:pStyle w:val="HStandard"/>
        <w:ind w:left="993" w:hanging="993"/>
      </w:pPr>
      <w:r>
        <w:t>FADN</w:t>
      </w:r>
      <w:r>
        <w:tab/>
      </w:r>
      <w:r>
        <w:tab/>
        <w:t>informačná sieť poľnohospodárskeho účtovníctva</w:t>
      </w:r>
    </w:p>
    <w:p w:rsidR="00641F29" w:rsidRPr="001C6ACF" w:rsidRDefault="00641F29" w:rsidP="00FE491B">
      <w:pPr>
        <w:pStyle w:val="HStandard"/>
        <w:ind w:left="993" w:hanging="993"/>
      </w:pPr>
      <w:r>
        <w:t>FBI</w:t>
      </w:r>
      <w:r>
        <w:tab/>
      </w:r>
      <w:r>
        <w:tab/>
        <w:t>index vtáctva žijúceho na poľnohospodárskej pôde</w:t>
      </w:r>
    </w:p>
    <w:p w:rsidR="00641F29" w:rsidRPr="001C6ACF" w:rsidRDefault="00641F29" w:rsidP="00FE491B">
      <w:pPr>
        <w:pStyle w:val="HStandard"/>
        <w:ind w:left="993" w:hanging="993"/>
      </w:pPr>
      <w:r>
        <w:t>FWU</w:t>
      </w:r>
      <w:r>
        <w:tab/>
      </w:r>
      <w:r>
        <w:tab/>
        <w:t xml:space="preserve">rodinná pracovná jednotka </w:t>
      </w:r>
    </w:p>
    <w:p w:rsidR="00641F29" w:rsidRDefault="00641F29" w:rsidP="00FE491B">
      <w:pPr>
        <w:pStyle w:val="HStandard"/>
        <w:ind w:left="993" w:hanging="993"/>
      </w:pPr>
      <w:r>
        <w:t>GAEC</w:t>
      </w:r>
      <w:r>
        <w:tab/>
      </w:r>
      <w:r>
        <w:tab/>
        <w:t>dobrý poľnohospodársky a environmentálny stav</w:t>
      </w:r>
    </w:p>
    <w:p w:rsidR="00C268FE" w:rsidRPr="001C6ACF" w:rsidRDefault="00C268FE" w:rsidP="00FE491B">
      <w:pPr>
        <w:pStyle w:val="HStandard"/>
        <w:ind w:left="993" w:hanging="993"/>
      </w:pPr>
      <w:r w:rsidRPr="00C268FE">
        <w:t>GES</w:t>
      </w:r>
      <w:r w:rsidRPr="00C268FE">
        <w:tab/>
      </w:r>
      <w:r w:rsidRPr="00C268FE">
        <w:tab/>
        <w:t>dobrý ekologický stav</w:t>
      </w:r>
    </w:p>
    <w:p w:rsidR="00641F29" w:rsidRPr="001C6ACF" w:rsidRDefault="00641F29" w:rsidP="00FE491B">
      <w:pPr>
        <w:pStyle w:val="HStandard"/>
        <w:ind w:left="993" w:hanging="993"/>
      </w:pPr>
      <w:r>
        <w:t>GHG</w:t>
      </w:r>
      <w:r>
        <w:tab/>
      </w:r>
      <w:r>
        <w:tab/>
        <w:t>skleníkový plyn</w:t>
      </w:r>
    </w:p>
    <w:p w:rsidR="00641F29" w:rsidRPr="001C6ACF" w:rsidRDefault="00641F29" w:rsidP="00FE491B">
      <w:pPr>
        <w:pStyle w:val="HStandard"/>
        <w:ind w:left="993" w:hanging="993"/>
      </w:pPr>
      <w:r>
        <w:t>GIS</w:t>
      </w:r>
      <w:r>
        <w:tab/>
      </w:r>
      <w:r>
        <w:tab/>
        <w:t>geografický informačný systém</w:t>
      </w:r>
    </w:p>
    <w:p w:rsidR="00641F29" w:rsidRPr="001C6ACF" w:rsidRDefault="00641F29" w:rsidP="00FE491B">
      <w:pPr>
        <w:pStyle w:val="HStandard"/>
        <w:ind w:left="993" w:hanging="993"/>
      </w:pPr>
      <w:r>
        <w:t>GPSM</w:t>
      </w:r>
      <w:r>
        <w:tab/>
      </w:r>
      <w:r>
        <w:tab/>
        <w:t>zovšeobecnen</w:t>
      </w:r>
      <w:r w:rsidR="004E327A">
        <w:t>ý</w:t>
      </w:r>
      <w:r>
        <w:t xml:space="preserve"> </w:t>
      </w:r>
      <w:r w:rsidR="004E327A" w:rsidRPr="004E327A">
        <w:t xml:space="preserve">odhad pravdepodobnosti získania podpory </w:t>
      </w:r>
      <w:r w:rsidR="00541C44">
        <w:t>(</w:t>
      </w:r>
      <w:r w:rsidR="00541C44" w:rsidRPr="00541C44">
        <w:t>Generalised Propensity Score Matching</w:t>
      </w:r>
      <w:r w:rsidR="00541C44">
        <w:t>)</w:t>
      </w:r>
    </w:p>
    <w:p w:rsidR="00641F29" w:rsidRPr="001C6ACF" w:rsidRDefault="00641F29" w:rsidP="00FE491B">
      <w:pPr>
        <w:pStyle w:val="HStandard"/>
        <w:ind w:left="993" w:hanging="993"/>
      </w:pPr>
      <w:r>
        <w:t>GR AGRI</w:t>
      </w:r>
      <w:r>
        <w:tab/>
      </w:r>
      <w:r>
        <w:tab/>
        <w:t>Generálne riaditeľstvo pre poľnohospodárstvo a rozvoj vidieka</w:t>
      </w:r>
    </w:p>
    <w:p w:rsidR="00641F29" w:rsidRPr="001C6ACF" w:rsidRDefault="00641F29" w:rsidP="00FE491B">
      <w:pPr>
        <w:pStyle w:val="HStandard"/>
        <w:ind w:left="993" w:hanging="993"/>
      </w:pPr>
      <w:r>
        <w:t>GRTVV</w:t>
      </w:r>
      <w:r>
        <w:tab/>
      </w:r>
      <w:r>
        <w:tab/>
        <w:t>generácia regionálnych tabuliek porovnávajúcich vstupy a výstupy</w:t>
      </w:r>
    </w:p>
    <w:p w:rsidR="00641F29" w:rsidRPr="001C6ACF" w:rsidRDefault="00641F29" w:rsidP="00FE491B">
      <w:pPr>
        <w:pStyle w:val="HStandard"/>
        <w:ind w:left="993" w:hanging="993"/>
      </w:pPr>
      <w:r>
        <w:t>H</w:t>
      </w:r>
      <w:r>
        <w:tab/>
      </w:r>
      <w:r>
        <w:tab/>
        <w:t>hodnotiteľ</w:t>
      </w:r>
    </w:p>
    <w:p w:rsidR="00641F29" w:rsidRPr="001C6ACF" w:rsidRDefault="00641F29" w:rsidP="00FE491B">
      <w:pPr>
        <w:pStyle w:val="HStandard"/>
        <w:ind w:left="993" w:hanging="993"/>
      </w:pPr>
      <w:r>
        <w:t>HDP</w:t>
      </w:r>
      <w:r>
        <w:tab/>
      </w:r>
      <w:r>
        <w:tab/>
        <w:t xml:space="preserve">hrubý domáci produkt </w:t>
      </w:r>
    </w:p>
    <w:p w:rsidR="00641F29" w:rsidRPr="001C6ACF" w:rsidRDefault="00641F29" w:rsidP="00FE491B">
      <w:pPr>
        <w:pStyle w:val="HStandard"/>
        <w:ind w:left="993" w:hanging="993"/>
      </w:pPr>
      <w:r>
        <w:t>HDVVV</w:t>
      </w:r>
      <w:r>
        <w:tab/>
      </w:r>
      <w:r>
        <w:tab/>
        <w:t>hrubé domáce výdavky na výskum a vývoj</w:t>
      </w:r>
    </w:p>
    <w:p w:rsidR="00641F29" w:rsidRPr="001C6ACF" w:rsidRDefault="00641F29" w:rsidP="00FE491B">
      <w:pPr>
        <w:pStyle w:val="HStandard"/>
        <w:ind w:left="993" w:hanging="993"/>
      </w:pPr>
      <w:r>
        <w:t>HNV</w:t>
      </w:r>
      <w:r>
        <w:tab/>
      </w:r>
      <w:r>
        <w:tab/>
        <w:t>poľnohospodárstvo s vysokou prírodnou hodnotou</w:t>
      </w:r>
    </w:p>
    <w:p w:rsidR="00641F29" w:rsidRPr="001C6ACF" w:rsidRDefault="00641F29" w:rsidP="00FE491B">
      <w:pPr>
        <w:pStyle w:val="HStandard"/>
        <w:ind w:left="993" w:hanging="993"/>
      </w:pPr>
      <w:r>
        <w:lastRenderedPageBreak/>
        <w:t>HRS</w:t>
      </w:r>
      <w:r>
        <w:tab/>
      </w:r>
      <w:r>
        <w:tab/>
        <w:t>hodnotiaca riadiaca skupina</w:t>
      </w:r>
    </w:p>
    <w:p w:rsidR="00641F29" w:rsidRPr="001C6ACF" w:rsidRDefault="00641F29" w:rsidP="00FE491B">
      <w:pPr>
        <w:pStyle w:val="HStandard"/>
        <w:ind w:left="993" w:hanging="993"/>
      </w:pPr>
      <w:r>
        <w:t>HÚ</w:t>
      </w:r>
      <w:r>
        <w:tab/>
      </w:r>
      <w:r>
        <w:tab/>
        <w:t>hodnotiaci útvar</w:t>
      </w:r>
    </w:p>
    <w:p w:rsidR="00641F29" w:rsidRPr="001C6ACF" w:rsidRDefault="00641F29" w:rsidP="00FE491B">
      <w:pPr>
        <w:pStyle w:val="HStandard"/>
        <w:ind w:left="993" w:hanging="993"/>
      </w:pPr>
      <w:r>
        <w:t>IACS</w:t>
      </w:r>
      <w:r>
        <w:tab/>
      </w:r>
      <w:r>
        <w:tab/>
        <w:t>integrovaný administratívny a kontrolný systém</w:t>
      </w:r>
    </w:p>
    <w:p w:rsidR="00641F29" w:rsidRPr="001C6ACF" w:rsidRDefault="00641F29" w:rsidP="00FE491B">
      <w:pPr>
        <w:pStyle w:val="HStandard"/>
        <w:ind w:left="993" w:hanging="993"/>
      </w:pPr>
      <w:r>
        <w:t>IKPZ</w:t>
      </w:r>
      <w:r>
        <w:tab/>
      </w:r>
      <w:r>
        <w:tab/>
        <w:t>integrovaná prevencia a kontrola znečisťovania</w:t>
      </w:r>
    </w:p>
    <w:p w:rsidR="00641F29" w:rsidRPr="00482ABA" w:rsidRDefault="00641F29" w:rsidP="00FE491B">
      <w:pPr>
        <w:pStyle w:val="HStandard"/>
        <w:ind w:left="993" w:hanging="993"/>
      </w:pPr>
      <w:r>
        <w:t>IKT</w:t>
      </w:r>
      <w:r>
        <w:tab/>
      </w:r>
      <w:r>
        <w:tab/>
        <w:t>informačné a komunikačné technológie</w:t>
      </w:r>
    </w:p>
    <w:p w:rsidR="00641F29" w:rsidRPr="00482ABA" w:rsidRDefault="00641F29" w:rsidP="00FE491B">
      <w:pPr>
        <w:pStyle w:val="HStandard"/>
        <w:ind w:left="993" w:hanging="993"/>
      </w:pPr>
      <w:r>
        <w:t>IL</w:t>
      </w:r>
      <w:r>
        <w:tab/>
      </w:r>
      <w:r>
        <w:tab/>
        <w:t>intervenčná logika</w:t>
      </w:r>
    </w:p>
    <w:p w:rsidR="00641F29" w:rsidRPr="00FB5A40" w:rsidRDefault="00641F29" w:rsidP="00FE491B">
      <w:pPr>
        <w:pStyle w:val="HStandard"/>
        <w:ind w:left="993" w:hanging="993"/>
      </w:pPr>
      <w:r>
        <w:t>IP</w:t>
      </w:r>
      <w:r>
        <w:tab/>
      </w:r>
      <w:r>
        <w:tab/>
        <w:t>metóda inštrumentálnej premennej</w:t>
      </w:r>
      <w:r w:rsidR="00905ED8">
        <w:t xml:space="preserve"> (Instrumental Variables)</w:t>
      </w:r>
    </w:p>
    <w:p w:rsidR="00641F29" w:rsidRPr="001C6ACF" w:rsidRDefault="00641F29" w:rsidP="00FE491B">
      <w:pPr>
        <w:pStyle w:val="HStandard"/>
        <w:ind w:left="993" w:hanging="993"/>
      </w:pPr>
      <w:r>
        <w:t>JRC</w:t>
      </w:r>
      <w:r>
        <w:tab/>
      </w:r>
      <w:r>
        <w:tab/>
        <w:t>Spoločné výskumné centrum</w:t>
      </w:r>
    </w:p>
    <w:p w:rsidR="00641F29" w:rsidRPr="001C6ACF" w:rsidRDefault="00641F29" w:rsidP="00FE491B">
      <w:pPr>
        <w:pStyle w:val="HStandard"/>
        <w:ind w:left="993" w:hanging="993"/>
      </w:pPr>
      <w:r>
        <w:t>KIŽP</w:t>
      </w:r>
      <w:r>
        <w:tab/>
      </w:r>
      <w:r>
        <w:tab/>
        <w:t>koordinácia informácií o životnom prostredí</w:t>
      </w:r>
    </w:p>
    <w:p w:rsidR="00641F29" w:rsidRPr="00FB5A40" w:rsidRDefault="00641F29" w:rsidP="00FE491B">
      <w:pPr>
        <w:pStyle w:val="HStandard"/>
        <w:ind w:left="993" w:hanging="993"/>
      </w:pPr>
      <w:r>
        <w:t>KP</w:t>
      </w:r>
      <w:r>
        <w:tab/>
      </w:r>
      <w:r>
        <w:tab/>
        <w:t>hodnotiace kritériá</w:t>
      </w:r>
    </w:p>
    <w:p w:rsidR="00641F29" w:rsidRPr="001C6ACF" w:rsidRDefault="00641F29" w:rsidP="00FE491B">
      <w:pPr>
        <w:pStyle w:val="HStandard"/>
        <w:ind w:left="993" w:hanging="993"/>
      </w:pPr>
      <w:r>
        <w:t>LPIS</w:t>
      </w:r>
      <w:r>
        <w:tab/>
      </w:r>
      <w:r>
        <w:tab/>
        <w:t>systém identifikácie poľnohospodárskych pozemkov</w:t>
      </w:r>
    </w:p>
    <w:p w:rsidR="00641F29" w:rsidRPr="001C6ACF" w:rsidRDefault="00641F29" w:rsidP="00FE491B">
      <w:pPr>
        <w:pStyle w:val="HStandard"/>
        <w:ind w:left="993" w:hanging="993"/>
      </w:pPr>
      <w:r>
        <w:t>LUCAS</w:t>
      </w:r>
      <w:r>
        <w:tab/>
      </w:r>
      <w:r>
        <w:tab/>
        <w:t>rámcový štatistický prehľad pôdy a jej využitia</w:t>
      </w:r>
    </w:p>
    <w:p w:rsidR="00641F29" w:rsidRPr="001C6ACF" w:rsidRDefault="00641F29" w:rsidP="00FE491B">
      <w:pPr>
        <w:pStyle w:val="HStandard"/>
        <w:ind w:left="993" w:hanging="993"/>
      </w:pPr>
      <w:r>
        <w:t>LULUCF</w:t>
      </w:r>
      <w:r>
        <w:tab/>
      </w:r>
      <w:r>
        <w:tab/>
        <w:t>využívanie pôdy, zmeny vo využívaní pôdy a lesné hospodárstvo</w:t>
      </w:r>
    </w:p>
    <w:p w:rsidR="00641F29" w:rsidRPr="001C6ACF" w:rsidRDefault="00641F29" w:rsidP="00FE491B">
      <w:pPr>
        <w:pStyle w:val="HStandard"/>
        <w:ind w:left="993" w:hanging="993"/>
      </w:pPr>
      <w:r>
        <w:t>MPVPP</w:t>
      </w:r>
      <w:r>
        <w:tab/>
      </w:r>
      <w:r>
        <w:tab/>
        <w:t>metóda posudzovania vplyvu programov a projektu</w:t>
      </w:r>
    </w:p>
    <w:p w:rsidR="00641F29" w:rsidRPr="001C6ACF" w:rsidRDefault="00641F29" w:rsidP="00FE491B">
      <w:pPr>
        <w:pStyle w:val="HStandard"/>
        <w:ind w:left="993" w:hanging="993"/>
      </w:pPr>
      <w:r>
        <w:t>MSÚ</w:t>
      </w:r>
      <w:r>
        <w:tab/>
      </w:r>
      <w:r>
        <w:tab/>
        <w:t>matica sociálneho účtovníctva</w:t>
      </w:r>
    </w:p>
    <w:p w:rsidR="00641F29" w:rsidRPr="001C6ACF" w:rsidRDefault="00641F29" w:rsidP="00FE491B">
      <w:pPr>
        <w:pStyle w:val="HStandard"/>
        <w:ind w:left="993" w:hanging="993"/>
      </w:pPr>
      <w:r>
        <w:t>MV</w:t>
      </w:r>
      <w:r>
        <w:tab/>
      </w:r>
      <w:r>
        <w:tab/>
        <w:t>monitorovací výbor</w:t>
      </w:r>
    </w:p>
    <w:p w:rsidR="00641F29" w:rsidRPr="001C6ACF" w:rsidRDefault="00641F29" w:rsidP="00FE491B">
      <w:pPr>
        <w:pStyle w:val="HStandard"/>
        <w:ind w:left="993" w:hanging="993"/>
      </w:pPr>
      <w:r>
        <w:t>MVO</w:t>
      </w:r>
      <w:r>
        <w:tab/>
      </w:r>
      <w:r>
        <w:tab/>
        <w:t>mimovládna organizácia</w:t>
      </w:r>
    </w:p>
    <w:p w:rsidR="00641F29" w:rsidRPr="001C6ACF" w:rsidRDefault="00641F29" w:rsidP="00FE491B">
      <w:pPr>
        <w:pStyle w:val="HStandard"/>
        <w:ind w:left="993" w:hanging="993"/>
      </w:pPr>
      <w:r>
        <w:t>NUTS</w:t>
      </w:r>
      <w:r>
        <w:tab/>
      </w:r>
      <w:r>
        <w:tab/>
        <w:t>nomenklatúra územných jednotiek pre štatistické účely</w:t>
      </w:r>
      <w:r>
        <w:tab/>
      </w:r>
    </w:p>
    <w:p w:rsidR="00641F29" w:rsidRPr="001C6ACF" w:rsidRDefault="00641F29" w:rsidP="00FE491B">
      <w:pPr>
        <w:pStyle w:val="HStandard"/>
        <w:ind w:left="993" w:hanging="993"/>
      </w:pPr>
      <w:r>
        <w:t>NVS</w:t>
      </w:r>
      <w:r>
        <w:tab/>
      </w:r>
      <w:r>
        <w:tab/>
        <w:t>národná vidiecka sieť</w:t>
      </w:r>
    </w:p>
    <w:p w:rsidR="00641F29" w:rsidRPr="001C6ACF" w:rsidRDefault="00641F29" w:rsidP="00FE491B">
      <w:pPr>
        <w:pStyle w:val="HStandard"/>
        <w:ind w:left="993" w:hanging="993"/>
      </w:pPr>
      <w:r>
        <w:t>O</w:t>
      </w:r>
      <w:r>
        <w:tab/>
      </w:r>
      <w:r>
        <w:tab/>
        <w:t xml:space="preserve">opatrenie </w:t>
      </w:r>
    </w:p>
    <w:p w:rsidR="00641F29" w:rsidRPr="001C6ACF" w:rsidRDefault="00641F29" w:rsidP="00FE491B">
      <w:pPr>
        <w:pStyle w:val="HStandard"/>
        <w:ind w:left="993" w:hanging="993"/>
      </w:pPr>
      <w:r>
        <w:t>OPP</w:t>
      </w:r>
      <w:r>
        <w:tab/>
      </w:r>
      <w:r>
        <w:tab/>
        <w:t>oblasti s prírodnými prekážkami</w:t>
      </w:r>
    </w:p>
    <w:p w:rsidR="00641F29" w:rsidRPr="00FB5A40" w:rsidRDefault="00641F29" w:rsidP="00FE491B">
      <w:pPr>
        <w:pStyle w:val="HStandard"/>
        <w:ind w:left="993" w:hanging="993"/>
      </w:pPr>
      <w:r>
        <w:t>OUP</w:t>
      </w:r>
      <w:r>
        <w:tab/>
      </w:r>
      <w:r>
        <w:tab/>
        <w:t>organický uhlík v pôde</w:t>
      </w:r>
    </w:p>
    <w:p w:rsidR="00641F29" w:rsidRPr="001C6ACF" w:rsidRDefault="00641F29" w:rsidP="00FE491B">
      <w:pPr>
        <w:pStyle w:val="HStandard"/>
        <w:ind w:left="993" w:hanging="993"/>
      </w:pPr>
      <w:r>
        <w:t>OZ</w:t>
      </w:r>
      <w:r>
        <w:tab/>
      </w:r>
      <w:r>
        <w:tab/>
        <w:t>oblasť zamerania</w:t>
      </w:r>
    </w:p>
    <w:p w:rsidR="00641F29" w:rsidRPr="001C6ACF" w:rsidRDefault="00641F29" w:rsidP="00FE491B">
      <w:pPr>
        <w:pStyle w:val="HStandard"/>
        <w:ind w:left="993" w:hanging="993"/>
      </w:pPr>
      <w:r>
        <w:t>PA</w:t>
      </w:r>
      <w:r>
        <w:tab/>
      </w:r>
      <w:r>
        <w:tab/>
        <w:t>platobná agentúra</w:t>
      </w:r>
    </w:p>
    <w:p w:rsidR="00641F29" w:rsidRPr="007645B4" w:rsidRDefault="00641F29" w:rsidP="00FE491B">
      <w:pPr>
        <w:pStyle w:val="HStandard"/>
        <w:ind w:left="993" w:hanging="993"/>
      </w:pPr>
      <w:r>
        <w:t>PDF</w:t>
      </w:r>
      <w:r>
        <w:tab/>
        <w:t xml:space="preserve">       poľnohospodársky dôchodok z faktorov</w:t>
      </w:r>
    </w:p>
    <w:p w:rsidR="00641F29" w:rsidRPr="00336531" w:rsidRDefault="00641F29" w:rsidP="00FE491B">
      <w:pPr>
        <w:pStyle w:val="HStandard"/>
        <w:ind w:left="993" w:hanging="993"/>
      </w:pPr>
      <w:r>
        <w:t>PPP</w:t>
      </w:r>
      <w:r>
        <w:tab/>
        <w:t xml:space="preserve">       poľnohospodársky príjem z podnikania</w:t>
      </w:r>
    </w:p>
    <w:p w:rsidR="00641F29" w:rsidRPr="001C6ACF" w:rsidRDefault="00641F29" w:rsidP="00FE491B">
      <w:pPr>
        <w:pStyle w:val="HStandard"/>
        <w:ind w:left="993" w:hanging="993"/>
      </w:pPr>
      <w:r>
        <w:t>PRV</w:t>
      </w:r>
      <w:r>
        <w:tab/>
      </w:r>
      <w:r>
        <w:tab/>
        <w:t>program rozvoja vidieka</w:t>
      </w:r>
    </w:p>
    <w:p w:rsidR="00641F29" w:rsidRPr="001C6ACF" w:rsidRDefault="00641F29" w:rsidP="00FE491B">
      <w:pPr>
        <w:pStyle w:val="HStandard"/>
        <w:ind w:left="993" w:hanging="993"/>
      </w:pPr>
      <w:r>
        <w:t>PSM</w:t>
      </w:r>
      <w:r>
        <w:tab/>
      </w:r>
      <w:r>
        <w:tab/>
      </w:r>
      <w:r w:rsidR="00E3052A">
        <w:t>metóda odhadu pravdepodobnosti získania podpory (</w:t>
      </w:r>
      <w:r w:rsidR="00E3052A" w:rsidRPr="00E3052A">
        <w:t>Propensity Score Matching</w:t>
      </w:r>
      <w:r w:rsidR="00E3052A">
        <w:t>)</w:t>
      </w:r>
    </w:p>
    <w:p w:rsidR="00641F29" w:rsidRPr="001C6ACF" w:rsidRDefault="00641F29" w:rsidP="00FE491B">
      <w:pPr>
        <w:pStyle w:val="HStandard"/>
        <w:ind w:left="993" w:hanging="993"/>
      </w:pPr>
      <w:r>
        <w:t>PŠHO</w:t>
      </w:r>
      <w:r>
        <w:tab/>
      </w:r>
      <w:r>
        <w:tab/>
        <w:t>programovo špecifická hodnotiaca otázka</w:t>
      </w:r>
    </w:p>
    <w:p w:rsidR="00641F29" w:rsidRPr="001C6ACF" w:rsidRDefault="00641F29" w:rsidP="00FE491B">
      <w:pPr>
        <w:pStyle w:val="HStandard"/>
        <w:ind w:left="993" w:hanging="993"/>
      </w:pPr>
      <w:r>
        <w:t>PÚ</w:t>
      </w:r>
      <w:r>
        <w:tab/>
      </w:r>
      <w:r>
        <w:tab/>
        <w:t>poskytovateľ údajov</w:t>
      </w:r>
    </w:p>
    <w:p w:rsidR="00641F29" w:rsidRPr="001C6ACF" w:rsidRDefault="00641F29" w:rsidP="00FE491B">
      <w:pPr>
        <w:pStyle w:val="HStandard"/>
        <w:ind w:left="993" w:hanging="993"/>
      </w:pPr>
      <w:r>
        <w:t>RDD</w:t>
      </w:r>
      <w:r>
        <w:tab/>
      </w:r>
      <w:r>
        <w:tab/>
        <w:t xml:space="preserve">metóda </w:t>
      </w:r>
      <w:r w:rsidR="005743DC">
        <w:t>regresnej analýzy</w:t>
      </w:r>
      <w:r>
        <w:t xml:space="preserve"> </w:t>
      </w:r>
      <w:r w:rsidR="00905ED8">
        <w:t>(Regression Discontinuity Design)</w:t>
      </w:r>
    </w:p>
    <w:p w:rsidR="00641F29" w:rsidRPr="001C6ACF" w:rsidRDefault="00641F29" w:rsidP="00FE491B">
      <w:pPr>
        <w:pStyle w:val="HStandard"/>
        <w:ind w:left="993" w:hanging="993"/>
      </w:pPr>
      <w:r>
        <w:t>RO</w:t>
      </w:r>
      <w:r>
        <w:tab/>
      </w:r>
      <w:r>
        <w:tab/>
        <w:t>riadiaci orgán</w:t>
      </w:r>
    </w:p>
    <w:p w:rsidR="00641F29" w:rsidRPr="001C6ACF" w:rsidRDefault="00641F29" w:rsidP="00FE491B">
      <w:pPr>
        <w:pStyle w:val="HStandard"/>
        <w:ind w:left="993" w:hanging="993"/>
      </w:pPr>
      <w:r>
        <w:t>RPJ</w:t>
      </w:r>
      <w:r>
        <w:tab/>
      </w:r>
      <w:r>
        <w:tab/>
        <w:t>ročné pracovné jednotky</w:t>
      </w:r>
    </w:p>
    <w:p w:rsidR="00641F29" w:rsidRPr="001C6ACF" w:rsidRDefault="00641F29" w:rsidP="00FE491B">
      <w:pPr>
        <w:pStyle w:val="HStandard"/>
        <w:ind w:left="993" w:hanging="993"/>
      </w:pPr>
      <w:r>
        <w:t>RR</w:t>
      </w:r>
      <w:r>
        <w:tab/>
      </w:r>
      <w:r>
        <w:tab/>
        <w:t>referenčný rámec</w:t>
      </w:r>
    </w:p>
    <w:p w:rsidR="00641F29" w:rsidRPr="001C6ACF" w:rsidRDefault="00641F29" w:rsidP="00FE491B">
      <w:pPr>
        <w:pStyle w:val="HStandard"/>
        <w:ind w:left="993" w:hanging="993"/>
      </w:pPr>
      <w:r>
        <w:t>RSV</w:t>
      </w:r>
      <w:r>
        <w:tab/>
      </w:r>
      <w:r>
        <w:tab/>
        <w:t>rámcová smernica o vode</w:t>
      </w:r>
    </w:p>
    <w:p w:rsidR="00641F29" w:rsidRPr="001C6ACF" w:rsidRDefault="00641F29" w:rsidP="00FE491B">
      <w:pPr>
        <w:pStyle w:val="HStandard"/>
        <w:ind w:left="993" w:hanging="993"/>
      </w:pPr>
      <w:r>
        <w:lastRenderedPageBreak/>
        <w:t>RURSP</w:t>
      </w:r>
      <w:r>
        <w:tab/>
      </w:r>
      <w:r>
        <w:tab/>
        <w:t>revidovaná univerzálna rovnica straty pôdy</w:t>
      </w:r>
    </w:p>
    <w:p w:rsidR="00641F29" w:rsidRPr="001C6ACF" w:rsidRDefault="00641F29" w:rsidP="00FE491B">
      <w:pPr>
        <w:pStyle w:val="HStandard"/>
        <w:ind w:left="993" w:hanging="993"/>
      </w:pPr>
      <w:r>
        <w:t>SAPM</w:t>
      </w:r>
      <w:r>
        <w:tab/>
      </w:r>
      <w:r>
        <w:tab/>
        <w:t>zisťovanie metód poľnohospodárskej výroby</w:t>
      </w:r>
    </w:p>
    <w:p w:rsidR="00641F29" w:rsidRPr="001C6ACF" w:rsidRDefault="00641F29" w:rsidP="00FE491B">
      <w:pPr>
        <w:pStyle w:val="HStandard"/>
        <w:ind w:left="993" w:hanging="993"/>
      </w:pPr>
      <w:r>
        <w:t>SD</w:t>
      </w:r>
      <w:r>
        <w:tab/>
      </w:r>
      <w:r>
        <w:tab/>
        <w:t>smernica o dusičnanoch</w:t>
      </w:r>
    </w:p>
    <w:p w:rsidR="00641F29" w:rsidRPr="001C6ACF" w:rsidRDefault="00641F29" w:rsidP="00FE491B">
      <w:pPr>
        <w:pStyle w:val="HStandard"/>
        <w:ind w:left="993" w:hanging="993"/>
      </w:pPr>
      <w:r>
        <w:t>SEBI</w:t>
      </w:r>
      <w:r>
        <w:tab/>
      </w:r>
      <w:r>
        <w:tab/>
        <w:t>zjednodušenie európskych ukazovateľov biodiverzity</w:t>
      </w:r>
    </w:p>
    <w:p w:rsidR="00641F29" w:rsidRPr="001C6ACF" w:rsidRDefault="00641F29" w:rsidP="00FE491B">
      <w:pPr>
        <w:pStyle w:val="HStandard"/>
        <w:ind w:left="993" w:hanging="993"/>
      </w:pPr>
      <w:r>
        <w:t>SFC</w:t>
      </w:r>
      <w:r>
        <w:tab/>
      </w:r>
      <w:r>
        <w:tab/>
        <w:t>spoločný systém na spoločné finančné hospodárenie</w:t>
      </w:r>
    </w:p>
    <w:p w:rsidR="00641F29" w:rsidRPr="001C6ACF" w:rsidRDefault="00641F29" w:rsidP="00FE491B">
      <w:pPr>
        <w:pStyle w:val="HStandard"/>
        <w:ind w:left="993" w:hanging="993"/>
      </w:pPr>
      <w:r>
        <w:t>SHO</w:t>
      </w:r>
      <w:r>
        <w:tab/>
      </w:r>
      <w:r>
        <w:tab/>
        <w:t>spoločné hodnotiace otázky</w:t>
      </w:r>
    </w:p>
    <w:p w:rsidR="00641F29" w:rsidRPr="001C6ACF" w:rsidRDefault="00641F29" w:rsidP="00FE491B">
      <w:pPr>
        <w:pStyle w:val="HStandard"/>
        <w:ind w:left="993" w:hanging="993"/>
      </w:pPr>
      <w:r>
        <w:t>SKU</w:t>
      </w:r>
      <w:r>
        <w:tab/>
      </w:r>
      <w:r>
        <w:tab/>
        <w:t>spoločné ukazovatele kontextu</w:t>
      </w:r>
    </w:p>
    <w:p w:rsidR="00641F29" w:rsidRDefault="00641F29" w:rsidP="00FE491B">
      <w:pPr>
        <w:pStyle w:val="HStandard"/>
        <w:ind w:left="993" w:hanging="993"/>
      </w:pPr>
      <w:r>
        <w:t>SMaH</w:t>
      </w:r>
      <w:r>
        <w:tab/>
      </w:r>
      <w:r>
        <w:tab/>
        <w:t>spoločný systém monitorovania a hodnotenia</w:t>
      </w:r>
    </w:p>
    <w:p w:rsidR="001D70DD" w:rsidRPr="001C6ACF" w:rsidRDefault="001D70DD" w:rsidP="00FE491B">
      <w:pPr>
        <w:pStyle w:val="HStandard"/>
        <w:ind w:left="993" w:hanging="993"/>
      </w:pPr>
      <w:r w:rsidRPr="001D70DD">
        <w:t>SOM</w:t>
      </w:r>
      <w:r w:rsidRPr="001D70DD">
        <w:tab/>
      </w:r>
      <w:r w:rsidRPr="001D70DD">
        <w:tab/>
        <w:t>organické pôdne látky</w:t>
      </w:r>
    </w:p>
    <w:p w:rsidR="00641F29" w:rsidRPr="001C6ACF" w:rsidRDefault="00641F29" w:rsidP="00FE491B">
      <w:pPr>
        <w:pStyle w:val="HStandard"/>
        <w:ind w:left="993" w:hanging="993"/>
      </w:pPr>
      <w:r>
        <w:t>SPP</w:t>
      </w:r>
      <w:r>
        <w:tab/>
      </w:r>
      <w:r>
        <w:tab/>
        <w:t xml:space="preserve">spoločná poľnohospodárska politika </w:t>
      </w:r>
    </w:p>
    <w:p w:rsidR="00641F29" w:rsidRPr="001C6ACF" w:rsidRDefault="00641F29" w:rsidP="00FE491B">
      <w:pPr>
        <w:pStyle w:val="HStandard"/>
        <w:ind w:left="993" w:hanging="993"/>
      </w:pPr>
      <w:r>
        <w:t>SÚP</w:t>
      </w:r>
      <w:r>
        <w:tab/>
      </w:r>
      <w:r>
        <w:tab/>
        <w:t>správne územie povodia</w:t>
      </w:r>
    </w:p>
    <w:p w:rsidR="00641F29" w:rsidRPr="001C6ACF" w:rsidRDefault="00641F29" w:rsidP="00FE491B">
      <w:pPr>
        <w:pStyle w:val="HStandard"/>
        <w:ind w:left="993" w:hanging="993"/>
      </w:pPr>
      <w:r>
        <w:t>SWOT</w:t>
      </w:r>
      <w:r>
        <w:tab/>
      </w:r>
      <w:r>
        <w:tab/>
        <w:t>analýza slabých a silných stránok, príležitostí a hrozieb</w:t>
      </w:r>
    </w:p>
    <w:p w:rsidR="00641F29" w:rsidRPr="001C6ACF" w:rsidRDefault="00641F29" w:rsidP="00FE491B">
      <w:pPr>
        <w:pStyle w:val="HStandard"/>
        <w:ind w:left="993" w:hanging="993"/>
      </w:pPr>
      <w:r>
        <w:t>TBE</w:t>
      </w:r>
      <w:r>
        <w:tab/>
      </w:r>
      <w:r>
        <w:tab/>
        <w:t>metóda hodnotenia založeného na teórii</w:t>
      </w:r>
      <w:r w:rsidR="00905ED8">
        <w:t xml:space="preserve"> (Theory Based Evaluation)</w:t>
      </w:r>
    </w:p>
    <w:p w:rsidR="00641F29" w:rsidRPr="001C6ACF" w:rsidRDefault="00641F29" w:rsidP="00FE491B">
      <w:pPr>
        <w:pStyle w:val="HStandard"/>
        <w:ind w:left="993" w:hanging="993"/>
      </w:pPr>
      <w:r>
        <w:t>TFP</w:t>
      </w:r>
      <w:r>
        <w:tab/>
      </w:r>
      <w:r>
        <w:tab/>
        <w:t>celková produktivita faktorov</w:t>
      </w:r>
    </w:p>
    <w:p w:rsidR="00641F29" w:rsidRPr="001C6ACF" w:rsidRDefault="00641F29" w:rsidP="00FE491B">
      <w:pPr>
        <w:pStyle w:val="HStandard"/>
        <w:ind w:left="993" w:hanging="993"/>
      </w:pPr>
      <w:r>
        <w:t>TP</w:t>
      </w:r>
      <w:r>
        <w:tab/>
      </w:r>
      <w:r>
        <w:tab/>
        <w:t>technická pomoc</w:t>
      </w:r>
    </w:p>
    <w:p w:rsidR="00641F29" w:rsidRPr="001C6ACF" w:rsidRDefault="00641F29" w:rsidP="00FE491B">
      <w:pPr>
        <w:pStyle w:val="HStandard"/>
        <w:ind w:left="993" w:hanging="993"/>
      </w:pPr>
      <w:r>
        <w:t>UAA</w:t>
      </w:r>
      <w:r>
        <w:tab/>
      </w:r>
      <w:r>
        <w:tab/>
        <w:t>využívaná poľnohospodárska pôda</w:t>
      </w:r>
    </w:p>
    <w:p w:rsidR="00641F29" w:rsidRPr="001C6ACF" w:rsidRDefault="00641F29" w:rsidP="00FE491B">
      <w:pPr>
        <w:pStyle w:val="HStandard"/>
        <w:ind w:left="993" w:hanging="993"/>
      </w:pPr>
      <w:r>
        <w:t>ÚSJ</w:t>
      </w:r>
      <w:r>
        <w:tab/>
      </w:r>
      <w:r>
        <w:tab/>
        <w:t>územná správna jednotka</w:t>
      </w:r>
    </w:p>
    <w:p w:rsidR="00641F29" w:rsidRPr="001C6ACF" w:rsidRDefault="00641F29" w:rsidP="00FE491B">
      <w:pPr>
        <w:pStyle w:val="HStandard"/>
        <w:ind w:left="993" w:hanging="993"/>
      </w:pPr>
      <w:r>
        <w:t>UV</w:t>
      </w:r>
      <w:r>
        <w:tab/>
      </w:r>
      <w:r>
        <w:tab/>
        <w:t>ukazovateľ vplyvu</w:t>
      </w:r>
    </w:p>
    <w:p w:rsidR="00641F29" w:rsidRPr="001C6ACF" w:rsidRDefault="00641F29" w:rsidP="00FE491B">
      <w:pPr>
        <w:pStyle w:val="HStandard"/>
        <w:ind w:left="993" w:hanging="993"/>
      </w:pPr>
      <w:r>
        <w:t>UVS</w:t>
      </w:r>
      <w:r>
        <w:tab/>
      </w:r>
      <w:r>
        <w:tab/>
        <w:t>ukazovatele výsledkov</w:t>
      </w:r>
    </w:p>
    <w:p w:rsidR="00641F29" w:rsidRPr="001C6ACF" w:rsidRDefault="0027665C" w:rsidP="00FE491B">
      <w:pPr>
        <w:pStyle w:val="HStandard"/>
        <w:ind w:left="993" w:hanging="993"/>
      </w:pPr>
      <w:r>
        <w:t>VSV</w:t>
      </w:r>
      <w:r w:rsidR="00641F29">
        <w:tab/>
      </w:r>
      <w:r w:rsidR="00641F29">
        <w:tab/>
        <w:t xml:space="preserve">výročná správa </w:t>
      </w:r>
      <w:r>
        <w:t>o vykonávaní</w:t>
      </w:r>
    </w:p>
    <w:p w:rsidR="00641F29" w:rsidRPr="001C6ACF" w:rsidRDefault="00641F29" w:rsidP="00FE491B">
      <w:pPr>
        <w:pStyle w:val="HStandard"/>
        <w:ind w:left="993" w:hanging="993"/>
      </w:pPr>
      <w:r>
        <w:t>WD</w:t>
      </w:r>
      <w:r>
        <w:tab/>
      </w:r>
      <w:r>
        <w:tab/>
        <w:t>pracovný dokument</w:t>
      </w:r>
    </w:p>
    <w:p w:rsidR="00D32538" w:rsidRPr="001C6ACF" w:rsidRDefault="00D32538" w:rsidP="0095356C">
      <w:pPr>
        <w:pStyle w:val="HStandard"/>
        <w:ind w:left="993" w:hanging="993"/>
        <w:sectPr w:rsidR="00D32538" w:rsidRPr="001C6ACF" w:rsidSect="00C702ED">
          <w:headerReference w:type="default" r:id="rId17"/>
          <w:footerReference w:type="first" r:id="rId18"/>
          <w:pgSz w:w="11906" w:h="16838" w:code="9"/>
          <w:pgMar w:top="1440" w:right="1440" w:bottom="1134" w:left="1440" w:header="567" w:footer="737" w:gutter="0"/>
          <w:cols w:space="708"/>
          <w:titlePg/>
          <w:docGrid w:linePitch="360"/>
        </w:sectPr>
      </w:pPr>
    </w:p>
    <w:p w:rsidR="006F7D30" w:rsidRPr="001C6ACF" w:rsidRDefault="006F7D30" w:rsidP="006F7D30">
      <w:pPr>
        <w:pStyle w:val="HHeading1"/>
        <w:numPr>
          <w:ilvl w:val="0"/>
          <w:numId w:val="0"/>
        </w:numPr>
        <w:rPr>
          <w:sz w:val="28"/>
        </w:rPr>
      </w:pPr>
      <w:r>
        <w:rPr>
          <w:sz w:val="28"/>
        </w:rPr>
        <w:lastRenderedPageBreak/>
        <w:t>Poďakovanie</w:t>
      </w:r>
    </w:p>
    <w:p w:rsidR="00EB120C" w:rsidRPr="001C6ACF" w:rsidRDefault="00EB120C" w:rsidP="00EB120C">
      <w:pPr>
        <w:spacing w:after="120" w:line="280" w:lineRule="atLeast"/>
        <w:rPr>
          <w:rFonts w:ascii="Calibri" w:hAnsi="Calibri"/>
          <w:i/>
          <w:iCs/>
          <w:color w:val="373737" w:themeColor="text1"/>
          <w:sz w:val="20"/>
          <w:szCs w:val="20"/>
        </w:rPr>
      </w:pPr>
      <w:r>
        <w:rPr>
          <w:i/>
          <w:color w:val="373737" w:themeColor="text1"/>
          <w:sz w:val="20"/>
        </w:rPr>
        <w:t xml:space="preserve">Usmernenia vypracoval medzinárodný tím odborníkov pre hodnotenie v oblasti rozvoja vidieka vrátane týchto odborníkov: Jerzy Michalek (sektorové vplyvy), Demetrios Psaltopoulos (sociálno-ekonomické vplyvy), Marili Parisaki (kvalitatívne metódy), Tomáš Ratinger (sektorové vplyvy), Gerald Schwarz (vplyv na životné prostredie), Dimitris Skuras (vplyv na životné prostredie), Darko Znaor (vplyv na životné prostredie). Súvisiacu tematickú pracovnú skupinu koordinovalo poradenské centrum pre hodnotenie pod vedením Jely Tvrdonovovej a Hannesa Wimmera. Valérie Dumont, Myles Stiffler, Matteo Metta, Valdis Kudins a Harriet Mackaill-Hill podporili vypracovanie a zabezpečili kvalitu a vizuálny vzhľad konečných usmernení. </w:t>
      </w:r>
    </w:p>
    <w:p w:rsidR="00EB120C" w:rsidRPr="001C6ACF" w:rsidRDefault="00EB120C" w:rsidP="00EB120C">
      <w:pPr>
        <w:spacing w:after="120" w:line="280" w:lineRule="atLeast"/>
        <w:rPr>
          <w:i/>
          <w:iCs/>
          <w:color w:val="373737" w:themeColor="text1"/>
          <w:sz w:val="20"/>
          <w:szCs w:val="20"/>
        </w:rPr>
      </w:pPr>
      <w:r>
        <w:rPr>
          <w:i/>
          <w:color w:val="373737" w:themeColor="text1"/>
          <w:sz w:val="20"/>
        </w:rPr>
        <w:t>Ako recenzenti sa na ňom podieľali rôzni experti (Rolf Bergs, Kit Macleod, Žymantas Morkvėnas). Zástupcovia GR pre poľnohospodárstvo a rozvoj vidieka zabezpečili súlad usmernení s politickým rámcom EÚ.</w:t>
      </w:r>
    </w:p>
    <w:p w:rsidR="006F7D30" w:rsidRPr="001C6ACF" w:rsidRDefault="00EB120C" w:rsidP="00EB120C">
      <w:pPr>
        <w:pStyle w:val="HStandard"/>
      </w:pPr>
      <w:r>
        <w:rPr>
          <w:i/>
        </w:rPr>
        <w:t>Zástupcovia členských štátov sa k návrhom usmernení vyjadrili na konzultácii v rámci diskusných fór v januári a apríli 2018. Členovia skupiny odborníkov na monitorovanie a hodnotenie SPP sa ku konečnému návrhu vyjadrili v júni 2018. </w:t>
      </w:r>
    </w:p>
    <w:p w:rsidR="00860B72" w:rsidRPr="001C6ACF" w:rsidRDefault="00860B72" w:rsidP="000B2A17">
      <w:pPr>
        <w:pStyle w:val="HStandard"/>
      </w:pPr>
    </w:p>
    <w:p w:rsidR="008E728A" w:rsidRPr="001C6ACF" w:rsidRDefault="008549B5" w:rsidP="008E3ACB">
      <w:pPr>
        <w:pStyle w:val="HHeading1"/>
        <w:numPr>
          <w:ilvl w:val="0"/>
          <w:numId w:val="0"/>
        </w:numPr>
        <w:rPr>
          <w:sz w:val="28"/>
        </w:rPr>
      </w:pPr>
      <w:r>
        <w:rPr>
          <w:sz w:val="28"/>
        </w:rPr>
        <w:lastRenderedPageBreak/>
        <w:t>ÚVOD</w:t>
      </w:r>
    </w:p>
    <w:p w:rsidR="00CD63F6" w:rsidRPr="001C6ACF" w:rsidRDefault="00CD63F6" w:rsidP="00CD63F6">
      <w:pPr>
        <w:pStyle w:val="HHeading4"/>
      </w:pPr>
      <w:r>
        <w:t>Význam hodnotenia</w:t>
      </w:r>
    </w:p>
    <w:p w:rsidR="00CD63F6" w:rsidRPr="001C6ACF" w:rsidRDefault="00CD63F6" w:rsidP="00CD63F6">
      <w:pPr>
        <w:pStyle w:val="HStandard"/>
      </w:pPr>
      <w:r>
        <w:t xml:space="preserve">Európske štrukturálne a investičné fondy (EŠIF) sú dôležitými </w:t>
      </w:r>
      <w:r>
        <w:rPr>
          <w:b/>
        </w:rPr>
        <w:t>verejnými nástrojmi</w:t>
      </w:r>
      <w:r>
        <w:t xml:space="preserve"> na podporu opatrení týkajúcich sa hlavných priorít Únie, ktoré sa v členských štátoch a regiónoch realizujú prostredníctvom viacročných programov. Je teda v záujme tvorcov politiky a verejnosti vedieť, či sa ich peniaze čerpajú zodpovedne a prinášajú očakávané výsledky a či sú in</w:t>
      </w:r>
      <w:r w:rsidR="00C268FE">
        <w:t xml:space="preserve">tervencie zamerané na správnych prijímateľov </w:t>
      </w:r>
      <w:r>
        <w:t xml:space="preserve">tak, aby sa dosiahli politické ciele EÚ. </w:t>
      </w:r>
    </w:p>
    <w:p w:rsidR="00CD63F6" w:rsidRPr="001C6ACF" w:rsidRDefault="00CD63F6" w:rsidP="00CC00DA">
      <w:pPr>
        <w:pStyle w:val="HStandard"/>
      </w:pPr>
      <w:r>
        <w:rPr>
          <w:b/>
        </w:rPr>
        <w:t>Hodnotenie</w:t>
      </w:r>
      <w:r>
        <w:t xml:space="preserve"> je nástroj na meranie efektívnosti, účinnosti, výsledkov a vplyvu politiky</w:t>
      </w:r>
      <w:r>
        <w:rPr>
          <w:rStyle w:val="FootnoteReference"/>
        </w:rPr>
        <w:footnoteReference w:id="1"/>
      </w:r>
      <w:r>
        <w:t xml:space="preserve">, ako aj jej relevantnosti, súdržnosti a pridanej hodnoty EÚ s cieľom zabezpečiť jej zodpovednosť a transparentnosť, a v konečnom dôsledku zlepšiť jej koncepciu. V rámci rozvoja vidieka sú </w:t>
      </w:r>
      <w:r>
        <w:rPr>
          <w:b/>
        </w:rPr>
        <w:t>v programovom období 2014 – 2020</w:t>
      </w:r>
      <w:r>
        <w:t xml:space="preserve"> dva hodnotiace medzníky. Prvý bol v roku 2017, keď zainteresované strany vyhodnotili výsledky politiky, a druhý bude v roku 2019, keď sa zmerajú výsledky politiky a jej vplyvy. Okrem toho sa </w:t>
      </w:r>
      <w:r>
        <w:rPr>
          <w:b/>
        </w:rPr>
        <w:t>po programovom období</w:t>
      </w:r>
      <w:r>
        <w:t xml:space="preserve"> vykoná hodnotenie </w:t>
      </w:r>
      <w:r>
        <w:rPr>
          <w:i/>
        </w:rPr>
        <w:t>ex post</w:t>
      </w:r>
      <w:r>
        <w:t>.</w:t>
      </w:r>
      <w:r>
        <w:rPr>
          <w:b/>
        </w:rPr>
        <w:t xml:space="preserve"> </w:t>
      </w:r>
    </w:p>
    <w:p w:rsidR="00CD63F6" w:rsidRPr="001C6ACF" w:rsidRDefault="00CD63F6" w:rsidP="005C0884">
      <w:pPr>
        <w:pStyle w:val="HHeading4"/>
      </w:pPr>
      <w:r>
        <w:t xml:space="preserve">Účel usmernení </w:t>
      </w:r>
    </w:p>
    <w:p w:rsidR="00CD63F6" w:rsidRPr="00571D58" w:rsidRDefault="00BD7C99" w:rsidP="00CD63F6">
      <w:pPr>
        <w:pStyle w:val="HStandard"/>
      </w:pPr>
      <w:r>
        <w:t xml:space="preserve">V právnom rámci sa vyžaduje, aby členské štáty podali v roku 2019 správu o pokroku PRV pri plnení cieľov programu a o jeho prínose pre stratégiu EÚ na zabezpečenie inteligentného, udržateľného a inkluzívneho rastu. Na tento účel budú slúžiť výročné správy </w:t>
      </w:r>
      <w:r w:rsidR="0027665C">
        <w:t>o vykonávaní</w:t>
      </w:r>
      <w:r>
        <w:t xml:space="preserve"> (</w:t>
      </w:r>
      <w:r w:rsidR="0027665C">
        <w:t>VSV</w:t>
      </w:r>
      <w:r>
        <w:t>), ktoré sa predložia v roku 2019. Hodnotenia by mali posúdiť čistý prínos programu k zmenám hodnôt ukazovateľov vplyvu SPP a zodpovedať hodnotiace otázky</w:t>
      </w:r>
      <w:r>
        <w:rPr>
          <w:rStyle w:val="FootnoteReference"/>
        </w:rPr>
        <w:footnoteReference w:id="2"/>
      </w:r>
      <w:r>
        <w:t xml:space="preserve">. </w:t>
      </w:r>
    </w:p>
    <w:p w:rsidR="00CD63F6" w:rsidRPr="001C6ACF" w:rsidRDefault="009642AA" w:rsidP="009F77FD">
      <w:pPr>
        <w:pStyle w:val="HStandard"/>
      </w:pPr>
      <w:r>
        <w:t xml:space="preserve">Cieľom týchto usmernení je </w:t>
      </w:r>
      <w:r>
        <w:rPr>
          <w:b/>
        </w:rPr>
        <w:t>preskúmať výzvy</w:t>
      </w:r>
      <w:r>
        <w:t xml:space="preserve"> v súvislosti s hodnotiacimi činnosťami pre </w:t>
      </w:r>
      <w:r w:rsidR="0027665C">
        <w:t>VSV</w:t>
      </w:r>
      <w:r>
        <w:t xml:space="preserve"> v roku 2019; </w:t>
      </w:r>
      <w:r>
        <w:rPr>
          <w:b/>
        </w:rPr>
        <w:t xml:space="preserve">predstaviť praktické </w:t>
      </w:r>
      <w:r w:rsidR="001D70DD">
        <w:rPr>
          <w:b/>
        </w:rPr>
        <w:t>prístup</w:t>
      </w:r>
      <w:r>
        <w:rPr>
          <w:b/>
        </w:rPr>
        <w:t>y</w:t>
      </w:r>
      <w:r>
        <w:t xml:space="preserve"> na odhad čistého prínosu PRV k spoločným ukazovateľom vplyvu SPP; posúdiť pokrok pri plnení cieľov na úrovni EÚ a poskytnúť </w:t>
      </w:r>
      <w:r>
        <w:rPr>
          <w:b/>
        </w:rPr>
        <w:t>podporu pre zodpovedanie</w:t>
      </w:r>
      <w:r>
        <w:t xml:space="preserve"> spoločných hodnotiacich otázok 22 až 30 a podávanie správ o zisteniach z hodnotenia Európskej komisii vo </w:t>
      </w:r>
      <w:r w:rsidR="0027665C">
        <w:t>VSV</w:t>
      </w:r>
      <w:r>
        <w:t xml:space="preserve"> </w:t>
      </w:r>
      <w:r w:rsidR="0027665C">
        <w:t>predkladaných</w:t>
      </w:r>
      <w:r>
        <w:t xml:space="preserve"> v roku 2019.</w:t>
      </w:r>
    </w:p>
    <w:p w:rsidR="00CD63F6" w:rsidRPr="001C6ACF" w:rsidRDefault="00CD63F6" w:rsidP="005C0884">
      <w:pPr>
        <w:pStyle w:val="HHeading4"/>
      </w:pPr>
      <w:r>
        <w:t xml:space="preserve">Štruktúra a obsah usmernení </w:t>
      </w:r>
    </w:p>
    <w:p w:rsidR="00CD63F6" w:rsidRPr="001C6ACF" w:rsidRDefault="00BD7C99" w:rsidP="005C0884">
      <w:pPr>
        <w:pStyle w:val="HStandard"/>
      </w:pPr>
      <w:r>
        <w:rPr>
          <w:b/>
        </w:rPr>
        <w:t>NEZÁVÄZNÉ usmernenia</w:t>
      </w:r>
      <w:r>
        <w:t xml:space="preserve">, </w:t>
      </w:r>
      <w:r>
        <w:rPr>
          <w:i/>
        </w:rPr>
        <w:t>Posudzovanie úspešnosti a vplyvov programov rozvoja vidieka v roku 2019</w:t>
      </w:r>
      <w:r>
        <w:t xml:space="preserve">, sa vzťahujú na tieto témy: </w:t>
      </w:r>
    </w:p>
    <w:p w:rsidR="00CD63F6" w:rsidRPr="001C6ACF" w:rsidRDefault="008358D0" w:rsidP="00AD4DC6">
      <w:pPr>
        <w:pStyle w:val="Hlistbullet"/>
        <w:spacing w:line="276" w:lineRule="auto"/>
      </w:pPr>
      <w:r>
        <w:rPr>
          <w:b/>
          <w:color w:val="F07E31" w:themeColor="accent1"/>
        </w:rPr>
        <w:t>ČASŤ I</w:t>
      </w:r>
      <w:r>
        <w:t xml:space="preserve"> </w:t>
      </w:r>
      <w:r>
        <w:rPr>
          <w:b/>
          <w:color w:val="F07E31" w:themeColor="accent1"/>
        </w:rPr>
        <w:t xml:space="preserve">(najmä pre riadiace orgány): </w:t>
      </w:r>
      <w:r>
        <w:t xml:space="preserve">poskytuje informácie o právnych požiadavkách a vysvetľuje spôsob podávania správ v roku 2019 o SHO 22 až 30. Časť I obsahuje odkazy na ďalšie existujúce usmernenia. </w:t>
      </w:r>
    </w:p>
    <w:p w:rsidR="00CD63F6" w:rsidRPr="001C6ACF" w:rsidRDefault="008358D0" w:rsidP="00AD4DC6">
      <w:pPr>
        <w:pStyle w:val="Hlistbullet"/>
        <w:spacing w:line="276" w:lineRule="auto"/>
      </w:pPr>
      <w:r>
        <w:rPr>
          <w:b/>
          <w:color w:val="F07E31" w:themeColor="accent1"/>
        </w:rPr>
        <w:t>ČASŤ II</w:t>
      </w:r>
      <w:r>
        <w:t xml:space="preserve"> </w:t>
      </w:r>
      <w:r>
        <w:rPr>
          <w:b/>
          <w:color w:val="F07E31" w:themeColor="accent1"/>
        </w:rPr>
        <w:t>(najmä pre hodnotiteľov):</w:t>
      </w:r>
      <w:r>
        <w:t xml:space="preserve"> poskytuje metodickú podporu na posudzovanie spoločných ukazovateľov vplyvu druhého piliera (sektorové a sociálno-ekonomické vplyvy a vplyvy na životné prostredie). Táto časť objasňuje intervenčnú logiku, používanie dodatočných hodnotiacich prvkov, vysvetľuje požiadavky na údaje, jednotky posudzovania a poskytuje čitateľom usmernenie na výber najvhodnejších hodnotiacich </w:t>
      </w:r>
      <w:r w:rsidR="001D70DD">
        <w:t>prístup</w:t>
      </w:r>
      <w:r>
        <w:t xml:space="preserve">ov na určenie prínosu PRV k hodnotám ukazovateľov vplyvu SPP. Okrem toho sa v časti II navrhujú aj </w:t>
      </w:r>
      <w:r w:rsidR="001D70DD">
        <w:t>prístup</w:t>
      </w:r>
      <w:r>
        <w:t xml:space="preserve">y na posudzovanie prínosu PRV k dosiahnutiu stratégie Európa 2020 a inováciám. </w:t>
      </w:r>
    </w:p>
    <w:p w:rsidR="00800238" w:rsidRPr="001C6ACF" w:rsidRDefault="00800238" w:rsidP="00AD4DC6">
      <w:pPr>
        <w:pStyle w:val="Hlistbullet"/>
        <w:spacing w:line="276" w:lineRule="auto"/>
      </w:pPr>
      <w:r>
        <w:rPr>
          <w:b/>
          <w:color w:val="F07E31" w:themeColor="accent1"/>
        </w:rPr>
        <w:t>ČASŤ III:</w:t>
      </w:r>
      <w:r>
        <w:rPr>
          <w:color w:val="F07E31" w:themeColor="accent1"/>
        </w:rPr>
        <w:t xml:space="preserve"> </w:t>
      </w:r>
      <w:r>
        <w:t>obsahuje informačné listy k téme zodpovedania SHO 22 až 30.</w:t>
      </w:r>
    </w:p>
    <w:p w:rsidR="00CD63F6" w:rsidRPr="001C6ACF" w:rsidRDefault="00FE491B" w:rsidP="00AD4DC6">
      <w:pPr>
        <w:pStyle w:val="Hlistbullet"/>
        <w:spacing w:line="276" w:lineRule="auto"/>
      </w:pPr>
      <w:r>
        <w:rPr>
          <w:b/>
          <w:color w:val="F07E31" w:themeColor="accent1"/>
        </w:rPr>
        <w:t xml:space="preserve">Časť IV: </w:t>
      </w:r>
      <w:r>
        <w:t>obsahuje technickú prílohu s podrobnejšími informáciami o </w:t>
      </w:r>
      <w:r w:rsidR="001D70DD">
        <w:t>prístup</w:t>
      </w:r>
      <w:r>
        <w:t xml:space="preserve">och </w:t>
      </w:r>
      <w:r w:rsidR="001D70DD">
        <w:t xml:space="preserve">na </w:t>
      </w:r>
      <w:r>
        <w:t>posudzovani</w:t>
      </w:r>
      <w:r w:rsidR="001D70DD">
        <w:t>e</w:t>
      </w:r>
      <w:r>
        <w:t xml:space="preserve"> ukazovateľov vplyvu SPP a glosár pojmov. </w:t>
      </w:r>
    </w:p>
    <w:p w:rsidR="001C2076" w:rsidRPr="001C6ACF" w:rsidRDefault="001C2076" w:rsidP="008D52EA">
      <w:pPr>
        <w:pStyle w:val="HHeading1"/>
        <w:tabs>
          <w:tab w:val="clear" w:pos="474"/>
          <w:tab w:val="clear" w:pos="567"/>
        </w:tabs>
        <w:rPr>
          <w:sz w:val="28"/>
        </w:rPr>
      </w:pPr>
      <w:r>
        <w:rPr>
          <w:sz w:val="28"/>
        </w:rPr>
        <w:lastRenderedPageBreak/>
        <w:t xml:space="preserve">Aké informácie je nutné uviesť vo </w:t>
      </w:r>
      <w:r w:rsidR="0027665C">
        <w:rPr>
          <w:sz w:val="28"/>
        </w:rPr>
        <w:t>VSV</w:t>
      </w:r>
      <w:r>
        <w:rPr>
          <w:sz w:val="28"/>
        </w:rPr>
        <w:t xml:space="preserve"> </w:t>
      </w:r>
      <w:r w:rsidR="0027665C">
        <w:rPr>
          <w:sz w:val="28"/>
        </w:rPr>
        <w:t>PREDKLADANEJ</w:t>
      </w:r>
      <w:r>
        <w:rPr>
          <w:sz w:val="28"/>
        </w:rPr>
        <w:t xml:space="preserve"> v roku 2019? (Časť I)</w:t>
      </w:r>
    </w:p>
    <w:p w:rsidR="001C2076" w:rsidRPr="001C6ACF" w:rsidRDefault="000C5796" w:rsidP="00E35440">
      <w:pPr>
        <w:pStyle w:val="HHeading2"/>
      </w:pPr>
      <w:r>
        <w:t xml:space="preserve">Právny rámec a hlavné zameranie hodnotenia v roku 2019 </w:t>
      </w:r>
    </w:p>
    <w:p w:rsidR="00B013D7" w:rsidRPr="00571D58" w:rsidRDefault="006A3698" w:rsidP="001C2076">
      <w:pPr>
        <w:pStyle w:val="HStandard"/>
      </w:pPr>
      <w:r>
        <w:t>Počnúc rokom 2016 a každý nasledujúci rok až do roku 2024</w:t>
      </w:r>
      <w:r>
        <w:rPr>
          <w:rStyle w:val="FootnoteReference"/>
        </w:rPr>
        <w:footnoteReference w:id="3"/>
      </w:r>
      <w:r>
        <w:t xml:space="preserve"> </w:t>
      </w:r>
      <w:r w:rsidR="0027665C">
        <w:t xml:space="preserve">sú členské </w:t>
      </w:r>
      <w:r>
        <w:t xml:space="preserve">štáty </w:t>
      </w:r>
      <w:r w:rsidR="0027665C">
        <w:t xml:space="preserve">povinné predkladať </w:t>
      </w:r>
      <w:r>
        <w:t xml:space="preserve">Európskej komisii výročnú správu </w:t>
      </w:r>
      <w:r w:rsidR="0027665C">
        <w:t>o vykonávaní</w:t>
      </w:r>
      <w:r>
        <w:t xml:space="preserve"> (</w:t>
      </w:r>
      <w:r w:rsidR="0027665C">
        <w:t>VSV</w:t>
      </w:r>
      <w:r>
        <w:t xml:space="preserve">). Vo </w:t>
      </w:r>
      <w:r w:rsidR="0027665C">
        <w:t>VSV</w:t>
      </w:r>
      <w:r>
        <w:t xml:space="preserve"> sa poskytujú informácie </w:t>
      </w:r>
      <w:r w:rsidR="0027665C">
        <w:t>o vykonávaní</w:t>
      </w:r>
      <w:r>
        <w:t xml:space="preserve"> PRV, ako aj informácie o pokroku pri plnení plánu hodnotenia</w:t>
      </w:r>
      <w:r>
        <w:rPr>
          <w:rStyle w:val="FootnoteReference"/>
        </w:rPr>
        <w:footnoteReference w:id="4"/>
      </w:r>
      <w:r>
        <w:t xml:space="preserve">. </w:t>
      </w:r>
    </w:p>
    <w:p w:rsidR="001C2076" w:rsidRPr="0036731C" w:rsidRDefault="0027665C" w:rsidP="001C2076">
      <w:pPr>
        <w:pStyle w:val="HStandard"/>
      </w:pPr>
      <w:r>
        <w:rPr>
          <w:b/>
        </w:rPr>
        <w:t>VSV</w:t>
      </w:r>
      <w:r w:rsidR="001C2076">
        <w:rPr>
          <w:b/>
        </w:rPr>
        <w:t xml:space="preserve"> v roku 2017</w:t>
      </w:r>
      <w:r w:rsidR="001C2076">
        <w:t xml:space="preserve"> obsahovali okrem iného kvantifikáciu úspešnosti programu (prostredníctvom posudzovania ukazovateľov výsledkov vrátane doplnkových ukazovateľov výsledkov). Na výklad ukazovateľov výsledkov a na zodpovedanie SHO</w:t>
      </w:r>
      <w:r w:rsidR="001C2076">
        <w:rPr>
          <w:rStyle w:val="FootnoteReference"/>
        </w:rPr>
        <w:footnoteReference w:id="5"/>
      </w:r>
      <w:r w:rsidR="001C2076">
        <w:t xml:space="preserve"> 1 až 21 sa použili kritériá posudzovania. </w:t>
      </w:r>
      <w:r w:rsidR="001C2076">
        <w:rPr>
          <w:i/>
        </w:rPr>
        <w:t>Usmernenia</w:t>
      </w:r>
      <w:r w:rsidR="001C2076">
        <w:t>:</w:t>
      </w:r>
      <w:r w:rsidR="001C2076">
        <w:rPr>
          <w:i/>
        </w:rPr>
        <w:t xml:space="preserve"> </w:t>
      </w:r>
      <w:r w:rsidR="001C2076">
        <w:t xml:space="preserve">Pri týchto činnostiach môže ako pomôcka slúžiť aj </w:t>
      </w:r>
      <w:hyperlink r:id="rId19">
        <w:r w:rsidR="001C2076">
          <w:rPr>
            <w:rStyle w:val="Hyperlink"/>
            <w:i/>
          </w:rPr>
          <w:t>Posúdenie výsledkov programov rozvoja vidieka: ako sa pripraviť na podávanie správ o hodnotení v roku 2017</w:t>
        </w:r>
      </w:hyperlink>
      <w:r w:rsidR="001C2076">
        <w:t>, vďaka čomu budú relevantné aj pre hodnotenie v roku 2019</w:t>
      </w:r>
      <w:r w:rsidR="001C2076">
        <w:rPr>
          <w:rStyle w:val="FootnoteReference"/>
        </w:rPr>
        <w:footnoteReference w:id="6"/>
      </w:r>
      <w:r w:rsidR="001C2076">
        <w:t xml:space="preserve">. </w:t>
      </w:r>
    </w:p>
    <w:p w:rsidR="00BA41C1" w:rsidRPr="001C6ACF" w:rsidRDefault="0027665C" w:rsidP="001C2076">
      <w:pPr>
        <w:pStyle w:val="HStandard"/>
      </w:pPr>
      <w:r>
        <w:rPr>
          <w:b/>
        </w:rPr>
        <w:t>VSV</w:t>
      </w:r>
      <w:r w:rsidR="001C2076">
        <w:t xml:space="preserve"> predkladaná </w:t>
      </w:r>
      <w:r w:rsidR="001C2076">
        <w:rPr>
          <w:b/>
        </w:rPr>
        <w:t>v roku 2019</w:t>
      </w:r>
      <w:r w:rsidR="001C2076">
        <w:t xml:space="preserve"> si vyžaduje aktualizáciu zistení hodnotení, ktoré už boli oznámené v roku 2017, a </w:t>
      </w:r>
      <w:r w:rsidR="001C2076">
        <w:rPr>
          <w:u w:val="single"/>
        </w:rPr>
        <w:t>okrem toho</w:t>
      </w:r>
      <w:r w:rsidR="001C2076">
        <w:t xml:space="preserve"> bude zahŕňať:</w:t>
      </w:r>
    </w:p>
    <w:p w:rsidR="00BA41C1" w:rsidRPr="001C6ACF" w:rsidRDefault="001C2076" w:rsidP="00BA41C1">
      <w:pPr>
        <w:pStyle w:val="Hlistbullet"/>
      </w:pPr>
      <w:r>
        <w:t xml:space="preserve">zistenia z posudzovania vplyvu PRV získané výpočtom a výkladom čistých hodnôt ukazovateľov vplyvu SPP, </w:t>
      </w:r>
    </w:p>
    <w:p w:rsidR="00BA41C1" w:rsidRPr="001C6ACF" w:rsidRDefault="00BA41C1" w:rsidP="00BA41C1">
      <w:pPr>
        <w:pStyle w:val="Hlistbullet"/>
      </w:pPr>
      <w:r>
        <w:t xml:space="preserve">prínos PRV k stratégii EÚ na zabezpečenie inteligentného, udržateľného a inkluzívneho rastu, ako aj k stratégii v oblasti biodiverzity a </w:t>
      </w:r>
    </w:p>
    <w:p w:rsidR="001C2076" w:rsidRPr="001C6ACF" w:rsidRDefault="00BA41C1" w:rsidP="00BA41C1">
      <w:pPr>
        <w:pStyle w:val="Hlistbullet"/>
      </w:pPr>
      <w:r>
        <w:t>odpovede na SHO pre PRV na obdobie 2014 – 2020 v súvislosti s cieľmi na úrovni EÚ (t. j. SHO 22 až 30).</w:t>
      </w:r>
    </w:p>
    <w:p w:rsidR="001C2076" w:rsidRDefault="00CA1C02" w:rsidP="001C2076">
      <w:pPr>
        <w:pStyle w:val="HStandard"/>
      </w:pPr>
      <w:r>
        <w:t xml:space="preserve">Na nasledujúcom obrázku je zobrazený prehľad hlavných požiadaviek na podávanie správ o hodnotení vo </w:t>
      </w:r>
      <w:r w:rsidR="0027665C">
        <w:t>VSV</w:t>
      </w:r>
      <w:r>
        <w:t xml:space="preserve"> v priebehu programového obdobia podľa právneho rámca</w:t>
      </w:r>
      <w:r>
        <w:rPr>
          <w:rStyle w:val="FootnoteReference"/>
        </w:rPr>
        <w:footnoteReference w:id="7"/>
      </w:r>
      <w:r>
        <w:t xml:space="preserve">, ako aj súvisiacich usmernení. </w:t>
      </w:r>
    </w:p>
    <w:p w:rsidR="001C2076" w:rsidRPr="00FB6C06" w:rsidRDefault="00CA1C02" w:rsidP="00E52947">
      <w:pPr>
        <w:pStyle w:val="HHeadingfigures"/>
        <w:tabs>
          <w:tab w:val="clear" w:pos="2666"/>
        </w:tabs>
      </w:pPr>
      <w:r>
        <w:lastRenderedPageBreak/>
        <w:t xml:space="preserve">Podávanie správ o hodnotení [v súlade s prílohou VII k nariadeniu (EÚ) č. 808/2014] </w:t>
      </w:r>
    </w:p>
    <w:p w:rsidR="001C2076" w:rsidRPr="00571D58" w:rsidRDefault="00470F0E" w:rsidP="00744BAA">
      <w:pPr>
        <w:pStyle w:val="HStandard"/>
        <w:jc w:val="center"/>
      </w:pPr>
      <w:r>
        <w:rPr>
          <w:noProof/>
          <w:lang w:bidi="ar-SA"/>
        </w:rPr>
        <w:drawing>
          <wp:inline distT="0" distB="0" distL="0" distR="0">
            <wp:extent cx="5731510" cy="3379220"/>
            <wp:effectExtent l="0" t="0" r="2540" b="0"/>
            <wp:docPr id="26" name="Picture 26" descr="\\NET1.cec.eu.int\homes\102\mazanja\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1.cec.eu.int\homes\102\mazanja\Desktop\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379220"/>
                    </a:xfrm>
                    <a:prstGeom prst="rect">
                      <a:avLst/>
                    </a:prstGeom>
                    <a:noFill/>
                    <a:ln>
                      <a:noFill/>
                    </a:ln>
                  </pic:spPr>
                </pic:pic>
              </a:graphicData>
            </a:graphic>
          </wp:inline>
        </w:drawing>
      </w:r>
    </w:p>
    <w:p w:rsidR="009119D2" w:rsidRDefault="009119D2" w:rsidP="008D52EA">
      <w:pPr>
        <w:pStyle w:val="HSource"/>
      </w:pPr>
    </w:p>
    <w:p w:rsidR="001C2076" w:rsidRPr="007645B4" w:rsidRDefault="001C2076" w:rsidP="008D52EA">
      <w:pPr>
        <w:pStyle w:val="HSource"/>
        <w:rPr>
          <w:i w:val="0"/>
        </w:rPr>
      </w:pPr>
      <w:r>
        <w:t>Zdroj: Európske poradenské centrum pre hodnotenie v oblasti rozvoja vidieka (2018).</w:t>
      </w:r>
    </w:p>
    <w:p w:rsidR="00E52E73" w:rsidRPr="007645B4" w:rsidRDefault="00E52E73" w:rsidP="00E52E73">
      <w:pPr>
        <w:pStyle w:val="HHeading4"/>
      </w:pPr>
      <w:r>
        <w:t xml:space="preserve">Právny rámec </w:t>
      </w:r>
    </w:p>
    <w:p w:rsidR="00DE65AB" w:rsidRPr="001C6ACF" w:rsidRDefault="00BA41C1" w:rsidP="001C2076">
      <w:pPr>
        <w:pStyle w:val="HStandard"/>
      </w:pPr>
      <w:r>
        <w:t xml:space="preserve">Právny rámec a spoločný systém monitorovania a hodnotenia poskytujú základ na hodnotenie PRV. </w:t>
      </w:r>
    </w:p>
    <w:p w:rsidR="001A2395" w:rsidRPr="00863E73" w:rsidRDefault="00BA41C1" w:rsidP="001C2076">
      <w:pPr>
        <w:pStyle w:val="HStandard"/>
      </w:pPr>
      <w:r>
        <w:rPr>
          <w:b/>
        </w:rPr>
        <w:t>Právny rámec</w:t>
      </w:r>
      <w:r>
        <w:rPr>
          <w:rStyle w:val="FootnoteReference"/>
        </w:rPr>
        <w:footnoteReference w:id="8"/>
      </w:r>
      <w:r>
        <w:t xml:space="preserve"> je základ na hodnotenie úspešnosti PRV a jeho prínosu k vyšším politickým cieľom EÚ. </w:t>
      </w:r>
    </w:p>
    <w:p w:rsidR="001C2076" w:rsidRPr="001C6ACF" w:rsidRDefault="00CA1C02" w:rsidP="001C2076">
      <w:pPr>
        <w:pStyle w:val="HStandard"/>
      </w:pPr>
      <w:r>
        <w:rPr>
          <w:b/>
        </w:rPr>
        <w:t>Všeobecné ustanovenia</w:t>
      </w:r>
      <w:r>
        <w:t xml:space="preserve"> pre hodnotenie sa uvádzajú v </w:t>
      </w:r>
      <w:r>
        <w:rPr>
          <w:b/>
        </w:rPr>
        <w:t>nariadení (EÚ) č. 1303/2013</w:t>
      </w:r>
      <w:r>
        <w:t xml:space="preserve"> a špecifikuje sa v nich úloha hodnotenia pri:</w:t>
      </w:r>
    </w:p>
    <w:p w:rsidR="001C2076" w:rsidRPr="001C6ACF" w:rsidRDefault="001C2076" w:rsidP="008D52EA">
      <w:pPr>
        <w:pStyle w:val="Hlistbullet"/>
      </w:pPr>
      <w:r>
        <w:t xml:space="preserve">zlepšovaní kvality vytvárania a vykonávania programov a </w:t>
      </w:r>
    </w:p>
    <w:p w:rsidR="001C2076" w:rsidRPr="00571D58" w:rsidRDefault="001C2076" w:rsidP="008D52EA">
      <w:pPr>
        <w:pStyle w:val="Hlistbullet"/>
      </w:pPr>
      <w:r>
        <w:t>posudzovaní efektívnosti, účinnosti a vplyvov programu</w:t>
      </w:r>
      <w:r>
        <w:rPr>
          <w:rStyle w:val="FootnoteReference"/>
        </w:rPr>
        <w:footnoteReference w:id="9"/>
      </w:r>
      <w:r>
        <w:t xml:space="preserve">. </w:t>
      </w:r>
    </w:p>
    <w:p w:rsidR="00087412" w:rsidRPr="001C6ACF" w:rsidRDefault="00D42EC7" w:rsidP="001C2076">
      <w:pPr>
        <w:pStyle w:val="HStandard"/>
      </w:pPr>
      <w:r>
        <w:t xml:space="preserve">Na tento účel poskytnú členské štáty </w:t>
      </w:r>
      <w:r>
        <w:rPr>
          <w:b/>
        </w:rPr>
        <w:t>potrebné prostriedky na vypracovanie hodnotení</w:t>
      </w:r>
      <w:r>
        <w:t xml:space="preserve"> a zabezpečia zavedenie </w:t>
      </w:r>
      <w:r w:rsidR="001D70DD">
        <w:t>prístup</w:t>
      </w:r>
      <w:r>
        <w:t xml:space="preserve">ov na </w:t>
      </w:r>
      <w:r>
        <w:rPr>
          <w:b/>
        </w:rPr>
        <w:t>vytvorenie a zbieranie údajov potrebných na hodnotenie</w:t>
      </w:r>
      <w:r>
        <w:t xml:space="preserve"> vrátane údajov týkajúcich sa spoločných a prípadne programovo špecifických ukazovateľov. </w:t>
      </w:r>
    </w:p>
    <w:p w:rsidR="001C2076" w:rsidRPr="00571D58" w:rsidRDefault="001C2076" w:rsidP="001C2076">
      <w:pPr>
        <w:pStyle w:val="HStandard"/>
      </w:pPr>
      <w:r>
        <w:t xml:space="preserve">Hodnotenie sa vykonáva podľa </w:t>
      </w:r>
      <w:r>
        <w:rPr>
          <w:b/>
        </w:rPr>
        <w:t>plánu hodnotenia</w:t>
      </w:r>
      <w:r>
        <w:t xml:space="preserve"> a na jeho zistenia sa nadväzuje v súlade s pravidlami jednotlivých fondov. Aspoň raz za programové obdobie sa v hodnotení posúdi, ako podpora z EŠIF prispela k napĺňaniu cieľov každej priority</w:t>
      </w:r>
      <w:r>
        <w:rPr>
          <w:rStyle w:val="FootnoteReference"/>
        </w:rPr>
        <w:footnoteReference w:id="10"/>
      </w:r>
      <w:r>
        <w:t>.</w:t>
      </w:r>
    </w:p>
    <w:p w:rsidR="001C2076" w:rsidRPr="00571D58" w:rsidRDefault="001C2076" w:rsidP="001C2076">
      <w:pPr>
        <w:pStyle w:val="HStandard"/>
      </w:pPr>
      <w:r>
        <w:t>V </w:t>
      </w:r>
      <w:r>
        <w:rPr>
          <w:b/>
        </w:rPr>
        <w:t>nariadení (EÚ) č. 1306/2013</w:t>
      </w:r>
      <w:r>
        <w:t xml:space="preserve"> sa špecifikujú požiadavky týkajúce sa monitorovania a hodnotenia pre spoločnú poľnohospodársku politiku (SPP)</w:t>
      </w:r>
      <w:r>
        <w:rPr>
          <w:rStyle w:val="FootnoteReference"/>
        </w:rPr>
        <w:footnoteReference w:id="11"/>
      </w:r>
      <w:r>
        <w:t xml:space="preserve">. Ustanovuje sa v ňom, že Európska komisia zabezpečí realizáciu SPP na plnenie jej </w:t>
      </w:r>
      <w:r>
        <w:rPr>
          <w:b/>
        </w:rPr>
        <w:t>spoločných cieľov</w:t>
      </w:r>
      <w:r>
        <w:t>. Kombinovaný vplyv všetkých nástrojov SPP sa meria a posudzuje na základe informácií vyplývajúcich z monitorovacích a hodnotiacich činností vykonávaných v členských štátoch.</w:t>
      </w:r>
      <w:r>
        <w:rPr>
          <w:b/>
        </w:rPr>
        <w:t xml:space="preserve"> </w:t>
      </w:r>
      <w:r>
        <w:t xml:space="preserve">Spoločné ciele sa posudzujú prostredníctvom </w:t>
      </w:r>
      <w:r>
        <w:rPr>
          <w:b/>
        </w:rPr>
        <w:t>spoločných ukazovateľov vplyvu</w:t>
      </w:r>
      <w:r>
        <w:t xml:space="preserve">, pričom príslušné osobitné ciele sa posudzujú pomocou </w:t>
      </w:r>
      <w:r>
        <w:rPr>
          <w:b/>
        </w:rPr>
        <w:t>spoločných ukazovateľov výsledkov</w:t>
      </w:r>
      <w:r>
        <w:t xml:space="preserve">. Získané informácie vychádzajú zo zavedených zdrojov údajov, ako je </w:t>
      </w:r>
      <w:r>
        <w:lastRenderedPageBreak/>
        <w:t>napríklad informačná sieť poľnohospodárskeho účtovníctva (Farm Accountancy Data Network – FADN) a Eurostat. Európska komisia vezme do úvahy potreby týkajúce sa údajov a synergií medzi potenciálnymi zdrojmi údajov, predovšetkým ich využitie na štatistické účely v náležitých prípadoch</w:t>
      </w:r>
      <w:r>
        <w:rPr>
          <w:rStyle w:val="FootnoteReference"/>
        </w:rPr>
        <w:footnoteReference w:id="12"/>
      </w:r>
      <w:r>
        <w:t>.</w:t>
      </w:r>
    </w:p>
    <w:p w:rsidR="001C2076" w:rsidRPr="001C6ACF" w:rsidRDefault="001C2076" w:rsidP="001C2076">
      <w:pPr>
        <w:pStyle w:val="HStandard"/>
      </w:pPr>
      <w:r>
        <w:rPr>
          <w:b/>
        </w:rPr>
        <w:t>Nariadením (EÚ) č. 1305/2013 sa zriaďuje spoločný systém monitorovania a hodnotenia</w:t>
      </w:r>
      <w:r>
        <w:t>, jeho ciele</w:t>
      </w:r>
      <w:r>
        <w:rPr>
          <w:rStyle w:val="FootnoteReference"/>
        </w:rPr>
        <w:footnoteReference w:id="13"/>
      </w:r>
      <w:r>
        <w:t xml:space="preserve"> a spoločné ukazovatele</w:t>
      </w:r>
      <w:r>
        <w:rPr>
          <w:rStyle w:val="FootnoteReference"/>
        </w:rPr>
        <w:footnoteReference w:id="14"/>
      </w:r>
      <w:r>
        <w:t>. Tieto ukazovatele sa týkajú počiatočnej situácie (ukazovatele kontextu), ako aj finančnej realizácie, výstupov, výsledkov a vplyvu programu. Spoločné ukazovatele vychádzajú z dostupných údajov, súvisia so štruktúrou a cieľmi rámca politiky rozvoja vidieka a umožňujú posúdenie pokroku, účinnosti a efektívnosti vykonávania politiky na základe cieľov na úrovni Únie, jednotlivých členských štátov a programov.</w:t>
      </w:r>
    </w:p>
    <w:p w:rsidR="001C2076" w:rsidRPr="001C6ACF" w:rsidRDefault="001C2076" w:rsidP="001C2076">
      <w:pPr>
        <w:pStyle w:val="HStandard"/>
        <w:rPr>
          <w:b/>
        </w:rPr>
      </w:pPr>
      <w:r>
        <w:t xml:space="preserve">Vplyv programov rozvoja vidieka sa posudzuje pomocou spoločných (ako aj doplnkových a programovo špecifických) ukazovateľov vplyvu. </w:t>
      </w:r>
      <w:r>
        <w:rPr>
          <w:b/>
        </w:rPr>
        <w:t xml:space="preserve">Posúdenie vplyvu programu je zodpovednosťou jednotlivých členských štátov. </w:t>
      </w:r>
    </w:p>
    <w:p w:rsidR="00E52E73" w:rsidRPr="001C6ACF" w:rsidRDefault="00E52E73" w:rsidP="00E52E73">
      <w:pPr>
        <w:pStyle w:val="HHeading4"/>
      </w:pPr>
      <w:r>
        <w:t>Spoločné prvky hodnotenia</w:t>
      </w:r>
    </w:p>
    <w:p w:rsidR="00D42EC7" w:rsidRPr="00CB20AA" w:rsidRDefault="00D42EC7" w:rsidP="00D42EC7">
      <w:pPr>
        <w:pStyle w:val="HStandard"/>
      </w:pPr>
      <w:r>
        <w:t>Spoločný systém monitorovania a hodnotenia (SMaH) je súčasťou spoločného rámca pre monitorovanie a hodnotenie SPP (SRMH)</w:t>
      </w:r>
      <w:r>
        <w:rPr>
          <w:rStyle w:val="FootnoteReference"/>
        </w:rPr>
        <w:footnoteReference w:id="15"/>
      </w:r>
      <w:r>
        <w:t xml:space="preserve"> a zahŕňa viaceré usmerňovacie dokumenty o používaní spoločných hodnotiacich otázok a ukazovateľov pri monitorovaní a hodnotení politiky rozvoja vidieka. Vo vykonávacom </w:t>
      </w:r>
      <w:r>
        <w:rPr>
          <w:b/>
        </w:rPr>
        <w:t>nariadení Komisie (EÚ) č. 808/2014</w:t>
      </w:r>
      <w:r>
        <w:rPr>
          <w:rStyle w:val="FootnoteReference"/>
          <w:b/>
        </w:rPr>
        <w:footnoteReference w:id="16"/>
      </w:r>
      <w:r>
        <w:t xml:space="preserve"> sa SMaH opisuje podrobnejšie a špecifikujú sa jeho prvky: </w:t>
      </w:r>
    </w:p>
    <w:p w:rsidR="001C2076" w:rsidRPr="00FB6C06" w:rsidRDefault="001C2076" w:rsidP="008D52EA">
      <w:pPr>
        <w:pStyle w:val="Hlistbullet"/>
      </w:pPr>
      <w:r>
        <w:t xml:space="preserve">intervenčná logika, ktorá znázorňuje interakcie medzi prioritami, oblasťami zamerania a opatreniami, </w:t>
      </w:r>
    </w:p>
    <w:p w:rsidR="001C2076" w:rsidRPr="00571D58" w:rsidRDefault="001C2076" w:rsidP="008D52EA">
      <w:pPr>
        <w:pStyle w:val="Hlistbullet"/>
      </w:pPr>
      <w:r>
        <w:t>súbor spoločných ukazovateľov kontextu, ukazovateľov výsledkov a výstupov vrátane ukazovateľov, ktoré sa majú použiť na určenie kvantifikovaných cieľov v súvislosti s oblasťami zamerania rozvoja vidieka</w:t>
      </w:r>
      <w:r>
        <w:rPr>
          <w:rStyle w:val="FootnoteReference"/>
        </w:rPr>
        <w:footnoteReference w:id="17"/>
      </w:r>
      <w:r>
        <w:t xml:space="preserve">, </w:t>
      </w:r>
    </w:p>
    <w:p w:rsidR="001C2076" w:rsidRPr="00571D58" w:rsidRDefault="001C2076" w:rsidP="008D52EA">
      <w:pPr>
        <w:pStyle w:val="Hlistbullet"/>
      </w:pPr>
      <w:r>
        <w:t>spoločné hodnotiace otázky</w:t>
      </w:r>
      <w:r>
        <w:rPr>
          <w:rStyle w:val="FootnoteReference"/>
        </w:rPr>
        <w:footnoteReference w:id="18"/>
      </w:r>
      <w:r>
        <w:t>,</w:t>
      </w:r>
    </w:p>
    <w:p w:rsidR="001C2076" w:rsidRPr="00FB6C06" w:rsidRDefault="001C2076" w:rsidP="008D52EA">
      <w:pPr>
        <w:pStyle w:val="Hlistbullet"/>
      </w:pPr>
      <w:r>
        <w:t xml:space="preserve">zber, uchovávanie a prenos údajov, </w:t>
      </w:r>
    </w:p>
    <w:p w:rsidR="001C2076" w:rsidRPr="00571D58" w:rsidRDefault="001C2076" w:rsidP="008D52EA">
      <w:pPr>
        <w:pStyle w:val="Hlistbullet"/>
      </w:pPr>
      <w:r>
        <w:t>pravidelné podávanie správ o monitorovacích a hodnotiacich činnostiach</w:t>
      </w:r>
      <w:r>
        <w:rPr>
          <w:rStyle w:val="FootnoteReference"/>
        </w:rPr>
        <w:footnoteReference w:id="19"/>
      </w:r>
      <w:r>
        <w:t xml:space="preserve">, </w:t>
      </w:r>
    </w:p>
    <w:p w:rsidR="001C2076" w:rsidRPr="00571D58" w:rsidRDefault="001C2076" w:rsidP="008D52EA">
      <w:pPr>
        <w:pStyle w:val="Hlistbullet"/>
      </w:pPr>
      <w:r>
        <w:t>plán hodnotenia</w:t>
      </w:r>
      <w:r>
        <w:rPr>
          <w:rStyle w:val="FootnoteReference"/>
        </w:rPr>
        <w:footnoteReference w:id="20"/>
      </w:r>
      <w:r>
        <w:t xml:space="preserve">, </w:t>
      </w:r>
    </w:p>
    <w:p w:rsidR="001C2076" w:rsidRPr="00571D58" w:rsidRDefault="001C2076" w:rsidP="008D52EA">
      <w:pPr>
        <w:pStyle w:val="Hlistbullet"/>
      </w:pPr>
      <w:r>
        <w:t xml:space="preserve">hodnotenia </w:t>
      </w:r>
      <w:r>
        <w:rPr>
          <w:i/>
        </w:rPr>
        <w:t>ex ante</w:t>
      </w:r>
      <w:r>
        <w:t xml:space="preserve"> a </w:t>
      </w:r>
      <w:r>
        <w:rPr>
          <w:i/>
        </w:rPr>
        <w:t>ex post</w:t>
      </w:r>
      <w:r>
        <w:t xml:space="preserve"> a všetky ostatné hodnotiace činnosti spojené s programom rozvoja vidieka vrátane činností potrebných na splnenie zvýšených požiadaviek výročných správ </w:t>
      </w:r>
      <w:r w:rsidR="0027665C">
        <w:t>o vykonávaní</w:t>
      </w:r>
      <w:r>
        <w:t xml:space="preserve"> predkladaných v rokoch 2017 a 2019</w:t>
      </w:r>
      <w:r>
        <w:rPr>
          <w:rStyle w:val="FootnoteReference"/>
        </w:rPr>
        <w:footnoteReference w:id="21"/>
      </w:r>
      <w:r>
        <w:t>,</w:t>
      </w:r>
    </w:p>
    <w:p w:rsidR="001C2076" w:rsidRPr="00571D58" w:rsidRDefault="001C2076" w:rsidP="008D52EA">
      <w:pPr>
        <w:pStyle w:val="Hlistbullet"/>
      </w:pPr>
      <w:r>
        <w:t>podpora, aby mohli všetci aktéri zodpovední za monitorovanie a hodnotenie plniť svoje povinnosti</w:t>
      </w:r>
      <w:r>
        <w:rPr>
          <w:rStyle w:val="FootnoteReference"/>
        </w:rPr>
        <w:footnoteReference w:id="22"/>
      </w:r>
      <w:r>
        <w:t xml:space="preserve">. </w:t>
      </w:r>
    </w:p>
    <w:p w:rsidR="00F40273" w:rsidRPr="00CB20AA" w:rsidRDefault="00D42EC7" w:rsidP="001C2076">
      <w:pPr>
        <w:pStyle w:val="HStandard"/>
      </w:pPr>
      <w:r>
        <w:t xml:space="preserve">Európska komisia poskytuje takisto podrobné </w:t>
      </w:r>
      <w:r>
        <w:rPr>
          <w:b/>
        </w:rPr>
        <w:t>informačné listy</w:t>
      </w:r>
      <w:r>
        <w:t xml:space="preserve"> ku všetkým spoločným ukazovateľom, o ktorých sa majú podávať správy vo </w:t>
      </w:r>
      <w:r w:rsidR="0027665C">
        <w:t>VSV</w:t>
      </w:r>
      <w:r>
        <w:t xml:space="preserve"> predkladaných v rokoch 2017 a 2019; medzi nimi je 16 spoločných </w:t>
      </w:r>
      <w:hyperlink r:id="rId21">
        <w:r>
          <w:rPr>
            <w:rStyle w:val="Hyperlink"/>
          </w:rPr>
          <w:t>ukazovateľov vplyvu SPP</w:t>
        </w:r>
      </w:hyperlink>
      <w:r>
        <w:t xml:space="preserve">. </w:t>
      </w:r>
      <w:r>
        <w:rPr>
          <w:b/>
        </w:rPr>
        <w:t>Každý informačný list ukazovateľov vplyvu</w:t>
      </w:r>
      <w:r>
        <w:t xml:space="preserve"> obsahuje odkaz na:</w:t>
      </w:r>
    </w:p>
    <w:p w:rsidR="00F40273" w:rsidRPr="001C6ACF" w:rsidRDefault="00A3244E" w:rsidP="00DA263D">
      <w:pPr>
        <w:pStyle w:val="Hlistbullet"/>
      </w:pPr>
      <w:r>
        <w:t xml:space="preserve">príslušný cieľ politiky, </w:t>
      </w:r>
    </w:p>
    <w:p w:rsidR="00F40273" w:rsidRPr="001C6ACF" w:rsidRDefault="001C2076" w:rsidP="00DA263D">
      <w:pPr>
        <w:pStyle w:val="Hlistbullet"/>
      </w:pPr>
      <w:r>
        <w:t xml:space="preserve">vymedzenie ukazovateľa, </w:t>
      </w:r>
    </w:p>
    <w:p w:rsidR="00F40273" w:rsidRPr="001C6ACF" w:rsidRDefault="001C2076" w:rsidP="00DA263D">
      <w:pPr>
        <w:pStyle w:val="Hlistbullet"/>
      </w:pPr>
      <w:r>
        <w:t xml:space="preserve">mernú jednotku, </w:t>
      </w:r>
    </w:p>
    <w:p w:rsidR="00F40273" w:rsidRPr="001C6ACF" w:rsidRDefault="001C2076" w:rsidP="00DA263D">
      <w:pPr>
        <w:pStyle w:val="Hlistbullet"/>
      </w:pPr>
      <w:r>
        <w:lastRenderedPageBreak/>
        <w:t xml:space="preserve">metodiku/vzorec výpočtu, </w:t>
      </w:r>
    </w:p>
    <w:p w:rsidR="00F40273" w:rsidRPr="001C6ACF" w:rsidRDefault="001C2076" w:rsidP="00DA263D">
      <w:pPr>
        <w:pStyle w:val="Hlistbullet"/>
      </w:pPr>
      <w:r>
        <w:t xml:space="preserve">požiadavky týkajúce sa údajov a ich zdroje, </w:t>
      </w:r>
    </w:p>
    <w:p w:rsidR="00F40273" w:rsidRPr="001C6ACF" w:rsidRDefault="003304E5" w:rsidP="00DA263D">
      <w:pPr>
        <w:pStyle w:val="Hlistbullet"/>
      </w:pPr>
      <w:r>
        <w:t xml:space="preserve">úroveň a frekvenciu zberu údajov, </w:t>
      </w:r>
    </w:p>
    <w:p w:rsidR="001C2076" w:rsidRPr="001C6ACF" w:rsidRDefault="001C2076" w:rsidP="00DA263D">
      <w:pPr>
        <w:pStyle w:val="Hlistbullet"/>
      </w:pPr>
      <w:r>
        <w:t xml:space="preserve">informácie o oneskoreniach pri zbere údajov. </w:t>
      </w:r>
    </w:p>
    <w:p w:rsidR="001C2076" w:rsidRPr="001C6ACF" w:rsidRDefault="001C2076" w:rsidP="001C2076">
      <w:pPr>
        <w:pStyle w:val="HStandard"/>
      </w:pPr>
      <w:r>
        <w:t xml:space="preserve">Pri posudzovaní vplyvu PRV sa používa </w:t>
      </w:r>
      <w:r>
        <w:rPr>
          <w:b/>
        </w:rPr>
        <w:t>13 zo 16 spoločných ukazovateľov vplyvu SPP</w:t>
      </w:r>
      <w:r>
        <w:t>:</w:t>
      </w:r>
    </w:p>
    <w:p w:rsidR="001C2076" w:rsidRPr="001C6ACF" w:rsidRDefault="001C2076" w:rsidP="008D52EA">
      <w:pPr>
        <w:pStyle w:val="Hlistbullet"/>
      </w:pPr>
      <w:r>
        <w:t>I.01 Poľnohospodársky príjem z podnikania</w:t>
      </w:r>
    </w:p>
    <w:p w:rsidR="001C2076" w:rsidRPr="001C6ACF" w:rsidRDefault="001C2076" w:rsidP="008D52EA">
      <w:pPr>
        <w:pStyle w:val="Hlistbullet"/>
      </w:pPr>
      <w:r>
        <w:t>I.02 Poľnohospodársky dôchodok z faktorov</w:t>
      </w:r>
    </w:p>
    <w:p w:rsidR="001C2076" w:rsidRPr="001C6ACF" w:rsidRDefault="001C2076" w:rsidP="008D52EA">
      <w:pPr>
        <w:pStyle w:val="Hlistbullet"/>
      </w:pPr>
      <w:r>
        <w:t>I.03 Celková produktivita faktorov v poľnohospodárstve</w:t>
      </w:r>
    </w:p>
    <w:p w:rsidR="001C2076" w:rsidRPr="001C6ACF" w:rsidRDefault="001C2076" w:rsidP="008D52EA">
      <w:pPr>
        <w:pStyle w:val="Hlistbullet"/>
      </w:pPr>
      <w:r>
        <w:t>I.07 Emisie z poľnohospodárstva</w:t>
      </w:r>
    </w:p>
    <w:p w:rsidR="001C2076" w:rsidRPr="001C6ACF" w:rsidRDefault="001C2076" w:rsidP="008D52EA">
      <w:pPr>
        <w:pStyle w:val="Hlistbullet"/>
      </w:pPr>
      <w:r>
        <w:t>I.08 Index vtáctva žijúceho na poľnohospodárskej pôde</w:t>
      </w:r>
    </w:p>
    <w:p w:rsidR="001C2076" w:rsidRPr="001C6ACF" w:rsidRDefault="001C2076" w:rsidP="008D52EA">
      <w:pPr>
        <w:pStyle w:val="Hlistbullet"/>
      </w:pPr>
      <w:r>
        <w:t>I.09 Poľnohospodárstvo s vysokou prírodnou hodnotou</w:t>
      </w:r>
    </w:p>
    <w:p w:rsidR="001C2076" w:rsidRPr="001C6ACF" w:rsidRDefault="001C2076" w:rsidP="008D52EA">
      <w:pPr>
        <w:pStyle w:val="Hlistbullet"/>
      </w:pPr>
      <w:r>
        <w:t>I.10 Odber vody v poľnohospodárstve</w:t>
      </w:r>
    </w:p>
    <w:p w:rsidR="001C2076" w:rsidRPr="001C6ACF" w:rsidRDefault="001C2076" w:rsidP="008D52EA">
      <w:pPr>
        <w:pStyle w:val="Hlistbullet"/>
      </w:pPr>
      <w:r>
        <w:t>I.11 Kvalita vody</w:t>
      </w:r>
    </w:p>
    <w:p w:rsidR="001C2076" w:rsidRPr="001C6ACF" w:rsidRDefault="001C2076" w:rsidP="008D52EA">
      <w:pPr>
        <w:pStyle w:val="Hlistbullet"/>
      </w:pPr>
      <w:r>
        <w:t>I.12 Organické pôdne látky v ornej pôde</w:t>
      </w:r>
    </w:p>
    <w:p w:rsidR="001C2076" w:rsidRPr="001C6ACF" w:rsidRDefault="001C2076" w:rsidP="008D52EA">
      <w:pPr>
        <w:pStyle w:val="Hlistbullet"/>
      </w:pPr>
      <w:r>
        <w:t>I.13 Pôdna erózia spôsobená vodou</w:t>
      </w:r>
    </w:p>
    <w:p w:rsidR="001C2076" w:rsidRPr="001C6ACF" w:rsidRDefault="001C2076" w:rsidP="008D52EA">
      <w:pPr>
        <w:pStyle w:val="Hlistbullet"/>
      </w:pPr>
      <w:r>
        <w:t>I.14 Miera zamestnanosti vo vidieckych oblastiach</w:t>
      </w:r>
    </w:p>
    <w:p w:rsidR="001C2076" w:rsidRPr="001C6ACF" w:rsidRDefault="001C2076" w:rsidP="008D52EA">
      <w:pPr>
        <w:pStyle w:val="Hlistbullet"/>
      </w:pPr>
      <w:r>
        <w:t>I.15 Miera chudoby vo vidieckych oblastiach</w:t>
      </w:r>
    </w:p>
    <w:p w:rsidR="001C2076" w:rsidRPr="001C6ACF" w:rsidRDefault="001C2076" w:rsidP="008D52EA">
      <w:pPr>
        <w:pStyle w:val="Hlistbullet"/>
      </w:pPr>
      <w:r>
        <w:t>I.16 HDP na obyvateľa vo vidieckych oblastiach</w:t>
      </w:r>
    </w:p>
    <w:p w:rsidR="001C2076" w:rsidRPr="001C6ACF" w:rsidRDefault="00B21618" w:rsidP="00E35440">
      <w:pPr>
        <w:pStyle w:val="HHeading2"/>
      </w:pPr>
      <w:r>
        <w:t xml:space="preserve"> Ako podávať správy o spoločných hodnotiacich otázkach v roku 2019?</w:t>
      </w:r>
    </w:p>
    <w:p w:rsidR="001C2076" w:rsidRPr="001C6ACF" w:rsidRDefault="003304E5" w:rsidP="003304E5">
      <w:pPr>
        <w:pStyle w:val="HStandard"/>
      </w:pPr>
      <w:r>
        <w:t xml:space="preserve">V roku 2019 podávajú členské štáty správy o svojich zisteniach z hodnotenia odpovedaním na všetky relevantné spoločné a programovo špecifické hodnotiace otázky vo všetkých svojich príslušných oddieloch </w:t>
      </w:r>
      <w:r w:rsidR="0027665C">
        <w:t>VSV</w:t>
      </w:r>
      <w:r>
        <w:t xml:space="preserve">. </w:t>
      </w:r>
    </w:p>
    <w:p w:rsidR="001C2076" w:rsidRPr="001C6ACF" w:rsidRDefault="00906DAF" w:rsidP="003304E5">
      <w:pPr>
        <w:pStyle w:val="HStandard"/>
      </w:pPr>
      <w:r>
        <w:t>Podobne ako v prípade SHO 1 až 21 by odpovede na SHO týkajúce sa cieľov na úrovni EÚ (SHO 22 až 30) mali byť založené na dôkazoch zo zistení hodnotenia. Posúdenia úspešnosti intervencií sa formulujú na základe kritérií posudzovania a merajú sa pomocou spoločných a doplnkových ukazovateľov vplyvu, ako aj pomocou ukazovateľov spojených so stratégiou EÚ na zabezpečenie inteligentného, udržateľného a inkluzívneho rastu. Okrem toho možno v prípade nedostatočných údajov zozbierať kvalitatívne informácie na zodpovedanie hodnotiacich otázok.</w:t>
      </w:r>
    </w:p>
    <w:p w:rsidR="00970A15" w:rsidRPr="001C6ACF" w:rsidRDefault="00C16EB2" w:rsidP="00970A15">
      <w:pPr>
        <w:pStyle w:val="HHeading4"/>
      </w:pPr>
      <w:r>
        <w:t>Aké sú všeobecné kroky na zodpovedanie hodnotiacich otázok?</w:t>
      </w:r>
    </w:p>
    <w:p w:rsidR="001C2076" w:rsidRPr="001C6ACF" w:rsidRDefault="001C2076" w:rsidP="007D2D54">
      <w:pPr>
        <w:pStyle w:val="HStandard"/>
        <w:rPr>
          <w:rFonts w:cs="Arial"/>
        </w:rPr>
      </w:pPr>
      <w:r>
        <w:t>Odporúčajú sa tieto všeobecné kroky na vypracovanie odpovedí na SHO 22 až 30:</w:t>
      </w:r>
    </w:p>
    <w:p w:rsidR="001C2076" w:rsidRPr="001C6ACF" w:rsidRDefault="007B324B" w:rsidP="00E35440">
      <w:pPr>
        <w:pStyle w:val="Hlistbullet"/>
      </w:pPr>
      <w:r>
        <w:t>preskúmať intervenčnú logiku programu spojenú s každou príslušnou spoločnou hodnotiacou otázkou o cieľoch SPP/cieľoch stratégie Európa 2020, prioritách rozvoja vidieka, oblastiach zamerania a opatreniach,</w:t>
      </w:r>
    </w:p>
    <w:p w:rsidR="001C2076" w:rsidRPr="001C6ACF" w:rsidRDefault="00DA263D" w:rsidP="00E35440">
      <w:pPr>
        <w:pStyle w:val="Hlistbullet"/>
      </w:pPr>
      <w:r>
        <w:t xml:space="preserve">vymedziť hodnotiace kritériá a prepojiť ich so spoločnými (a doplnkovými) ukazovateľmi vplyvu, ktoré sa majú použiť na zodpovedanie hodnotiacej otázky, </w:t>
      </w:r>
    </w:p>
    <w:p w:rsidR="001C2076" w:rsidRPr="00863E73" w:rsidRDefault="007B324B" w:rsidP="00E35440">
      <w:pPr>
        <w:pStyle w:val="Hlistbullet"/>
      </w:pPr>
      <w:r>
        <w:t>vybrať kvantitatívne a kvalitatívne metódy, pomocou ktorých možno posúdiť čisté hodnoty</w:t>
      </w:r>
      <w:r>
        <w:rPr>
          <w:rStyle w:val="FootnoteReference"/>
          <w:i w:val="0"/>
          <w:position w:val="0"/>
          <w:sz w:val="20"/>
          <w:vertAlign w:val="superscript"/>
        </w:rPr>
        <w:footnoteReference w:id="23"/>
      </w:r>
      <w:r>
        <w:t xml:space="preserve"> ukazovateľov vplyvu,</w:t>
      </w:r>
    </w:p>
    <w:p w:rsidR="001C2076" w:rsidRPr="001C6ACF" w:rsidRDefault="007B324B" w:rsidP="00E35440">
      <w:pPr>
        <w:pStyle w:val="Hlistbullet"/>
      </w:pPr>
      <w:r>
        <w:t xml:space="preserve">poskytnúť na účely zodpovedania hodnotiacich otázok kvantitatívne hodnoty pre ukazovatele výsledkov a vplyvu, ako aj príslušné kvalitatívne zistenia, </w:t>
      </w:r>
    </w:p>
    <w:p w:rsidR="001C2076" w:rsidRPr="001C6ACF" w:rsidRDefault="007B324B" w:rsidP="00E35440">
      <w:pPr>
        <w:pStyle w:val="Hlistbullet"/>
      </w:pPr>
      <w:r>
        <w:t>zodpovedať hodnotiace otázky.</w:t>
      </w:r>
    </w:p>
    <w:p w:rsidR="001C2076" w:rsidRPr="001C6ACF" w:rsidRDefault="00217482" w:rsidP="007D2D54">
      <w:pPr>
        <w:pStyle w:val="HStandard"/>
      </w:pPr>
      <w:r>
        <w:t>Uvedené kroky sú podobné krokom navrhnutým pre hodnotenie v roku 2017. V roku 2019 sa však môžu vyskytnúť určité nové výzvy, ktoré sú podrobne vysvetlené v </w:t>
      </w:r>
      <w:r>
        <w:rPr>
          <w:color w:val="F07E31" w:themeColor="accent1"/>
        </w:rPr>
        <w:t xml:space="preserve">časti II </w:t>
      </w:r>
      <w:r>
        <w:t xml:space="preserve">usmernení. </w:t>
      </w:r>
    </w:p>
    <w:p w:rsidR="001C2076" w:rsidRPr="001C6ACF" w:rsidRDefault="001C2076" w:rsidP="00812032">
      <w:pPr>
        <w:pStyle w:val="HHeading4"/>
      </w:pPr>
      <w:r>
        <w:lastRenderedPageBreak/>
        <w:t xml:space="preserve">Kde možno nájsť usmernenie pre SHO, ktoré sa majú zodpovedať v roku 2019? </w:t>
      </w:r>
    </w:p>
    <w:p w:rsidR="00217482" w:rsidRPr="001C6ACF" w:rsidRDefault="00217482" w:rsidP="00217482">
      <w:pPr>
        <w:pStyle w:val="HStandard"/>
      </w:pPr>
      <w:r>
        <w:t xml:space="preserve">V týchto usmerneniach sa uvádzajú podrobné informácie o tom, ako zodpovedať spoločné hodnotiace otázky 22 až 30 spojené s cieľmi na úrovni EÚ SHO. V prípade potreby sa v týchto usmerneniach odkazuje na príslušné usmernenie, ako sa uvádza v tabuľke 1. </w:t>
      </w:r>
    </w:p>
    <w:p w:rsidR="001C2076" w:rsidRPr="001C6ACF" w:rsidRDefault="001C2076" w:rsidP="001C2076">
      <w:pPr>
        <w:spacing w:after="0" w:line="280" w:lineRule="atLeast"/>
        <w:rPr>
          <w:rFonts w:cs="Arial"/>
          <w:color w:val="373737" w:themeColor="text1"/>
          <w:sz w:val="20"/>
          <w:szCs w:val="20"/>
        </w:rPr>
      </w:pPr>
      <w:r>
        <w:rPr>
          <w:color w:val="373737" w:themeColor="text1"/>
          <w:sz w:val="20"/>
        </w:rPr>
        <w:t>Usmernenia na zodpovedanie spoločných hodnotiacich otázok týkajúcich sa oblasti zamerania rozvoja vidieka, synergií programu, technickej pomoci a národných vidieckych sietí (SHO 1 až 21) sa uvádzajú v tomto dokumente:</w:t>
      </w:r>
    </w:p>
    <w:p w:rsidR="008E3ACB" w:rsidRPr="001C6ACF" w:rsidRDefault="00217482" w:rsidP="00E35440">
      <w:pPr>
        <w:pStyle w:val="Hlistbullet"/>
      </w:pPr>
      <w:r>
        <w:rPr>
          <w:i/>
        </w:rPr>
        <w:t xml:space="preserve">Usmernenia </w:t>
      </w:r>
      <w:hyperlink r:id="rId22">
        <w:r>
          <w:rPr>
            <w:rStyle w:val="Hyperlink"/>
            <w:i/>
            <w:color w:val="373737" w:themeColor="text1"/>
            <w:u w:val="none"/>
          </w:rPr>
          <w:t>Posúdenie výsledkov programov rozvoja vidieka: ako sa pripraviť na podávanie správ o hodnotení v roku 2017</w:t>
        </w:r>
      </w:hyperlink>
      <w:r>
        <w:t xml:space="preserve">: v tomto texte sa vysvetľuje, ako podávať správy o hodnoteniach vo </w:t>
      </w:r>
      <w:r w:rsidR="0027665C">
        <w:t>VSV</w:t>
      </w:r>
      <w:r>
        <w:t xml:space="preserve"> predkladaných v roku 2017 a neskôr. V usmerneniach sa navrhujú možné </w:t>
      </w:r>
      <w:r w:rsidR="001D70DD">
        <w:t>prístup</w:t>
      </w:r>
      <w:r>
        <w:t xml:space="preserve">y hodnotenia na posúdenie výsledkov PRV v roku 2017, ktoré sú v súvislosti so SHO 1 až 21 platné aj v roku 2019. </w:t>
      </w:r>
    </w:p>
    <w:p w:rsidR="001C2076" w:rsidRPr="001C6ACF" w:rsidRDefault="0007494F" w:rsidP="00E35440">
      <w:pPr>
        <w:pStyle w:val="Hlistbullet"/>
      </w:pPr>
      <w:hyperlink r:id="rId23">
        <w:r w:rsidR="006F62E2">
          <w:rPr>
            <w:rStyle w:val="Hyperlink"/>
            <w:i/>
            <w:color w:val="373737" w:themeColor="text1"/>
            <w:u w:val="none"/>
          </w:rPr>
          <w:t>Príloha 11 – Informačné listy na zodpovedanie spoločných hodnotiacich otázok pre programy rozvoja vidieka na obdobie 2014 – 2020</w:t>
        </w:r>
      </w:hyperlink>
      <w:r w:rsidR="006F62E2">
        <w:t xml:space="preserve"> poskytuje technickú pomoc pri zodpovedaní SHO 1 až 21. Vysvetľuje intervenčnú logiku spojenú s každou SHO, opisuje užitočné prvky hodnotenia a navrhuje metódy posudzovania.</w:t>
      </w:r>
    </w:p>
    <w:p w:rsidR="0020488A" w:rsidRPr="001C6ACF" w:rsidRDefault="0020488A" w:rsidP="005A56B7">
      <w:pPr>
        <w:pStyle w:val="HStandard"/>
      </w:pPr>
      <w:r>
        <w:t xml:space="preserve">Prehľad najrelevantnejších dokumentov na zodpovedanie SHO vo </w:t>
      </w:r>
      <w:r w:rsidR="0027665C">
        <w:t>VSV</w:t>
      </w:r>
      <w:r>
        <w:t xml:space="preserve"> v roku 2019 sa uvádza v tabuľke 1: </w:t>
      </w:r>
    </w:p>
    <w:p w:rsidR="00AB3BA1" w:rsidRPr="001C6ACF" w:rsidRDefault="009F77FD" w:rsidP="006B44E5">
      <w:pPr>
        <w:pStyle w:val="HHeadingtables"/>
      </w:pPr>
      <w:r>
        <w:br w:type="column"/>
      </w:r>
      <w:r>
        <w:lastRenderedPageBreak/>
        <w:t xml:space="preserve">Usmernenia na zodpovedanie spoločných hodnotiacich otázok vo </w:t>
      </w:r>
      <w:r w:rsidR="0027665C">
        <w:t>VSV</w:t>
      </w:r>
      <w:r>
        <w:t xml:space="preserve"> v roku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29"/>
        <w:gridCol w:w="2410"/>
        <w:gridCol w:w="5477"/>
      </w:tblGrid>
      <w:tr w:rsidR="00AB3BA1" w:rsidRPr="001C6ACF" w:rsidTr="00A746BC">
        <w:trPr>
          <w:tblHeader/>
        </w:trPr>
        <w:tc>
          <w:tcPr>
            <w:tcW w:w="1129" w:type="dxa"/>
            <w:shd w:val="clear" w:color="auto" w:fill="F07E31" w:themeFill="accent1"/>
          </w:tcPr>
          <w:p w:rsidR="00AB3BA1" w:rsidRPr="001C6ACF" w:rsidRDefault="007038B3" w:rsidP="00A746BC">
            <w:pPr>
              <w:pStyle w:val="HStandard"/>
              <w:jc w:val="center"/>
              <w:rPr>
                <w:b/>
                <w:color w:val="FFFFFF" w:themeColor="background1"/>
              </w:rPr>
            </w:pPr>
            <w:r>
              <w:rPr>
                <w:b/>
                <w:color w:val="FFFFFF" w:themeColor="background1"/>
              </w:rPr>
              <w:t>SHO</w:t>
            </w:r>
          </w:p>
        </w:tc>
        <w:tc>
          <w:tcPr>
            <w:tcW w:w="2410" w:type="dxa"/>
            <w:shd w:val="clear" w:color="auto" w:fill="F07E31" w:themeFill="accent1"/>
          </w:tcPr>
          <w:p w:rsidR="00AB3BA1" w:rsidRPr="001C6ACF" w:rsidRDefault="00116A79" w:rsidP="008D52EA">
            <w:pPr>
              <w:pStyle w:val="HStandard"/>
              <w:jc w:val="center"/>
              <w:rPr>
                <w:b/>
                <w:color w:val="FFFFFF" w:themeColor="background1"/>
              </w:rPr>
            </w:pPr>
            <w:r>
              <w:rPr>
                <w:b/>
                <w:color w:val="FFFFFF" w:themeColor="background1"/>
              </w:rPr>
              <w:t>Dokument</w:t>
            </w:r>
          </w:p>
        </w:tc>
        <w:tc>
          <w:tcPr>
            <w:tcW w:w="5477" w:type="dxa"/>
            <w:shd w:val="clear" w:color="auto" w:fill="F07E31" w:themeFill="accent1"/>
          </w:tcPr>
          <w:p w:rsidR="00AB3BA1" w:rsidRPr="001C6ACF" w:rsidRDefault="00146C75" w:rsidP="008D52EA">
            <w:pPr>
              <w:pStyle w:val="HStandard"/>
              <w:jc w:val="center"/>
              <w:rPr>
                <w:b/>
                <w:color w:val="FFFFFF" w:themeColor="background1"/>
              </w:rPr>
            </w:pPr>
            <w:r>
              <w:rPr>
                <w:b/>
                <w:color w:val="FFFFFF" w:themeColor="background1"/>
              </w:rPr>
              <w:t xml:space="preserve">Relevantnosť pre </w:t>
            </w:r>
            <w:r w:rsidR="0027665C">
              <w:rPr>
                <w:b/>
                <w:color w:val="FFFFFF" w:themeColor="background1"/>
              </w:rPr>
              <w:t>VSV</w:t>
            </w:r>
            <w:r>
              <w:rPr>
                <w:b/>
                <w:color w:val="FFFFFF" w:themeColor="background1"/>
              </w:rPr>
              <w:t xml:space="preserve"> v roku 2019</w:t>
            </w:r>
          </w:p>
        </w:tc>
      </w:tr>
      <w:tr w:rsidR="009F7952" w:rsidRPr="001C6ACF" w:rsidTr="00A746BC">
        <w:trPr>
          <w:trHeight w:val="1091"/>
        </w:trPr>
        <w:tc>
          <w:tcPr>
            <w:tcW w:w="1129" w:type="dxa"/>
            <w:vMerge w:val="restart"/>
          </w:tcPr>
          <w:p w:rsidR="009F7952" w:rsidRPr="001C6ACF" w:rsidRDefault="009F7952" w:rsidP="00A746BC">
            <w:pPr>
              <w:pStyle w:val="HStandard"/>
              <w:jc w:val="center"/>
            </w:pPr>
            <w:r>
              <w:t>1 až 21</w:t>
            </w:r>
          </w:p>
        </w:tc>
        <w:tc>
          <w:tcPr>
            <w:tcW w:w="2410" w:type="dxa"/>
          </w:tcPr>
          <w:p w:rsidR="009F7952" w:rsidRPr="00571D58" w:rsidRDefault="0007494F" w:rsidP="00DF22D0">
            <w:pPr>
              <w:pStyle w:val="HStandard"/>
              <w:jc w:val="left"/>
            </w:pPr>
            <w:hyperlink r:id="rId24">
              <w:r w:rsidR="006F62E2">
                <w:rPr>
                  <w:rStyle w:val="Hyperlink"/>
                </w:rPr>
                <w:t>Informačné listy k téme cieľových ukazovateľov pre druhý pilier (priorita I a II)</w:t>
              </w:r>
            </w:hyperlink>
          </w:p>
        </w:tc>
        <w:tc>
          <w:tcPr>
            <w:tcW w:w="5477" w:type="dxa"/>
          </w:tcPr>
          <w:p w:rsidR="009F7952" w:rsidRPr="00FB6C06" w:rsidRDefault="009F7952" w:rsidP="005A56B7">
            <w:pPr>
              <w:pStyle w:val="HStandard"/>
            </w:pPr>
            <w:r>
              <w:t>Pre každý ukazovateľ sa uvádza súvislosť s príslušnou prioritou a oblasťou zamerania, vymedzenie a merná jednotka, metodika výpočtu, potrebné údaje a ich zdroje, frekvencia zberu údajov a spôsob zaslania Európskej komisii.</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07494F" w:rsidP="00DF22D0">
            <w:pPr>
              <w:pStyle w:val="HStandard"/>
              <w:jc w:val="left"/>
            </w:pPr>
            <w:hyperlink r:id="rId25">
              <w:r w:rsidR="006F62E2">
                <w:rPr>
                  <w:rStyle w:val="Hyperlink"/>
                </w:rPr>
                <w:t>Informačné listy k téme doplnkových ukazovateľov výsledkov pre druhý pilier</w:t>
              </w:r>
            </w:hyperlink>
          </w:p>
        </w:tc>
        <w:tc>
          <w:tcPr>
            <w:tcW w:w="5477" w:type="dxa"/>
          </w:tcPr>
          <w:p w:rsidR="009F7952" w:rsidRPr="00336531" w:rsidRDefault="009F7952" w:rsidP="005A56B7">
            <w:pPr>
              <w:pStyle w:val="HStandard"/>
            </w:pPr>
            <w:r>
              <w:t>Obsahujú podobné usmernenia pre každý doplnkový ukazovateľ výsledkov.</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863E73" w:rsidRDefault="0007494F" w:rsidP="00DF22D0">
            <w:pPr>
              <w:pStyle w:val="HStandard"/>
              <w:jc w:val="left"/>
            </w:pPr>
            <w:hyperlink r:id="rId26">
              <w:r w:rsidR="006F62E2">
                <w:rPr>
                  <w:rStyle w:val="Hyperlink"/>
                </w:rPr>
                <w:t>Usmernenia Posúdenie výsledkov programov rozvoja vidieka: ako sa pripraviť na podávanie správ o hodnotení v roku 2017</w:t>
              </w:r>
            </w:hyperlink>
            <w:r w:rsidR="006F62E2">
              <w:rPr>
                <w:rStyle w:val="Hyperlink"/>
              </w:rPr>
              <w:t xml:space="preserve"> (samostatná príloha 11)</w:t>
            </w:r>
          </w:p>
        </w:tc>
        <w:tc>
          <w:tcPr>
            <w:tcW w:w="5477" w:type="dxa"/>
          </w:tcPr>
          <w:p w:rsidR="009F7952" w:rsidRPr="001C6ACF" w:rsidRDefault="00116A79" w:rsidP="0027665C">
            <w:pPr>
              <w:pStyle w:val="HStandard"/>
            </w:pPr>
            <w:r>
              <w:t xml:space="preserve">Navrhujú sa v nich spôsoby podávania správ o hodnoteniach vo </w:t>
            </w:r>
            <w:r w:rsidR="0027665C">
              <w:t>VSV</w:t>
            </w:r>
            <w:r>
              <w:t xml:space="preserve"> </w:t>
            </w:r>
            <w:r w:rsidR="0027665C">
              <w:t>predkladaných</w:t>
            </w:r>
            <w:r>
              <w:t xml:space="preserve"> v roku 2017, spôsoby vykonávania hodnotiacich činností, ako aj metódy, ktoré sa majú použiť pri zodpovedaní SHO 1 až 21.</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07494F" w:rsidP="00DF22D0">
            <w:pPr>
              <w:pStyle w:val="HStandard"/>
              <w:jc w:val="left"/>
            </w:pPr>
            <w:hyperlink r:id="rId27">
              <w:r w:rsidR="006F62E2">
                <w:rPr>
                  <w:rStyle w:val="Hyperlink"/>
                </w:rPr>
                <w:t>Usmernenia Hodnotenie iniciatívy LEADER/miestneho rozvoja vedeného komunitou</w:t>
              </w:r>
            </w:hyperlink>
          </w:p>
        </w:tc>
        <w:tc>
          <w:tcPr>
            <w:tcW w:w="5477" w:type="dxa"/>
          </w:tcPr>
          <w:p w:rsidR="009F7952" w:rsidRPr="007645B4" w:rsidRDefault="00116A79" w:rsidP="005A56B7">
            <w:pPr>
              <w:pStyle w:val="HStandard"/>
            </w:pPr>
            <w:r>
              <w:t xml:space="preserve">Objasňujú spôsob posudzovania primárnych a sekundárnych prínosov iniciatívy LEADER/miestneho rozvoja vedeného komunitou k oblastiam zamerania rozvoja vidieka. </w:t>
            </w:r>
          </w:p>
        </w:tc>
      </w:tr>
      <w:tr w:rsidR="009F7952" w:rsidRPr="001C6ACF" w:rsidTr="00A746BC">
        <w:trPr>
          <w:trHeight w:val="290"/>
        </w:trPr>
        <w:tc>
          <w:tcPr>
            <w:tcW w:w="1129" w:type="dxa"/>
            <w:vMerge/>
          </w:tcPr>
          <w:p w:rsidR="009F7952" w:rsidRPr="001C6ACF" w:rsidRDefault="009F7952" w:rsidP="00A746BC">
            <w:pPr>
              <w:pStyle w:val="HStandard"/>
              <w:jc w:val="center"/>
            </w:pPr>
          </w:p>
        </w:tc>
        <w:tc>
          <w:tcPr>
            <w:tcW w:w="2410" w:type="dxa"/>
          </w:tcPr>
          <w:p w:rsidR="009F7952" w:rsidRPr="00571D58" w:rsidRDefault="0007494F" w:rsidP="00DF22D0">
            <w:pPr>
              <w:pStyle w:val="HStandard"/>
              <w:jc w:val="left"/>
            </w:pPr>
            <w:hyperlink r:id="rId28">
              <w:r w:rsidR="006F62E2">
                <w:rPr>
                  <w:rStyle w:val="Hyperlink"/>
                </w:rPr>
                <w:t>Usmernenia Hodnotenie inovácie v oblasti programov rozvoja vidieka v období rokov 2014 – 2020</w:t>
              </w:r>
            </w:hyperlink>
          </w:p>
        </w:tc>
        <w:tc>
          <w:tcPr>
            <w:tcW w:w="5477" w:type="dxa"/>
          </w:tcPr>
          <w:p w:rsidR="009F7952" w:rsidRPr="00863E73" w:rsidRDefault="009F7952" w:rsidP="005A56B7">
            <w:pPr>
              <w:pStyle w:val="HStandard"/>
            </w:pPr>
            <w:r>
              <w:t xml:space="preserve">Poskytujú informácie o posudzovaní inovácií spojených s oblasťami zamerania 1A a 1B a o podpore inovácií prostredníctvom činností národných vidieckych sietí. Okrem toho poskytujú pomoc pri zodpovedaní SHO 1, 2 a 21 z hľadiska inovácií. </w:t>
            </w:r>
          </w:p>
        </w:tc>
      </w:tr>
      <w:tr w:rsidR="002C57D4" w:rsidRPr="001C6ACF" w:rsidTr="00A746BC">
        <w:tc>
          <w:tcPr>
            <w:tcW w:w="1129" w:type="dxa"/>
            <w:vMerge w:val="restart"/>
          </w:tcPr>
          <w:p w:rsidR="002C57D4" w:rsidRPr="001C6ACF" w:rsidRDefault="002C57D4" w:rsidP="00A746BC">
            <w:pPr>
              <w:pStyle w:val="HStandard"/>
              <w:jc w:val="center"/>
            </w:pPr>
            <w:r>
              <w:t>22 až 30</w:t>
            </w:r>
          </w:p>
        </w:tc>
        <w:tc>
          <w:tcPr>
            <w:tcW w:w="2410" w:type="dxa"/>
          </w:tcPr>
          <w:p w:rsidR="002C57D4" w:rsidRPr="00571D58" w:rsidRDefault="0007494F" w:rsidP="00DF22D0">
            <w:pPr>
              <w:pStyle w:val="HStandard"/>
              <w:jc w:val="left"/>
            </w:pPr>
            <w:hyperlink r:id="rId29">
              <w:r w:rsidR="006F62E2">
                <w:rPr>
                  <w:rStyle w:val="Hyperlink"/>
                </w:rPr>
                <w:t>Informačné listy k téme ukazovateľov vplyvu</w:t>
              </w:r>
            </w:hyperlink>
            <w:r w:rsidR="006F62E2">
              <w:t xml:space="preserve"> </w:t>
            </w:r>
          </w:p>
        </w:tc>
        <w:tc>
          <w:tcPr>
            <w:tcW w:w="5477" w:type="dxa"/>
          </w:tcPr>
          <w:p w:rsidR="002C57D4" w:rsidRPr="001C6ACF" w:rsidRDefault="002C57D4" w:rsidP="005A56B7">
            <w:pPr>
              <w:pStyle w:val="HStandard"/>
            </w:pPr>
            <w:r>
              <w:t>Obsahujú informácie o súvislosti ukazovateľa so všeobecnými cieľmi SPP, vymedzení ukazovateľov, mernej jednotke, metodike/vzorci na výpočet, požiadavkách na údaje, zdrojoch a frekvencii/oneskorení zberu a umiestnenia údajov.</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7494F">
            <w:pPr>
              <w:pStyle w:val="HStandard"/>
              <w:jc w:val="left"/>
            </w:pPr>
            <w:hyperlink r:id="rId30">
              <w:r w:rsidR="006F62E2">
                <w:rPr>
                  <w:rStyle w:val="Hyperlink"/>
                </w:rPr>
                <w:t>Najnovšie údaje o ukazovateľoch kontextu od členských štátov</w:t>
              </w:r>
            </w:hyperlink>
          </w:p>
        </w:tc>
        <w:tc>
          <w:tcPr>
            <w:tcW w:w="5477" w:type="dxa"/>
          </w:tcPr>
          <w:p w:rsidR="00A75E50" w:rsidRPr="00336531" w:rsidRDefault="00A75E50" w:rsidP="00FF4127">
            <w:pPr>
              <w:pStyle w:val="HStandard"/>
            </w:pPr>
            <w:r>
              <w:t>Európska komisia poskytuje ročnú aktualizáciu údajov (ak sú dostupné) pre spoločné ukazovatele kontextu na základe údajov, ktoré zasielajú členské štáty.</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7494F" w:rsidP="00DF22D0">
            <w:pPr>
              <w:pStyle w:val="HStandard"/>
              <w:jc w:val="left"/>
              <w:rPr>
                <w:color w:val="F07E31" w:themeColor="accent1"/>
              </w:rPr>
            </w:pPr>
            <w:hyperlink r:id="rId31">
              <w:r w:rsidR="006F62E2">
                <w:rPr>
                  <w:rStyle w:val="Hyperlink"/>
                </w:rPr>
                <w:t>Usmernenia Hodnotenie inovácie v oblasti programov rozvoja vidieka v období rokov 2014 – 2020</w:t>
              </w:r>
            </w:hyperlink>
          </w:p>
          <w:p w:rsidR="00A75E50" w:rsidRPr="00336531" w:rsidRDefault="00A75E50">
            <w:pPr>
              <w:pStyle w:val="HStandard"/>
              <w:jc w:val="left"/>
            </w:pPr>
          </w:p>
        </w:tc>
        <w:tc>
          <w:tcPr>
            <w:tcW w:w="5477" w:type="dxa"/>
          </w:tcPr>
          <w:p w:rsidR="00A75E50" w:rsidRPr="001C6ACF" w:rsidRDefault="00A75E50" w:rsidP="00FF4127">
            <w:pPr>
              <w:pStyle w:val="HStandard"/>
            </w:pPr>
            <w:r>
              <w:t>Poskytujú informácie o posudzovaní prínosu PRV k hlavnému cieľu stratégie Európa 2020, ktorým je investovanie 3 % HDP EÚ do výskumu, vývoja a inovácií, ako aj o prínose PRV k inovácii a o zodpovedaní SHO 23 a 30.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7494F" w:rsidP="00DF22D0">
            <w:pPr>
              <w:pStyle w:val="HStandard"/>
              <w:jc w:val="left"/>
            </w:pPr>
            <w:hyperlink r:id="rId32">
              <w:r w:rsidR="006F62E2">
                <w:rPr>
                  <w:rStyle w:val="Hyperlink"/>
                </w:rPr>
                <w:t>Informácie o stratégii Európa 2020</w:t>
              </w:r>
            </w:hyperlink>
          </w:p>
        </w:tc>
        <w:tc>
          <w:tcPr>
            <w:tcW w:w="5477" w:type="dxa"/>
          </w:tcPr>
          <w:p w:rsidR="00A75E50" w:rsidRPr="001C6ACF" w:rsidRDefault="00A75E50" w:rsidP="00EE407C">
            <w:pPr>
              <w:pStyle w:val="HStandard"/>
            </w:pPr>
            <w:r>
              <w:t xml:space="preserve">Stratégia Európa 2020 sa využíva ako referenčný rámec pre činnosti na únijnej, vnútroštátnej a regionálnej úrovni. Vlády </w:t>
            </w:r>
            <w:r>
              <w:lastRenderedPageBreak/>
              <w:t>EÚ stanovili vnútroštátne ciele na podporu plnenia celkových hlavných cieľov EÚ a podávajú o nich správy v rámci svojich ročných národných programov reforiem. Štatistický úrad EÚ, Eurostat, pravidelne zverejňuje komplexné správy o pokroku týkajúce sa cieľov („</w:t>
            </w:r>
            <w:hyperlink r:id="rId33">
              <w:r>
                <w:rPr>
                  <w:rStyle w:val="Hyperlink"/>
                </w:rPr>
                <w:t>publikácia Inteligentnejšie, ekologickejšie a inkluzívnejšie? Ukazovatele na podporu stratégie Európa 2020</w:t>
              </w:r>
            </w:hyperlink>
            <w:r>
              <w:t>“)</w:t>
            </w:r>
            <w:r>
              <w:rPr>
                <w:color w:val="333333"/>
              </w:rPr>
              <w:t>, v ktorých sa monitoruje pokrok pri plnení cieľových hodnôt a cieľov EÚ vymedzených v rámci troch vzájomne sa podporujúcich priorít pre inteligentný, udržateľný a inkluzívny rast, a opisuje sa situácia v členských štátoch</w:t>
            </w:r>
            <w:r>
              <w:t>.</w:t>
            </w:r>
          </w:p>
        </w:tc>
      </w:tr>
      <w:tr w:rsidR="00A75E50" w:rsidRPr="001C6ACF" w:rsidTr="00A746BC">
        <w:tc>
          <w:tcPr>
            <w:tcW w:w="1129" w:type="dxa"/>
            <w:vMerge w:val="restart"/>
          </w:tcPr>
          <w:p w:rsidR="00A75E50" w:rsidRPr="001C6ACF" w:rsidRDefault="00A75E50" w:rsidP="00A746BC">
            <w:pPr>
              <w:pStyle w:val="HStandard"/>
              <w:jc w:val="center"/>
            </w:pPr>
            <w:r>
              <w:lastRenderedPageBreak/>
              <w:t>22, 23, 24, 25, 30</w:t>
            </w:r>
          </w:p>
        </w:tc>
        <w:tc>
          <w:tcPr>
            <w:tcW w:w="2410" w:type="dxa"/>
          </w:tcPr>
          <w:p w:rsidR="00A75E50" w:rsidRPr="00571D58" w:rsidRDefault="0007494F">
            <w:pPr>
              <w:pStyle w:val="HStandard"/>
              <w:jc w:val="left"/>
              <w:rPr>
                <w:rFonts w:cs="Arial"/>
                <w:color w:val="F07E31" w:themeColor="accent1"/>
              </w:rPr>
            </w:pPr>
            <w:hyperlink r:id="rId34">
              <w:r w:rsidR="006F62E2">
                <w:rPr>
                  <w:rStyle w:val="Hyperlink"/>
                </w:rPr>
                <w:t>Informácie o cieľoch stratégie Európa 2020 od členských štátov</w:t>
              </w:r>
            </w:hyperlink>
          </w:p>
        </w:tc>
        <w:tc>
          <w:tcPr>
            <w:tcW w:w="5477" w:type="dxa"/>
          </w:tcPr>
          <w:p w:rsidR="00A75E50" w:rsidRPr="001C6ACF" w:rsidRDefault="00A75E50" w:rsidP="00823352">
            <w:pPr>
              <w:pStyle w:val="HStandard"/>
            </w:pPr>
            <w:r>
              <w:t>Eurostat pre jednotlivé členské štáty pravidelne aktualizuje informácie o vnútroštátnych cieľoch, ktoré sú potrebné na dosiahnutie hlavných cieľov stratégie Európa 2020.</w:t>
            </w:r>
          </w:p>
        </w:tc>
      </w:tr>
      <w:tr w:rsidR="00A75E50" w:rsidRPr="001C6ACF" w:rsidTr="00A746BC">
        <w:tc>
          <w:tcPr>
            <w:tcW w:w="1129" w:type="dxa"/>
            <w:vMerge/>
          </w:tcPr>
          <w:p w:rsidR="00A75E50" w:rsidRPr="001C6ACF" w:rsidRDefault="00A75E50" w:rsidP="00A746BC">
            <w:pPr>
              <w:pStyle w:val="HStandard"/>
              <w:jc w:val="center"/>
            </w:pPr>
          </w:p>
        </w:tc>
        <w:tc>
          <w:tcPr>
            <w:tcW w:w="2410" w:type="dxa"/>
          </w:tcPr>
          <w:p w:rsidR="00A75E50" w:rsidRPr="00571D58" w:rsidRDefault="0007494F">
            <w:pPr>
              <w:pStyle w:val="HStandard"/>
              <w:jc w:val="left"/>
              <w:rPr>
                <w:rFonts w:cs="Arial"/>
              </w:rPr>
            </w:pPr>
            <w:hyperlink r:id="rId35">
              <w:r w:rsidR="006F62E2">
                <w:rPr>
                  <w:rStyle w:val="Hyperlink"/>
                </w:rPr>
                <w:t>Informačné listy k téme ukazovateľov kontextu</w:t>
              </w:r>
            </w:hyperlink>
            <w:r w:rsidR="006F62E2">
              <w:t xml:space="preserve"> </w:t>
            </w:r>
          </w:p>
        </w:tc>
        <w:tc>
          <w:tcPr>
            <w:tcW w:w="5477" w:type="dxa"/>
          </w:tcPr>
          <w:p w:rsidR="00A75E50" w:rsidRPr="007645B4" w:rsidRDefault="00A75E50" w:rsidP="00FF4127">
            <w:pPr>
              <w:pStyle w:val="HStandard"/>
            </w:pPr>
            <w:r>
              <w:t>45 spoločných ukazovateľov kontextu SPP (rozdelených do troch skupín – sociálno-ekonomické, sektorové a environmentálne) odzrkadľuje relevantné aspekty všeobecných kontextových trendov v hospodárstve, oblasti životného prostredia a v spoločnosti. Tieto ukazovatele pravdepodobne ovplyvnia vykonávanie, úspešnosť a výsledky SPP. Prehľady ukazovateľov obsahujú opis vymedzení, metodiku a zdroje údajov.</w:t>
            </w:r>
          </w:p>
        </w:tc>
      </w:tr>
      <w:tr w:rsidR="00A75E50" w:rsidRPr="001C6ACF" w:rsidTr="00A746BC">
        <w:trPr>
          <w:trHeight w:val="1800"/>
        </w:trPr>
        <w:tc>
          <w:tcPr>
            <w:tcW w:w="1129" w:type="dxa"/>
          </w:tcPr>
          <w:p w:rsidR="00A75E50" w:rsidRPr="001C6ACF" w:rsidRDefault="00A75E50" w:rsidP="00A746BC">
            <w:pPr>
              <w:pStyle w:val="HStandard"/>
              <w:jc w:val="center"/>
            </w:pPr>
            <w:r>
              <w:t>Všetky SHO</w:t>
            </w:r>
          </w:p>
        </w:tc>
        <w:tc>
          <w:tcPr>
            <w:tcW w:w="2410" w:type="dxa"/>
          </w:tcPr>
          <w:p w:rsidR="00A75E50" w:rsidRPr="00571D58" w:rsidRDefault="0007494F" w:rsidP="00E95159">
            <w:pPr>
              <w:pStyle w:val="HStandard"/>
              <w:jc w:val="left"/>
            </w:pPr>
            <w:hyperlink r:id="rId36">
              <w:r w:rsidR="006F62E2">
                <w:rPr>
                  <w:rStyle w:val="Hyperlink"/>
                </w:rPr>
                <w:t>Pracovný dokument Spoločné hodnotiace otázky pre programy rozvoja vidieka na obdobie rokov 2014 – 2020</w:t>
              </w:r>
            </w:hyperlink>
          </w:p>
        </w:tc>
        <w:tc>
          <w:tcPr>
            <w:tcW w:w="5477" w:type="dxa"/>
          </w:tcPr>
          <w:p w:rsidR="00A75E50" w:rsidRPr="00863E73" w:rsidRDefault="00A75E50" w:rsidP="00E95159">
            <w:pPr>
              <w:pStyle w:val="HStandard"/>
            </w:pPr>
            <w:r>
              <w:t>Vysvetľuje účel a používanie spoločných hodnotiacich otázok v SMaH. Opisuje rôzne druhy hodnotiacich otázok a uvádza kritériá posudzovania, ako aj spoločné a doplnkové ukazovatele pre SHO 1 až 21.</w:t>
            </w:r>
          </w:p>
        </w:tc>
      </w:tr>
    </w:tbl>
    <w:p w:rsidR="00154C43" w:rsidRPr="001C6ACF" w:rsidRDefault="00154C43"/>
    <w:p w:rsidR="001C2076" w:rsidRPr="001C6ACF" w:rsidRDefault="001C2076" w:rsidP="00E35440">
      <w:pPr>
        <w:pStyle w:val="HHeading2"/>
      </w:pPr>
      <w:r>
        <w:t xml:space="preserve">Príprava na </w:t>
      </w:r>
      <w:r w:rsidR="0027665C">
        <w:t>VSV</w:t>
      </w:r>
      <w:r>
        <w:t xml:space="preserve"> v roku 2019 </w:t>
      </w:r>
    </w:p>
    <w:p w:rsidR="009B016B" w:rsidRPr="001C6ACF" w:rsidRDefault="00806A70" w:rsidP="00217482">
      <w:pPr>
        <w:pStyle w:val="HStandard"/>
      </w:pPr>
      <w:r>
        <w:t>V rámci prípravy na posudzovanie úspešnosti a vplyvu PRV v roku 2019 môžu rôzne zainteresované strany v členských štátoch podieľajúce sa na hodnotení vykonať rôzne kroky,</w:t>
      </w:r>
      <w:r>
        <w:rPr>
          <w:rStyle w:val="FootnoteReference"/>
          <w:sz w:val="20"/>
          <w:vertAlign w:val="superscript"/>
        </w:rPr>
        <w:footnoteReference w:id="24"/>
      </w:r>
      <w:r>
        <w:t xml:space="preserve"> ktoré im pomôžu zabezpečiť, aby zistenia z hodnotenia boli kvalitné a relevantné pre tvorcov politiky v ich krajine.</w:t>
      </w:r>
    </w:p>
    <w:p w:rsidR="00932C3E" w:rsidRPr="001C6ACF" w:rsidRDefault="003146E6" w:rsidP="00217482">
      <w:pPr>
        <w:pStyle w:val="HStandard"/>
      </w:pPr>
      <w:r>
        <w:t xml:space="preserve">V tabuľke 2 sa uvádza návrh kontrolného zoznamu a uvádzajú sa kroky potrebné na hodnotenie v roku 2019. Obsahuje aj niektoré prípravné kroky, ktoré možno v prípade, že ešte neboli vykonané, vykonať ešte pre začiatkom hodnotiacich činností v roku 2019. V tabuľke 2 sa uvádzajú úlohy rôznych aktérov, ktorí sa do hodnotiacich činností môžu zapojiť na úrovni členského štátu: riadiaci orgán (RO), monitorovací výbor (MV), platobná agentúra (PA), hodnotiaci útvar (HÚ) (ak existuje), hodnotiaca riadiaca skupina (HRS) (ak existuje), hodnotitelia (H), poskytovatelia údajov (PÚ) a iné relevantné zainteresované strany podieľajúce sa na hodnotení (I). </w:t>
      </w:r>
    </w:p>
    <w:p w:rsidR="004773BB" w:rsidRPr="001C6ACF" w:rsidRDefault="00A75E50" w:rsidP="006B44E5">
      <w:pPr>
        <w:pStyle w:val="HHeadingtables"/>
      </w:pPr>
      <w:r>
        <w:br w:type="column"/>
      </w:r>
      <w:r>
        <w:lastRenderedPageBreak/>
        <w:t>Kontrolný zoznam odporúčaných krokov na hodnotenie v roku 2019</w:t>
      </w:r>
    </w:p>
    <w:tbl>
      <w:tblPr>
        <w:tblStyle w:val="Tabukasmriekou5tmavzvraznenie61"/>
        <w:tblW w:w="9492" w:type="dxa"/>
        <w:jc w:val="center"/>
        <w:tblLayout w:type="fixed"/>
        <w:tblLook w:val="04A0" w:firstRow="1" w:lastRow="0" w:firstColumn="1" w:lastColumn="0" w:noHBand="0" w:noVBand="1"/>
      </w:tblPr>
      <w:tblGrid>
        <w:gridCol w:w="562"/>
        <w:gridCol w:w="3031"/>
        <w:gridCol w:w="1432"/>
        <w:gridCol w:w="622"/>
        <w:gridCol w:w="549"/>
        <w:gridCol w:w="549"/>
        <w:gridCol w:w="550"/>
        <w:gridCol w:w="593"/>
        <w:gridCol w:w="505"/>
        <w:gridCol w:w="549"/>
        <w:gridCol w:w="550"/>
      </w:tblGrid>
      <w:tr w:rsidR="00055507" w:rsidRPr="001C6ACF" w:rsidTr="009119D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1C6ACF" w:rsidRDefault="00055507" w:rsidP="00DF22D0">
            <w:pPr>
              <w:spacing w:line="280" w:lineRule="atLeast"/>
              <w:ind w:left="113" w:right="113"/>
              <w:jc w:val="center"/>
              <w:rPr>
                <w:rFonts w:cs="Arial"/>
                <w:sz w:val="16"/>
                <w:szCs w:val="16"/>
              </w:rPr>
            </w:pPr>
            <w:r>
              <w:rPr>
                <w:sz w:val="16"/>
              </w:rPr>
              <w:t>Fáza</w:t>
            </w:r>
          </w:p>
        </w:tc>
        <w:tc>
          <w:tcPr>
            <w:tcW w:w="3031" w:type="dxa"/>
            <w:vMerge w:val="restart"/>
            <w:tcBorders>
              <w:top w:val="single" w:sz="4" w:space="0" w:color="6E8967"/>
              <w:left w:val="single" w:sz="4" w:space="0" w:color="FFFFFF"/>
              <w:right w:val="single" w:sz="4" w:space="0" w:color="FFFFFF"/>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Krok</w:t>
            </w:r>
          </w:p>
        </w:tc>
        <w:tc>
          <w:tcPr>
            <w:tcW w:w="1432" w:type="dxa"/>
            <w:vMerge w:val="restart"/>
            <w:tcBorders>
              <w:top w:val="single" w:sz="4" w:space="0" w:color="6E8967"/>
              <w:left w:val="single" w:sz="4" w:space="0" w:color="FFFFFF"/>
              <w:right w:val="single" w:sz="4" w:space="0" w:color="FFFFFF" w:themeColor="background1"/>
            </w:tcBorders>
            <w:vAlign w:val="center"/>
          </w:tcPr>
          <w:p w:rsidR="00055507" w:rsidRPr="001C6ACF"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Indikatívny harmonogram</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571D58"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Úloha (x) a zapojenie (y)</w:t>
            </w:r>
            <w:r>
              <w:rPr>
                <w:rStyle w:val="FootnoteReference"/>
                <w:color w:val="FFFFFF" w:themeColor="background1"/>
                <w:sz w:val="10"/>
              </w:rPr>
              <w:footnoteReference w:id="25"/>
            </w:r>
          </w:p>
        </w:tc>
      </w:tr>
      <w:tr w:rsidR="00BA1544" w:rsidRPr="001C6ACF" w:rsidTr="009119D2">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1C6ACF" w:rsidRDefault="00055507" w:rsidP="00DF22D0">
            <w:pPr>
              <w:spacing w:line="280" w:lineRule="atLeast"/>
              <w:ind w:left="113" w:right="113"/>
              <w:jc w:val="right"/>
              <w:rPr>
                <w:rFonts w:cs="Arial"/>
                <w:b w:val="0"/>
                <w:sz w:val="16"/>
                <w:szCs w:val="16"/>
              </w:rPr>
            </w:pPr>
          </w:p>
        </w:tc>
        <w:tc>
          <w:tcPr>
            <w:tcW w:w="3031" w:type="dxa"/>
            <w:vMerge/>
            <w:tcBorders>
              <w:top w:val="single" w:sz="4" w:space="0" w:color="FFFFFF"/>
              <w:left w:val="single" w:sz="4" w:space="0" w:color="FFFFFF"/>
              <w:right w:val="single" w:sz="4" w:space="0" w:color="FFFFFF"/>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432" w:type="dxa"/>
            <w:vMerge/>
            <w:tcBorders>
              <w:top w:val="single" w:sz="4" w:space="0" w:color="FFFFFF"/>
              <w:left w:val="single" w:sz="4" w:space="0" w:color="FFFFFF"/>
              <w:right w:val="single" w:sz="4" w:space="0" w:color="FFFFFF" w:themeColor="background1"/>
            </w:tcBorders>
          </w:tcPr>
          <w:p w:rsidR="00055507" w:rsidRPr="001C6ACF"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RO</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PÚ</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HÚ</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HRS</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H</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MV</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1C6ACF"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Pr>
                <w:sz w:val="16"/>
              </w:rPr>
              <w:t>I</w:t>
            </w:r>
          </w:p>
        </w:tc>
      </w:tr>
      <w:tr w:rsidR="00810ED5" w:rsidRPr="001C6ACF" w:rsidTr="009119D2">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Plánovanie</w:t>
            </w:r>
          </w:p>
        </w:tc>
        <w:tc>
          <w:tcPr>
            <w:tcW w:w="3031"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Aktualizácia základných hodnôt spoločných ukazovateľov kontextu (v PRV).</w:t>
            </w:r>
          </w:p>
        </w:tc>
        <w:tc>
          <w:tcPr>
            <w:tcW w:w="1432"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Hneď ako sú dostupné údaje</w:t>
            </w:r>
          </w:p>
        </w:tc>
        <w:tc>
          <w:tcPr>
            <w:tcW w:w="622" w:type="dxa"/>
            <w:tcBorders>
              <w:top w:val="single" w:sz="4" w:space="0" w:color="FFFFFF"/>
              <w:right w:val="single" w:sz="4" w:space="0" w:color="FFFFFF"/>
            </w:tcBorders>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Plánovanie hodnotiacich činností, tém, štúdií, mechanizmov zberu údajov súvisiacich so spoločnými ukazovateľmi vplyvu v pláne hodnotenia PRV. </w:t>
            </w:r>
          </w:p>
        </w:tc>
        <w:tc>
          <w:tcPr>
            <w:tcW w:w="1432"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Od roku 2013 </w:t>
            </w:r>
          </w:p>
        </w:tc>
        <w:tc>
          <w:tcPr>
            <w:tcW w:w="622" w:type="dxa"/>
            <w:tcBorders>
              <w:right w:val="single" w:sz="4" w:space="0" w:color="FFFFFF"/>
            </w:tcBorders>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left w:val="single" w:sz="4" w:space="0" w:color="FFFFFF"/>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Vývoj/aktualizácia interného plánu hodnotenia (dokument), v ktorom sa špecifikujú hodnotiace témy a činnosti (vrátane operácií s údajmi na účely oddelenia čistej hodnoty ukazovateľov vplyvu a získavanie iných dôkazov a súvisiacich štúdií). </w:t>
            </w:r>
          </w:p>
        </w:tc>
        <w:tc>
          <w:tcPr>
            <w:tcW w:w="1432"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roku 2013</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Príprava</w:t>
            </w:r>
          </w:p>
        </w:tc>
        <w:tc>
          <w:tcPr>
            <w:tcW w:w="3031" w:type="dxa"/>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Zriadenie dobrovoľnej hodnotiacej riadiacej skupiny na riadenie procesu hodnotenia (pravidelné stretnutia).</w:t>
            </w:r>
          </w:p>
        </w:tc>
        <w:tc>
          <w:tcPr>
            <w:tcW w:w="1432"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Na začiatku programového obdobia </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119D2">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Preskúmanie intervenčnej logiky programu (ciele, priority a oblasti zamerania rozvoja vidieka, opatrenia). </w:t>
            </w:r>
          </w:p>
        </w:tc>
        <w:tc>
          <w:tcPr>
            <w:tcW w:w="1432" w:type="dxa"/>
          </w:tcPr>
          <w:p w:rsidR="00055507" w:rsidRPr="001C6ACF"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začiatku programového obdobia a pred každým hodnotením</w:t>
            </w:r>
          </w:p>
        </w:tc>
        <w:tc>
          <w:tcPr>
            <w:tcW w:w="622"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Zaistenie jednotného chápania spoločných hodnotiacich otázok, vypracovanie kritérií posudzovania a ich uvedenie do súvisu so spoločnými (a doplnkovými) ukazovateľmi. Zabezpečenie konzistentnosti pri spájaní prvkov hodnotenia s intervenčnou logikou PRV. </w:t>
            </w:r>
          </w:p>
        </w:tc>
        <w:tc>
          <w:tcPr>
            <w:tcW w:w="1432" w:type="dxa"/>
          </w:tcPr>
          <w:p w:rsidR="00055507" w:rsidRPr="001C6ACF"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začiatku programového obdobia a pred každým hodnotením</w:t>
            </w:r>
          </w:p>
        </w:tc>
        <w:tc>
          <w:tcPr>
            <w:tcW w:w="622"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V prípade potreby vypracovanie programovo špecifických hodnotiacich otázok. Ich vybavenie kritériami posudzovania a programovo špecifickými ukazovateľmi. Zabezpečenie konzistentnosti pri spájaní prvkov hodnotenia s intervenčnou logikou PRV.</w:t>
            </w:r>
          </w:p>
        </w:tc>
        <w:tc>
          <w:tcPr>
            <w:tcW w:w="1432"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Na začiatku programového obdobia a pred každým hodnotením</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BA1544" w:rsidRPr="001C6ACF" w:rsidTr="009119D2">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Borders>
              <w:top w:val="single" w:sz="4" w:space="0" w:color="FFFFFF"/>
            </w:tcBorders>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Kontrola existujúcich údajov na výpočet spoločných (a doplnkových) ukazovateľov s cieľom získať dôkazy potrebné na zodpovedanie SHO týkajúcich sa stratégie Európa 2020. Zistenie možných nedostatočných údajov k vybraným ukazovateľom. </w:t>
            </w:r>
          </w:p>
        </w:tc>
        <w:tc>
          <w:tcPr>
            <w:tcW w:w="1432" w:type="dxa"/>
            <w:tcBorders>
              <w:top w:val="single" w:sz="4" w:space="0" w:color="FFFFFF"/>
            </w:tcBorders>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začiatku programového obdobia a pred hodnotením</w:t>
            </w:r>
          </w:p>
        </w:tc>
        <w:tc>
          <w:tcPr>
            <w:tcW w:w="622"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tcBorders>
              <w:top w:val="single" w:sz="4" w:space="0" w:color="FFFFFF"/>
            </w:tcBorders>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05" w:type="dxa"/>
            <w:tcBorders>
              <w:top w:val="single" w:sz="4" w:space="0" w:color="FFFFFF"/>
            </w:tcBorders>
            <w:shd w:val="clear" w:color="auto" w:fill="D0DDCC" w:themeFill="accent6" w:themeFillTint="66"/>
          </w:tcPr>
          <w:p w:rsidR="00055507" w:rsidRPr="001C6ACF"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tcBorders>
              <w:top w:val="single" w:sz="4" w:space="0" w:color="FFFFFF"/>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119D2">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Diskusia o možných hodnotiacich </w:t>
            </w:r>
            <w:r w:rsidR="001D70DD">
              <w:rPr>
                <w:color w:val="373737"/>
                <w:sz w:val="16"/>
              </w:rPr>
              <w:t>prístup</w:t>
            </w:r>
            <w:r>
              <w:rPr>
                <w:color w:val="373737"/>
                <w:sz w:val="16"/>
              </w:rPr>
              <w:t xml:space="preserve">och na posúdenie/oddelenie </w:t>
            </w:r>
            <w:r>
              <w:rPr>
                <w:color w:val="373737"/>
                <w:sz w:val="16"/>
              </w:rPr>
              <w:lastRenderedPageBreak/>
              <w:t xml:space="preserve">čistej hodnoty ukazovateľov vplyvu na základe existujúcich údajov. </w:t>
            </w:r>
          </w:p>
        </w:tc>
        <w:tc>
          <w:tcPr>
            <w:tcW w:w="1432"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 xml:space="preserve">Na začiatku programového </w:t>
            </w:r>
            <w:r>
              <w:rPr>
                <w:color w:val="373737"/>
                <w:sz w:val="16"/>
              </w:rPr>
              <w:lastRenderedPageBreak/>
              <w:t>obdobia a pred hodnotením</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lastRenderedPageBreak/>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05" w:type="dxa"/>
          </w:tcPr>
          <w:p w:rsidR="00055507" w:rsidRPr="001C6ACF"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Návrh referenčného rámca a zadanie hodnotenia (formou priebežných alebo jednorazových zákaziek na hodnotenie v rokoch 2017 a 2019). </w:t>
            </w:r>
          </w:p>
        </w:tc>
        <w:tc>
          <w:tcPr>
            <w:tcW w:w="1432"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Na začiatku programového obdobia alebo v rokoch 2016 a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BA1544"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Štruktúra</w:t>
            </w:r>
          </w:p>
        </w:tc>
        <w:tc>
          <w:tcPr>
            <w:tcW w:w="3031"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Diskusia s hodnotiteľmi o existujúcich zdrojoch údajov a nedostatočných údajoch. Dohoda o spôsoboch odstránenia nedostatkov. </w:t>
            </w:r>
          </w:p>
        </w:tc>
        <w:tc>
          <w:tcPr>
            <w:tcW w:w="1432"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2016 a 2. – 3. štvrťrok 2018</w:t>
            </w:r>
          </w:p>
        </w:tc>
        <w:tc>
          <w:tcPr>
            <w:tcW w:w="622"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Diskusia s hodnotiteľmi o metodických </w:t>
            </w:r>
            <w:r w:rsidR="001D70DD">
              <w:rPr>
                <w:color w:val="373737"/>
                <w:sz w:val="16"/>
              </w:rPr>
              <w:t>prístup</w:t>
            </w:r>
            <w:r>
              <w:rPr>
                <w:color w:val="373737"/>
                <w:sz w:val="16"/>
              </w:rPr>
              <w:t xml:space="preserve">och na posúdenie vplyvu PRV a na účely oddelenia čistej hodnoty spoločných (a doplnkových) ukazovateľov vplyvu. </w:t>
            </w:r>
          </w:p>
        </w:tc>
        <w:tc>
          <w:tcPr>
            <w:tcW w:w="1432" w:type="dxa"/>
          </w:tcPr>
          <w:p w:rsidR="00055507" w:rsidRPr="001C6ACF"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2016 a 2. – 3. štvrťrok 2018</w:t>
            </w:r>
          </w:p>
        </w:tc>
        <w:tc>
          <w:tcPr>
            <w:tcW w:w="622"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Pozorovanie</w:t>
            </w:r>
          </w:p>
        </w:tc>
        <w:tc>
          <w:tcPr>
            <w:tcW w:w="3031" w:type="dxa"/>
          </w:tcPr>
          <w:p w:rsidR="00055507" w:rsidRPr="001C6ACF" w:rsidRDefault="00055507" w:rsidP="00C268FE">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Zber údajov a informácií o </w:t>
            </w:r>
            <w:r w:rsidR="00C268FE">
              <w:rPr>
                <w:color w:val="373737"/>
                <w:sz w:val="16"/>
              </w:rPr>
              <w:t>podporených subjektoch</w:t>
            </w:r>
            <w:r>
              <w:rPr>
                <w:color w:val="373737"/>
                <w:sz w:val="16"/>
              </w:rPr>
              <w:t xml:space="preserve"> súvisiacich so spoločnými (a doplnkovými) ukazovateľmi vplyvu a v súlade s navrhnutými metódami. </w:t>
            </w:r>
          </w:p>
        </w:tc>
        <w:tc>
          <w:tcPr>
            <w:tcW w:w="1432" w:type="dxa"/>
          </w:tcPr>
          <w:p w:rsidR="00055507" w:rsidRPr="001C6ACF"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Od začiatku PRV do konca roku 2018</w:t>
            </w:r>
          </w:p>
        </w:tc>
        <w:tc>
          <w:tcPr>
            <w:tcW w:w="622"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1C6ACF"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Zber údajov a informácií o </w:t>
            </w:r>
            <w:r w:rsidR="00905ED8">
              <w:rPr>
                <w:color w:val="373737"/>
                <w:sz w:val="16"/>
              </w:rPr>
              <w:t>nepodporených</w:t>
            </w:r>
            <w:r>
              <w:rPr>
                <w:color w:val="373737"/>
                <w:sz w:val="16"/>
              </w:rPr>
              <w:t xml:space="preserve"> subjektoch súvisiacich so spoločnými (a doplnkovými) ukazovateľmi vplyvu a v súlade s navrhnutými metódami. </w:t>
            </w:r>
          </w:p>
        </w:tc>
        <w:tc>
          <w:tcPr>
            <w:tcW w:w="1432"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Od začiatku PRV do konca roku 2018</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Zabezpečenie kvality údajov zozbieraných z databázy operácií a z iných zdrojov (napr. informačná sieť poľnohospodárskeho účtovníctva – FADN, štatistický úrad, monitorovanie životného prostredia atď.). </w:t>
            </w:r>
          </w:p>
        </w:tc>
        <w:tc>
          <w:tcPr>
            <w:tcW w:w="1432" w:type="dxa"/>
          </w:tcPr>
          <w:p w:rsidR="00055507" w:rsidRPr="001C6ACF"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Priebežne</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Analýza</w:t>
            </w: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Vykonanie posúdenia a oddelenie čistej hodnoty ukazovateľov vplyvu v súlade s navrhnutým hodnotiacim </w:t>
            </w:r>
            <w:r w:rsidR="001D70DD">
              <w:rPr>
                <w:color w:val="373737"/>
                <w:sz w:val="16"/>
              </w:rPr>
              <w:t>prístup</w:t>
            </w:r>
            <w:r>
              <w:rPr>
                <w:color w:val="373737"/>
                <w:sz w:val="16"/>
              </w:rPr>
              <w:t xml:space="preserve">om a vybratými metódami hodnotenia. </w:t>
            </w:r>
          </w:p>
        </w:tc>
        <w:tc>
          <w:tcPr>
            <w:tcW w:w="1432" w:type="dxa"/>
          </w:tcPr>
          <w:p w:rsidR="00055507" w:rsidRPr="001C6ACF"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 štvrťrok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Zabezpečenie kvality analýzy. </w:t>
            </w:r>
          </w:p>
        </w:tc>
        <w:tc>
          <w:tcPr>
            <w:tcW w:w="1432"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 štvrťrok 2019</w:t>
            </w:r>
          </w:p>
        </w:tc>
        <w:tc>
          <w:tcPr>
            <w:tcW w:w="622"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Posúdenie</w:t>
            </w: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Výklad zistení hodnotenia z analýzy, vypracovanie posúdení na základe kritérií posudzovania a zodpovedanie hodnotiacich otázok. </w:t>
            </w:r>
          </w:p>
        </w:tc>
        <w:tc>
          <w:tcPr>
            <w:tcW w:w="1432"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 štvrťrok 2019</w:t>
            </w:r>
          </w:p>
        </w:tc>
        <w:tc>
          <w:tcPr>
            <w:tcW w:w="622"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Formulácia záverov spojených s posúdeniami a v prípade potreby formulácia odporúčaní.</w:t>
            </w:r>
          </w:p>
        </w:tc>
        <w:tc>
          <w:tcPr>
            <w:tcW w:w="1432"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1. a 2. štvrťrok 2019</w:t>
            </w:r>
          </w:p>
        </w:tc>
        <w:tc>
          <w:tcPr>
            <w:tcW w:w="622"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Zabezpečenie kvality posúdení. </w:t>
            </w:r>
          </w:p>
        </w:tc>
        <w:tc>
          <w:tcPr>
            <w:tcW w:w="1432"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1. a 2. štvrťrok 2019</w:t>
            </w:r>
          </w:p>
        </w:tc>
        <w:tc>
          <w:tcPr>
            <w:tcW w:w="622"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Podávanie správ</w:t>
            </w:r>
          </w:p>
        </w:tc>
        <w:tc>
          <w:tcPr>
            <w:tcW w:w="3031"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Návrh hodnotiacej správy.</w:t>
            </w:r>
          </w:p>
        </w:tc>
        <w:tc>
          <w:tcPr>
            <w:tcW w:w="1432"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 štvrťrok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Prezentácia zistení z hodnotenia monitorovacieho výboru.</w:t>
            </w:r>
          </w:p>
        </w:tc>
        <w:tc>
          <w:tcPr>
            <w:tcW w:w="1432"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 štvrťrok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Vyplnenie vzoru spoločného systému na spoločné finančné hospodárenie </w:t>
            </w:r>
            <w:r w:rsidR="0027665C">
              <w:rPr>
                <w:color w:val="373737"/>
                <w:sz w:val="16"/>
              </w:rPr>
              <w:t>VSV</w:t>
            </w:r>
            <w:r>
              <w:rPr>
                <w:color w:val="373737"/>
                <w:sz w:val="16"/>
              </w:rPr>
              <w:t xml:space="preserve"> (vrátane kapitol 2 a 7) a predloženie EK.</w:t>
            </w:r>
          </w:p>
        </w:tc>
        <w:tc>
          <w:tcPr>
            <w:tcW w:w="1432"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2. štvrťrok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Zverejnenie </w:t>
            </w:r>
            <w:r w:rsidR="0027665C">
              <w:rPr>
                <w:color w:val="373737"/>
                <w:sz w:val="16"/>
              </w:rPr>
              <w:t>VSV</w:t>
            </w:r>
            <w:r>
              <w:rPr>
                <w:color w:val="373737"/>
                <w:sz w:val="16"/>
              </w:rPr>
              <w:t xml:space="preserve"> a hodnotiacich správ (nielen kapitola 7 </w:t>
            </w:r>
            <w:r w:rsidR="0027665C">
              <w:rPr>
                <w:color w:val="373737"/>
                <w:sz w:val="16"/>
              </w:rPr>
              <w:t>VSV</w:t>
            </w:r>
            <w:r>
              <w:rPr>
                <w:color w:val="373737"/>
                <w:sz w:val="16"/>
              </w:rPr>
              <w:t>) na verejnom webovom sídle.</w:t>
            </w:r>
          </w:p>
        </w:tc>
        <w:tc>
          <w:tcPr>
            <w:tcW w:w="1432" w:type="dxa"/>
          </w:tcPr>
          <w:p w:rsidR="00055507" w:rsidRPr="001C6ACF"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2., 3. a 4. štvrťrok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1C6ACF" w:rsidTr="009119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Príprava zistení z hodnotenia v iných vhodných formátoch (napr. zhrnutie pre občanov) pre rôzne cieľové skupiny.</w:t>
            </w:r>
          </w:p>
        </w:tc>
        <w:tc>
          <w:tcPr>
            <w:tcW w:w="1432" w:type="dxa"/>
          </w:tcPr>
          <w:p w:rsidR="00055507" w:rsidRPr="001C6ACF"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3. a 4. štvrťrok 2019</w:t>
            </w:r>
          </w:p>
        </w:tc>
        <w:tc>
          <w:tcPr>
            <w:tcW w:w="622"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93"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05" w:type="dxa"/>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1C6ACF" w:rsidTr="009119D2">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p>
        </w:tc>
        <w:tc>
          <w:tcPr>
            <w:tcW w:w="3031" w:type="dxa"/>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 xml:space="preserve">Oznámenie zistení z hodnotenia cieľovým skupinám. </w:t>
            </w:r>
          </w:p>
        </w:tc>
        <w:tc>
          <w:tcPr>
            <w:tcW w:w="1432" w:type="dxa"/>
          </w:tcPr>
          <w:p w:rsidR="00055507" w:rsidRPr="001C6ACF"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3. a 4. štvrťrok 2019</w:t>
            </w:r>
          </w:p>
        </w:tc>
        <w:tc>
          <w:tcPr>
            <w:tcW w:w="622"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x</w:t>
            </w:r>
          </w:p>
        </w:tc>
        <w:tc>
          <w:tcPr>
            <w:tcW w:w="593"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05"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49" w:type="dxa"/>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c>
          <w:tcPr>
            <w:tcW w:w="550" w:type="dxa"/>
            <w:tcBorders>
              <w:right w:val="single" w:sz="4" w:space="0" w:color="6E8967"/>
            </w:tcBorders>
            <w:shd w:val="clear" w:color="auto" w:fill="D0DDCC" w:themeFill="accent6" w:themeFillTint="66"/>
          </w:tcPr>
          <w:p w:rsidR="00055507" w:rsidRPr="001C6ACF"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Pr>
                <w:color w:val="373737"/>
                <w:sz w:val="16"/>
              </w:rPr>
              <w:t>y</w:t>
            </w:r>
          </w:p>
        </w:tc>
      </w:tr>
      <w:tr w:rsidR="00810ED5" w:rsidRPr="001C6ACF" w:rsidTr="009119D2">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1C6ACF" w:rsidRDefault="00055507" w:rsidP="00DF22D0">
            <w:pPr>
              <w:spacing w:line="280" w:lineRule="atLeast"/>
              <w:ind w:left="113" w:right="113"/>
              <w:jc w:val="right"/>
              <w:rPr>
                <w:rFonts w:cs="Arial"/>
                <w:b w:val="0"/>
                <w:i/>
                <w:sz w:val="16"/>
                <w:szCs w:val="16"/>
              </w:rPr>
            </w:pPr>
            <w:r>
              <w:rPr>
                <w:i/>
                <w:sz w:val="16"/>
              </w:rPr>
              <w:t>Nadväzujúce kroky</w:t>
            </w:r>
          </w:p>
        </w:tc>
        <w:tc>
          <w:tcPr>
            <w:tcW w:w="3031"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Riešenie záverov a odporúčaní z hodnotenia a kroky nadväzujúce na tieto závery a odporúčania s cieľom zlepšiť prípravu a vykonávanie programu rozvoja vidieka. </w:t>
            </w:r>
          </w:p>
        </w:tc>
        <w:tc>
          <w:tcPr>
            <w:tcW w:w="1432" w:type="dxa"/>
            <w:tcBorders>
              <w:bottom w:val="single" w:sz="4" w:space="0" w:color="6E8967"/>
            </w:tcBorders>
          </w:tcPr>
          <w:p w:rsidR="00055507" w:rsidRPr="001C6ACF"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 xml:space="preserve">2. štvrťrok 2019 a ďalej </w:t>
            </w:r>
          </w:p>
        </w:tc>
        <w:tc>
          <w:tcPr>
            <w:tcW w:w="622" w:type="dxa"/>
            <w:tcBorders>
              <w:bottom w:val="single" w:sz="4" w:space="0" w:color="6E8967"/>
            </w:tcBorders>
            <w:shd w:val="clear" w:color="auto" w:fill="95B89B" w:themeFill="accent4" w:themeFillTint="99"/>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x</w:t>
            </w: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c>
          <w:tcPr>
            <w:tcW w:w="550" w:type="dxa"/>
            <w:tcBorders>
              <w:bottom w:val="single" w:sz="4" w:space="0" w:color="6E8967"/>
              <w:right w:val="single" w:sz="4" w:space="0" w:color="6E8967"/>
            </w:tcBorders>
          </w:tcPr>
          <w:p w:rsidR="00055507" w:rsidRPr="001C6ACF"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Pr>
                <w:color w:val="373737"/>
                <w:sz w:val="16"/>
              </w:rPr>
              <w:t>y</w:t>
            </w:r>
          </w:p>
        </w:tc>
      </w:tr>
    </w:tbl>
    <w:p w:rsidR="00C744FC" w:rsidRPr="001C6ACF" w:rsidRDefault="00C744FC" w:rsidP="001F25E0">
      <w:pPr>
        <w:pStyle w:val="HStandard"/>
      </w:pPr>
    </w:p>
    <w:p w:rsidR="00425D88" w:rsidRPr="001C6ACF" w:rsidRDefault="00425D88" w:rsidP="00425D88">
      <w:pPr>
        <w:pStyle w:val="HStandard"/>
        <w:sectPr w:rsidR="00425D88" w:rsidRPr="001C6ACF" w:rsidSect="00D32538">
          <w:footerReference w:type="default" r:id="rId37"/>
          <w:footerReference w:type="first" r:id="rId38"/>
          <w:pgSz w:w="11906" w:h="16838" w:code="9"/>
          <w:pgMar w:top="1440" w:right="1440" w:bottom="1134" w:left="1440" w:header="567" w:footer="737" w:gutter="0"/>
          <w:pgNumType w:start="1"/>
          <w:cols w:space="708"/>
          <w:titlePg/>
          <w:docGrid w:linePitch="360"/>
        </w:sectPr>
      </w:pPr>
    </w:p>
    <w:p w:rsidR="00425D88" w:rsidRPr="001C6ACF" w:rsidRDefault="001D70DD" w:rsidP="00E93BEA">
      <w:pPr>
        <w:pStyle w:val="HHeading1"/>
        <w:tabs>
          <w:tab w:val="clear" w:pos="474"/>
          <w:tab w:val="clear" w:pos="567"/>
        </w:tabs>
        <w:rPr>
          <w:sz w:val="28"/>
        </w:rPr>
      </w:pPr>
      <w:r>
        <w:rPr>
          <w:sz w:val="28"/>
        </w:rPr>
        <w:lastRenderedPageBreak/>
        <w:t>Prístup</w:t>
      </w:r>
      <w:r w:rsidR="00425D88">
        <w:rPr>
          <w:sz w:val="28"/>
        </w:rPr>
        <w:t xml:space="preserve">y na posudzovanie vplyvov PRV v roku 2019 </w:t>
      </w:r>
      <w:r w:rsidR="00425D88">
        <w:rPr>
          <w:sz w:val="28"/>
        </w:rPr>
        <w:br/>
        <w:t>(ČASŤ II)</w:t>
      </w:r>
    </w:p>
    <w:p w:rsidR="00BB6B80" w:rsidRPr="00571D58" w:rsidRDefault="000B213F" w:rsidP="00B86C6A">
      <w:pPr>
        <w:pStyle w:val="HStandard"/>
      </w:pPr>
      <w:r>
        <w:rPr>
          <w:b/>
          <w:noProof/>
          <w:lang w:bidi="ar-SA"/>
        </w:rPr>
        <mc:AlternateContent>
          <mc:Choice Requires="wps">
            <w:drawing>
              <wp:inline distT="0" distB="0" distL="0" distR="0" wp14:anchorId="32B98344" wp14:editId="11ED9CAD">
                <wp:extent cx="5695950" cy="1590675"/>
                <wp:effectExtent l="0" t="0" r="19050" b="28575"/>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590675"/>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B86C6A" w:rsidRDefault="00470F0E" w:rsidP="00BB6B80">
                            <w:pPr>
                              <w:pStyle w:val="Normal12PTcouleurgris"/>
                              <w:rPr>
                                <w:rStyle w:val="HStandardCar"/>
                                <w:color w:val="292929" w:themeColor="text1" w:themeShade="BF"/>
                              </w:rPr>
                            </w:pPr>
                            <w:r>
                              <w:rPr>
                                <w:rStyle w:val="HStandardCar"/>
                                <w:b/>
                                <w:color w:val="F07E31"/>
                                <w:sz w:val="20"/>
                              </w:rPr>
                              <w:t>ČASŤ II</w:t>
                            </w:r>
                            <w:r>
                              <w:rPr>
                                <w:rStyle w:val="HStandardCar"/>
                                <w:color w:val="F07E31"/>
                                <w:sz w:val="20"/>
                              </w:rPr>
                              <w:t xml:space="preserve"> </w:t>
                            </w:r>
                            <w:r>
                              <w:rPr>
                                <w:rStyle w:val="HStandardCar"/>
                                <w:color w:val="292929" w:themeColor="text1" w:themeShade="BF"/>
                                <w:sz w:val="20"/>
                              </w:rPr>
                              <w:t>nezáväzných usmernení Posudzovanie úspešnosti a vplyvov programov rozvoja vidieka v roku 2019 treba čítať v spojení s </w:t>
                            </w:r>
                            <w:r>
                              <w:rPr>
                                <w:rStyle w:val="HStandardCar"/>
                                <w:b/>
                                <w:color w:val="F07E31"/>
                                <w:sz w:val="20"/>
                              </w:rPr>
                              <w:t>ČASŤOU III</w:t>
                            </w:r>
                            <w:r>
                              <w:rPr>
                                <w:rStyle w:val="HStandardCar"/>
                                <w:color w:val="F07E31"/>
                                <w:sz w:val="20"/>
                              </w:rPr>
                              <w:t xml:space="preserve"> </w:t>
                            </w:r>
                            <w:r>
                              <w:rPr>
                                <w:rStyle w:val="HStandardCar"/>
                                <w:color w:val="292929" w:themeColor="text1" w:themeShade="BF"/>
                                <w:sz w:val="20"/>
                              </w:rPr>
                              <w:t>(informačné listy k téme zodpovedania SHO 22 až 30) a </w:t>
                            </w:r>
                            <w:r>
                              <w:rPr>
                                <w:rStyle w:val="HStandardCar"/>
                                <w:b/>
                                <w:color w:val="F07E31"/>
                                <w:sz w:val="20"/>
                              </w:rPr>
                              <w:t xml:space="preserve">ČASŤOU IV </w:t>
                            </w:r>
                            <w:r>
                              <w:rPr>
                                <w:rStyle w:val="HStandardCar"/>
                                <w:color w:val="292929" w:themeColor="text1" w:themeShade="BF"/>
                                <w:sz w:val="20"/>
                              </w:rPr>
                              <w:t>(technická príloha), ktorá obsahuje doplňujúce informácie pre navrhnuté postupy hodnotenia, príklad doplnkových ukazovateľov, podrobný opis pracovných krokov, vhodnosť navrhovaných postupov hodnotenia, vhodné a nevhodné opatrenia a glosár).</w:t>
                            </w:r>
                          </w:p>
                        </w:txbxContent>
                      </wps:txbx>
                      <wps:bodyPr rot="0" vert="horz" wrap="square" lIns="91440" tIns="45720" rIns="91440" bIns="45720" anchor="ctr" anchorCtr="0" upright="1">
                        <a:noAutofit/>
                      </wps:bodyPr>
                    </wps:wsp>
                  </a:graphicData>
                </a:graphic>
              </wp:inline>
            </w:drawing>
          </mc:Choice>
          <mc:Fallback>
            <w:pict>
              <v:shape w14:anchorId="32B98344" id="Rectangle: Diagonal Corners Rounded 48" o:spid="_x0000_s1029" style="width:448.5pt;height:125.2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w7nwQAAEMOAAAOAAAAZHJzL2Uyb0RvYy54bWysV9tu4zYQfS/QfyD0WCCRqJstI84isZOi&#10;wLZd7LofQEuUJVQiVVKOnS367x1SlENuKrko6gdbNA8PZ+aMhsO7D+e2QS9UyJqztYdvAw9RlvOi&#10;Zoe199vu+WbpIdkTVpCGM7r2Xqn0Ptx//93dqVvRkFe8KahAQMLk6tStvarvu5Xvy7yiLZG3vKMM&#10;JksuWtLDUBz8QpATsLeNHwZB6p+4KDrBcyol/LsdJr17zV+WNO9/LUtJe9SsPbCt199Cf+/Vt39/&#10;R1YHQbqqzo0Z5D9Y0ZKawaYXqi3pCTqK+h1VW+eCS172tzlvfV6WdU61D+ANDr7x5ktFOqp9geDI&#10;7hIm+f/R5r+8fBKoLtZeFiUeYqQFkT5D2Ag7NHSFtjU5cEYatOGCgczoMz+yghYoXqrYnTq5Aoov&#10;3SehvJfdR57/LmHCd2bUQAIG7U8/8wJ2IMee63idS9GqlRAJdNayvF5koece5fBnkmZJloB6Oczh&#10;JAvSRaI298lqXJ4fZf8j5ZqKvHyU/aBrAU9alcJ4tgOWsm1A4h98FCZxjDE6oXEDs2jEYgsboArh&#10;OI0jnJmcuVCGFswwTXNGFniGM7ZgVzlBt4tPM5ypBbvKubDAOAyyLFhORwDe8YsBKqZJlE1HILPA&#10;JqLTzNjWK5gmxbZW11ltyeZYbbWus9qizbHaepkcnEwubKt2NWFt1WYyAduCBSgN4IPSJInSb3Mb&#10;sv1N2llk6Co1wxnaWs1zujrNcdpKzXO6Ks1x2jrNc9oizSNdhSZLT+gqNJkeoa3P1Zc6sjX6x3yG&#10;knoYiyapxjqan5kppPCE4GRYezvIIVVZOy5V3VZ1FYrzDpu6DDg1a8EzBw7CKng0BYdsstlBMwUf&#10;q/47dkgpGw5yKPhikj104BBrBdeFHQLwnj1y4KomKTzUnOEQer8gdhcYb/G0u4m7wPiLpx1O3QXG&#10;Y+y4PPhilBNwpqsmaBdCCkIbtFMpBo3QTqUQtEI7SA59/nWkV8LreMIjOlkHcAXnrzkE1XzLX+iO&#10;a2SvsmCoTzo6mgwMeIM0zIaaXHWwI2L87TSpjTQnkYn7iMuP+zp/pF+n+HGUBHAoGfcG0mQZBvEQ&#10;tdGjwfthejjEtHXWtAqos9dowWDpkBcufkSMvzbShGtIohHgbmDDMY6yILa9MP+obBzFm9LBpc0b&#10;Lumwr5Jbt1IX3bWXb+0U48910+jgNExlA5gdDK+n5E1dqFmVAlIc9ptGoBcCWbZ8fHhcjjngwNq6&#10;h4a/qVsAqXPHGF5RUjyxQm/Tk7oZnsGURhcSaAVNTqqmUDfWf2ZB9rR8WsY3cZg+3cTBdnvz8LyJ&#10;b9JnvEi20Xaz2eK/1GuC41VVFwVlytSxycfxv2uizXVjaM8vbb7jkuP5s/6YDLVgvmuGDjn4Mv5q&#10;73TTrPrkobHuz/uzbs113VA99J4Xr9BFCz7cY+DeBQ8VF189dII7zNqTfxyJoB5qfmJwSchwHENS&#10;9noQJwt1Rgt7Zm/PEJYD1drLe+FBkVeDTQ9jWHTsRH2oYK+hzjL+AP17WasuW9s82GUGcFPRXplb&#10;lboK2WONerv73f8NAAD//wMAUEsDBBQABgAIAAAAIQDQ8nKc3AAAAAUBAAAPAAAAZHJzL2Rvd25y&#10;ZXYueG1sTI/BTsMwEETvSPyDtUjcqNNCoU3jVKiIA+JQEfoBbrxNrMbrYLtt2q9n4QKXkUazmnlb&#10;LAfXiSOGaD0pGI8yEEi1N5YaBZvP17sZiJg0Gd15QgVnjLAsr68KnRt/og88VqkRXEIx1wralPpc&#10;yli36HQc+R6Js50PTie2oZEm6BOXu05OsuxROm2JF1rd46rFel8dnIJ5wPHLevV2dsPX+/3+obps&#10;rL0odXszPC9AJBzS3zH84DM6lMy09QcyUXQK+JH0q5zN5k9stwom02wKsizkf/ryGwAA//8DAFBL&#10;AQItABQABgAIAAAAIQC2gziS/gAAAOEBAAATAAAAAAAAAAAAAAAAAAAAAABbQ29udGVudF9UeXBl&#10;c10ueG1sUEsBAi0AFAAGAAgAAAAhADj9If/WAAAAlAEAAAsAAAAAAAAAAAAAAAAALwEAAF9yZWxz&#10;Ly5yZWxzUEsBAi0AFAAGAAgAAAAhAIzP3DufBAAAQw4AAA4AAAAAAAAAAAAAAAAALgIAAGRycy9l&#10;Mm9Eb2MueG1sUEsBAi0AFAAGAAgAAAAhANDycpzcAAAABQEAAA8AAAAAAAAAAAAAAAAA+QYAAGRy&#10;cy9kb3ducmV2LnhtbFBLBQYAAAAABAAEAPMAAAACCA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14311;5441539,1590675;0,1590675;0,1590675;0,276364;254411,0" o:connectangles="0,0,0,0,0,0,0,0,0" textboxrect="0,0,5695950,1464319"/>
                <v:textbox>
                  <w:txbxContent>
                    <w:p w:rsidR="00470F0E" w:rsidRPr="00B86C6A" w:rsidRDefault="00470F0E" w:rsidP="00BB6B80">
                      <w:pPr>
                        <w:pStyle w:val="Normal12PTcouleurgris"/>
                        <w:rPr>
                          <w:rStyle w:val="HStandardCar"/>
                          <w:color w:val="292929" w:themeColor="text1" w:themeShade="BF"/>
                        </w:rPr>
                      </w:pPr>
                      <w:r>
                        <w:rPr>
                          <w:rStyle w:val="HStandardCar"/>
                          <w:b/>
                          <w:color w:val="F07E31"/>
                          <w:sz w:val="20"/>
                        </w:rPr>
                        <w:t>ČASŤ II</w:t>
                      </w:r>
                      <w:r>
                        <w:rPr>
                          <w:rStyle w:val="HStandardCar"/>
                          <w:color w:val="F07E31"/>
                          <w:sz w:val="20"/>
                        </w:rPr>
                        <w:t xml:space="preserve"> </w:t>
                      </w:r>
                      <w:r>
                        <w:rPr>
                          <w:rStyle w:val="HStandardCar"/>
                          <w:color w:val="292929" w:themeColor="text1" w:themeShade="BF"/>
                          <w:sz w:val="20"/>
                        </w:rPr>
                        <w:t>nezáväzných usmernení Posudzovanie úspešnosti a vplyvov programov rozvoja vidieka v roku 2019 treba čítať v spojení s </w:t>
                      </w:r>
                      <w:r>
                        <w:rPr>
                          <w:rStyle w:val="HStandardCar"/>
                          <w:b/>
                          <w:color w:val="F07E31"/>
                          <w:sz w:val="20"/>
                        </w:rPr>
                        <w:t>ČASŤOU III</w:t>
                      </w:r>
                      <w:r>
                        <w:rPr>
                          <w:rStyle w:val="HStandardCar"/>
                          <w:color w:val="F07E31"/>
                          <w:sz w:val="20"/>
                        </w:rPr>
                        <w:t xml:space="preserve"> </w:t>
                      </w:r>
                      <w:r>
                        <w:rPr>
                          <w:rStyle w:val="HStandardCar"/>
                          <w:color w:val="292929" w:themeColor="text1" w:themeShade="BF"/>
                          <w:sz w:val="20"/>
                        </w:rPr>
                        <w:t>(informačné listy k téme zodpovedania SHO 22 až 30) a </w:t>
                      </w:r>
                      <w:r>
                        <w:rPr>
                          <w:rStyle w:val="HStandardCar"/>
                          <w:b/>
                          <w:color w:val="F07E31"/>
                          <w:sz w:val="20"/>
                        </w:rPr>
                        <w:t xml:space="preserve">ČASŤOU IV </w:t>
                      </w:r>
                      <w:r>
                        <w:rPr>
                          <w:rStyle w:val="HStandardCar"/>
                          <w:color w:val="292929" w:themeColor="text1" w:themeShade="BF"/>
                          <w:sz w:val="20"/>
                        </w:rPr>
                        <w:t>(technická príloha), ktorá obsahuje doplňujúce informácie pre navrhnuté postupy hodnotenia, príklad doplnkových ukazovateľov, podrobný opis pracovných krokov, vhodnosť navrhovaných postupov hodnotenia, vhodné a nevhodné opatrenia a glosár).</w:t>
                      </w:r>
                    </w:p>
                  </w:txbxContent>
                </v:textbox>
                <w10:anchorlock/>
              </v:shape>
            </w:pict>
          </mc:Fallback>
        </mc:AlternateContent>
      </w:r>
    </w:p>
    <w:p w:rsidR="00425D88" w:rsidRPr="007645B4" w:rsidRDefault="00425D88" w:rsidP="00002482">
      <w:pPr>
        <w:pStyle w:val="HHeading2"/>
        <w:tabs>
          <w:tab w:val="clear" w:pos="360"/>
          <w:tab w:val="clear" w:pos="567"/>
        </w:tabs>
      </w:pPr>
      <w:r>
        <w:t xml:space="preserve">Výber vhodných hodnotiacich </w:t>
      </w:r>
      <w:r w:rsidR="001D70DD">
        <w:t>prístup</w:t>
      </w:r>
      <w:r>
        <w:t>ov na posudzovanie vplyvov PRV</w:t>
      </w:r>
    </w:p>
    <w:p w:rsidR="00E93BEA" w:rsidRPr="001C6ACF" w:rsidRDefault="00E93BEA" w:rsidP="00E93BEA">
      <w:pPr>
        <w:pStyle w:val="HStandard"/>
        <w:rPr>
          <w:rFonts w:cs="Arial"/>
        </w:rPr>
      </w:pPr>
      <w:r>
        <w:t xml:space="preserve">Posúdenie a oddelenie čistej hodnoty spoločných ukazovateľov vplyvu druhého piliera SPP v roku 2019 je náročná úloha a vyplývajú z nej </w:t>
      </w:r>
      <w:r>
        <w:rPr>
          <w:b/>
        </w:rPr>
        <w:t>viaceré otázky</w:t>
      </w:r>
      <w:r>
        <w:t xml:space="preserve">: </w:t>
      </w:r>
    </w:p>
    <w:p w:rsidR="00E93BEA" w:rsidRPr="001C6ACF" w:rsidRDefault="00E93BEA" w:rsidP="00E93BEA">
      <w:pPr>
        <w:pStyle w:val="Hlistbullet"/>
      </w:pPr>
      <w:r>
        <w:t xml:space="preserve">Ako možno zmeny pozorované vo vidieckych oblastiach pripísať intervenciám PRV a ktoré hodnotiace </w:t>
      </w:r>
      <w:r w:rsidR="001D70DD">
        <w:t>prístup</w:t>
      </w:r>
      <w:r>
        <w:t xml:space="preserve">y by sa mali použiť na tento účel? </w:t>
      </w:r>
    </w:p>
    <w:p w:rsidR="00E93BEA" w:rsidRPr="001C6ACF" w:rsidRDefault="00E93BEA" w:rsidP="00E93BEA">
      <w:pPr>
        <w:pStyle w:val="Hlistbullet"/>
      </w:pPr>
      <w:r>
        <w:t xml:space="preserve">Ktoré údaje z existujúcich zdrojov (napr. monitorovanie, databázy EÚ, vnútroštátne a regionálne databázy) by sa mali použiť ako podklad pre navrhnutý hodnotiaci </w:t>
      </w:r>
      <w:r w:rsidR="001D70DD">
        <w:t>prístup</w:t>
      </w:r>
      <w:r>
        <w:t xml:space="preserve">? </w:t>
      </w:r>
    </w:p>
    <w:p w:rsidR="00E93BEA" w:rsidRPr="001C6ACF" w:rsidRDefault="00E93BEA" w:rsidP="00E93BEA">
      <w:pPr>
        <w:pStyle w:val="Hlistbullet"/>
      </w:pPr>
      <w:r>
        <w:t xml:space="preserve">Ako koordinovať rôznych poskytovateľov údajov? </w:t>
      </w:r>
    </w:p>
    <w:p w:rsidR="00E93BEA" w:rsidRPr="001C6ACF" w:rsidRDefault="00E93BEA" w:rsidP="00E93BEA">
      <w:pPr>
        <w:pStyle w:val="Hlistbullet"/>
      </w:pPr>
      <w:r>
        <w:t xml:space="preserve">Ako možno zabezpečiť kvalitu údajov a odstrániť ich nedostatky? </w:t>
      </w:r>
    </w:p>
    <w:p w:rsidR="009B0B1E" w:rsidRPr="001C6ACF" w:rsidRDefault="009B0B1E" w:rsidP="00B63445">
      <w:pPr>
        <w:pStyle w:val="HHeading3"/>
      </w:pPr>
      <w:r>
        <w:t xml:space="preserve">Ako možno na základe logických modelov určiť, ktoré hodnotiace </w:t>
      </w:r>
      <w:r w:rsidR="001D70DD">
        <w:t>prístup</w:t>
      </w:r>
      <w:r>
        <w:t>y sú vhodné?</w:t>
      </w:r>
    </w:p>
    <w:p w:rsidR="009B37D9" w:rsidRPr="001C6ACF" w:rsidRDefault="000B213F" w:rsidP="009B37D9">
      <w:pPr>
        <w:pStyle w:val="HStandard"/>
      </w:pPr>
      <w:r>
        <w:rPr>
          <w:b/>
          <w:i/>
          <w:noProof/>
          <w:color w:val="F07E31" w:themeColor="accent1"/>
          <w:lang w:bidi="ar-SA"/>
        </w:rPr>
        <mc:AlternateContent>
          <mc:Choice Requires="wps">
            <w:drawing>
              <wp:anchor distT="0" distB="0" distL="114300" distR="114300" simplePos="0" relativeHeight="251728384" behindDoc="1" locked="0" layoutInCell="1" allowOverlap="1" wp14:anchorId="63A05713" wp14:editId="19395B45">
                <wp:simplePos x="0" y="0"/>
                <wp:positionH relativeFrom="margin">
                  <wp:align>right</wp:align>
                </wp:positionH>
                <wp:positionV relativeFrom="paragraph">
                  <wp:posOffset>35560</wp:posOffset>
                </wp:positionV>
                <wp:extent cx="2447925" cy="2047875"/>
                <wp:effectExtent l="0" t="0" r="28575" b="28575"/>
                <wp:wrapTight wrapText="bothSides">
                  <wp:wrapPolygon edited="0">
                    <wp:start x="672" y="0"/>
                    <wp:lineTo x="0" y="804"/>
                    <wp:lineTo x="0" y="21700"/>
                    <wp:lineTo x="21180" y="21700"/>
                    <wp:lineTo x="21684" y="20897"/>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47875"/>
                        </a:xfrm>
                        <a:prstGeom prst="round2DiagRect">
                          <a:avLst>
                            <a:gd name="adj1" fmla="val 8733"/>
                            <a:gd name="adj2" fmla="val 0"/>
                          </a:avLst>
                        </a:prstGeom>
                        <a:noFill/>
                        <a:ln w="25400" cap="flat" cmpd="sng" algn="ctr">
                          <a:solidFill>
                            <a:srgbClr val="BE4A35"/>
                          </a:solidFill>
                          <a:prstDash val="solid"/>
                        </a:ln>
                        <a:effectLst/>
                      </wps:spPr>
                      <wps:txbx>
                        <w:txbxContent>
                          <w:p w:rsidR="00470F0E" w:rsidRPr="00C545E7" w:rsidRDefault="00470F0E" w:rsidP="005166F3">
                            <w:pPr>
                              <w:pStyle w:val="HHeading4"/>
                              <w:spacing w:before="0"/>
                              <w:jc w:val="both"/>
                              <w:rPr>
                                <w:i/>
                                <w:color w:val="F07E31" w:themeColor="accent1"/>
                                <w:sz w:val="18"/>
                              </w:rPr>
                            </w:pPr>
                            <w:r>
                              <w:rPr>
                                <w:noProof/>
                                <w:color w:val="373737"/>
                                <w:lang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Logické modely </w:t>
                            </w:r>
                            <w:r>
                              <w:rPr>
                                <w:b w:val="0"/>
                                <w:color w:val="373737" w:themeColor="text1"/>
                              </w:rPr>
                              <w:t>sú rozhodovacie stromy, ktoré môžu zainteresovaným stranám pomôcť navrhnúť (kontrafaktuálny scenár) hodnotiaci postup a vybrať najvhodnejšie metódy zodpovedajúce dostupným údajom a informáciám.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A05713" id="_x0000_s1030" style="position:absolute;left:0;text-align:left;margin-left:141.55pt;margin-top:2.8pt;width:192.75pt;height:161.25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tFqwIAAFAFAAAOAAAAZHJzL2Uyb0RvYy54bWysVMFu2zAMvQ/YPwi6r05cZ2mCOkWWrMOA&#10;oC3aDj0zsux4k0VNUuJkXz9KdrJ022nYRaBE6onvkdT1zb5RbCetq1HnfHgx4ExqgUWtq5x/eb59&#10;d8WZ86ALUKhlzg/S8ZvZ2zfXrZnKFDeoCmkZgWg3bU3ON96baZI4sZENuAs0UpOzRNuAp62tksJC&#10;S+iNStLB4H3Soi2MRSGdo9Nl5+SziF+WUvj7snTSM5Vzys3H1cZ1HdZkdg3TyoLZ1KJPA/4hiwZq&#10;TY+eoJbggW1t/QdUUwuLDkt/IbBJsCxrISMHYjMc/MbmaQNGRi4kjjMnmdz/gxV3uwfL6iLnk8tL&#10;zjQ0VKRHkg10peSULWuoUINiC7SayswecasLWbBJ1K41bkoQT+bBBvbOrFB8cyRq8soTNq6P2Ze2&#10;CbHEne1jIQ6nQsi9Z4IO0ywbT9IRZ4J86SAbX41HoVQJTI/XjXX+k8SGBSPnNqSVhmxD8rEUsFs5&#10;H2tS9Lyg+DrkrGwUlXhHnK7GxLnrgLOQ9DwksqRnezCyjg8HZI23tVIRQWnWUq6jbEBtJoBauVTg&#10;yWwMiet0xRmoimZEeBvTc6jqIlyPwtlqvVCWUVY5//Axm18e+b4KC28vwW26uOjqZVE6wMjY8UT7&#10;WIFO9CC/36/3sc5ZuBFO1lgcqPYWu6FwRtzWhL8C5x/AkkREhCbb39NSKiR22FucbdD++Nt5iKfm&#10;JC9nLU0VMf++BSs5U581te1kmGVhDOMmG41T2thzz/rco7fNAkkQKhplF80Q79XRLC02L/QBzMOr&#10;5AIt6O1O436z8N200xci5Hwew2j0DPiVfjIigAflgrLP+xewpm8oT714h8cJ7BsgyHoe2/XAfOux&#10;rE+ad7r2I0BjG+/0X0z4F873MerXRzj7CQAA//8DAFBLAwQUAAYACAAAACEAcYeTEN0AAAAGAQAA&#10;DwAAAGRycy9kb3ducmV2LnhtbEyPwU7DMBBE70j8g7VIXBB1GpQS0jgVQuJUQErbD3DjbRJhr6PY&#10;bcLfs5zobUezO/O23MzOiguOofekYLlIQCA13vTUKjjs3x9zECFqMtp6QgU/GGBT3d6UujB+ohov&#10;u9gKDqFQaAVdjEMhZWg6dDos/IDE3smPTkeWYyvNqCcOd1amSbKSTvfEDZ0e8K3D5nt3dozRPkzb&#10;l9Qe+n5v61h/Pn8MX1ul7u/m1zWIiHP8X4Y/fL6BipmO/kwmCKuAH4kKshUINp/yLANx5CHNlyCr&#10;Ul7jV78AAAD//wMAUEsBAi0AFAAGAAgAAAAhALaDOJL+AAAA4QEAABMAAAAAAAAAAAAAAAAAAAAA&#10;AFtDb250ZW50X1R5cGVzXS54bWxQSwECLQAUAAYACAAAACEAOP0h/9YAAACUAQAACwAAAAAAAAAA&#10;AAAAAAAvAQAAX3JlbHMvLnJlbHNQSwECLQAUAAYACAAAACEAGfI7RasCAABQBQAADgAAAAAAAAAA&#10;AAAAAAAuAgAAZHJzL2Uyb0RvYy54bWxQSwECLQAUAAYACAAAACEAcYeTEN0AAAAGAQAADwAAAAAA&#10;AAAAAAAAAAAFBQAAZHJzL2Rvd25yZXYueG1sUEsFBgAAAAAEAAQA8wAAAA8GAAAAAA==&#10;" adj="-11796480,,5400" path="m178841,l2447925,r,l2447925,1869034v,98771,-80070,178841,-178841,178841l,2047875r,l,178841c,80070,80070,,178841,xe" filled="f" strokecolor="#be4a35" strokeweight="2pt">
                <v:stroke joinstyle="miter"/>
                <v:formulas/>
                <v:path arrowok="t" o:connecttype="custom" o:connectlocs="178841,0;2447925,0;2447925,0;2447925,1869034;2269084,2047875;0,2047875;0,2047875;0,178841;178841,0" o:connectangles="0,0,0,0,0,0,0,0,0" textboxrect="0,0,2447925,2047875"/>
                <v:textbox>
                  <w:txbxContent>
                    <w:p w:rsidR="00470F0E" w:rsidRPr="00C545E7" w:rsidRDefault="00470F0E" w:rsidP="005166F3">
                      <w:pPr>
                        <w:pStyle w:val="HHeading4"/>
                        <w:spacing w:before="0"/>
                        <w:jc w:val="both"/>
                        <w:rPr>
                          <w:i/>
                          <w:color w:val="F07E31" w:themeColor="accent1"/>
                          <w:sz w:val="18"/>
                        </w:rPr>
                      </w:pPr>
                      <w:r>
                        <w:rPr>
                          <w:noProof/>
                          <w:color w:val="373737"/>
                          <w:lang w:bidi="ar-SA"/>
                        </w:rPr>
                        <w:drawing>
                          <wp:inline distT="0" distB="0" distL="0" distR="0" wp14:anchorId="3EBD10A7" wp14:editId="7634A0C5">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Logické modely </w:t>
                      </w:r>
                      <w:r>
                        <w:rPr>
                          <w:b w:val="0"/>
                          <w:color w:val="373737" w:themeColor="text1"/>
                        </w:rPr>
                        <w:t>sú rozhodovacie stromy, ktoré môžu zainteresovaným stranám pomôcť navrhnúť (kontrafaktuálny scenár) hodnotiaci postup a vybrať najvhodnejšie metódy zodpovedajúce dostupným údajom a informáciám.</w:t>
                      </w:r>
                    </w:p>
                  </w:txbxContent>
                </v:textbox>
                <w10:wrap type="tight" anchorx="margin"/>
              </v:shape>
            </w:pict>
          </mc:Fallback>
        </mc:AlternateContent>
      </w:r>
      <w:r>
        <w:t xml:space="preserve">Logické modely umožňujú hodnotiteľovi nájsť nové </w:t>
      </w:r>
      <w:r w:rsidR="001D70DD">
        <w:t>prístup</w:t>
      </w:r>
      <w:r>
        <w:t xml:space="preserve">y, lepšie plánovať zber údajov a prísť na metódy, ktoré sú menej závislé na dostupnosti údajov (napr. kvalitatívne metódy). Logické modely môžu takisto pomôcť riadiacim orgánom lepšie plánovať a predvídať výsledky hodnotenia v danom kontexte (údaje, rozpočet na hodnotenie a časový harmonogram). </w:t>
      </w:r>
    </w:p>
    <w:p w:rsidR="00FF13C7" w:rsidRPr="001C6ACF" w:rsidRDefault="00FF13C7" w:rsidP="00FF13C7">
      <w:pPr>
        <w:pStyle w:val="HStandard"/>
        <w:spacing w:after="0"/>
        <w:rPr>
          <w:rFonts w:cs="Arial"/>
          <w:color w:val="373737"/>
          <w:szCs w:val="18"/>
        </w:rPr>
      </w:pPr>
      <w:r>
        <w:rPr>
          <w:color w:val="373737"/>
        </w:rPr>
        <w:t xml:space="preserve">Logické modely poskytujú usmernenie vo forme postupných krokov pre návrh hodnotiacich </w:t>
      </w:r>
      <w:r w:rsidR="001D70DD">
        <w:rPr>
          <w:color w:val="373737"/>
        </w:rPr>
        <w:t>prístup</w:t>
      </w:r>
      <w:r>
        <w:rPr>
          <w:color w:val="373737"/>
        </w:rPr>
        <w:t>ov na lepšie pochopenie:</w:t>
      </w:r>
    </w:p>
    <w:p w:rsidR="00FF13C7" w:rsidRPr="001C6ACF" w:rsidRDefault="00FF13C7" w:rsidP="00FF13C7">
      <w:pPr>
        <w:pStyle w:val="Hlistbullet"/>
        <w:spacing w:before="0" w:after="0" w:line="280" w:lineRule="atLeast"/>
        <w:ind w:left="502"/>
        <w:rPr>
          <w:rFonts w:cs="Arial"/>
          <w:color w:val="373737"/>
          <w:szCs w:val="18"/>
        </w:rPr>
      </w:pPr>
      <w:r>
        <w:rPr>
          <w:b/>
          <w:color w:val="373737"/>
        </w:rPr>
        <w:t>MOŽNOSTÍ:</w:t>
      </w:r>
      <w:r>
        <w:rPr>
          <w:color w:val="373737"/>
        </w:rPr>
        <w:t xml:space="preserve"> aké kombinácie údajov/ukazovateľov/metód sú dostupné a vhodné na zodpovedanie hodnotiacich otázok. </w:t>
      </w:r>
    </w:p>
    <w:p w:rsidR="00FF13C7" w:rsidRPr="001C6ACF" w:rsidRDefault="00FF13C7" w:rsidP="00FF13C7">
      <w:pPr>
        <w:pStyle w:val="Hlistbullet"/>
        <w:spacing w:before="0" w:after="0" w:line="280" w:lineRule="atLeast"/>
        <w:ind w:left="502"/>
        <w:rPr>
          <w:color w:val="373737"/>
          <w:sz w:val="22"/>
        </w:rPr>
      </w:pPr>
      <w:r>
        <w:rPr>
          <w:b/>
          <w:color w:val="373737"/>
        </w:rPr>
        <w:t>POŽIADAVIEK:</w:t>
      </w:r>
      <w:r>
        <w:rPr>
          <w:color w:val="373737"/>
        </w:rPr>
        <w:t xml:space="preserve"> aké údaje/ukazovatele/metódy/</w:t>
      </w:r>
      <w:r w:rsidR="001D70DD">
        <w:rPr>
          <w:color w:val="373737"/>
        </w:rPr>
        <w:t>prístup</w:t>
      </w:r>
      <w:r>
        <w:rPr>
          <w:color w:val="373737"/>
        </w:rPr>
        <w:t>y sa vyžadujú na posúdenie čistých vplyvov a zodpovedanie hodnotiacej otázky.</w:t>
      </w:r>
    </w:p>
    <w:p w:rsidR="00FF13C7" w:rsidRPr="001C6ACF" w:rsidRDefault="00FF13C7" w:rsidP="00FF13C7">
      <w:pPr>
        <w:pStyle w:val="Hlistbullet"/>
        <w:spacing w:before="0" w:after="0" w:line="280" w:lineRule="atLeast"/>
        <w:ind w:left="502"/>
        <w:rPr>
          <w:color w:val="373737"/>
          <w:sz w:val="22"/>
        </w:rPr>
      </w:pPr>
      <w:r>
        <w:rPr>
          <w:b/>
          <w:color w:val="373737"/>
        </w:rPr>
        <w:t>DÔSLEDKOV:</w:t>
      </w:r>
      <w:r>
        <w:rPr>
          <w:color w:val="373737"/>
        </w:rPr>
        <w:t xml:space="preserve"> ako sa rozhodnutia v rôznych fázach prejavujú na nákladoch a efektívnosti hodnotenia.</w:t>
      </w:r>
    </w:p>
    <w:p w:rsidR="00E93BEA" w:rsidRPr="00571D58" w:rsidRDefault="009B37D9" w:rsidP="009B37D9">
      <w:pPr>
        <w:pStyle w:val="HStandard"/>
      </w:pPr>
      <w:r>
        <w:t xml:space="preserve">Logické modely predstavené v týchto usmerneniach sa riadia </w:t>
      </w:r>
      <w:r w:rsidR="001D70DD">
        <w:t>prístup</w:t>
      </w:r>
      <w:r>
        <w:t xml:space="preserve">om, ktorý bol vypracovaný v rámci projektu </w:t>
      </w:r>
      <w:hyperlink r:id="rId40">
        <w:r>
          <w:rPr>
            <w:rStyle w:val="Hyperlink"/>
            <w:u w:val="none"/>
          </w:rPr>
          <w:t>ENVIEVAL</w:t>
        </w:r>
      </w:hyperlink>
      <w:r>
        <w:rPr>
          <w:rStyle w:val="FootnoteReference"/>
        </w:rPr>
        <w:footnoteReference w:id="26"/>
      </w:r>
      <w:r>
        <w:t xml:space="preserve"> v </w:t>
      </w:r>
      <w:hyperlink r:id="rId41">
        <w:r>
          <w:rPr>
            <w:rStyle w:val="Hyperlink"/>
            <w:i/>
            <w:u w:val="none"/>
          </w:rPr>
          <w:t>Metodickej príručke na hodnotenie vplyvu PRV na životné prostredie.</w:t>
        </w:r>
        <w:r>
          <w:rPr>
            <w:rStyle w:val="Hyperlink"/>
            <w:u w:val="none"/>
          </w:rPr>
          <w:t xml:space="preserve"> </w:t>
        </w:r>
      </w:hyperlink>
      <w:r>
        <w:t xml:space="preserve">V rámci </w:t>
      </w:r>
      <w:r>
        <w:lastRenderedPageBreak/>
        <w:t>projektu ENVIEVAL sa vypracovali a otestovali tieto zlepšené nástroje na hodnotenie vplyvu opatrení a programov rozvoja vidieka na životné prostredie v členských štátoch EÚ</w:t>
      </w:r>
      <w:r>
        <w:rPr>
          <w:rStyle w:val="FootnoteReference"/>
        </w:rPr>
        <w:footnoteReference w:id="27"/>
      </w:r>
      <w:r>
        <w:t xml:space="preserve">. </w:t>
      </w:r>
    </w:p>
    <w:p w:rsidR="00AE216A" w:rsidRPr="00FB6C06" w:rsidRDefault="00AE216A" w:rsidP="00AE216A">
      <w:pPr>
        <w:pStyle w:val="HHeading4"/>
      </w:pPr>
      <w:r>
        <w:t>Vrstvy logického modelu</w:t>
      </w:r>
    </w:p>
    <w:p w:rsidR="00AE216A" w:rsidRPr="001C6ACF" w:rsidRDefault="00AE216A" w:rsidP="00AE216A">
      <w:pPr>
        <w:pStyle w:val="HStandard"/>
        <w:rPr>
          <w:rFonts w:cs="Arial"/>
        </w:rPr>
      </w:pPr>
      <w:r>
        <w:t xml:space="preserve">Prehľad </w:t>
      </w:r>
      <w:r>
        <w:rPr>
          <w:b/>
        </w:rPr>
        <w:t>štyroch vrstiev logického modelu</w:t>
      </w:r>
      <w:r>
        <w:t xml:space="preserve"> je zobrazený na obrázku 2. Na tomto obrázku sa v </w:t>
      </w:r>
      <w:r>
        <w:rPr>
          <w:b/>
        </w:rPr>
        <w:t>prvej vrstve</w:t>
      </w:r>
      <w:r>
        <w:t xml:space="preserve"> uvádza, ako sa má </w:t>
      </w:r>
      <w:r w:rsidR="0027665C">
        <w:t>vytvoriť</w:t>
      </w:r>
      <w:r>
        <w:t xml:space="preserve"> rámec na posudzovanie. Predpokladom je pochopenie umiestnenia vplyvov v intervenčnej logike, dostupných ukazovateľov a jednotky posudzovania. V </w:t>
      </w:r>
      <w:r>
        <w:rPr>
          <w:b/>
        </w:rPr>
        <w:t>druhej vrstve</w:t>
      </w:r>
      <w:r>
        <w:t xml:space="preserve"> sa určujú možnosti kontrafaktuálneho scenára, pričom sa zohľadňujú obmedzujúce faktory. V </w:t>
      </w:r>
      <w:r>
        <w:rPr>
          <w:b/>
        </w:rPr>
        <w:t>tretej vrstve</w:t>
      </w:r>
      <w:r>
        <w:t xml:space="preserve"> sa upravujú možnosti na mikroúrovni a makroúrovni s cieľom posúdiť čisté vplyvy. Vo </w:t>
      </w:r>
      <w:r>
        <w:rPr>
          <w:b/>
        </w:rPr>
        <w:t>štvrtej vrstve</w:t>
      </w:r>
      <w:r>
        <w:t xml:space="preserve"> sa napokon kontroluje konzistentnosť analýzy mikroúrovne a makroúrovne s cieľom overiť zistenia. </w:t>
      </w:r>
    </w:p>
    <w:p w:rsidR="00E93BEA" w:rsidRPr="001C6ACF" w:rsidRDefault="00E93BEA" w:rsidP="00E52947">
      <w:pPr>
        <w:pStyle w:val="HHeadingfigures"/>
        <w:tabs>
          <w:tab w:val="clear" w:pos="2666"/>
        </w:tabs>
      </w:pPr>
      <w:r>
        <w:t>Zjednodušený diagram vrstiev logického modelu</w:t>
      </w:r>
    </w:p>
    <w:p w:rsidR="00E93BEA" w:rsidRPr="00571D58" w:rsidRDefault="00470F0E" w:rsidP="00E93BEA">
      <w:pPr>
        <w:pStyle w:val="HStandard"/>
        <w:jc w:val="center"/>
      </w:pPr>
      <w:r>
        <w:rPr>
          <w:noProof/>
          <w:lang w:bidi="ar-SA"/>
        </w:rPr>
        <w:drawing>
          <wp:inline distT="0" distB="0" distL="0" distR="0">
            <wp:extent cx="5731510" cy="3427766"/>
            <wp:effectExtent l="0" t="0" r="2540" b="1270"/>
            <wp:docPr id="27" name="Picture 27" descr="\\NET1.cec.eu.int\homes\102\mazanja\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1.cec.eu.int\homes\102\mazanja\Desktop\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427766"/>
                    </a:xfrm>
                    <a:prstGeom prst="rect">
                      <a:avLst/>
                    </a:prstGeom>
                    <a:noFill/>
                    <a:ln>
                      <a:noFill/>
                    </a:ln>
                  </pic:spPr>
                </pic:pic>
              </a:graphicData>
            </a:graphic>
          </wp:inline>
        </w:drawing>
      </w:r>
    </w:p>
    <w:p w:rsidR="004F365B" w:rsidRPr="001C6ACF" w:rsidRDefault="004F365B" w:rsidP="004F365B">
      <w:pPr>
        <w:pStyle w:val="HSource"/>
        <w:rPr>
          <w:i w:val="0"/>
        </w:rPr>
      </w:pPr>
      <w:r>
        <w:t xml:space="preserve">Zdroj: Európske poradenské centrum pre hodnotenie v oblasti rozvoja vidieka (2018), upravené z projektu ENVIEVAL (2015): Metodická príručka na hodnotenie vplyvu PRV na životné prostredie: Správa D9.5. Brusel: Európska komisia. </w:t>
      </w:r>
    </w:p>
    <w:p w:rsidR="00B52943" w:rsidRDefault="00B52943" w:rsidP="00AE216A">
      <w:pPr>
        <w:pStyle w:val="HStandard"/>
        <w:rPr>
          <w:rFonts w:cs="Arial"/>
        </w:rPr>
      </w:pPr>
    </w:p>
    <w:p w:rsidR="00AE216A" w:rsidRPr="001C6ACF" w:rsidRDefault="00AE216A" w:rsidP="00AE216A">
      <w:pPr>
        <w:pStyle w:val="HStandard"/>
        <w:rPr>
          <w:rFonts w:cs="Arial"/>
        </w:rPr>
      </w:pPr>
      <w:r>
        <w:t xml:space="preserve">Vrstvy logického modelu sa používajú ako referenčný bod na opis navrhnutých hodnotiacich </w:t>
      </w:r>
      <w:r w:rsidR="001D70DD">
        <w:t>prístup</w:t>
      </w:r>
      <w:r>
        <w:t xml:space="preserve">ov pre ukazovatele vplyvu SPP (pozri kapitoly 2.2 až 2.9). </w:t>
      </w:r>
    </w:p>
    <w:p w:rsidR="006B44E5" w:rsidRPr="001C6ACF" w:rsidRDefault="006B44E5">
      <w:pPr>
        <w:spacing w:before="0" w:after="0" w:line="240" w:lineRule="auto"/>
        <w:jc w:val="left"/>
        <w:rPr>
          <w:b/>
          <w:color w:val="57825E" w:themeColor="accent4"/>
          <w:sz w:val="20"/>
          <w:szCs w:val="20"/>
        </w:rPr>
      </w:pPr>
      <w:r>
        <w:br w:type="page"/>
      </w:r>
    </w:p>
    <w:p w:rsidR="00E93BEA" w:rsidRPr="001C6ACF" w:rsidRDefault="0027665C" w:rsidP="00E93BEA">
      <w:pPr>
        <w:pStyle w:val="HHeading4"/>
      </w:pPr>
      <w:r>
        <w:lastRenderedPageBreak/>
        <w:t>Vytvorenie</w:t>
      </w:r>
      <w:r w:rsidR="00E93BEA">
        <w:t xml:space="preserve"> rámca na posudzovanie (prvá vrstva)</w:t>
      </w:r>
    </w:p>
    <w:p w:rsidR="00E93BEA" w:rsidRPr="007645B4" w:rsidRDefault="000B213F" w:rsidP="00E93BEA">
      <w:pPr>
        <w:pStyle w:val="HStandard"/>
        <w:rPr>
          <w:rFonts w:cs="Arial"/>
        </w:rPr>
      </w:pPr>
      <w:r>
        <w:rPr>
          <w:b/>
          <w:i/>
          <w:noProof/>
          <w:color w:val="F07E31" w:themeColor="accent1"/>
          <w:lang w:bidi="ar-SA"/>
        </w:rPr>
        <mc:AlternateContent>
          <mc:Choice Requires="wps">
            <w:drawing>
              <wp:anchor distT="0" distB="0" distL="114300" distR="114300" simplePos="0" relativeHeight="251729408" behindDoc="0" locked="0" layoutInCell="1" allowOverlap="1" wp14:anchorId="70CD87F6" wp14:editId="17E5EAD2">
                <wp:simplePos x="0" y="0"/>
                <wp:positionH relativeFrom="margin">
                  <wp:posOffset>-38100</wp:posOffset>
                </wp:positionH>
                <wp:positionV relativeFrom="paragraph">
                  <wp:posOffset>88900</wp:posOffset>
                </wp:positionV>
                <wp:extent cx="2286000" cy="2762250"/>
                <wp:effectExtent l="0" t="0" r="19050" b="19050"/>
                <wp:wrapThrough wrapText="bothSides">
                  <wp:wrapPolygon edited="0">
                    <wp:start x="900" y="0"/>
                    <wp:lineTo x="0" y="745"/>
                    <wp:lineTo x="0" y="21600"/>
                    <wp:lineTo x="20880" y="21600"/>
                    <wp:lineTo x="21060" y="21451"/>
                    <wp:lineTo x="21600" y="20855"/>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762250"/>
                        </a:xfrm>
                        <a:prstGeom prst="round2DiagRect">
                          <a:avLst>
                            <a:gd name="adj1" fmla="val 8733"/>
                            <a:gd name="adj2" fmla="val 0"/>
                          </a:avLst>
                        </a:prstGeom>
                        <a:noFill/>
                        <a:ln w="25400" cap="flat" cmpd="sng" algn="ctr">
                          <a:solidFill>
                            <a:srgbClr val="BE4A35"/>
                          </a:solidFill>
                          <a:prstDash val="solid"/>
                        </a:ln>
                        <a:effectLst/>
                      </wps:spPr>
                      <wps:txbx>
                        <w:txbxContent>
                          <w:p w:rsidR="00470F0E" w:rsidRPr="00044269" w:rsidRDefault="00470F0E" w:rsidP="005166F3">
                            <w:pPr>
                              <w:pStyle w:val="HHeading4"/>
                              <w:spacing w:before="0"/>
                              <w:jc w:val="both"/>
                              <w:rPr>
                                <w:b w:val="0"/>
                                <w:i/>
                                <w:color w:val="F07E31" w:themeColor="accent1"/>
                                <w:sz w:val="18"/>
                              </w:rPr>
                            </w:pPr>
                            <w:r>
                              <w:rPr>
                                <w:noProof/>
                                <w:color w:val="373737"/>
                                <w:lang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Posúdenie daného vplyvu </w:t>
                            </w:r>
                            <w:r>
                              <w:rPr>
                                <w:b w:val="0"/>
                                <w:color w:val="373737" w:themeColor="text1"/>
                              </w:rPr>
                              <w:t>(sektorový vplyv, vplyv na životné prostredie alebo sociálno-ekonomický vplyv) sa začína vytvorením konzistentného hodnotiaceho rámca. Pomáha to objasniť postavenie vplyvu v rámci intervenčnej logiky a objasňuje, aké ukazovatele a jednotky analýzy sú dostupné na jeho meranie.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CD87F6" id="_x0000_s1031" style="position:absolute;left:0;text-align:left;margin-left:-3pt;margin-top:7pt;width:180pt;height:217.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76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cwqQIAAE8FAAAOAAAAZHJzL2Uyb0RvYy54bWysVE1v2zAMvQ/YfxB0X524ST+MOkWWrMOA&#10;oC3aDj0zsvyxyaImKXG6Xz9KdtJ022nYRZBE6pF8j9TV9a5VbCuta1DnfHwy4kxqgUWjq5x/fbr5&#10;cMGZ86ALUKhlzl+k49ez9++uOpPJFGtUhbSMQLTLOpPz2nuTJYkTtWzBnaCRmowl2hY8HW2VFBY6&#10;Qm9Vko5GZ0mHtjAWhXSObpe9kc8ifllK4e/K0knPVM4pNx9XG9d1WJPZFWSVBVM3YkgD/iGLFhpN&#10;QQ9QS/DANrb5A6pthEWHpT8R2CZYlo2QsQaqZjz6rZrHGoyMtRA5zhxocv8PVtxu7y1ripyfnnKm&#10;oSWNHog10JWSGVs2UKEGxRZoNanMHnCjC1mwy0hdZ1xGCI/m3obinVmh+O6I0+SNJRzc4LMrbRt8&#10;qXS2izq8HHSQO88EXabpxdloRHIJsqXnZ2k6jeESyPbPjXX+s8SWhU3ObUgrDdmG5KMSsF05HyUp&#10;hrqg+DbmrGwVKbylmi7Oqea+AY5c0mOXfdgBjBLYBw7IGm8apSKC0qyjXKeTmDZQJ5cKPFXQGuLW&#10;6YozUBWNiPA2pudQNUV4Homz1XqhLKOscv7x02R+Og2JUbg3biH2Elzd+0XT4KZ0gJGx4ansvQI9&#10;6YF+v1vvoswRONyssXgh6S32M+GMuGkIfwXO34Mlioh/Gmx/R0upkKrDYcdZjfbn3+6DP/UmWTnr&#10;aKio8h8bsJIz9UVT116OJ5MwhfEwmZ6ndLDHlvWxRW/aBRIhJBplF7fB36v9trTYPtP8z0NUMoEW&#10;FLvneDgsfD/s9IMIOZ9HN5o8A36lH40I4IG5wOzT7hmsGRrKUy/e4n4AIYsN0Evy6tv3wHzjsWwO&#10;nPe8DiNAUxtlHH6Y8C0cn6PX6z84+wUAAP//AwBQSwMEFAAGAAgAAAAhAOnUO7rfAAAACQEAAA8A&#10;AABkcnMvZG93bnJldi54bWxMj81OwzAQhO9IvIO1SNxamxIqmsapEKiHigstEerRjRcnIl5HsdsG&#10;np7tCU77M6vZb4rV6DtxwiG2gTTcTRUIpDrYlpyG6n09eQQRkyFrukCo4RsjrMrrq8LkNpxpi6dd&#10;coJNKOZGQ5NSn0sZ6wa9idPQI7H2GQZvEo+Dk3YwZzb3nZwpNZfetMQfGtPjc4P11+7oNbzi/icm&#10;VdnN/mO2GcaXN7eunNa3N+PTEkTCMf0dwwWf0aFkpkM4ko2i0zCZc5TE+4wr6/cPl+agIcsWCmRZ&#10;yP8Jyl8AAAD//wMAUEsBAi0AFAAGAAgAAAAhALaDOJL+AAAA4QEAABMAAAAAAAAAAAAAAAAAAAAA&#10;AFtDb250ZW50X1R5cGVzXS54bWxQSwECLQAUAAYACAAAACEAOP0h/9YAAACUAQAACwAAAAAAAAAA&#10;AAAAAAAvAQAAX3JlbHMvLnJlbHNQSwECLQAUAAYACAAAACEA9+I3MKkCAABPBQAADgAAAAAAAAAA&#10;AAAAAAAuAgAAZHJzL2Uyb0RvYy54bWxQSwECLQAUAAYACAAAACEA6dQ7ut8AAAAJAQAADwAAAAAA&#10;AAAAAAAAAAADBQAAZHJzL2Rvd25yZXYueG1sUEsFBgAAAAAEAAQA8wAAAA8GAAAAAA==&#10;" adj="-11796480,,5400" path="m199636,l2286000,r,l2286000,2562614v,110256,-89380,199636,-199636,199636l,2762250r,l,199636c,89380,89380,,199636,xe" filled="f" strokecolor="#be4a35" strokeweight="2pt">
                <v:stroke joinstyle="miter"/>
                <v:formulas/>
                <v:path arrowok="t" o:connecttype="custom" o:connectlocs="199636,0;2286000,0;2286000,0;2286000,2562614;2086364,2762250;0,2762250;0,2762250;0,199636;199636,0" o:connectangles="0,0,0,0,0,0,0,0,0" textboxrect="0,0,2286000,2762250"/>
                <v:textbox>
                  <w:txbxContent>
                    <w:p w:rsidR="00470F0E" w:rsidRPr="00044269" w:rsidRDefault="00470F0E" w:rsidP="005166F3">
                      <w:pPr>
                        <w:pStyle w:val="HHeading4"/>
                        <w:spacing w:before="0"/>
                        <w:jc w:val="both"/>
                        <w:rPr>
                          <w:b w:val="0"/>
                          <w:i/>
                          <w:color w:val="F07E31" w:themeColor="accent1"/>
                          <w:sz w:val="18"/>
                        </w:rPr>
                      </w:pPr>
                      <w:r>
                        <w:rPr>
                          <w:noProof/>
                          <w:color w:val="373737"/>
                          <w:lang w:bidi="ar-SA"/>
                        </w:rPr>
                        <w:drawing>
                          <wp:inline distT="0" distB="0" distL="0" distR="0" wp14:anchorId="5C08980E" wp14:editId="50BE3FE7">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Posúdenie daného vplyvu </w:t>
                      </w:r>
                      <w:r>
                        <w:rPr>
                          <w:b w:val="0"/>
                          <w:color w:val="373737" w:themeColor="text1"/>
                        </w:rPr>
                        <w:t>(sektorový vplyv, vplyv na životné prostredie alebo sociálno-ekonomický vplyv) sa začína vytvorením konzistentného hodnotiaceho rámca. Pomáha to objasniť postavenie vplyvu v rámci intervenčnej logiky a objasňuje, aké ukazovatele a jednotky analýzy sú dostupné na jeho meranie.</w:t>
                      </w:r>
                    </w:p>
                  </w:txbxContent>
                </v:textbox>
                <w10:wrap type="through" anchorx="margin"/>
              </v:shape>
            </w:pict>
          </mc:Fallback>
        </mc:AlternateContent>
      </w:r>
      <w:r>
        <w:t xml:space="preserve">Rámec na posudzovanie možno vypracovať </w:t>
      </w:r>
      <w:r w:rsidR="001D70DD">
        <w:t>takto</w:t>
      </w:r>
      <w:r>
        <w:t>:</w:t>
      </w:r>
    </w:p>
    <w:p w:rsidR="00E93BEA" w:rsidRPr="001C6ACF" w:rsidRDefault="0084519A" w:rsidP="00E93BEA">
      <w:pPr>
        <w:pStyle w:val="HStandard"/>
        <w:rPr>
          <w:rFonts w:cs="Arial"/>
        </w:rPr>
      </w:pPr>
      <w:r>
        <w:rPr>
          <w:b/>
          <w:color w:val="F07E31" w:themeColor="accent1"/>
        </w:rPr>
        <w:t xml:space="preserve">Krok 1 – Vysvetlenie intervenčnej logiky </w:t>
      </w:r>
      <w:r w:rsidR="0027665C">
        <w:rPr>
          <w:b/>
          <w:color w:val="F07E31" w:themeColor="accent1"/>
        </w:rPr>
        <w:t>SMaH</w:t>
      </w:r>
      <w:r>
        <w:rPr>
          <w:b/>
          <w:color w:val="F07E31" w:themeColor="accent1"/>
        </w:rPr>
        <w:t>:</w:t>
      </w:r>
      <w:r>
        <w:t xml:space="preserve"> Intervenčná logika ukazuje hierarchiu cieľov politiky vo vzťahu k relevantným hodnotiacim otázkam, opatreniam a oblastiam zamerania, ako aj k </w:t>
      </w:r>
      <w:r>
        <w:rPr>
          <w:b/>
        </w:rPr>
        <w:t>súvisiacim ukazovateľom výstupov, výsledkov a vplyvu SMaH</w:t>
      </w:r>
      <w:r>
        <w:t>. Ukazovatele sa skúmajú na základe dostupných údajov.</w:t>
      </w:r>
    </w:p>
    <w:p w:rsidR="000C2540" w:rsidRPr="001C6ACF" w:rsidRDefault="0084519A" w:rsidP="000C2540">
      <w:pPr>
        <w:pStyle w:val="HStandard"/>
        <w:rPr>
          <w:rFonts w:cs="Arial"/>
          <w:bCs/>
        </w:rPr>
      </w:pPr>
      <w:r>
        <w:rPr>
          <w:b/>
          <w:color w:val="F07E31" w:themeColor="accent1"/>
        </w:rPr>
        <w:t xml:space="preserve">Krok 2 – Výber doplnkových ukazovateľov (výsledkov a/alebo vplyvu): </w:t>
      </w:r>
      <w:r>
        <w:t xml:space="preserve">Týmito ukazovateľmi možno doplniť povinné ukazovatele SMaH. </w:t>
      </w:r>
      <w:r>
        <w:rPr>
          <w:b/>
        </w:rPr>
        <w:t>Použitie doplnkových ukazovateľov je dobrovoľné</w:t>
      </w:r>
      <w:r>
        <w:t xml:space="preserve"> a malo by sa starostlivo zvážiť s prihliadnutím na náklady, dostupnosť údajov, vhodnosť a pridanú hodnotu pre posúdenie. Doplnkové ukazovatele môžu byť užitočné na kvantifikáciu čistých výsledkov a vplyvov v prípadoch, keď údaje pre spoločné ukazovatele nie sú dostatočné alebo je potrebné odstrániť nedostatky v spoločných ukazovateľoch výsledkov a vplyvu. Doplnkové ukazovatele môžu mať aj kvalitatívny charakter (napr. stupeň vnímanej zmeny zo strany zainteresovaných strán podľa Likertovej škály) a možno ich použiť na doplnenie kvantitatívnych dôkazov alebo namiesto kvantitatívnych dôkazov v prípade</w:t>
      </w:r>
      <w:r w:rsidR="001D70DD">
        <w:t>ich absencie</w:t>
      </w:r>
      <w:r>
        <w:t xml:space="preserve">. </w:t>
      </w:r>
    </w:p>
    <w:p w:rsidR="00560A1E" w:rsidRPr="001C6ACF" w:rsidRDefault="0084519A" w:rsidP="00E93BEA">
      <w:pPr>
        <w:pStyle w:val="HStandard"/>
        <w:rPr>
          <w:rFonts w:cs="Arial"/>
        </w:rPr>
      </w:pPr>
      <w:r>
        <w:rPr>
          <w:b/>
          <w:color w:val="F07E31" w:themeColor="accent1"/>
        </w:rPr>
        <w:t xml:space="preserve">Krok 3 – Vymedzenie jednotky analýzy (= „najmenšia časť organizovaného systému“) na posúdenie na mikroúrovni a makroúrovni (v relevantných prípadoch): </w:t>
      </w:r>
      <w:r>
        <w:t xml:space="preserve">Jednotkou analýzy na mikroúrovni môžu byť poľnohospodárske podniky, parcely, komunity alebo regióny, zatiaľ čo na makroúrovni môže ísť o povodie, regionálnu jednotku alebo celé územie PRV. Pomocou stanovenej jednotky analýzy môže ukazovateľ merať zmeny priestorového manažmentu a environmentálne, sektorové či sociálno-ekonomické zmeny spôsobené intervenciami PRV. Príslušné údaje by sa mali zbierať pre rovnakú kategóriu jednotiek a môžu zahŕňať </w:t>
      </w:r>
      <w:r w:rsidR="00C268FE">
        <w:t>podporené aj nepodporené subjekty</w:t>
      </w:r>
      <w:r>
        <w:t>.</w:t>
      </w:r>
    </w:p>
    <w:p w:rsidR="00E93BEA" w:rsidRPr="001C6ACF" w:rsidRDefault="00E93BEA" w:rsidP="00E93BEA">
      <w:pPr>
        <w:pStyle w:val="HHeading4"/>
      </w:pPr>
      <w:r>
        <w:t>Vytvorenie kontrafaktuálneho scenára (druhá vrstva)</w:t>
      </w:r>
    </w:p>
    <w:p w:rsidR="00391ECD" w:rsidRPr="001C6ACF" w:rsidRDefault="000B213F" w:rsidP="002D4AB7">
      <w:pPr>
        <w:pStyle w:val="HStandard"/>
        <w:rPr>
          <w:rFonts w:cs="Arial"/>
        </w:rPr>
      </w:pPr>
      <w:r>
        <w:rPr>
          <w:b/>
          <w:i/>
          <w:noProof/>
          <w:color w:val="F07E31" w:themeColor="accent1"/>
          <w:lang w:bidi="ar-SA"/>
        </w:rPr>
        <mc:AlternateContent>
          <mc:Choice Requires="wps">
            <w:drawing>
              <wp:anchor distT="0" distB="0" distL="114300" distR="114300" simplePos="0" relativeHeight="251730432" behindDoc="0" locked="0" layoutInCell="1" allowOverlap="1" wp14:anchorId="6A6E36E7" wp14:editId="213D3A19">
                <wp:simplePos x="0" y="0"/>
                <wp:positionH relativeFrom="column">
                  <wp:posOffset>3238500</wp:posOffset>
                </wp:positionH>
                <wp:positionV relativeFrom="paragraph">
                  <wp:posOffset>43815</wp:posOffset>
                </wp:positionV>
                <wp:extent cx="2447925" cy="1704975"/>
                <wp:effectExtent l="0" t="0" r="28575" b="28575"/>
                <wp:wrapThrough wrapText="bothSides">
                  <wp:wrapPolygon edited="0">
                    <wp:start x="504" y="0"/>
                    <wp:lineTo x="0" y="724"/>
                    <wp:lineTo x="0" y="21721"/>
                    <wp:lineTo x="21348" y="21721"/>
                    <wp:lineTo x="21684" y="20997"/>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04975"/>
                        </a:xfrm>
                        <a:prstGeom prst="round2DiagRect">
                          <a:avLst>
                            <a:gd name="adj1" fmla="val 8733"/>
                            <a:gd name="adj2" fmla="val 0"/>
                          </a:avLst>
                        </a:prstGeom>
                        <a:noFill/>
                        <a:ln w="25400" cap="flat" cmpd="sng" algn="ctr">
                          <a:solidFill>
                            <a:srgbClr val="BE4A35"/>
                          </a:solidFill>
                          <a:prstDash val="solid"/>
                        </a:ln>
                        <a:effectLst/>
                      </wps:spPr>
                      <wps:txbx>
                        <w:txbxContent>
                          <w:p w:rsidR="00470F0E" w:rsidRPr="00044269" w:rsidRDefault="00470F0E" w:rsidP="005166F3">
                            <w:pPr>
                              <w:pStyle w:val="HHeading4"/>
                              <w:spacing w:before="0"/>
                              <w:jc w:val="both"/>
                              <w:rPr>
                                <w:b w:val="0"/>
                                <w:i/>
                                <w:color w:val="373737" w:themeColor="text1"/>
                                <w:sz w:val="18"/>
                              </w:rPr>
                            </w:pPr>
                            <w:r>
                              <w:rPr>
                                <w:noProof/>
                                <w:color w:val="373737" w:themeColor="text1"/>
                                <w:lang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Účinky programu </w:t>
                            </w:r>
                            <w:r>
                              <w:rPr>
                                <w:b w:val="0"/>
                                <w:color w:val="373737" w:themeColor="text1"/>
                              </w:rPr>
                              <w:t>nie je možné nikdy pozorovať priamo z dôvodu iných vstupujúcich faktorov, takže ich posúdenie si vyžaduje použitie kontrafaktuálneho scenára.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6E36E7" id="_x0000_s1032" style="position:absolute;left:0;text-align:left;margin-left:255pt;margin-top:3.45pt;width:192.75pt;height:134.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phqwIAAE8FAAAOAAAAZHJzL2Uyb0RvYy54bWysVE1v2zAMvQ/YfxB0X50Pp2mMOkWWrMOA&#10;oC3aDj0zsux4k0VNUr7260fJTppuOw27CJRIUXyPj7q+2TeKbaV1Neqc9y96nEktsKh1lfOvz7cf&#10;rjhzHnQBCrXM+UE6fjN9/+56ZzI5wDWqQlpGSbTLdibna+9NliROrGUD7gKN1OQs0TbgaWurpLCw&#10;o+yNSga93mWyQ1sYi0I6R6eL1smnMX9ZSuHvy9JJz1TOqTYfVxvXVViT6TVklQWzrkVXBvxDFQ3U&#10;mh49pVqAB7ax9R+pmlpYdFj6C4FNgmVZCxkxEJp+7zc0T2swMmIhcpw50eT+X1pxt32wrC5yPqRO&#10;aWioR4/EGuhKyYwtaqhQg2JztJq6zB5xowtZsEmkbmdcRhmezIMN4J1ZovjuiNPkjSdsXBezL20T&#10;Ygk628c+HE59kHvPBB0O0nQ8GYw4E+Trj3vpZDwKnUogO1431vnPEhsWjJzbUNYgVBuKj52A7dL5&#10;2JKiwwXFtz5nZaOow1vCdDUeDjsBnIUMzkMiSnq2S0bW8eGQWeNtrVSUkNJsR4WP0h6pTAApuVTg&#10;yWwMcet0xRmoikZEeBvLc6jqIlyPxNlqNVeWUVU5//gpnQ2PeN+EhbcX4NZtXHR1tCgd0sgoeIJ9&#10;7EBLeqDf71f72ObLcCOcrLA4UOsttjPhjLitKf8SnH8ASxQREBpsf09LqZDQYWdxtkb782/nIZ60&#10;SV7OdjRUhPzHBqzkTH3RpNpJP03DFMZNOhoPaGPPPatzj940cyRCqGlUXTRDvFdHs7TYvND8z8Kr&#10;5AIt6O2W424z9+2w0w8i5GwWw2jyDPilfjIiJA/MBWaf9y9gTScoT1q8w+MAdgJoJfga22pgtvFY&#10;1ifOW167EaCpjbLtfpjwLZzvY9TrPzj9BQAA//8DAFBLAwQUAAYACAAAACEAuZMMs+EAAAAJAQAA&#10;DwAAAGRycy9kb3ducmV2LnhtbEyPwU7DMBBE70j8g7VI3KjTiCRtiFMhChUCDlDg7sZLkhKvQ+y2&#10;oV/PcoLjaEYzb4rFaDuxx8G3jhRMJxEIpMqZlmoFb693FzMQPmgyunOECr7Rw6I8PSl0btyBXnC/&#10;DrXgEvK5VtCE0OdS+qpBq/3E9UjsfbjB6sByqKUZ9IHLbSfjKEql1S3xQqN7vGmw+lzvLI9sn47P&#10;y+XD6ja9366y5pi9f8WPSp2fjddXIAKO4S8Mv/iMDiUzbdyOjBedgmQa8ZegIJ2DYH82TxIQGwVx&#10;llyCLAv5/0H5AwAA//8DAFBLAQItABQABgAIAAAAIQC2gziS/gAAAOEBAAATAAAAAAAAAAAAAAAA&#10;AAAAAABbQ29udGVudF9UeXBlc10ueG1sUEsBAi0AFAAGAAgAAAAhADj9If/WAAAAlAEAAAsAAAAA&#10;AAAAAAAAAAAALwEAAF9yZWxzLy5yZWxzUEsBAi0AFAAGAAgAAAAhADRiSmGrAgAATwUAAA4AAAAA&#10;AAAAAAAAAAAALgIAAGRycy9lMm9Eb2MueG1sUEsBAi0AFAAGAAgAAAAhALmTDLPhAAAACQEAAA8A&#10;AAAAAAAAAAAAAAAABQUAAGRycy9kb3ducmV2LnhtbFBLBQYAAAAABAAEAPMAAAATBgAAAAA=&#10;" adj="-11796480,,5400" path="m148895,l2447925,r,l2447925,1556080v,82232,-66663,148895,-148895,148895l,1704975r,l,148895c,66663,66663,,148895,xe" filled="f" strokecolor="#be4a35" strokeweight="2pt">
                <v:stroke joinstyle="miter"/>
                <v:formulas/>
                <v:path arrowok="t" o:connecttype="custom" o:connectlocs="148895,0;2447925,0;2447925,0;2447925,1556080;2299030,1704975;0,1704975;0,1704975;0,148895;148895,0" o:connectangles="0,0,0,0,0,0,0,0,0" textboxrect="0,0,2447925,1704975"/>
                <v:textbox>
                  <w:txbxContent>
                    <w:p w:rsidR="00470F0E" w:rsidRPr="00044269" w:rsidRDefault="00470F0E" w:rsidP="005166F3">
                      <w:pPr>
                        <w:pStyle w:val="HHeading4"/>
                        <w:spacing w:before="0"/>
                        <w:jc w:val="both"/>
                        <w:rPr>
                          <w:b w:val="0"/>
                          <w:i/>
                          <w:color w:val="373737" w:themeColor="text1"/>
                          <w:sz w:val="18"/>
                        </w:rPr>
                      </w:pPr>
                      <w:r>
                        <w:rPr>
                          <w:noProof/>
                          <w:color w:val="373737" w:themeColor="text1"/>
                          <w:lang w:bidi="ar-SA"/>
                        </w:rPr>
                        <w:drawing>
                          <wp:inline distT="0" distB="0" distL="0" distR="0" wp14:anchorId="2DA6738F" wp14:editId="65AC0B57">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Účinky programu </w:t>
                      </w:r>
                      <w:r>
                        <w:rPr>
                          <w:b w:val="0"/>
                          <w:color w:val="373737" w:themeColor="text1"/>
                        </w:rPr>
                        <w:t>nie je možné nikdy pozorovať priamo z dôvodu iných vstupujúcich faktorov, takže ich posúdenie si vyžaduje použitie kontrafaktuálneho scenára.</w:t>
                      </w:r>
                    </w:p>
                  </w:txbxContent>
                </v:textbox>
                <w10:wrap type="through"/>
              </v:shape>
            </w:pict>
          </mc:Fallback>
        </mc:AlternateContent>
      </w:r>
      <w:r>
        <w:t>Účinkom programu je rozdiel hodnoty konkrétneho výstupu (napr. hrubá pridaná hodnota alebo produktivita práce) pre tú istú jednotku s programom a bez programu. Toto vymedzenie platí pre akúkoľvek jednotku analýzy (napr. osoba, poľnohospodársky podnik, podnik, územie, komunita, obec, región, oblasť programu alebo krajina) a akýkoľvek výstup (vyjadrený v sektorových, environmentálnych alebo sociálno-ekonomických ukazovateľoch), ktoré možno hodnoverne uviesť do spojitosti s programom.</w:t>
      </w:r>
    </w:p>
    <w:p w:rsidR="002D4AB7" w:rsidRPr="001C6ACF" w:rsidRDefault="002D4AB7" w:rsidP="002D4AB7">
      <w:pPr>
        <w:pStyle w:val="HStandard"/>
        <w:rPr>
          <w:rFonts w:cs="Arial"/>
        </w:rPr>
      </w:pPr>
      <w:r>
        <w:t xml:space="preserve">Druhá vrstva pomáha hodnotiteľovi určiť druhy kontrafaktuálnych scenárov, ktoré možno vytvoriť s dostupnými údajmi. Zohľadňujú sa v nej viaceré obmedzujúce faktory (napr. nedostatočná dostupnosť údajov, krátkodobé zákazky na hodnotenie, obmedzená hodnotiaca kapacita) a pomáha takisto identifikovať realizovateľné druhé najlepšie riešenia (napr. na posúdenie vplyvu na životné prostredie). Systematické preskúmanie prípadných možností na vytvorenie kontrafaktuálneho scenára je dôležité aj v prípade, že sú údaje nedostatočné. Poskytuje cenné informácie o tom, aké podmienky </w:t>
      </w:r>
      <w:r>
        <w:lastRenderedPageBreak/>
        <w:t xml:space="preserve">musia byť splnené na uplatnenie vierohodného kontrafaktuálneho scenára, a ukazuje alternatívne možnosti (napr. naivné porovnanie skupín, kvalitatívne posudzovania). </w:t>
      </w:r>
    </w:p>
    <w:p w:rsidR="00A41C7D" w:rsidRPr="001C6ACF" w:rsidRDefault="00E93BEA" w:rsidP="000B6372">
      <w:pPr>
        <w:pStyle w:val="HStandard"/>
      </w:pPr>
      <w:r>
        <w:t xml:space="preserve">V logickom modeli sa kontrafaktuálna vrstva uplatňuje pre posúdenie na mikroúrovni aj pre posúdenie na makroúrovni a je spojená s výberom hodnotiacich </w:t>
      </w:r>
      <w:r w:rsidR="001D70DD">
        <w:t>prístup</w:t>
      </w:r>
      <w:r>
        <w:t xml:space="preserve">ov a metód. </w:t>
      </w:r>
      <w:r>
        <w:rPr>
          <w:b/>
        </w:rPr>
        <w:t>Hodnotiteľ programu rozhoduje o tom, na ktorej úrovni (mikro</w:t>
      </w:r>
      <w:r w:rsidR="001D70DD">
        <w:rPr>
          <w:b/>
        </w:rPr>
        <w:t>úroveň</w:t>
      </w:r>
      <w:r>
        <w:rPr>
          <w:b/>
        </w:rPr>
        <w:t>/makro</w:t>
      </w:r>
      <w:r w:rsidR="001D70DD">
        <w:rPr>
          <w:b/>
        </w:rPr>
        <w:t>úroveň</w:t>
      </w:r>
      <w:r>
        <w:rPr>
          <w:b/>
        </w:rPr>
        <w:t>) sa vykonáva analýza účinkov programu.</w:t>
      </w:r>
      <w:r>
        <w:t xml:space="preserve"> Toto rozhodnutie bude závisieť od dostupných údajov a predchádza voľbe jednotky analýzy, pre ktorú sa získavajú údaje (hospodárske, environmentálne alebo sociálno-ekonomické). </w:t>
      </w:r>
    </w:p>
    <w:p w:rsidR="00A41C7D" w:rsidRPr="00571D58" w:rsidRDefault="00C87859">
      <w:pPr>
        <w:spacing w:before="0" w:after="0" w:line="240" w:lineRule="auto"/>
        <w:jc w:val="left"/>
        <w:rPr>
          <w:color w:val="373737" w:themeColor="text1"/>
          <w:sz w:val="20"/>
          <w:szCs w:val="20"/>
        </w:rPr>
      </w:pPr>
      <w:r>
        <w:rPr>
          <w:noProof/>
          <w:lang w:bidi="ar-SA"/>
        </w:rPr>
        <mc:AlternateContent>
          <mc:Choice Requires="wps">
            <w:drawing>
              <wp:anchor distT="0" distB="0" distL="114300" distR="114300" simplePos="0" relativeHeight="251732480" behindDoc="0" locked="0" layoutInCell="1" allowOverlap="1" wp14:anchorId="44EAA66D" wp14:editId="515A8A05">
                <wp:simplePos x="0" y="0"/>
                <wp:positionH relativeFrom="margin">
                  <wp:align>right</wp:align>
                </wp:positionH>
                <wp:positionV relativeFrom="paragraph">
                  <wp:posOffset>86360</wp:posOffset>
                </wp:positionV>
                <wp:extent cx="5731510" cy="1724025"/>
                <wp:effectExtent l="0" t="0" r="21590" b="28575"/>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724025"/>
                        </a:xfrm>
                        <a:prstGeom prst="round2DiagRect">
                          <a:avLst>
                            <a:gd name="adj1" fmla="val 8733"/>
                            <a:gd name="adj2" fmla="val 0"/>
                          </a:avLst>
                        </a:prstGeom>
                        <a:noFill/>
                        <a:ln w="25400" cap="flat" cmpd="sng" algn="ctr">
                          <a:solidFill>
                            <a:srgbClr val="BE4A35"/>
                          </a:solidFill>
                          <a:prstDash val="solid"/>
                        </a:ln>
                        <a:effectLst/>
                      </wps:spPr>
                      <wps:txbx>
                        <w:txbxContent>
                          <w:p w:rsidR="00470F0E" w:rsidRPr="009B4B57" w:rsidRDefault="00470F0E"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Členské štáty s viacerými PRV</w:t>
                            </w:r>
                            <w:r>
                              <w:rPr>
                                <w:b w:val="0"/>
                                <w:color w:val="373737" w:themeColor="text1"/>
                              </w:rPr>
                              <w:t xml:space="preserve"> môžu čeliť problémom, že zdroje údajov EÚ (napr. Eurostat) neposkytujú hodnoty pre spoločné ukazovatele vplyvu SPP na úrovni jednotlivých regionálnych PRV. V takomto prípade možno regionálnu hodnotu ukazovateľa (NUTS 2) odhadnúť na základe vnútroštátnych údajov, alebo ak to je možné, zhrnutím údajov založených na jednotkách a získaných v rámci každého príslušného regiónu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EAA66D" id="_x0000_s1033" style="position:absolute;margin-left:400.1pt;margin-top:6.8pt;width:451.3pt;height:135.7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724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CFqwIAAE8FAAAOAAAAZHJzL2Uyb0RvYy54bWysVE1v2zAMvQ/YfxB0Xx07TtMGdYosWYcB&#10;QVu0HXpmZNnxJouapHx0v36U7KTpttOwi0CJFMX3Hqmr632r2FZa16AueHo24ExqgWWj64J/fbr5&#10;cMGZ86BLUKhlwV+k49fT9++udmYiM1yjKqVllES7yc4UfO29mSSJE2vZgjtDIzU5K7QteNraOikt&#10;7Ch7q5JsMDhPdmhLY1FI5+h00Tn5NOavKin8XVU56ZkqONXm42rjugprMr2CSW3BrBvRlwH/UEUL&#10;jaZHj6kW4IFtbPNHqrYRFh1W/kxgm2BVNUJGDIQmHfyG5nENRkYsRI4zR5rc/0srbrf3ljVlwfNz&#10;zjS0pNEDsQa6VnLCFg3UqEGxOVpNKrMH3OhSluwyUrczbkIZHs29DeCdWaL47ojT5I0nbFwfs69s&#10;G2IJOttHHV6OOsi9Z4IOR+NhOkpJLkG+dJzlg2wUlEpgcrhurPOfJbYsGAW3oawsVBuKj0rAdul8&#10;lKTscUH5LeWsahUpvCVMF+PhsG+Ak5DsNCSipGf7ZGQdHg6ZNd40SsUWUprtCp6N8kEoG6iTKwWe&#10;zNYQt07XnIGqaUSEt7E8h6opw/VInK1Xc2UZVVXwj5/y2fCA901YeHsBbt3FRVdPi9IhjYwNT7AP&#10;CnSkB/r9frWPMo/DjXCywvKFpLfYzYQz4qah/Etw/h4sUURAaLD9HS2VQkKHvcXZGu3Pv52HeOpN&#10;8nK2o6Ei5D82YCVn6oumrr1M8zxMYdzko3FGG3vqWZ169KadIxFColF10QzxXh3MymL7TPM/C6+S&#10;C7SgtzuO+83cd8NOP4iQs1kMo8kz4Jf60YiQPDAXmH3aP4M1fUN56sVbPAxg3wBdC77Gdj0w23is&#10;miPnHa/9CNDUxrbtf5jwLZzuY9TrPzj9BQAA//8DAFBLAwQUAAYACAAAACEAayX6wd0AAAAHAQAA&#10;DwAAAGRycy9kb3ducmV2LnhtbEyPQU+DQBCF7yb+h82YeLMLmNZCWRo1evBk2hK9LuwUiOwsZbcU&#10;/73jSW/z5k3e+ybfzrYXE46+c6QgXkQgkGpnOmoUlIfXuzUIHzQZ3TtCBd/oYVtcX+U6M+5CO5z2&#10;oREcQj7TCtoQhkxKX7dotV+4AYm9oxutDizHRppRXzjc9jKJopW0uiNuaPWAzy3WX/uzVXB6O8Xh&#10;/aNcvjxN+Jmm9HBwZaXU7c38uAERcA5/x/CLz+hQMFPlzmS86BXwI4G39ysQ7KZRwkOlIFkvY5BF&#10;Lv/zFz8AAAD//wMAUEsBAi0AFAAGAAgAAAAhALaDOJL+AAAA4QEAABMAAAAAAAAAAAAAAAAAAAAA&#10;AFtDb250ZW50X1R5cGVzXS54bWxQSwECLQAUAAYACAAAACEAOP0h/9YAAACUAQAACwAAAAAAAAAA&#10;AAAAAAAvAQAAX3JlbHMvLnJlbHNQSwECLQAUAAYACAAAACEA4KUQhasCAABPBQAADgAAAAAAAAAA&#10;AAAAAAAuAgAAZHJzL2Uyb0RvYy54bWxQSwECLQAUAAYACAAAACEAayX6wd0AAAAHAQAADwAAAAAA&#10;AAAAAAAAAAAFBQAAZHJzL2Rvd25yZXYueG1sUEsFBgAAAAAEAAQA8wAAAA8GAAAAAA==&#10;" adj="-11796480,,5400" path="m150559,l5731510,r,l5731510,1573466v,83151,-67408,150559,-150559,150559l,1724025r,l,150559c,67408,67408,,150559,xe" filled="f" strokecolor="#be4a35" strokeweight="2pt">
                <v:stroke joinstyle="miter"/>
                <v:formulas/>
                <v:path arrowok="t" o:connecttype="custom" o:connectlocs="150559,0;5731510,0;5731510,0;5731510,1573466;5580951,1724025;0,1724025;0,1724025;0,150559;150559,0" o:connectangles="0,0,0,0,0,0,0,0,0" textboxrect="0,0,5731510,1724025"/>
                <v:textbox>
                  <w:txbxContent>
                    <w:p w:rsidR="00470F0E" w:rsidRPr="009B4B57" w:rsidRDefault="00470F0E" w:rsidP="005166F3">
                      <w:pPr>
                        <w:pStyle w:val="HHeading4"/>
                        <w:spacing w:before="0"/>
                        <w:jc w:val="both"/>
                        <w:rPr>
                          <w:rFonts w:cs="Arial"/>
                          <w:b w:val="0"/>
                          <w:color w:val="373737" w:themeColor="text1"/>
                        </w:rPr>
                      </w:pPr>
                      <w:r>
                        <w:rPr>
                          <w:noProof/>
                          <w:color w:val="373737" w:themeColor="text1"/>
                          <w:lang w:bidi="ar-SA"/>
                        </w:rPr>
                        <w:drawing>
                          <wp:inline distT="0" distB="0" distL="0" distR="0" wp14:anchorId="143BF302" wp14:editId="5AE64481">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Členské štáty s viacerými PRV</w:t>
                      </w:r>
                      <w:r>
                        <w:rPr>
                          <w:b w:val="0"/>
                          <w:color w:val="373737" w:themeColor="text1"/>
                        </w:rPr>
                        <w:t xml:space="preserve"> môžu čeliť problémom, že zdroje údajov EÚ (napr. Eurostat) neposkytujú hodnoty pre spoločné ukazovatele vplyvu SPP na úrovni jednotlivých regionálnych PRV. V takomto prípade možno regionálnu hodnotu ukazovateľa (NUTS 2) odhadnúť na základe vnútroštátnych údajov, alebo ak to je možné, zhrnutím údajov založených na jednotkách a získaných v rámci každého príslušného regiónu (I.01, I.02, I.03).</w:t>
                      </w:r>
                    </w:p>
                  </w:txbxContent>
                </v:textbox>
                <w10:wrap anchorx="margin"/>
              </v:shape>
            </w:pict>
          </mc:Fallback>
        </mc:AlternateContent>
      </w:r>
      <w:r>
        <w:br w:type="page"/>
      </w:r>
    </w:p>
    <w:p w:rsidR="00A41C7D" w:rsidRPr="00571D58" w:rsidRDefault="000B213F" w:rsidP="000B6372">
      <w:pPr>
        <w:pStyle w:val="HStandard"/>
        <w:rPr>
          <w:rFonts w:cs="Arial"/>
        </w:rPr>
      </w:pPr>
      <w:r>
        <w:rPr>
          <w:b/>
          <w:i/>
          <w:noProof/>
          <w:color w:val="F07E31" w:themeColor="accent1"/>
          <w:lang w:bidi="ar-SA"/>
        </w:rPr>
        <w:lastRenderedPageBreak/>
        <mc:AlternateContent>
          <mc:Choice Requires="wps">
            <w:drawing>
              <wp:anchor distT="0" distB="0" distL="114300" distR="114300" simplePos="0" relativeHeight="251733504" behindDoc="0" locked="0" layoutInCell="1" allowOverlap="1" wp14:anchorId="6D7166EA" wp14:editId="328601FD">
                <wp:simplePos x="0" y="0"/>
                <wp:positionH relativeFrom="column">
                  <wp:posOffset>-114300</wp:posOffset>
                </wp:positionH>
                <wp:positionV relativeFrom="paragraph">
                  <wp:posOffset>-104775</wp:posOffset>
                </wp:positionV>
                <wp:extent cx="6229350" cy="8696325"/>
                <wp:effectExtent l="0" t="0" r="19050" b="28575"/>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8696325"/>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8179E" id="Rectangle: Rounded Corners 946" o:spid="_x0000_s1026" style="position:absolute;margin-left:-9pt;margin-top:-8.25pt;width:490.5pt;height:684.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3PxQIAAOcFAAAOAAAAZHJzL2Uyb0RvYy54bWysVE1v2zAMvQ/YfxB0X524SdYYdYogRYcB&#10;QVu0HXpWZSn2JouapMTJfn0p+SNZV+wwzAfBFMlH8pHi5dW+VmQnrKtA53R8NqJEaA5FpTc5/fZ0&#10;8+mCEueZLpgCLXJ6EI5eLT5+uGxMJlIoQRXCEgTRLmtMTkvvTZYkjpeiZu4MjNColGBr5lG0m6Sw&#10;rEH0WiXpaDRLGrCFscCFc3h73SrpIuJLKbi/k9IJT1ROMTcfTxvPl3Ami0uWbSwzZcW7NNg/ZFGz&#10;SmPQAeqaeUa2tvoDqq64BQfSn3GoE5Cy4iLWgNWMR2+qeSyZEbEWJMeZgSb3/2D57e7ekqrI6Xwy&#10;o0SzGpv0gLQxvVEiIw+w1YUoyAqsxi6TYIWcNcZl6Ppo7m2o2pk18B8OFclvmiC4zmYvbR1ssWay&#10;jw04DA0Qe084Xs7SdH4+xT5x1F3M5rPzdBrCJSzr3Y11/ouAmoSfnNqQX8g3ss92a+djG4quFFZ8&#10;p0TWCpu6Y4pMprPzDrCzRegeMjhquKmUilOhdCwNVFWEuyiEsRQrZQmC5ZRxLrRPO0B3tETQ4B3J&#10;aOuPTPiDEgFG6QchkXSsOI15x3F/iztuVSUrRBtuOsKvD9ZnEsmJgAFZYqIDdgfQW57mPO5gOvvg&#10;KuJrGZxHf0usbcngESOD9oNzXWmw7wEoP0Ru7XuSWmoCSy9QHHAkLbRv1Rl+U2Gr18z5e2axjzge&#10;uHD8HR5SQZNT6P4oKcH+eu8+2OObQS0lDT72nLqfW2YFJeqrxtc0H08mYTtEYTL9nKJgTzUvpxq9&#10;rVeA7R/jajM8/gZ7r/pfaaF+xr20DFFRxTTH2Dnl3vbCyrdLCDcbF8tlNMONYJhf60fDA3hgNYzm&#10;0/6ZWdPNu8encgv9YmBZnOK2HUfb4KlhufUgKx+UR147AbdJHJxu84V1dSpHq+N+XrwCAAD//wMA&#10;UEsDBBQABgAIAAAAIQBBH0Uy4QAAAAwBAAAPAAAAZHJzL2Rvd25yZXYueG1sTI9BT8MwDIXvSPyH&#10;yEjctrSrVq2l6TSQQOOwA2NwzlqvrWicqsnW8O/xTuz2bD89f69YB9OLC46us6QgnkcgkCpbd9Qo&#10;OHy+zlYgnNdU694SKvhFB+vy/q7QeW0n+sDL3jeCQ8jlWkHr/ZBL6aoWjXZzOyDx7WRHoz2PYyPr&#10;UU8cbnq5iKJUGt0Rf2j1gC8tVj/7s1GwaJLn8L3dZG/xacqy98MufG13Sj0+hM0TCI/B/5vhis/o&#10;UDLT0Z6pdqJXMItX3MVfRboEwY4sTXhzZGuyZCXLQt6WKP8AAAD//wMAUEsBAi0AFAAGAAgAAAAh&#10;ALaDOJL+AAAA4QEAABMAAAAAAAAAAAAAAAAAAAAAAFtDb250ZW50X1R5cGVzXS54bWxQSwECLQAU&#10;AAYACAAAACEAOP0h/9YAAACUAQAACwAAAAAAAAAAAAAAAAAvAQAAX3JlbHMvLnJlbHNQSwECLQAU&#10;AAYACAAAACEAe7Ltz8UCAADnBQAADgAAAAAAAAAAAAAAAAAuAgAAZHJzL2Uyb0RvYy54bWxQSwEC&#10;LQAUAAYACAAAACEAQR9FMuEAAAAMAQAADwAAAAAAAAAAAAAAAAAfBQAAZHJzL2Rvd25yZXYueG1s&#10;UEsFBgAAAAAEAAQA8wAAAC0GAAAAAA==&#10;" filled="f" strokecolor="#be4a35 [3205]" strokeweight="2pt">
                <v:path arrowok="t"/>
              </v:roundrect>
            </w:pict>
          </mc:Fallback>
        </mc:AlternateContent>
      </w:r>
      <w:r>
        <w:rPr>
          <w:b/>
          <w:i/>
          <w:noProof/>
          <w:color w:val="F07E31" w:themeColor="accent1"/>
          <w:lang w:bidi="ar-SA"/>
        </w:rPr>
        <mc:AlternateContent>
          <mc:Choice Requires="wps">
            <w:drawing>
              <wp:inline distT="0" distB="0" distL="0" distR="0" wp14:anchorId="5A071ECD" wp14:editId="5E357AC8">
                <wp:extent cx="6093460" cy="2609850"/>
                <wp:effectExtent l="0" t="0" r="2540" b="0"/>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470F0E" w:rsidRDefault="00470F0E" w:rsidP="005166F3">
                            <w:pPr>
                              <w:pStyle w:val="HHeading4"/>
                              <w:spacing w:before="0"/>
                              <w:jc w:val="both"/>
                              <w:rPr>
                                <w:rFonts w:cs="Arial"/>
                                <w:color w:val="373737"/>
                                <w:sz w:val="18"/>
                                <w:szCs w:val="18"/>
                              </w:rPr>
                            </w:pPr>
                            <w:r>
                              <w:rPr>
                                <w:noProof/>
                                <w:color w:val="373737"/>
                                <w:lang w:bidi="ar-SA"/>
                              </w:rPr>
                              <w:drawing>
                                <wp:inline distT="0" distB="0" distL="0" distR="0" wp14:anchorId="434B4474" wp14:editId="398DE557">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1: Ako možno pomocou logického modelu určiť rôzne možnosti na vytvorenie kontrafaktuálneho scenára a rozhodnúť sa, ktorý postup hodnotenia použiť?</w:t>
                            </w:r>
                          </w:p>
                          <w:p w:rsidR="00470F0E" w:rsidRPr="005D575A" w:rsidRDefault="00470F0E" w:rsidP="005166F3">
                            <w:pPr>
                              <w:pStyle w:val="HStandard"/>
                              <w:spacing w:after="0"/>
                              <w:rPr>
                                <w:rFonts w:cs="Arial"/>
                                <w:sz w:val="18"/>
                              </w:rPr>
                            </w:pPr>
                            <w:r>
                              <w:rPr>
                                <w:sz w:val="18"/>
                              </w:rPr>
                              <w:t xml:space="preserve">Používanie krokov v rozhodovacom strome v kontrafaktuálnej vrstve poskytuje usmernenie na zodpovedanie týchto hlavných otázok pri vytvorení kontrafaktuálneho scenára: </w:t>
                            </w:r>
                          </w:p>
                          <w:p w:rsidR="00470F0E" w:rsidRPr="005D575A" w:rsidRDefault="00470F0E" w:rsidP="005166F3">
                            <w:pPr>
                              <w:pStyle w:val="Hlistbullet"/>
                              <w:rPr>
                                <w:sz w:val="18"/>
                              </w:rPr>
                            </w:pPr>
                            <w:r>
                              <w:rPr>
                                <w:sz w:val="18"/>
                              </w:rPr>
                              <w:t>Aké možnosti sú dostupné na vytvorenie kontrafaktuálneho scenára?</w:t>
                            </w:r>
                          </w:p>
                          <w:p w:rsidR="00470F0E" w:rsidRPr="005D575A" w:rsidRDefault="00470F0E" w:rsidP="005166F3">
                            <w:pPr>
                              <w:pStyle w:val="Hlistbullet"/>
                              <w:rPr>
                                <w:sz w:val="18"/>
                              </w:rPr>
                            </w:pPr>
                            <w:r>
                              <w:rPr>
                                <w:sz w:val="18"/>
                              </w:rPr>
                              <w:t>Umožňuje vykonávanie a zavádzanie opatrení vytvorenie kontrolnej skupiny?</w:t>
                            </w:r>
                          </w:p>
                          <w:p w:rsidR="00470F0E" w:rsidRPr="005D575A" w:rsidRDefault="00470F0E" w:rsidP="005166F3">
                            <w:pPr>
                              <w:pStyle w:val="Hlistbullet"/>
                              <w:rPr>
                                <w:sz w:val="18"/>
                              </w:rPr>
                            </w:pPr>
                            <w:r>
                              <w:rPr>
                                <w:sz w:val="18"/>
                              </w:rPr>
                              <w:t>Nakoľko sú dostupné údaje o ostatných faktoroch, ktoré ovplyvňujú zvolené ukazovatele?</w:t>
                            </w:r>
                          </w:p>
                          <w:p w:rsidR="00470F0E" w:rsidRPr="005D575A" w:rsidRDefault="00470F0E" w:rsidP="005166F3">
                            <w:pPr>
                              <w:pStyle w:val="Hlistbullet"/>
                              <w:rPr>
                                <w:sz w:val="18"/>
                              </w:rPr>
                            </w:pPr>
                            <w:r>
                              <w:rPr>
                                <w:sz w:val="18"/>
                              </w:rPr>
                              <w:t>Sú pre zvolené ukazovatele k dispozícii údaje pre rôzne časové úseky (pred a po) pre podporené a nepodporené subjekty?</w:t>
                            </w:r>
                          </w:p>
                          <w:p w:rsidR="00470F0E" w:rsidRPr="00A41C7D" w:rsidRDefault="00470F0E" w:rsidP="005166F3">
                            <w:pPr>
                              <w:pStyle w:val="Hlistbullet"/>
                              <w:rPr>
                                <w:sz w:val="18"/>
                              </w:rPr>
                            </w:pPr>
                            <w:r>
                              <w:rPr>
                                <w:sz w:val="18"/>
                              </w:rPr>
                              <w:t>Je možné nákladovo efektívnym spôsobom použiť spoľahlivé štatistické metódy na kvantifikáciu čistých účinkov hodnotených opatrení?</w:t>
                            </w:r>
                          </w:p>
                          <w:p w:rsidR="00470F0E" w:rsidRPr="00C545E7" w:rsidRDefault="00470F0E"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5A071ECD"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52xAQAAOsOAAAOAAAAZHJzL2Uyb0RvYy54bWysV9GOozYUfa/Uf7B4rJQBE0NCNJnVTjKp&#10;Kk3b1W76AQ44ARVsapNJZqv+e6+NYcy0kKptHgjGx8e+91xfX99/uFYlemFSFYKvPXwXeIjxVGQF&#10;P629X/a72dJDqqE8o6XgbO29MuV9ePj2m/tLvWKhyEWZMYmAhKvVpV57edPUK99Xac4qqu5EzTh0&#10;HoWsaANNefIzSS/AXpV+GASxfxEyq6VImVLwddt2eg+G/3hkafPz8ahYg8q1B2trzFOa50E//Yd7&#10;ujpJWudFapdB/8UqKlpwmLSn2tKGorMs/kJVFakUShybu1RUvjgei5QZG8AaHLyz5ktOa2ZsAeeo&#10;uneT+v9o059ePklUZGsvCRIPcVqBSJ/BbZSfSrZC24KeBKcl2gjJQWb0WZx5xjKUGN9darUCii/1&#10;J6mtV/WzSH9V4FR/0KMbCjDocPlRZDADPTfC+Ot6lJUeCZ5AVyPLay8LuzYohY9xkMxJDOql0BdC&#10;axmZyX266oanZ9V8z4Shoi/Pqml1zeDNqJJZy/bAcqxKkPg7H+EoIEGMLqibwA7qsNjBBihHztQg&#10;dE8ZOjDLNM45d8ATnMSB3eSMHPAEZ+zAbnIuHHBIooQQMu4B2OO9UwE6DyIy7gGIsh5sPTrOjF29&#10;gnFS7Gp1m9WVbIrVVes2qyvaFKurl43B0eDCrmo3A9ZVbSISsCtYAOEPPxRH0Ty2+bCPbeyqNYkM&#10;h0pNcIauVtOcQ52mOF2lpjmHKk1xujpNc7oiTSOHCo2mnnCo0Gh4hK4+Nzf13NXob+MZUuqpS5o0&#10;7/JoeuU2kcIbgpNh7e0hhnRmrYXSeVvnVUjOe6wDCEgAp3sdeDKAg7AaPh+DQzS57KCZhkejcDyA&#10;gxwavhiFhwM4+FrDk1H4fADXOUnjIeeMGBuS4QBrLR43NxoOsPbicYPj4QBrMR6Y3OpglZNwpusi&#10;aB9CCEIZtNchBoXQXocQlEJ7CA5z/tW00cIb98MrujgHcP52/ur+SrywvTDIRkdBm5+Md7oD+g1S&#10;chdqY3WA7RDdf21IXaQ9iazfO1x6PhTpI/s6xh9GJIxatSBgLWkYY52IQEi7Eaz1ptseYu+7tUMH&#10;c3UraEnbuHDoAN8hun8Xad3VBlEHGE7gwuPFfG5itDfCfNAmdNKNqTAkTUuhWDurFtts2F51Y+Nb&#10;McXFrihLExil2dL9B2Oc1h7KNBsvumAzRe/vUEw+LZ+WZEbC+GlGgu129nG3IbN4hxfRdr7dbLb4&#10;Dx3CmKzyIssY19N0BTgm/6zAtVeBtnTuS3AlyiLTdHpxSp4Om1KiFwqxvzM/Gz0OzB8uwzgEbLHG&#10;dSbhkASPYTLbxcvFjOxINEsWwXIW4OQxiQOSkO1uaNJzwdl/N0lvQIjgoM2IzqrfGacPcQC1ug5g&#10;VdHAHassqrW37EF0lTOaPfHMaNvQomzfHV/o9b/5AvTulDbFva7n9TVLrZrr4WquEEs9u/5yENkr&#10;VPtSQKKBXQH3Q3jJhfzqoQvctdae+u1MJfNQ+QOHy0yCCQFYYxokWuhaQro9B7eH8hSo1l7aSA8O&#10;I93YNNCGQedaFqcc5mrPAy4+wj3jWOjbgFlzuy7bgBuVsc7e/vSVzW0b1Nsd9eFPAAAA//8DAFBL&#10;AwQUAAYACAAAACEAeXRvtd0AAAAFAQAADwAAAGRycy9kb3ducmV2LnhtbEyPQUvDQBCF70L/wzIF&#10;L8VuEjTYmE2xQvEiiq3gdZudJml3Z0N22sZ/7+pFLwOP93jvm3I5OivOOITOk4J0noBAqr3pqFHw&#10;sV3f3IMIrMlo6wkVfGGAZTW5KnVh/IXe8bzhRsQSCoVW0DL3hZShbtHpMPc9UvT2fnCaoxwaaQZ9&#10;ieXOyixJcul0R3Gh1T0+tVgfNyenoHtdrbLPWZrtty+z57V9YzrkrNT1dHx8AME48l8YfvAjOlSR&#10;aedPZIKwCuIj/Hujt7hb5CB2Cm7TNAFZlfI/ffUNAAD//wMAUEsBAi0AFAAGAAgAAAAhALaDOJL+&#10;AAAA4QEAABMAAAAAAAAAAAAAAAAAAAAAAFtDb250ZW50X1R5cGVzXS54bWxQSwECLQAUAAYACAAA&#10;ACEAOP0h/9YAAACUAQAACwAAAAAAAAAAAAAAAAAvAQAAX3JlbHMvLnJlbHNQSwECLQAUAAYACAAA&#10;ACEAdkY+dsQEAADrDgAADgAAAAAAAAAAAAAAAAAuAgAAZHJzL2Uyb0RvYy54bWxQSwECLQAUAAYA&#10;CAAAACEAeXRvtd0AAAAFAQAADwAAAAAAAAAAAAAAAAAeBwAAZHJzL2Rvd25yZXYueG1sUEsFBgAA&#10;AAAEAAQA8wAAACgIA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470F0E" w:rsidRDefault="00470F0E" w:rsidP="005166F3">
                      <w:pPr>
                        <w:pStyle w:val="HHeading4"/>
                        <w:spacing w:before="0"/>
                        <w:jc w:val="both"/>
                        <w:rPr>
                          <w:rFonts w:cs="Arial"/>
                          <w:color w:val="373737"/>
                          <w:sz w:val="18"/>
                          <w:szCs w:val="18"/>
                        </w:rPr>
                      </w:pPr>
                      <w:r>
                        <w:rPr>
                          <w:noProof/>
                          <w:color w:val="373737"/>
                          <w:lang w:bidi="ar-SA"/>
                        </w:rPr>
                        <w:drawing>
                          <wp:inline distT="0" distB="0" distL="0" distR="0" wp14:anchorId="434B4474" wp14:editId="398DE557">
                            <wp:extent cx="664845" cy="487680"/>
                            <wp:effectExtent l="0" t="0" r="0" b="7620"/>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1: Ako možno pomocou logického modelu určiť rôzne možnosti na vytvorenie kontrafaktuálneho scenára a rozhodnúť sa, ktorý postup hodnotenia použiť?</w:t>
                      </w:r>
                    </w:p>
                    <w:p w:rsidR="00470F0E" w:rsidRPr="005D575A" w:rsidRDefault="00470F0E" w:rsidP="005166F3">
                      <w:pPr>
                        <w:pStyle w:val="HStandard"/>
                        <w:spacing w:after="0"/>
                        <w:rPr>
                          <w:rFonts w:cs="Arial"/>
                          <w:sz w:val="18"/>
                        </w:rPr>
                      </w:pPr>
                      <w:r>
                        <w:rPr>
                          <w:sz w:val="18"/>
                        </w:rPr>
                        <w:t xml:space="preserve">Používanie krokov v rozhodovacom strome v kontrafaktuálnej vrstve poskytuje usmernenie na zodpovedanie týchto hlavných otázok pri vytvorení kontrafaktuálneho scenára: </w:t>
                      </w:r>
                    </w:p>
                    <w:p w:rsidR="00470F0E" w:rsidRPr="005D575A" w:rsidRDefault="00470F0E" w:rsidP="005166F3">
                      <w:pPr>
                        <w:pStyle w:val="Hlistbullet"/>
                        <w:rPr>
                          <w:sz w:val="18"/>
                        </w:rPr>
                      </w:pPr>
                      <w:r>
                        <w:rPr>
                          <w:sz w:val="18"/>
                        </w:rPr>
                        <w:t>Aké možnosti sú dostupné na vytvorenie kontrafaktuálneho scenára?</w:t>
                      </w:r>
                    </w:p>
                    <w:p w:rsidR="00470F0E" w:rsidRPr="005D575A" w:rsidRDefault="00470F0E" w:rsidP="005166F3">
                      <w:pPr>
                        <w:pStyle w:val="Hlistbullet"/>
                        <w:rPr>
                          <w:sz w:val="18"/>
                        </w:rPr>
                      </w:pPr>
                      <w:r>
                        <w:rPr>
                          <w:sz w:val="18"/>
                        </w:rPr>
                        <w:t>Umožňuje vykonávanie a zavádzanie opatrení vytvorenie kontrolnej skupiny?</w:t>
                      </w:r>
                    </w:p>
                    <w:p w:rsidR="00470F0E" w:rsidRPr="005D575A" w:rsidRDefault="00470F0E" w:rsidP="005166F3">
                      <w:pPr>
                        <w:pStyle w:val="Hlistbullet"/>
                        <w:rPr>
                          <w:sz w:val="18"/>
                        </w:rPr>
                      </w:pPr>
                      <w:r>
                        <w:rPr>
                          <w:sz w:val="18"/>
                        </w:rPr>
                        <w:t>Nakoľko sú dostupné údaje o ostatných faktoroch, ktoré ovplyvňujú zvolené ukazovatele?</w:t>
                      </w:r>
                    </w:p>
                    <w:p w:rsidR="00470F0E" w:rsidRPr="005D575A" w:rsidRDefault="00470F0E" w:rsidP="005166F3">
                      <w:pPr>
                        <w:pStyle w:val="Hlistbullet"/>
                        <w:rPr>
                          <w:sz w:val="18"/>
                        </w:rPr>
                      </w:pPr>
                      <w:r>
                        <w:rPr>
                          <w:sz w:val="18"/>
                        </w:rPr>
                        <w:t>Sú pre zvolené ukazovatele k dispozícii údaje pre rôzne časové úseky (pred a po) pre podporené a nepodporené subjekty?</w:t>
                      </w:r>
                    </w:p>
                    <w:p w:rsidR="00470F0E" w:rsidRPr="00A41C7D" w:rsidRDefault="00470F0E" w:rsidP="005166F3">
                      <w:pPr>
                        <w:pStyle w:val="Hlistbullet"/>
                        <w:rPr>
                          <w:sz w:val="18"/>
                        </w:rPr>
                      </w:pPr>
                      <w:r>
                        <w:rPr>
                          <w:sz w:val="18"/>
                        </w:rPr>
                        <w:t>Je možné nákladovo efektívnym spôsobom použiť spoľahlivé štatistické metódy na kvantifikáciu čistých účinkov hodnotených opatrení?</w:t>
                      </w:r>
                    </w:p>
                    <w:p w:rsidR="00470F0E" w:rsidRPr="00C545E7" w:rsidRDefault="00470F0E"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5934AE" w:rsidRDefault="00EC01C3" w:rsidP="00EB120C">
      <w:pPr>
        <w:pStyle w:val="HHeadingfigures"/>
        <w:tabs>
          <w:tab w:val="clear" w:pos="2666"/>
        </w:tabs>
      </w:pPr>
      <w:r>
        <w:t>Logický model na identifikáciu možností na vytvorenie kontrafaktuálneho scenára</w:t>
      </w:r>
    </w:p>
    <w:p w:rsidR="00727DDF" w:rsidRPr="00571D58" w:rsidRDefault="00C05B88" w:rsidP="00727DDF">
      <w:pPr>
        <w:pStyle w:val="HStandard"/>
      </w:pPr>
      <w:r>
        <w:rPr>
          <w:noProof/>
          <w:color w:val="auto"/>
          <w:sz w:val="18"/>
          <w:lang w:bidi="ar-SA"/>
        </w:rPr>
        <w:drawing>
          <wp:inline distT="0" distB="0" distL="0" distR="0">
            <wp:extent cx="5731510" cy="3602295"/>
            <wp:effectExtent l="0" t="0" r="2540" b="0"/>
            <wp:docPr id="896" name="Picture 896" descr="\\NET1.cec.eu.int\homes\102\mazanja\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02\mazanja\Desktop\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602295"/>
                    </a:xfrm>
                    <a:prstGeom prst="rect">
                      <a:avLst/>
                    </a:prstGeom>
                    <a:noFill/>
                    <a:ln>
                      <a:noFill/>
                    </a:ln>
                  </pic:spPr>
                </pic:pic>
              </a:graphicData>
            </a:graphic>
          </wp:inline>
        </w:drawing>
      </w:r>
      <w:r w:rsidR="00EC01C3">
        <w:rPr>
          <w:noProof/>
          <w:color w:val="auto"/>
          <w:sz w:val="18"/>
        </w:rPr>
        <w:t xml:space="preserve"> </w:t>
      </w:r>
    </w:p>
    <w:p w:rsidR="00EB120C" w:rsidRPr="00AC6A80" w:rsidRDefault="00EB120C" w:rsidP="00B42D5D">
      <w:pPr>
        <w:pStyle w:val="HSource"/>
      </w:pPr>
      <w:r>
        <w:t>Zdroj: upravené z dokumentu ENVIEVAL (2015).</w:t>
      </w:r>
    </w:p>
    <w:p w:rsidR="00EB120C" w:rsidRPr="007645B4" w:rsidRDefault="00EB120C" w:rsidP="00EB120C">
      <w:pPr>
        <w:pStyle w:val="Hlistbullet"/>
        <w:numPr>
          <w:ilvl w:val="0"/>
          <w:numId w:val="0"/>
        </w:numPr>
        <w:spacing w:before="0" w:after="0" w:line="280" w:lineRule="atLeast"/>
        <w:rPr>
          <w:rFonts w:cs="Arial"/>
          <w:sz w:val="18"/>
        </w:rPr>
      </w:pPr>
      <w:r>
        <w:rPr>
          <w:sz w:val="18"/>
        </w:rPr>
        <w:t xml:space="preserve">Logický model sa začína opisom zavádzania PRV a stavu údajov z hľadiska dostupných ukazovateľov vplyvu (a výsledkov) SMaH a prípadných zvolených doplnkových ukazovateľov(vyplnené tmavosivé rámčeky). Na základe súboru otázok na rozhodovanie (červené rámčeky) sa určia prípadné možnosti na vytvorenie kontrafaktuálneho scenára (vyplnené červené rámčeky). </w:t>
      </w:r>
    </w:p>
    <w:p w:rsidR="00EB120C" w:rsidRPr="00571D58" w:rsidRDefault="00EB120C" w:rsidP="00B42D5D">
      <w:pPr>
        <w:pStyle w:val="Hlistbullet"/>
        <w:numPr>
          <w:ilvl w:val="0"/>
          <w:numId w:val="0"/>
        </w:numPr>
        <w:spacing w:before="0" w:after="0" w:line="280" w:lineRule="atLeast"/>
        <w:jc w:val="center"/>
        <w:rPr>
          <w:i/>
          <w:color w:val="F07E31" w:themeColor="accent1"/>
          <w:sz w:val="18"/>
        </w:rPr>
      </w:pPr>
      <w:r>
        <w:rPr>
          <w:i/>
          <w:color w:val="F07E31" w:themeColor="accent1"/>
          <w:sz w:val="18"/>
        </w:rPr>
        <w:t xml:space="preserve">Prečítajte si viac o logických modeloch v dokumente </w:t>
      </w:r>
      <w:hyperlink r:id="rId44">
        <w:r>
          <w:rPr>
            <w:rStyle w:val="Hyperlink"/>
            <w:i/>
            <w:sz w:val="18"/>
          </w:rPr>
          <w:t>RP7 Výskumný projekt ENVIEVAL</w:t>
        </w:r>
      </w:hyperlink>
      <w:r>
        <w:rPr>
          <w:rStyle w:val="Hyperlink"/>
          <w:i/>
          <w:sz w:val="18"/>
          <w:u w:val="none"/>
        </w:rPr>
        <w:t xml:space="preserve"> a</w:t>
      </w:r>
      <w:r w:rsidR="009119D2">
        <w:rPr>
          <w:rStyle w:val="Hyperlink"/>
          <w:i/>
          <w:sz w:val="18"/>
          <w:u w:val="none"/>
        </w:rPr>
        <w:t xml:space="preserve"> </w:t>
      </w:r>
      <w:hyperlink r:id="rId45">
        <w:r>
          <w:rPr>
            <w:rStyle w:val="Hyperlink"/>
            <w:i/>
            <w:sz w:val="18"/>
          </w:rPr>
          <w:t>Metodickej príručke na hodnotenie vplyvu PRV na životné prostredie</w:t>
        </w:r>
      </w:hyperlink>
      <w:r>
        <w:t>.</w:t>
      </w:r>
    </w:p>
    <w:p w:rsidR="00EB120C" w:rsidRPr="00336531" w:rsidRDefault="00EB120C" w:rsidP="00EB120C">
      <w:pPr>
        <w:pStyle w:val="HStandar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D4194" w:rsidRPr="001C6ACF" w:rsidTr="00F74B7E">
        <w:tc>
          <w:tcPr>
            <w:tcW w:w="9026" w:type="dxa"/>
            <w:shd w:val="clear" w:color="auto" w:fill="auto"/>
          </w:tcPr>
          <w:p w:rsidR="006D4194" w:rsidRPr="00571D58" w:rsidRDefault="006D4194" w:rsidP="00010B08">
            <w:pPr>
              <w:pStyle w:val="Hlistbullet"/>
              <w:numPr>
                <w:ilvl w:val="0"/>
                <w:numId w:val="0"/>
              </w:numPr>
              <w:spacing w:before="0" w:after="0" w:line="280" w:lineRule="atLeast"/>
              <w:rPr>
                <w:sz w:val="18"/>
                <w:szCs w:val="18"/>
              </w:rPr>
            </w:pPr>
            <w:r>
              <w:lastRenderedPageBreak/>
              <w:br w:type="column"/>
            </w:r>
            <w:r>
              <w:rPr>
                <w:b/>
                <w:i/>
                <w:noProof/>
                <w:color w:val="F07E31" w:themeColor="accent1"/>
                <w:lang w:bidi="ar-SA"/>
              </w:rPr>
              <mc:AlternateContent>
                <mc:Choice Requires="wps">
                  <w:drawing>
                    <wp:inline distT="0" distB="0" distL="0" distR="0" wp14:anchorId="5F24A140" wp14:editId="1B4B0073">
                      <wp:extent cx="5567045" cy="8715375"/>
                      <wp:effectExtent l="0" t="0" r="14605" b="2857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715375"/>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391ECD" w:rsidRDefault="00470F0E" w:rsidP="005C7C25">
                                  <w:pPr>
                                    <w:pStyle w:val="HHeading4"/>
                                  </w:pPr>
                                  <w:r>
                                    <w:rPr>
                                      <w:noProof/>
                                      <w:color w:val="373737"/>
                                      <w:lang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2: Ako vytvoriť kontrolnú skupinu na mikroúrovni? (súvisí s druhou vrstvou)</w:t>
                                  </w:r>
                                </w:p>
                                <w:p w:rsidR="00470F0E" w:rsidRPr="007008C0" w:rsidRDefault="00470F0E" w:rsidP="005C7C25">
                                  <w:pPr>
                                    <w:pStyle w:val="HStandard"/>
                                    <w:spacing w:after="0"/>
                                    <w:rPr>
                                      <w:rFonts w:cs="Arial"/>
                                      <w:color w:val="373737"/>
                                      <w:sz w:val="18"/>
                                      <w:szCs w:val="18"/>
                                    </w:rPr>
                                  </w:pPr>
                                  <w:r>
                                    <w:rPr>
                                      <w:color w:val="373737"/>
                                      <w:sz w:val="18"/>
                                    </w:rPr>
                                    <w:t>Kontrafaktuálna analýza na mikroúrovni by mala byť založená na porovnaniach medzi kontrolnými skupinami podporených a nepodporených subjektov, pričom skupiny by sa mali navzájom čo najviac podobať (z hľadiska pozorovateľných a nepozorovateľných charakteristík). Ak sú dve skupiny dostatočne štatisticky podobné (majú podobné charakteristiky), možno predpokladať, že rozdiely vo výsledkoch možno pripísať vplyvu programu. Kontrafaktuálna analýza umožňuje určenie príčinnej súvislosti – pripísanie pozorovaných zmien vo výsledkoch programu a súčasne eliminovať zavádzajúce faktory.</w:t>
                                  </w:r>
                                </w:p>
                                <w:p w:rsidR="00470F0E" w:rsidRPr="007008C0" w:rsidRDefault="00470F0E" w:rsidP="005C7C25">
                                  <w:pPr>
                                    <w:pStyle w:val="HStandard"/>
                                    <w:spacing w:after="0"/>
                                    <w:rPr>
                                      <w:rFonts w:cs="Arial"/>
                                      <w:color w:val="373737"/>
                                      <w:sz w:val="18"/>
                                      <w:szCs w:val="18"/>
                                    </w:rPr>
                                  </w:pPr>
                                </w:p>
                                <w:p w:rsidR="00470F0E" w:rsidRPr="007008C0" w:rsidRDefault="00470F0E" w:rsidP="005C7C25">
                                  <w:pPr>
                                    <w:pStyle w:val="HStandard"/>
                                    <w:spacing w:after="0"/>
                                    <w:rPr>
                                      <w:rFonts w:cs="Arial"/>
                                      <w:color w:val="373737"/>
                                      <w:sz w:val="18"/>
                                      <w:szCs w:val="18"/>
                                    </w:rPr>
                                  </w:pPr>
                                  <w:r>
                                    <w:rPr>
                                      <w:color w:val="373737"/>
                                      <w:sz w:val="18"/>
                                    </w:rPr>
                                    <w:t xml:space="preserve">Vytvorenie vhodnej kontrolnej skupiny môže byť náročné z dôvodu prevažujúceho samozaraďovania do programu a prísnych podmienok oprávnenosti programu. Podporené subjekty zaradené do posudzovania sa z hľadiska štruktúry, ako aj hospodárskej, environmentálnej a sociálno-hospodárskej výkonnosti </w:t>
                                  </w:r>
                                  <w:r w:rsidRPr="00490BAA">
                                    <w:rPr>
                                      <w:color w:val="373737"/>
                                      <w:sz w:val="18"/>
                                    </w:rPr>
                                    <w:t xml:space="preserve">môžu </w:t>
                                  </w:r>
                                  <w:r>
                                    <w:rPr>
                                      <w:color w:val="373737"/>
                                      <w:sz w:val="18"/>
                                    </w:rPr>
                                    <w:t>môžu značne</w:t>
                                  </w:r>
                                  <w:r w:rsidRPr="00490BAA">
                                    <w:rPr>
                                      <w:color w:val="373737"/>
                                      <w:sz w:val="18"/>
                                    </w:rPr>
                                    <w:t xml:space="preserve"> líšiť od nepodporených</w:t>
                                  </w:r>
                                  <w:r>
                                    <w:rPr>
                                      <w:color w:val="373737"/>
                                      <w:sz w:val="18"/>
                                    </w:rPr>
                                    <w:t xml:space="preserve"> subjektov. </w:t>
                                  </w:r>
                                </w:p>
                                <w:p w:rsidR="00470F0E" w:rsidRPr="007008C0" w:rsidRDefault="00470F0E" w:rsidP="005C7C25">
                                  <w:pPr>
                                    <w:pStyle w:val="HStandard"/>
                                    <w:spacing w:after="0"/>
                                    <w:rPr>
                                      <w:rFonts w:cs="Arial"/>
                                      <w:color w:val="373737"/>
                                      <w:sz w:val="18"/>
                                      <w:szCs w:val="18"/>
                                    </w:rPr>
                                  </w:pPr>
                                </w:p>
                                <w:p w:rsidR="00470F0E" w:rsidRPr="007008C0" w:rsidRDefault="00470F0E" w:rsidP="005C7C25">
                                  <w:pPr>
                                    <w:pStyle w:val="HStandard"/>
                                    <w:spacing w:after="0"/>
                                    <w:rPr>
                                      <w:rFonts w:cs="Arial"/>
                                      <w:color w:val="373737"/>
                                      <w:sz w:val="18"/>
                                      <w:szCs w:val="18"/>
                                    </w:rPr>
                                  </w:pPr>
                                  <w:r>
                                    <w:rPr>
                                      <w:color w:val="373737"/>
                                      <w:sz w:val="18"/>
                                    </w:rPr>
                                    <w:t>Vhodná kontrolná skupina sa tvorí takto:</w:t>
                                  </w:r>
                                </w:p>
                                <w:p w:rsidR="00470F0E" w:rsidRPr="007008C0" w:rsidRDefault="00470F0E" w:rsidP="005C7C25">
                                  <w:pPr>
                                    <w:pStyle w:val="Hlistbullet"/>
                                    <w:spacing w:before="0" w:after="0" w:line="280" w:lineRule="atLeast"/>
                                    <w:ind w:left="604" w:hanging="604"/>
                                    <w:rPr>
                                      <w:color w:val="373737"/>
                                      <w:sz w:val="18"/>
                                      <w:szCs w:val="18"/>
                                    </w:rPr>
                                  </w:pPr>
                                  <w:r>
                                    <w:rPr>
                                      <w:b/>
                                      <w:color w:val="F07E31" w:themeColor="accent1"/>
                                      <w:sz w:val="18"/>
                                    </w:rPr>
                                    <w:t>1. krok:</w:t>
                                  </w:r>
                                  <w:r>
                                    <w:rPr>
                                      <w:color w:val="373737"/>
                                      <w:sz w:val="18"/>
                                    </w:rPr>
                                    <w:t xml:space="preserve"> Nájdenie vzorky subjektov podporených z PRV (napr. poľnohospodárske podniky/poľnohospodári/nepoľnohospodárske podniky/komunity/oblasti/regióny) v dostupnej databáze (napr. FADN) a použitie monitorovacieho systému PRV ako referenčného bodu (napr. databáza platobnej agentúry). </w:t>
                                  </w:r>
                                </w:p>
                                <w:p w:rsidR="00470F0E" w:rsidRPr="00AF5661" w:rsidRDefault="00470F0E" w:rsidP="002632DB">
                                  <w:pPr>
                                    <w:pStyle w:val="Hlistbullet"/>
                                    <w:spacing w:line="280" w:lineRule="atLeast"/>
                                    <w:ind w:left="604" w:hanging="604"/>
                                    <w:rPr>
                                      <w:szCs w:val="18"/>
                                    </w:rPr>
                                  </w:pPr>
                                  <w:r w:rsidRPr="00905ED8">
                                    <w:rPr>
                                      <w:b/>
                                      <w:color w:val="F07E31" w:themeColor="accent1"/>
                                      <w:sz w:val="18"/>
                                    </w:rPr>
                                    <w:t>2. krok:</w:t>
                                  </w:r>
                                  <w:r>
                                    <w:t xml:space="preserve"> </w:t>
                                  </w:r>
                                  <w:r w:rsidRPr="00905ED8">
                                    <w:rPr>
                                      <w:color w:val="373737"/>
                                      <w:sz w:val="18"/>
                                    </w:rPr>
                                    <w:t>Výber zo všetkých relevantných jednotiek v databáze, ktoré v rovnakom období nedostali podporu z opatrení PRV (nepodporené subjekty).</w:t>
                                  </w:r>
                                </w:p>
                                <w:p w:rsidR="00470F0E" w:rsidRPr="00AF5661" w:rsidRDefault="00470F0E" w:rsidP="005C7C25">
                                  <w:pPr>
                                    <w:pStyle w:val="Hlistbullet"/>
                                    <w:spacing w:before="0" w:after="0" w:line="280" w:lineRule="atLeast"/>
                                    <w:ind w:left="604" w:hanging="604"/>
                                    <w:rPr>
                                      <w:color w:val="373737"/>
                                      <w:sz w:val="18"/>
                                      <w:szCs w:val="18"/>
                                    </w:rPr>
                                  </w:pPr>
                                  <w:r>
                                    <w:rPr>
                                      <w:b/>
                                      <w:color w:val="F07E31" w:themeColor="accent1"/>
                                      <w:sz w:val="18"/>
                                    </w:rPr>
                                    <w:t>3. krok:</w:t>
                                  </w:r>
                                  <w:r>
                                    <w:rPr>
                                      <w:color w:val="373737"/>
                                      <w:sz w:val="18"/>
                                    </w:rPr>
                                    <w:t xml:space="preserve"> Predbežný výber jednotiek, ktoré NESPĹŇAJÚ podmienky oprávnenosti programu (z dôvodu vysokého príjmu, veľkosti, umiestnenia atď.), zo skupiny nepodporených subjektov a ich odstránenie z analýzy. </w:t>
                                  </w:r>
                                </w:p>
                                <w:p w:rsidR="00470F0E" w:rsidRPr="007008C0" w:rsidRDefault="00470F0E" w:rsidP="005C7C25">
                                  <w:pPr>
                                    <w:pStyle w:val="Hlistbullet"/>
                                    <w:spacing w:before="0" w:after="0" w:line="280" w:lineRule="atLeast"/>
                                    <w:ind w:left="604" w:hanging="604"/>
                                    <w:rPr>
                                      <w:color w:val="373737"/>
                                      <w:sz w:val="18"/>
                                      <w:szCs w:val="18"/>
                                    </w:rPr>
                                  </w:pPr>
                                  <w:r>
                                    <w:rPr>
                                      <w:b/>
                                      <w:color w:val="F07E31" w:themeColor="accent1"/>
                                      <w:sz w:val="18"/>
                                    </w:rPr>
                                    <w:t>4. krok:</w:t>
                                  </w:r>
                                  <w:r>
                                    <w:rPr>
                                      <w:color w:val="373737"/>
                                      <w:sz w:val="18"/>
                                    </w:rPr>
                                    <w:t xml:space="preserve"> Zber údajov pre všetky jednotky v obidvoch skupinách (podporené a nepodporené subjekty) o ich hlavných charakteristikách (premenné) za rok 2013 (t. j. pred programom). Premenné zahrnuté do analýzy by mali ovplyvňovať výber jednotky aj ukazovatele počítané na mikroúrovni (spoločné a doplnkové ukazovatele vplyvu). Jednou z navrhnutých premenných (používanou ako dôležitá kontrolná premenná) môže byť: i) výška podpory, ktorú prijala daná jednotka (podporený a nepodporený subjekt) počas predchádzajúceho programového obdobia 2007 – 2013; a/alebo ii) výška podpory, ktorú prijala daná jednotka (podporený alebo nepodporený suubjekt) z iných verejných zdrojov (napr. štrukturálne fondy EÚ, prvý pilier) v analyzovanom období.</w:t>
                                  </w:r>
                                </w:p>
                                <w:p w:rsidR="00470F0E" w:rsidRPr="00AF5661" w:rsidRDefault="00470F0E" w:rsidP="005C7C25">
                                  <w:pPr>
                                    <w:pStyle w:val="Hlistbullet"/>
                                    <w:spacing w:before="0" w:after="0" w:line="280" w:lineRule="atLeast"/>
                                    <w:ind w:left="604" w:hanging="604"/>
                                    <w:rPr>
                                      <w:color w:val="373737"/>
                                      <w:sz w:val="18"/>
                                      <w:szCs w:val="18"/>
                                    </w:rPr>
                                  </w:pPr>
                                  <w:r>
                                    <w:rPr>
                                      <w:b/>
                                      <w:color w:val="F07E31" w:themeColor="accent1"/>
                                      <w:sz w:val="18"/>
                                    </w:rPr>
                                    <w:t>5. krok:</w:t>
                                  </w:r>
                                  <w:r>
                                    <w:rPr>
                                      <w:color w:val="373737"/>
                                      <w:sz w:val="18"/>
                                    </w:rPr>
                                    <w:t xml:space="preserve"> Použitie vhodných postupov (napr. párovanie), čo umožní zo vzorky nepodporených subjektov (pozri: kroky 2 a 3) určiť vhodnú kontrolnú skpts(niektoré z nepodporených a/alebo podporených subjektov sa vyradia z analýzy z dôvodu nedostatočných vhodných kontrolných jednotiek).</w:t>
                                  </w:r>
                                </w:p>
                                <w:p w:rsidR="00470F0E" w:rsidRPr="0025164E" w:rsidRDefault="00470F0E" w:rsidP="005C7C25">
                                  <w:pPr>
                                    <w:pStyle w:val="Hlistbullet"/>
                                    <w:spacing w:before="0" w:after="0" w:line="280" w:lineRule="atLeast"/>
                                    <w:ind w:left="604" w:hanging="604"/>
                                  </w:pPr>
                                  <w:r>
                                    <w:rPr>
                                      <w:b/>
                                      <w:color w:val="F07E31" w:themeColor="accent1"/>
                                      <w:sz w:val="18"/>
                                    </w:rPr>
                                    <w:t>6. krok:</w:t>
                                  </w:r>
                                  <w:r>
                                    <w:rPr>
                                      <w:color w:val="373737"/>
                                      <w:sz w:val="18"/>
                                    </w:rPr>
                                    <w:t xml:space="preserve"> Štatistická kontrola podobnosti obidvoch skupín pred prijatím podpory z programu (napr. vykonaním štatistických testov na kovariátoch zaradených do analýzy). Priemerná hodnota jednotky v skupine podporených subjektov by sa nemala výrazne odlišovať od príslušnej jednotky v kontrolnej skupine.</w:t>
                                  </w:r>
                                </w:p>
                                <w:p w:rsidR="00470F0E" w:rsidRPr="0025164E" w:rsidRDefault="00470F0E" w:rsidP="00735F08">
                                  <w:pPr>
                                    <w:pStyle w:val="Hlistbullet"/>
                                    <w:numPr>
                                      <w:ilvl w:val="0"/>
                                      <w:numId w:val="0"/>
                                    </w:numPr>
                                    <w:jc w:val="center"/>
                                    <w:rPr>
                                      <w:i/>
                                      <w:color w:val="F07E31" w:themeColor="accent1"/>
                                      <w:sz w:val="18"/>
                                      <w:szCs w:val="18"/>
                                    </w:rPr>
                                  </w:pPr>
                                  <w:r>
                                    <w:rPr>
                                      <w:i/>
                                      <w:color w:val="F07E31" w:themeColor="accent1"/>
                                      <w:sz w:val="18"/>
                                    </w:rPr>
                                    <w:t>Prečítajte si viac o návrhu kontrolných skupín, párovaní atď. v </w:t>
                                  </w:r>
                                  <w:hyperlink r:id="rId46" w:history="1">
                                    <w:r>
                                      <w:rPr>
                                        <w:rStyle w:val="Hyperlink"/>
                                        <w:i/>
                                        <w:color w:val="F07E31" w:themeColor="accent1"/>
                                        <w:sz w:val="18"/>
                                      </w:rPr>
                                      <w:t>Usmerneniach na hodnotenie ex post programov rozvoja vidieka na obdobie 2007 – 2013</w:t>
                                    </w:r>
                                  </w:hyperlink>
                                  <w:r>
                                    <w:rPr>
                                      <w:rStyle w:val="Hyperlink"/>
                                      <w:i/>
                                      <w:color w:val="F07E31" w:themeColor="accent1"/>
                                      <w:sz w:val="18"/>
                                    </w:rPr>
                                    <w:t>, kapitola 4</w:t>
                                  </w:r>
                                  <w:r>
                                    <w:t>.</w:t>
                                  </w:r>
                                </w:p>
                              </w:txbxContent>
                            </wps:txbx>
                            <wps:bodyPr rot="0" vert="horz" wrap="square" lIns="91440" tIns="45720" rIns="91440" bIns="45720" anchor="ctr" anchorCtr="0" upright="1">
                              <a:noAutofit/>
                            </wps:bodyPr>
                          </wps:wsp>
                        </a:graphicData>
                      </a:graphic>
                    </wp:inline>
                  </w:drawing>
                </mc:Choice>
                <mc:Fallback>
                  <w:pict>
                    <v:shape w14:anchorId="5F24A140" id="AutoShape 67" o:spid="_x0000_s1035" style="width:438.35pt;height:686.2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dXjQQAACkOAAAOAAAAZHJzL2Uyb0RvYy54bWysV9uO2zYQfS/QfyD0WGBXokzJF6w32Ni7&#10;RYG0CRDnA2hdLKGSqJL02pug/97hRV4yG8lFUT/Ionh0ODNnNBzevTu3DXouuKhZtw7wbRSgostY&#10;XneHdfBl93SzCJCQtMtpw7piHbwUInh3//NPd6d+VcSsYk1ecAQknVid+nVQSdmvwlBkVdFSccv6&#10;ooPJkvGWShjyQ5hzegL2tgnjKErDE+N5z1lWCAFPt2YyuNf8ZVlk8mNZikKiZh2AbVJfub7u1TW8&#10;v6OrA6d9VWfWDPofrGhp3cGiF6otlRQdef2Gqq0zzgQr5W3G2pCVZZ0V2gfwBkffefO5on2hfYHg&#10;iP4SJvH/0WZ/PH/iqM7XwTICqTragkgPR8n02iidqwiderEC4Of+E1c+iv4Dy/4UMBF6M2ogAIP2&#10;p99ZDjwUeHRUziVv1ZvgLzrr4L9cgl+cJcrgYZKk84gkAcpgbjHHyWyeqMVDuhpez45C/lowTUWf&#10;Pwhp1MvhTsc+t/bvQOmybUDIX0IUz9M0TtEJDQvYlwYsdrARqtCCgBDJkBkXytiBWaZxzpkDnuAk&#10;DuwqJ0Tm4tMEZ+rArnLOHfACx4TEZDwCkB4XA5J4GRG8HI/A0gHbiI4zY1evaJwUu1pdZ3Ulm2J1&#10;1brO6oo2xerqZXNwNLmwq9rVhHVVm8gE7AoWoTSCH0qTZJbaqnfJbeyqNYmMfaUmOGNXq2lOX6cp&#10;TlepaU5fpSlOV6dpTlekaaSv0GjpiX2FRtMjdvW5+lHPXI1+mM9QUg9D0aTVUEezc2cLKdwhqjbw&#10;HeSQqqw9E6puq7oKxXmHbV0GnJp14EsPDsIq+GwMDtnksoNmCj5U/TfskFIuHORQcL1DgUdv4bEH&#10;h1gr+HLUmJkHVzVJ4aHmmE3oLT/xX7De4nF3E/8F6y8edzj1X7AeY89l47pVjkPDo1qdXQwpCM3O&#10;TqUYtDs7lULQ8OwgOfT+11OphNfxhFt0cjbgCvZfuwmq+ZY9FzumkVJlgalPOjqaDAx4hTSdC7W5&#10;6mEHxPDfa1IXaXciG/cBlx33dfa++DrGv4jnc+gIrXuGlJAZXsIHDkIOHhnvzbTZxL6fVgH11hos&#10;MJaavHDoAD8ghn8XacNlkmgA+Au4cBzPFkP3YZ7bJ8oJz7sf6ODTZg0ThVlXya1bqYvu2svXdqpj&#10;T3XT6OA0ncqGOCEQTKW6YE2dq1k94If9puHomUKWvX8kD7Mhez1YW0to65u6hcCrfccaXhU0f+xy&#10;vYykdWPudQAVObSCNidVU6jb52/LaPm4eFyQGxKnjzck2m5vHp425CZ9wvNkO9tuNlv8t7ITk1VV&#10;53nRKVOHVh6Tf9cq20OFacIvzbznknA9f9I/m6EOLPTN0CEHX4Z/7Z1umlWfbBpred6fTQOu6FQP&#10;vWf5C3TRnJnTCpyu4KZi/GuATnBSWQfiryPlRYCa3zo4CiwxIZCUUg9IAh8BfPLuzN6doV0GVOsg&#10;kzyAIq8GGwljeOnY8/pQwVqmznZMnQPKWnXZ2mZjlx3AeUR7Zc9O6sDjjjXq9YR3/w8AAAD//wMA&#10;UEsDBBQABgAIAAAAIQA710xT3AAAAAYBAAAPAAAAZHJzL2Rvd25yZXYueG1sTI9BS8NAEIXvgv9h&#10;GcGb3bTSpsRsihSEKl6MRa+bZJoN3Z0N2W2T/ntHL/YyMLw3b76XbyZnxRmH0HlSMJ8lIJBq33TU&#10;Kth/vjysQYSoqdHWEyq4YIBNcXuT66zxI33guYyt4BAKmVZgYuwzKUNt0Okw8z0Sawc/OB15HVrZ&#10;DHrkcGflIklW0umO+IPRPW4N1sfy5Bijfd/5r/1ufDPuUtGhXG7t96tS93fT8xOIiFP8N8MvPt9A&#10;wUyVP1EThFXAReLfZG2drlIQFZse08USZJHLa/ziBwAA//8DAFBLAQItABQABgAIAAAAIQC2gziS&#10;/gAAAOEBAAATAAAAAAAAAAAAAAAAAAAAAABbQ29udGVudF9UeXBlc10ueG1sUEsBAi0AFAAGAAgA&#10;AAAhADj9If/WAAAAlAEAAAsAAAAAAAAAAAAAAAAALwEAAF9yZWxzLy5yZWxzUEsBAi0AFAAGAAgA&#10;AAAhANbzV1eNBAAAKQ4AAA4AAAAAAAAAAAAAAAAALgIAAGRycy9lMm9Eb2MueG1sUEsBAi0AFAAG&#10;AAgAAAAhADvXTFPcAAAABgEAAA8AAAAAAAAAAAAAAAAA5wYAAGRycy9kb3ducmV2LnhtbFBLBQYA&#10;AAAABAAEAPMAAADw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428399;5290419,8715375;0,8715375;0,8715375;0,286976;276626,0" o:connectangles="0,0,0,0,0,0,0,0,0" textboxrect="0,0,5567045,8401050"/>
                      <v:textbox>
                        <w:txbxContent>
                          <w:p w:rsidR="00470F0E" w:rsidRPr="00391ECD" w:rsidRDefault="00470F0E" w:rsidP="005C7C25">
                            <w:pPr>
                              <w:pStyle w:val="HHeading4"/>
                            </w:pPr>
                            <w:r>
                              <w:rPr>
                                <w:noProof/>
                                <w:color w:val="373737"/>
                                <w:lang w:bidi="ar-SA"/>
                              </w:rPr>
                              <w:drawing>
                                <wp:inline distT="0" distB="0" distL="0" distR="0" wp14:anchorId="2D6DF851" wp14:editId="6EDC12DD">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2: Ako vytvoriť kontrolnú skupinu na mikroúrovni? (súvisí s druhou vrstvou)</w:t>
                            </w:r>
                          </w:p>
                          <w:p w:rsidR="00470F0E" w:rsidRPr="007008C0" w:rsidRDefault="00470F0E" w:rsidP="005C7C25">
                            <w:pPr>
                              <w:pStyle w:val="HStandard"/>
                              <w:spacing w:after="0"/>
                              <w:rPr>
                                <w:rFonts w:cs="Arial"/>
                                <w:color w:val="373737"/>
                                <w:sz w:val="18"/>
                                <w:szCs w:val="18"/>
                              </w:rPr>
                            </w:pPr>
                            <w:r>
                              <w:rPr>
                                <w:color w:val="373737"/>
                                <w:sz w:val="18"/>
                              </w:rPr>
                              <w:t>Kontrafaktuálna analýza na mikroúrovni by mala byť založená na porovnaniach medzi kontrolnými skupinami podporených a nepodporených subjektov, pričom skupiny by sa mali navzájom čo najviac podobať (z hľadiska pozorovateľných a nepozorovateľných charakteristík). Ak sú dve skupiny dostatočne štatisticky podobné (majú podobné charakteristiky), možno predpokladať, že rozdiely vo výsledkoch možno pripísať vplyvu programu. Kontrafaktuálna analýza umožňuje určenie príčinnej súvislosti – pripísanie pozorovaných zmien vo výsledkoch programu a súčasne eliminovať zavádzajúce faktory.</w:t>
                            </w:r>
                          </w:p>
                          <w:p w:rsidR="00470F0E" w:rsidRPr="007008C0" w:rsidRDefault="00470F0E" w:rsidP="005C7C25">
                            <w:pPr>
                              <w:pStyle w:val="HStandard"/>
                              <w:spacing w:after="0"/>
                              <w:rPr>
                                <w:rFonts w:cs="Arial"/>
                                <w:color w:val="373737"/>
                                <w:sz w:val="18"/>
                                <w:szCs w:val="18"/>
                              </w:rPr>
                            </w:pPr>
                          </w:p>
                          <w:p w:rsidR="00470F0E" w:rsidRPr="007008C0" w:rsidRDefault="00470F0E" w:rsidP="005C7C25">
                            <w:pPr>
                              <w:pStyle w:val="HStandard"/>
                              <w:spacing w:after="0"/>
                              <w:rPr>
                                <w:rFonts w:cs="Arial"/>
                                <w:color w:val="373737"/>
                                <w:sz w:val="18"/>
                                <w:szCs w:val="18"/>
                              </w:rPr>
                            </w:pPr>
                            <w:r>
                              <w:rPr>
                                <w:color w:val="373737"/>
                                <w:sz w:val="18"/>
                              </w:rPr>
                              <w:t xml:space="preserve">Vytvorenie vhodnej kontrolnej skupiny môže byť náročné z dôvodu prevažujúceho samozaraďovania do programu a prísnych podmienok oprávnenosti programu. Podporené subjekty zaradené do posudzovania sa z hľadiska štruktúry, ako aj hospodárskej, environmentálnej a sociálno-hospodárskej výkonnosti </w:t>
                            </w:r>
                            <w:r w:rsidRPr="00490BAA">
                              <w:rPr>
                                <w:color w:val="373737"/>
                                <w:sz w:val="18"/>
                              </w:rPr>
                              <w:t xml:space="preserve">môžu </w:t>
                            </w:r>
                            <w:r>
                              <w:rPr>
                                <w:color w:val="373737"/>
                                <w:sz w:val="18"/>
                              </w:rPr>
                              <w:t>môžu značne</w:t>
                            </w:r>
                            <w:r w:rsidRPr="00490BAA">
                              <w:rPr>
                                <w:color w:val="373737"/>
                                <w:sz w:val="18"/>
                              </w:rPr>
                              <w:t xml:space="preserve"> líšiť od nepodporených</w:t>
                            </w:r>
                            <w:r>
                              <w:rPr>
                                <w:color w:val="373737"/>
                                <w:sz w:val="18"/>
                              </w:rPr>
                              <w:t xml:space="preserve"> subjektov. </w:t>
                            </w:r>
                          </w:p>
                          <w:p w:rsidR="00470F0E" w:rsidRPr="007008C0" w:rsidRDefault="00470F0E" w:rsidP="005C7C25">
                            <w:pPr>
                              <w:pStyle w:val="HStandard"/>
                              <w:spacing w:after="0"/>
                              <w:rPr>
                                <w:rFonts w:cs="Arial"/>
                                <w:color w:val="373737"/>
                                <w:sz w:val="18"/>
                                <w:szCs w:val="18"/>
                              </w:rPr>
                            </w:pPr>
                          </w:p>
                          <w:p w:rsidR="00470F0E" w:rsidRPr="007008C0" w:rsidRDefault="00470F0E" w:rsidP="005C7C25">
                            <w:pPr>
                              <w:pStyle w:val="HStandard"/>
                              <w:spacing w:after="0"/>
                              <w:rPr>
                                <w:rFonts w:cs="Arial"/>
                                <w:color w:val="373737"/>
                                <w:sz w:val="18"/>
                                <w:szCs w:val="18"/>
                              </w:rPr>
                            </w:pPr>
                            <w:r>
                              <w:rPr>
                                <w:color w:val="373737"/>
                                <w:sz w:val="18"/>
                              </w:rPr>
                              <w:t>Vhodná kontrolná skupina sa tvorí takto:</w:t>
                            </w:r>
                          </w:p>
                          <w:p w:rsidR="00470F0E" w:rsidRPr="007008C0" w:rsidRDefault="00470F0E" w:rsidP="005C7C25">
                            <w:pPr>
                              <w:pStyle w:val="Hlistbullet"/>
                              <w:spacing w:before="0" w:after="0" w:line="280" w:lineRule="atLeast"/>
                              <w:ind w:left="604" w:hanging="604"/>
                              <w:rPr>
                                <w:color w:val="373737"/>
                                <w:sz w:val="18"/>
                                <w:szCs w:val="18"/>
                              </w:rPr>
                            </w:pPr>
                            <w:r>
                              <w:rPr>
                                <w:b/>
                                <w:color w:val="F07E31" w:themeColor="accent1"/>
                                <w:sz w:val="18"/>
                              </w:rPr>
                              <w:t>1. krok:</w:t>
                            </w:r>
                            <w:r>
                              <w:rPr>
                                <w:color w:val="373737"/>
                                <w:sz w:val="18"/>
                              </w:rPr>
                              <w:t xml:space="preserve"> Nájdenie vzorky subjektov podporených z PRV (napr. poľnohospodárske podniky/poľnohospodári/nepoľnohospodárske podniky/komunity/oblasti/regióny) v dostupnej databáze (napr. FADN) a použitie monitorovacieho systému PRV ako referenčného bodu (napr. databáza platobnej agentúry). </w:t>
                            </w:r>
                          </w:p>
                          <w:p w:rsidR="00470F0E" w:rsidRPr="00AF5661" w:rsidRDefault="00470F0E" w:rsidP="002632DB">
                            <w:pPr>
                              <w:pStyle w:val="Hlistbullet"/>
                              <w:spacing w:line="280" w:lineRule="atLeast"/>
                              <w:ind w:left="604" w:hanging="604"/>
                              <w:rPr>
                                <w:szCs w:val="18"/>
                              </w:rPr>
                            </w:pPr>
                            <w:r w:rsidRPr="00905ED8">
                              <w:rPr>
                                <w:b/>
                                <w:color w:val="F07E31" w:themeColor="accent1"/>
                                <w:sz w:val="18"/>
                              </w:rPr>
                              <w:t>2. krok:</w:t>
                            </w:r>
                            <w:r>
                              <w:t xml:space="preserve"> </w:t>
                            </w:r>
                            <w:r w:rsidRPr="00905ED8">
                              <w:rPr>
                                <w:color w:val="373737"/>
                                <w:sz w:val="18"/>
                              </w:rPr>
                              <w:t>Výber zo všetkých relevantných jednotiek v databáze, ktoré v rovnakom období nedostali podporu z opatrení PRV (nepodporené subjekty).</w:t>
                            </w:r>
                          </w:p>
                          <w:p w:rsidR="00470F0E" w:rsidRPr="00AF5661" w:rsidRDefault="00470F0E" w:rsidP="005C7C25">
                            <w:pPr>
                              <w:pStyle w:val="Hlistbullet"/>
                              <w:spacing w:before="0" w:after="0" w:line="280" w:lineRule="atLeast"/>
                              <w:ind w:left="604" w:hanging="604"/>
                              <w:rPr>
                                <w:color w:val="373737"/>
                                <w:sz w:val="18"/>
                                <w:szCs w:val="18"/>
                              </w:rPr>
                            </w:pPr>
                            <w:r>
                              <w:rPr>
                                <w:b/>
                                <w:color w:val="F07E31" w:themeColor="accent1"/>
                                <w:sz w:val="18"/>
                              </w:rPr>
                              <w:t>3. krok:</w:t>
                            </w:r>
                            <w:r>
                              <w:rPr>
                                <w:color w:val="373737"/>
                                <w:sz w:val="18"/>
                              </w:rPr>
                              <w:t xml:space="preserve"> Predbežný výber jednotiek, ktoré NESPĹŇAJÚ podmienky oprávnenosti programu (z dôvodu vysokého príjmu, veľkosti, umiestnenia atď.), zo skupiny nepodporených subjektov a ich odstránenie z analýzy. </w:t>
                            </w:r>
                          </w:p>
                          <w:p w:rsidR="00470F0E" w:rsidRPr="007008C0" w:rsidRDefault="00470F0E" w:rsidP="005C7C25">
                            <w:pPr>
                              <w:pStyle w:val="Hlistbullet"/>
                              <w:spacing w:before="0" w:after="0" w:line="280" w:lineRule="atLeast"/>
                              <w:ind w:left="604" w:hanging="604"/>
                              <w:rPr>
                                <w:color w:val="373737"/>
                                <w:sz w:val="18"/>
                                <w:szCs w:val="18"/>
                              </w:rPr>
                            </w:pPr>
                            <w:r>
                              <w:rPr>
                                <w:b/>
                                <w:color w:val="F07E31" w:themeColor="accent1"/>
                                <w:sz w:val="18"/>
                              </w:rPr>
                              <w:t>4. krok:</w:t>
                            </w:r>
                            <w:r>
                              <w:rPr>
                                <w:color w:val="373737"/>
                                <w:sz w:val="18"/>
                              </w:rPr>
                              <w:t xml:space="preserve"> Zber údajov pre všetky jednotky v obidvoch skupinách (podporené a nepodporené subjekty) o ich hlavných charakteristikách (premenné) za rok 2013 (t. j. pred programom). Premenné zahrnuté do analýzy by mali ovplyvňovať výber jednotky aj ukazovatele počítané na mikroúrovni (spoločné a doplnkové ukazovatele vplyvu). Jednou z navrhnutých premenných (používanou ako dôležitá kontrolná premenná) môže byť: i) výška podpory, ktorú prijala daná jednotka (podporený a nepodporený subjekt) počas predchádzajúceho programového obdobia 2007 – 2013; a/alebo ii) výška podpory, ktorú prijala daná jednotka (podporený alebo nepodporený suubjekt) z iných verejných zdrojov (napr. štrukturálne fondy EÚ, prvý pilier) v analyzovanom období.</w:t>
                            </w:r>
                          </w:p>
                          <w:p w:rsidR="00470F0E" w:rsidRPr="00AF5661" w:rsidRDefault="00470F0E" w:rsidP="005C7C25">
                            <w:pPr>
                              <w:pStyle w:val="Hlistbullet"/>
                              <w:spacing w:before="0" w:after="0" w:line="280" w:lineRule="atLeast"/>
                              <w:ind w:left="604" w:hanging="604"/>
                              <w:rPr>
                                <w:color w:val="373737"/>
                                <w:sz w:val="18"/>
                                <w:szCs w:val="18"/>
                              </w:rPr>
                            </w:pPr>
                            <w:r>
                              <w:rPr>
                                <w:b/>
                                <w:color w:val="F07E31" w:themeColor="accent1"/>
                                <w:sz w:val="18"/>
                              </w:rPr>
                              <w:t>5. krok:</w:t>
                            </w:r>
                            <w:r>
                              <w:rPr>
                                <w:color w:val="373737"/>
                                <w:sz w:val="18"/>
                              </w:rPr>
                              <w:t xml:space="preserve"> Použitie vhodných postupov (napr. párovanie), čo umožní zo vzorky nepodporených subjektov (pozri: kroky 2 a 3) určiť vhodnú kontrolnú skpts(niektoré z nepodporených a/alebo podporených subjektov sa vyradia z analýzy z dôvodu nedostatočných vhodných kontrolných jednotiek).</w:t>
                            </w:r>
                          </w:p>
                          <w:p w:rsidR="00470F0E" w:rsidRPr="0025164E" w:rsidRDefault="00470F0E" w:rsidP="005C7C25">
                            <w:pPr>
                              <w:pStyle w:val="Hlistbullet"/>
                              <w:spacing w:before="0" w:after="0" w:line="280" w:lineRule="atLeast"/>
                              <w:ind w:left="604" w:hanging="604"/>
                            </w:pPr>
                            <w:r>
                              <w:rPr>
                                <w:b/>
                                <w:color w:val="F07E31" w:themeColor="accent1"/>
                                <w:sz w:val="18"/>
                              </w:rPr>
                              <w:t>6. krok:</w:t>
                            </w:r>
                            <w:r>
                              <w:rPr>
                                <w:color w:val="373737"/>
                                <w:sz w:val="18"/>
                              </w:rPr>
                              <w:t xml:space="preserve"> Štatistická kontrola podobnosti obidvoch skupín pred prijatím podpory z programu (napr. vykonaním štatistických testov na kovariátoch zaradených do analýzy). Priemerná hodnota jednotky v skupine podporených subjektov by sa nemala výrazne odlišovať od príslušnej jednotky v kontrolnej skupine.</w:t>
                            </w:r>
                          </w:p>
                          <w:p w:rsidR="00470F0E" w:rsidRPr="0025164E" w:rsidRDefault="00470F0E" w:rsidP="00735F08">
                            <w:pPr>
                              <w:pStyle w:val="Hlistbullet"/>
                              <w:numPr>
                                <w:ilvl w:val="0"/>
                                <w:numId w:val="0"/>
                              </w:numPr>
                              <w:jc w:val="center"/>
                              <w:rPr>
                                <w:i/>
                                <w:color w:val="F07E31" w:themeColor="accent1"/>
                                <w:sz w:val="18"/>
                                <w:szCs w:val="18"/>
                              </w:rPr>
                            </w:pPr>
                            <w:r>
                              <w:rPr>
                                <w:i/>
                                <w:color w:val="F07E31" w:themeColor="accent1"/>
                                <w:sz w:val="18"/>
                              </w:rPr>
                              <w:t>Prečítajte si viac o návrhu kontrolných skupín, párovaní atď. v </w:t>
                            </w:r>
                            <w:hyperlink r:id="rId47" w:history="1">
                              <w:r>
                                <w:rPr>
                                  <w:rStyle w:val="Hyperlink"/>
                                  <w:i/>
                                  <w:color w:val="F07E31" w:themeColor="accent1"/>
                                  <w:sz w:val="18"/>
                                </w:rPr>
                                <w:t>Usmerneniach na hodnotenie ex post programov rozvoja vidieka na obdobie 2007 – 2013</w:t>
                              </w:r>
                            </w:hyperlink>
                            <w:r>
                              <w:rPr>
                                <w:rStyle w:val="Hyperlink"/>
                                <w:i/>
                                <w:color w:val="F07E31" w:themeColor="accent1"/>
                                <w:sz w:val="18"/>
                              </w:rPr>
                              <w:t>, kapitola 4</w:t>
                            </w:r>
                            <w:r>
                              <w:t>.</w:t>
                            </w:r>
                          </w:p>
                        </w:txbxContent>
                      </v:textbox>
                      <w10:anchorlock/>
                    </v:shape>
                  </w:pict>
                </mc:Fallback>
              </mc:AlternateContent>
            </w:r>
          </w:p>
        </w:tc>
      </w:tr>
    </w:tbl>
    <w:p w:rsidR="00560A1E" w:rsidRPr="00571D58" w:rsidRDefault="000B213F" w:rsidP="00560A1E">
      <w:pPr>
        <w:pStyle w:val="HStandard"/>
      </w:pPr>
      <w:r>
        <w:rPr>
          <w:b/>
          <w:i/>
          <w:noProof/>
          <w:color w:val="F07E31" w:themeColor="accent1"/>
          <w:lang w:bidi="ar-SA"/>
        </w:rPr>
        <w:lastRenderedPageBreak/>
        <mc:AlternateContent>
          <mc:Choice Requires="wps">
            <w:drawing>
              <wp:inline distT="0" distB="0" distL="0" distR="0" wp14:anchorId="275CFA58" wp14:editId="34FCCF25">
                <wp:extent cx="5731510" cy="8639175"/>
                <wp:effectExtent l="0" t="0" r="21590" b="285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639175"/>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DD36A9" w:rsidRDefault="00470F0E" w:rsidP="006D4194">
                            <w:pPr>
                              <w:pStyle w:val="HHeading4"/>
                            </w:pPr>
                            <w:r>
                              <w:rPr>
                                <w:noProof/>
                                <w:lang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3: Kompromisy pri výbere hodnotiacich metód</w:t>
                            </w:r>
                          </w:p>
                          <w:p w:rsidR="00470F0E" w:rsidRDefault="00470F0E" w:rsidP="006D4194">
                            <w:pPr>
                              <w:pStyle w:val="HStandard"/>
                              <w:spacing w:after="0"/>
                              <w:rPr>
                                <w:rFonts w:cs="Arial"/>
                                <w:color w:val="373737"/>
                                <w:sz w:val="18"/>
                                <w:szCs w:val="18"/>
                              </w:rPr>
                            </w:pPr>
                            <w:r>
                              <w:rPr>
                                <w:color w:val="373737"/>
                                <w:sz w:val="18"/>
                              </w:rPr>
                              <w:t>Pri hodnotení sa za hlavné obmedzenie, ktoré limituje výber hodnotiacich metód, často považuje nedostupnosť údajov. Použitie „naivných“ hodnotiacich techník (bez kontrafaktuálneho scenára) v takýchto prípadoch však vedie k značnému narušeniu metodickej presnosti, vierohodnosti, spoľahlivosti a platnosti. Zainteresovaným stranám sa preto odporúča, aby zvážili kompromisy medzi potrebou údajov a možným skreslením výsledkov z dôvodu použitia slabších metód. Hodnotiace metódy, ktoré zabezpečujú vyššiu kvalitu výsledkov, majú zvyčajne vyššie požiadavky na údaje.</w:t>
                            </w:r>
                          </w:p>
                          <w:p w:rsidR="00470F0E" w:rsidRPr="006D4194" w:rsidRDefault="00470F0E" w:rsidP="006D4194">
                            <w:pPr>
                              <w:pStyle w:val="HStandard"/>
                              <w:spacing w:after="0"/>
                              <w:rPr>
                                <w:rFonts w:cs="Arial"/>
                                <w:color w:val="373737"/>
                                <w:sz w:val="18"/>
                                <w:szCs w:val="18"/>
                              </w:rPr>
                            </w:pPr>
                          </w:p>
                          <w:p w:rsidR="00470F0E" w:rsidRPr="009866F7" w:rsidRDefault="00470F0E" w:rsidP="006D4194">
                            <w:pPr>
                              <w:spacing w:before="0" w:after="0" w:line="240" w:lineRule="auto"/>
                              <w:rPr>
                                <w:rFonts w:cs="Arial"/>
                                <w:color w:val="373737"/>
                                <w:szCs w:val="18"/>
                                <w:highlight w:val="yellow"/>
                              </w:rPr>
                            </w:pPr>
                            <w:r>
                              <w:rPr>
                                <w:b/>
                                <w:color w:val="373737"/>
                              </w:rPr>
                              <w:t>Porovnanie metód</w:t>
                            </w:r>
                            <w:r>
                              <w:rPr>
                                <w:color w:val="373737"/>
                              </w:rPr>
                              <w:t xml:space="preserve"> (legenda: +++++ = najvyššie hodnotenie; + = najnižšie hodnotenie):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70F0E" w:rsidTr="00147AD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470F0E" w:rsidRPr="0025164E" w:rsidRDefault="00470F0E" w:rsidP="009811C2">
                                  <w:pPr>
                                    <w:jc w:val="center"/>
                                    <w:rPr>
                                      <w:rFonts w:cs="Arial"/>
                                      <w:szCs w:val="18"/>
                                    </w:rPr>
                                  </w:pPr>
                                  <w:r>
                                    <w:t>Metóda</w:t>
                                  </w:r>
                                </w:p>
                              </w:tc>
                              <w:tc>
                                <w:tcPr>
                                  <w:tcW w:w="1701" w:type="dxa"/>
                                </w:tcPr>
                                <w:p w:rsidR="00470F0E" w:rsidRPr="0025164E" w:rsidRDefault="00470F0E"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Vierohodnosť/presnosť, spoľahlivosť atď.</w:t>
                                  </w:r>
                                </w:p>
                              </w:tc>
                              <w:tc>
                                <w:tcPr>
                                  <w:tcW w:w="1701" w:type="dxa"/>
                                </w:tcPr>
                                <w:p w:rsidR="00470F0E" w:rsidRPr="0025164E" w:rsidRDefault="00470F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Schopnosť zmierniť výberové a iné skreslenie</w:t>
                                  </w:r>
                                </w:p>
                              </w:tc>
                              <w:tc>
                                <w:tcPr>
                                  <w:tcW w:w="1417" w:type="dxa"/>
                                </w:tcPr>
                                <w:p w:rsidR="00470F0E" w:rsidRPr="0025164E" w:rsidRDefault="00470F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Kvalita hodnotenia</w:t>
                                  </w:r>
                                </w:p>
                              </w:tc>
                              <w:tc>
                                <w:tcPr>
                                  <w:tcW w:w="1418" w:type="dxa"/>
                                </w:tcPr>
                                <w:p w:rsidR="00470F0E" w:rsidRPr="0025164E" w:rsidRDefault="00470F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Požiadavky na údaje</w:t>
                                  </w:r>
                                </w:p>
                              </w:tc>
                            </w:tr>
                            <w:tr w:rsidR="00470F0E" w:rsidTr="00147AD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541C44">
                                  <w:pPr>
                                    <w:jc w:val="left"/>
                                    <w:rPr>
                                      <w:rFonts w:cs="Arial"/>
                                      <w:szCs w:val="18"/>
                                    </w:rPr>
                                  </w:pPr>
                                  <w:r>
                                    <w:t>Experimentálny prístup</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541C44">
                                  <w:pPr>
                                    <w:jc w:val="left"/>
                                    <w:rPr>
                                      <w:rFonts w:cs="Arial"/>
                                      <w:szCs w:val="18"/>
                                    </w:rPr>
                                  </w:pPr>
                                  <w:r>
                                    <w:t>Kvázi-experimentálne prístupy</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Párovacie prístupy (v kombinácii s DiD)</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RDD</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Metóda inštrumentálnej premennej</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Metóda DiD</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905ED8">
                                  <w:pPr>
                                    <w:jc w:val="left"/>
                                    <w:rPr>
                                      <w:rFonts w:cs="Arial"/>
                                      <w:szCs w:val="18"/>
                                    </w:rPr>
                                  </w:pPr>
                                  <w:r>
                                    <w:t>Porovnanie s nepodporenými subjektmi v danom období (naivný postup)</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490BAA">
                                  <w:pPr>
                                    <w:jc w:val="left"/>
                                    <w:rPr>
                                      <w:rFonts w:cs="Arial"/>
                                      <w:szCs w:val="18"/>
                                    </w:rPr>
                                  </w:pPr>
                                  <w:r>
                                    <w:t>Porovnanie podporených subjektov pred programom a po programe (naivný postup)</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Uplatnenie kvalitatívnych postupov na odhad výsledkov/vplyvu programu</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70F0E" w:rsidRPr="00742E07" w:rsidRDefault="00470F0E" w:rsidP="00735F08">
                            <w:pPr>
                              <w:pStyle w:val="HStandard"/>
                              <w:jc w:val="center"/>
                              <w:rPr>
                                <w:i/>
                                <w:color w:val="F07E31" w:themeColor="accent1"/>
                              </w:rPr>
                            </w:pPr>
                            <w:r>
                              <w:rPr>
                                <w:i/>
                                <w:color w:val="F07E31" w:themeColor="accent1"/>
                                <w:sz w:val="18"/>
                              </w:rPr>
                              <w:t>Prečítajte si viac o kritériách výberu hodnotiacich postupov v </w:t>
                            </w:r>
                            <w:hyperlink r:id="rId48">
                              <w:r>
                                <w:rPr>
                                  <w:rStyle w:val="Hyperlink"/>
                                  <w:i/>
                                  <w:color w:val="F07E31" w:themeColor="accent1"/>
                                  <w:sz w:val="18"/>
                                </w:rPr>
                                <w:t>Usmerneniach na hodnotenie ex post programov rozvoja vidieka na obdobie 2007 – 2013</w:t>
                              </w:r>
                            </w:hyperlink>
                            <w:r>
                              <w:rPr>
                                <w:i/>
                                <w:color w:val="F07E31" w:themeColor="accent1"/>
                                <w:sz w:val="18"/>
                              </w:rPr>
                              <w:t>, kapitola 4.3.4.2.</w:t>
                            </w:r>
                          </w:p>
                        </w:txbxContent>
                      </wps:txbx>
                      <wps:bodyPr rot="0" vert="horz" wrap="square" lIns="91440" tIns="45720" rIns="91440" bIns="45720" anchor="ctr" anchorCtr="0" upright="1">
                        <a:noAutofit/>
                      </wps:bodyPr>
                    </wps:wsp>
                  </a:graphicData>
                </a:graphic>
              </wp:inline>
            </w:drawing>
          </mc:Choice>
          <mc:Fallback>
            <w:pict>
              <v:shape w14:anchorId="275CFA58" id="AutoShape 66" o:spid="_x0000_s1036" style="width:451.3pt;height:680.2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z4igQAACoOAAAOAAAAZHJzL2Uyb0RvYy54bWysV9uO2zYQfS/QfyD0WGBXom6WjfUGG3u3&#10;KJA2AeJ8AK2LJVQSVVJeexP03ztDUV4yG8lFUT/Ionh4yJkzHA7v3p2bmjznQla8XTv01nNI3qY8&#10;q9rD2vmye7pJHCJ71mas5m2+dl5y6by7//mnu1O3yn1e8jrLBQGSVq5O3dop+75bua5My7xh8pZ3&#10;eQudBRcN66EpDm4m2AnYm9r1PS92T1xkneBpLiV83Q6dzr3iL4o87T8Whcx7Uq8dWFuvnkI99/h0&#10;7+/Y6iBYV1apXgb7D6toWNXCpBeqLesZOYrqDVVTpYJLXvS3KW9cXhRVmisbwBrqfWfN55J1ubIF&#10;nCO7i5vk/0eb/vH8SZAqWztLb+GQljUg0sOx52puEsfooVMnVwD83H0SaKPsPvD0TwkdrtWDDQkY&#10;sj/9zjPgYcCjvHIuRIMjwV5yVs5/uTg/P/ckhY/RIqARBY1S6EviYEkXEU7ustU4PD3K/tecKyr2&#10;/EH2g3oZvCnfZ3r9O2ApmhqE/MUl/tJbJktyIuMEetCIpQbWIyVJwogm0RgZF0rfgGmmac7AAM9w&#10;hgbsKmdkgGc4YwN2lRMUv/gpobGXxHTaA7CTL+AoDL3Ip9MeWBpg7dFpZlT9Qu1Nk1JTq+uspmRz&#10;rKZa11lN0eZYTb10DE4GFzVVuxqwpmozkUBNwTwSe/AjcRQFak9DqrrENjXVmkX6tlIznL6p1Tyn&#10;rdMcp6nUPKet0hynqdM8pynSPNJWaDL1+LZCk+Hhm/pc3dSBqdEP4xlS6mFMmqwc82h6bnUihTfC&#10;8ADfQQxhZu24xLyNeRWS847qvAw47DXgSwsOwiI8mIJDNJnsoBnCx6z/hh1CyoSDHAhfTLL7Fhx8&#10;jfDlJDyw4JiTEA85ZziE3i4ntAdoa+m0uZE9QNtLpw2O7QHaYmqZDGLC0rRyAgoeLHV2PoQgFDs7&#10;DDEod3YYQlDw7CA41PnXsR6FV/6EV3IyDuASzl99CGJ/w5/zHVfIHqNgyE/KO4oMFvAKqVsTqmPV&#10;wo6I8b9TpCZSn0Ta7yMuPe6r9H3+dYo/CXwaLUbzBtLYoz5uBxBytGiwfugeDrHvu9Gh1lzjCoaV&#10;vqED/IgY/02kdtcQRCPAnsCE08DzE8sK/QWNsL7/QAebNq25zId5UW5VSl10V1a+llMtf6rqWjmn&#10;bjEa/Cj0hu0peV1l2IshIMVhv6kFeWYQZe8fw4dgjF4L1lQ9lPV11YDj8dzRCy9zlj22mZqmZ1U9&#10;vCsHIjmUgjomsShU5fM3qN4ek8ckvAn9+PEm9Lbbm4enTXgTP0F9uA22m82W/o3bhIarssqyvMWl&#10;jqU8Df9dqawvFUMRfinmLZMsy5/UT0eoAXPtZSiXgy3jv7JOFc1YJw+FdX/en1UBDhkHHINF9J5n&#10;L1BGCz5cV+B6BS8lF18dcoKrytqRfx2ZyB1S/9bCXWBJIZBhu6tGGC3wkBZmz97sYW0KVGsn7YUD&#10;WR4bmx7aMOjYiepQwlxDom05XgSKCststehhXboBFxJllr484Y3HbCvU6xXv/h8AAAD//wMAUEsD&#10;BBQABgAIAAAAIQAVwrhT2wAAAAYBAAAPAAAAZHJzL2Rvd25yZXYueG1sTI/BTsMwEETvSPyDtUjc&#10;qE1KoxDiVAgJwbEUDhydeBtHxOsQu2369yxc6GWk1Yxm3lbr2Q/igFPsA2m4XSgQSG2wPXUaPt6f&#10;bwoQMRmyZgiEGk4YYV1fXlSmtOFIb3jYpk5wCcXSaHApjaWUsXXoTVyEEYm9XZi8SXxOnbSTOXK5&#10;H2SmVC696YkXnBnxyWH7td17Dd+n3C132disXl82CjfFp8yKO62vr+bHBxAJ5/Qfhl98RoeamZqw&#10;JxvFoIEfSX/K3r3KchANh5a5WoGsK3mOX/8AAAD//wMAUEsBAi0AFAAGAAgAAAAhALaDOJL+AAAA&#10;4QEAABMAAAAAAAAAAAAAAAAAAAAAAFtDb250ZW50X1R5cGVzXS54bWxQSwECLQAUAAYACAAAACEA&#10;OP0h/9YAAACUAQAACwAAAAAAAAAAAAAAAAAvAQAAX3JlbHMvLnJlbHNQSwECLQAUAAYACAAAACEA&#10;mDhM+IoEAAAqDgAADgAAAAAAAAAAAAAAAAAuAgAAZHJzL2Uyb0RvYy54bWxQSwECLQAUAAYACAAA&#10;ACEAFcK4U9sAAAAGAQAADwAAAAAAAAAAAAAAAADkBgAAZHJzL2Rvd25yZXYueG1sUEsFBgAAAAAE&#10;AAQA8wAAAOwHA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341737;5440521,8639175;0,8639175;0,8639175;0,297438;290989,0" o:connectangles="0,0,0,0,0,0,0,0,0" textboxrect="0,0,5731510,8451850"/>
                <v:textbox>
                  <w:txbxContent>
                    <w:p w:rsidR="00470F0E" w:rsidRPr="00DD36A9" w:rsidRDefault="00470F0E" w:rsidP="006D4194">
                      <w:pPr>
                        <w:pStyle w:val="HHeading4"/>
                      </w:pPr>
                      <w:r>
                        <w:rPr>
                          <w:noProof/>
                          <w:lang w:bidi="ar-SA"/>
                        </w:rPr>
                        <w:drawing>
                          <wp:inline distT="0" distB="0" distL="0" distR="0" wp14:anchorId="0BCCA784" wp14:editId="454336EA">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3: Kompromisy pri výbere hodnotiacich metód</w:t>
                      </w:r>
                    </w:p>
                    <w:p w:rsidR="00470F0E" w:rsidRDefault="00470F0E" w:rsidP="006D4194">
                      <w:pPr>
                        <w:pStyle w:val="HStandard"/>
                        <w:spacing w:after="0"/>
                        <w:rPr>
                          <w:rFonts w:cs="Arial"/>
                          <w:color w:val="373737"/>
                          <w:sz w:val="18"/>
                          <w:szCs w:val="18"/>
                        </w:rPr>
                      </w:pPr>
                      <w:r>
                        <w:rPr>
                          <w:color w:val="373737"/>
                          <w:sz w:val="18"/>
                        </w:rPr>
                        <w:t>Pri hodnotení sa za hlavné obmedzenie, ktoré limituje výber hodnotiacich metód, často považuje nedostupnosť údajov. Použitie „naivných“ hodnotiacich techník (bez kontrafaktuálneho scenára) v takýchto prípadoch však vedie k značnému narušeniu metodickej presnosti, vierohodnosti, spoľahlivosti a platnosti. Zainteresovaným stranám sa preto odporúča, aby zvážili kompromisy medzi potrebou údajov a možným skreslením výsledkov z dôvodu použitia slabších metód. Hodnotiace metódy, ktoré zabezpečujú vyššiu kvalitu výsledkov, majú zvyčajne vyššie požiadavky na údaje.</w:t>
                      </w:r>
                    </w:p>
                    <w:p w:rsidR="00470F0E" w:rsidRPr="006D4194" w:rsidRDefault="00470F0E" w:rsidP="006D4194">
                      <w:pPr>
                        <w:pStyle w:val="HStandard"/>
                        <w:spacing w:after="0"/>
                        <w:rPr>
                          <w:rFonts w:cs="Arial"/>
                          <w:color w:val="373737"/>
                          <w:sz w:val="18"/>
                          <w:szCs w:val="18"/>
                        </w:rPr>
                      </w:pPr>
                    </w:p>
                    <w:p w:rsidR="00470F0E" w:rsidRPr="009866F7" w:rsidRDefault="00470F0E" w:rsidP="006D4194">
                      <w:pPr>
                        <w:spacing w:before="0" w:after="0" w:line="240" w:lineRule="auto"/>
                        <w:rPr>
                          <w:rFonts w:cs="Arial"/>
                          <w:color w:val="373737"/>
                          <w:szCs w:val="18"/>
                          <w:highlight w:val="yellow"/>
                        </w:rPr>
                      </w:pPr>
                      <w:r>
                        <w:rPr>
                          <w:b/>
                          <w:color w:val="373737"/>
                        </w:rPr>
                        <w:t>Porovnanie metód</w:t>
                      </w:r>
                      <w:r>
                        <w:rPr>
                          <w:color w:val="373737"/>
                        </w:rPr>
                        <w:t xml:space="preserve"> (legenda: +++++ = najvyššie hodnotenie; + = najnižšie hodnotenie):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470F0E" w:rsidTr="00147AD9">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470F0E" w:rsidRPr="0025164E" w:rsidRDefault="00470F0E" w:rsidP="009811C2">
                            <w:pPr>
                              <w:jc w:val="center"/>
                              <w:rPr>
                                <w:rFonts w:cs="Arial"/>
                                <w:szCs w:val="18"/>
                              </w:rPr>
                            </w:pPr>
                            <w:r>
                              <w:t>Metóda</w:t>
                            </w:r>
                          </w:p>
                        </w:tc>
                        <w:tc>
                          <w:tcPr>
                            <w:tcW w:w="1701" w:type="dxa"/>
                          </w:tcPr>
                          <w:p w:rsidR="00470F0E" w:rsidRPr="0025164E" w:rsidRDefault="00470F0E"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Vierohodnosť/presnosť, spoľahlivosť atď.</w:t>
                            </w:r>
                          </w:p>
                        </w:tc>
                        <w:tc>
                          <w:tcPr>
                            <w:tcW w:w="1701" w:type="dxa"/>
                          </w:tcPr>
                          <w:p w:rsidR="00470F0E" w:rsidRPr="0025164E" w:rsidRDefault="00470F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Schopnosť zmierniť výberové a iné skreslenie</w:t>
                            </w:r>
                          </w:p>
                        </w:tc>
                        <w:tc>
                          <w:tcPr>
                            <w:tcW w:w="1417" w:type="dxa"/>
                          </w:tcPr>
                          <w:p w:rsidR="00470F0E" w:rsidRPr="0025164E" w:rsidRDefault="00470F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Kvalita hodnotenia</w:t>
                            </w:r>
                          </w:p>
                        </w:tc>
                        <w:tc>
                          <w:tcPr>
                            <w:tcW w:w="1418" w:type="dxa"/>
                          </w:tcPr>
                          <w:p w:rsidR="00470F0E" w:rsidRPr="0025164E" w:rsidRDefault="00470F0E"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Požiadavky na údaje</w:t>
                            </w:r>
                          </w:p>
                        </w:tc>
                      </w:tr>
                      <w:tr w:rsidR="00470F0E" w:rsidTr="00147AD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541C44">
                            <w:pPr>
                              <w:jc w:val="left"/>
                              <w:rPr>
                                <w:rFonts w:cs="Arial"/>
                                <w:szCs w:val="18"/>
                              </w:rPr>
                            </w:pPr>
                            <w:r>
                              <w:t>Experimentálny prístup</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541C44">
                            <w:pPr>
                              <w:jc w:val="left"/>
                              <w:rPr>
                                <w:rFonts w:cs="Arial"/>
                                <w:szCs w:val="18"/>
                              </w:rPr>
                            </w:pPr>
                            <w:r>
                              <w:t>Kvázi-experimentálne prístupy</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Párovacie prístupy (v kombinácii s DiD)</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RDD</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Metóda inštrumentálnej premennej</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Metóda DiD</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905ED8">
                            <w:pPr>
                              <w:jc w:val="left"/>
                              <w:rPr>
                                <w:rFonts w:cs="Arial"/>
                                <w:szCs w:val="18"/>
                              </w:rPr>
                            </w:pPr>
                            <w:r>
                              <w:t>Porovnanie s nepodporenými subjektmi v danom období (naivný postup)</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490BAA">
                            <w:pPr>
                              <w:jc w:val="left"/>
                              <w:rPr>
                                <w:rFonts w:cs="Arial"/>
                                <w:szCs w:val="18"/>
                              </w:rPr>
                            </w:pPr>
                            <w:r>
                              <w:t>Porovnanie podporených subjektov pred programom a po programe (naivný postup)</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470F0E" w:rsidTr="00147A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70F0E" w:rsidRPr="009811C2" w:rsidRDefault="00470F0E" w:rsidP="00365997">
                            <w:pPr>
                              <w:jc w:val="left"/>
                              <w:rPr>
                                <w:rFonts w:cs="Arial"/>
                                <w:szCs w:val="18"/>
                              </w:rPr>
                            </w:pPr>
                            <w:r>
                              <w:t>Uplatnenie kvalitatívnych postupov na odhad výsledkov/vplyvu programu</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470F0E" w:rsidRPr="00B9614C" w:rsidRDefault="00470F0E"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470F0E" w:rsidRPr="00742E07" w:rsidRDefault="00470F0E" w:rsidP="00735F08">
                      <w:pPr>
                        <w:pStyle w:val="HStandard"/>
                        <w:jc w:val="center"/>
                        <w:rPr>
                          <w:i/>
                          <w:color w:val="F07E31" w:themeColor="accent1"/>
                        </w:rPr>
                      </w:pPr>
                      <w:r>
                        <w:rPr>
                          <w:i/>
                          <w:color w:val="F07E31" w:themeColor="accent1"/>
                          <w:sz w:val="18"/>
                        </w:rPr>
                        <w:t>Prečítajte si viac o kritériách výberu hodnotiacich postupov v </w:t>
                      </w:r>
                      <w:hyperlink r:id="rId49">
                        <w:r>
                          <w:rPr>
                            <w:rStyle w:val="Hyperlink"/>
                            <w:i/>
                            <w:color w:val="F07E31" w:themeColor="accent1"/>
                            <w:sz w:val="18"/>
                          </w:rPr>
                          <w:t>Usmerneniach na hodnotenie ex post programov rozvoja vidieka na obdobie 2007 – 2013</w:t>
                        </w:r>
                      </w:hyperlink>
                      <w:r>
                        <w:rPr>
                          <w:i/>
                          <w:color w:val="F07E31" w:themeColor="accent1"/>
                          <w:sz w:val="18"/>
                        </w:rPr>
                        <w:t>, kapitola 4.3.4.2.</w:t>
                      </w:r>
                    </w:p>
                  </w:txbxContent>
                </v:textbox>
                <w10:anchorlock/>
              </v:shape>
            </w:pict>
          </mc:Fallback>
        </mc:AlternateContent>
      </w:r>
    </w:p>
    <w:p w:rsidR="00820050" w:rsidRPr="001C6ACF" w:rsidRDefault="004A3547" w:rsidP="00820050">
      <w:pPr>
        <w:pStyle w:val="HHeading4"/>
      </w:pPr>
      <w:r>
        <w:br w:type="column"/>
      </w:r>
      <w:r>
        <w:lastRenderedPageBreak/>
        <w:t>Posúdenie na mikroúrovni a makroúrovni a oddelenie čistej hodnoty vplyvu (tretia vrstva)</w:t>
      </w:r>
    </w:p>
    <w:p w:rsidR="00820050" w:rsidRPr="00863E73" w:rsidRDefault="00820050" w:rsidP="00820050">
      <w:pPr>
        <w:pStyle w:val="HStandard"/>
        <w:rPr>
          <w:rFonts w:cs="Arial"/>
        </w:rPr>
      </w:pPr>
      <w:r>
        <w:t xml:space="preserve">Ďalej sa na </w:t>
      </w:r>
      <w:r>
        <w:rPr>
          <w:b/>
        </w:rPr>
        <w:t>mikroúrovni alebo makroúrovni</w:t>
      </w:r>
      <w:r>
        <w:t xml:space="preserve"> logického modelu spresňujú možností hodnotenia. Pracovný </w:t>
      </w:r>
      <w:r w:rsidR="001D70DD">
        <w:t>prístup</w:t>
      </w:r>
      <w:r>
        <w:t xml:space="preserve"> pre mikroúroveň a makroúroveň privedie hodnotiteľa k metódam, ktoré prispievajú ku konzistentnému posúdeniu </w:t>
      </w:r>
      <w:r>
        <w:rPr>
          <w:b/>
        </w:rPr>
        <w:t>čistých vplyvov na mikroúrovni a makroúrovni</w:t>
      </w:r>
      <w:r>
        <w:rPr>
          <w:rStyle w:val="FootnoteReference"/>
          <w:b/>
        </w:rPr>
        <w:footnoteReference w:id="28"/>
      </w:r>
      <w:r>
        <w:t xml:space="preserve">. Pre každý možný variant kontrafaktuálneho scenára sa vytvorí samostatný logický model na mikroúrovni. V niektorých koncepciách hodnotenia sa ako základ posúdenia na makroúrovni používajú zovšeobecnené zistenia získané na mikroúrovni V iných návrhoch hodnotenia sa posúdenia na mikroúrovni a makroúrovni navzájom dopĺňajú, čo si vyžaduje kontrolu konzistentnosti. </w:t>
      </w:r>
    </w:p>
    <w:p w:rsidR="00C545E7" w:rsidRPr="00571D58" w:rsidRDefault="000B213F" w:rsidP="00820050">
      <w:pPr>
        <w:pStyle w:val="HStandard"/>
        <w:spacing w:after="0"/>
        <w:rPr>
          <w:rFonts w:cs="Arial"/>
        </w:rPr>
      </w:pPr>
      <w:r>
        <w:rPr>
          <w:b/>
          <w:i/>
          <w:noProof/>
          <w:color w:val="F07E31" w:themeColor="accent1"/>
          <w:lang w:bidi="ar-SA"/>
        </w:rPr>
        <mc:AlternateContent>
          <mc:Choice Requires="wps">
            <w:drawing>
              <wp:inline distT="0" distB="0" distL="0" distR="0" wp14:anchorId="61A39BBA" wp14:editId="5C9A0DE1">
                <wp:extent cx="5731510" cy="1543050"/>
                <wp:effectExtent l="0" t="0" r="21590" b="1905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43050"/>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044269" w:rsidRDefault="00470F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Kvantitatívne dôkazy by sa mali interpretovať kriticky pomocou kvalitatívneho posúdenia.</w:t>
                            </w:r>
                            <w:r>
                              <w:rPr>
                                <w:b w:val="0"/>
                                <w:color w:val="373737" w:themeColor="text1"/>
                              </w:rPr>
                              <w:t xml:space="preserve"> Kvalitatívne posúdenie môže okrem toho pomôcť doplniť kvantitatívne posúdenie s cieľom: a) posúdiť reprezentatívnosť dostupných údajov; b) krížovo overiť zistenia; c) zachytiť rôzne rozmery rovnakého javu.</w:t>
                            </w:r>
                          </w:p>
                        </w:txbxContent>
                      </wps:txbx>
                      <wps:bodyPr rot="0" vert="horz" wrap="square" lIns="91440" tIns="45720" rIns="91440" bIns="45720" anchor="ctr" anchorCtr="0" upright="1">
                        <a:noAutofit/>
                      </wps:bodyPr>
                    </wps:wsp>
                  </a:graphicData>
                </a:graphic>
              </wp:inline>
            </w:drawing>
          </mc:Choice>
          <mc:Fallback>
            <w:pict>
              <v:shape w14:anchorId="61A39BBA" id="AutoShape 65" o:spid="_x0000_s1037" style="width:451.3pt;height:121.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5shAQAACgOAAAOAAAAZHJzL2Uyb0RvYy54bWysV9tu4zYQfS/QfyD0WCCRqJsjI84iG9tF&#10;gW27wLofQOtiCZVElZRjZ4v+e2coyiGzkbwo6gdZFA8POXOGw+H9h3NTk+dcyIq3K4feeg7J25Rn&#10;VXtYOX/stjd3DpE9azNW8zZfOS+5dD48/PjD/alb5j4veZ3lggBJK5enbuWUfd8tXVemZd4wecu7&#10;vIXOgouG9dAUBzcT7ATsTe36nhe7Jy6yTvA0lxK+rodO50HxF0We9r8Xhcx7Uq8cWFuvnkI99/h0&#10;H+7Z8iBYV1apXgb7D6toWNXCpBeqNesZOYrqG6qmSgWXvOhvU964vCiqNFc2gDXUe2PNl5J1ubIF&#10;nCO7i5vk/0eb/vb8WZAqWzmJ5zukZQ2I9HjsuZqbxBF66NTJJQC/dJ8F2ii7Tzz9U0KHa/VgQwKG&#10;7E+/8gx4GPAor5wL0eBIsJeclfNfLs7Pzz1J4WO0CGhEQaMU+mgUBl6k5HHZchyeHmX/c84VFXv+&#10;JPtBvQzelO8zvf4dsBRNDUL+5BLqx0EckhMZJ9CDRiw1sB4pCQ3DOFlQHRkXSnDOhVIzTXMGBniG&#10;MzRgVzkjAzzDGRuwq5wLA0wD34u9xbQHYCe/eiD2IhrG0x5IDLD26DQzqn6h9qZJqanVdVZTsjlW&#10;U63rrKZoc6ymXjoGJ4OLmqpdDVhTtZlIoKZgHok9+MGGjoL4bWxTU61ZpG8rNcPpm1rNc9o6zXGa&#10;Ss1z2irNcZo6zXOaIs0jbYUmU49vKzQZHr6pz9VNHZgavRvPkFIPY9Jk5ZhH03OrEym8EYYH+A5i&#10;CDNrxyXmbcyrkJx3KjkCCeCw14AnFhyERXiA8fYeHKLJZAfNEK6OnHfh1IKDHAhfTLL7Fhx8jfBk&#10;Eh5YcMxJiIecM7X60B6graXT5kb2AG0vnTY4tgdoi6ll8uAprZyAggdLnZ0PIQjFzg5DDMqdHYYQ&#10;FDw7CA51/nWsR+GV++GVnIwDuITzVx+C2N/w53zHFbLHKBjyk/LOeEC/QurWhOpYtbAjYvzvFKmJ&#10;1CeR9vuIS4/7Kv2Yf53ip0HiBYnObZo0XoRJABschBwtGqwf5hwOsbfd6FBrrnEFA+kQFwYd4EfE&#10;+G8hVf3xHcYMxFEcLVRAwK7Tq8QPaMIo3ZQK9qrTmst8CF0UW+3Ai+rKxtdiquXbqq6Va+oWY8GP&#10;Qm/YnJLXVYa9GABSHPZPtSDPDGLs4yZ8BOcOU1iwpuqhqK+rZuXc4amjF17mLNu0mZqmZ1U9vCv3&#10;ITkUgjoisSRUxfPfiZds7jZ34U3ox5ub0Fuvbx63T+FNvKWLaB2sn57W9B/cJDRcllWW5S0udSzk&#10;afh9hbK+Ugwl+KWUt0yyLN+q37eWu/YylMvBlvFfWadKZqySh7K6P+/Pqvwe8gyW0HuevUARLfhw&#10;WYHLFbyUXHx1yAkuKitH/nVkIndI/UsLN4EEQhFCp1eNMFrgES3Mnr3Zw9oUqFZO2gsHcjw2nnpo&#10;w6BjJ6pDCXMNabbleA0oKiyy1aKHdekGXEeUWfrqhPcds61Qrxe8h38BAAD//wMAUEsDBBQABgAI&#10;AAAAIQDSZ8Lz3AAAAAUBAAAPAAAAZHJzL2Rvd25yZXYueG1sTI/BTsMwEETvSP0Haytxo3YDVG2I&#10;U1VAJU5ICRFnN17iiHgd2W4b+HoMl3JZaTSjmbfFdrIDO6EPvSMJy4UAhtQ63VMnoXnb36yBhahI&#10;q8ERSvjCANtydlWoXLszVXiqY8dSCYVcSTAxjjnnoTVoVVi4ESl5H85bFZP0HddenVO5HXgmxIpb&#10;1VNaMGrER4PtZ320Ep73mX1qvt9d/bK5r14bX3VrY6S8nk+7B2ARp3gJwy9+QocyMR3ckXRgg4T0&#10;SPy7yduIbAXsICG7uxXAy4L/py9/AAAA//8DAFBLAQItABQABgAIAAAAIQC2gziS/gAAAOEBAAAT&#10;AAAAAAAAAAAAAAAAAAAAAABbQ29udGVudF9UeXBlc10ueG1sUEsBAi0AFAAGAAgAAAAhADj9If/W&#10;AAAAlAEAAAsAAAAAAAAAAAAAAAAALwEAAF9yZWxzLy5yZWxzUEsBAi0AFAAGAAgAAAAhAEbtrmyE&#10;BAAAKA4AAA4AAAAAAAAAAAAAAAAALgIAAGRycy9lMm9Eb2MueG1sUEsBAi0AFAAGAAgAAAAhANJn&#10;wvPcAAAABQEAAA8AAAAAAAAAAAAAAAAA3gYAAGRycy9kb3ducmV2LnhtbFBLBQYAAAAABAAEAPMA&#10;AADn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408295;5605146,1543050;0,1543050;0,1543050;0,134755;126364,0" o:connectangles="0,0,0,0,0,0,0,0,0" textboxrect="0,0,5731510,1446971"/>
                <v:textbox>
                  <w:txbxContent>
                    <w:p w:rsidR="00470F0E" w:rsidRPr="00044269" w:rsidRDefault="00470F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3E9E7F2E" wp14:editId="6181EF2F">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Kvantitatívne dôkazy by sa mali interpretovať kriticky pomocou kvalitatívneho posúdenia.</w:t>
                      </w:r>
                      <w:r>
                        <w:rPr>
                          <w:b w:val="0"/>
                          <w:color w:val="373737" w:themeColor="text1"/>
                        </w:rPr>
                        <w:t xml:space="preserve"> Kvalitatívne posúdenie môže okrem toho pomôcť doplniť kvantitatívne posúdenie s cieľom: a) posúdiť reprezentatívnosť dostupných údajov; b) krížovo overiť zistenia; c) zachytiť rôzne rozmery rovnakého javu.</w:t>
                      </w:r>
                    </w:p>
                  </w:txbxContent>
                </v:textbox>
                <w10:anchorlock/>
              </v:shape>
            </w:pict>
          </mc:Fallback>
        </mc:AlternateContent>
      </w:r>
    </w:p>
    <w:p w:rsidR="00820050" w:rsidRPr="007645B4" w:rsidRDefault="00820050" w:rsidP="00820050">
      <w:pPr>
        <w:pStyle w:val="HStandard"/>
        <w:spacing w:after="0"/>
        <w:rPr>
          <w:rFonts w:cs="Arial"/>
        </w:rPr>
      </w:pPr>
      <w:r>
        <w:t xml:space="preserve">Použitie krokov v rozhodovacom strome v mikrovrstvách a makrovrstvách pomáha zodpovedať pri navrhovaní hodnotiaceho </w:t>
      </w:r>
      <w:r w:rsidR="001D70DD">
        <w:t>prístup</w:t>
      </w:r>
      <w:r>
        <w:t>u tieto otázky:</w:t>
      </w:r>
    </w:p>
    <w:p w:rsidR="00820050" w:rsidRPr="001C6ACF" w:rsidRDefault="00820050" w:rsidP="00C42303">
      <w:pPr>
        <w:pStyle w:val="Hlistbullet"/>
      </w:pPr>
      <w:r>
        <w:t>Je na kvantifikáciu zmien hodnôt ukazovateľov nutné uplatniť osobitnú environmentálnu, sektorovú (poľnohospodársko-hospodársku) alebo sociálno-ekonomickú metódu alebo môžem priamo použiť hodnoty ukazovateľov pri súčasnom používaní kontrafaktuálnych metód?</w:t>
      </w:r>
    </w:p>
    <w:p w:rsidR="00820050" w:rsidRPr="001C6ACF" w:rsidRDefault="00820050" w:rsidP="00C42303">
      <w:pPr>
        <w:pStyle w:val="Hlistbullet"/>
      </w:pPr>
      <w:r>
        <w:t>Ak sa má použiť osobitná metóda, sú údaje vhodné na vykonanie jednej z metód dostupných pre hodnotenie vplyvu na životné prostredie, sektorových alebo sociálno-ekonomických vplyvov?</w:t>
      </w:r>
    </w:p>
    <w:p w:rsidR="00820050" w:rsidRPr="001C6ACF" w:rsidRDefault="00820050" w:rsidP="00C42303">
      <w:pPr>
        <w:pStyle w:val="Hlistbullet"/>
      </w:pPr>
      <w:r>
        <w:t>Je nutné zozbierať nové primárne údaje prostredníctvom štatistického výberu vzoriek, a aké nákladné to bude?</w:t>
      </w:r>
    </w:p>
    <w:p w:rsidR="00820050" w:rsidRPr="001C6ACF" w:rsidRDefault="00820050" w:rsidP="00C42303">
      <w:pPr>
        <w:pStyle w:val="Hlistbullet"/>
      </w:pPr>
      <w:r>
        <w:t>Je potrebné spracovať osobitné úlohy v záujme zlepšenia kvality údajov prieskumu/monitorovania?</w:t>
      </w:r>
    </w:p>
    <w:p w:rsidR="00820050" w:rsidRPr="001C6ACF" w:rsidRDefault="00820050" w:rsidP="00C42303">
      <w:pPr>
        <w:pStyle w:val="Hlistbullet"/>
      </w:pPr>
      <w:r>
        <w:t>Ak nemožno kvantifikovať zmeny hodnôt ukazovateľov alebo ak sú súvisiace náklady veľmi vysoké, aké alternatívne (kvalitatívne) metódy existujú na posúdenie zmien hodnôt ukazovateľov?</w:t>
      </w:r>
    </w:p>
    <w:p w:rsidR="00B00451" w:rsidRPr="001C6ACF" w:rsidRDefault="00B00451" w:rsidP="003708EA">
      <w:pPr>
        <w:pStyle w:val="Hlistbullet"/>
        <w:numPr>
          <w:ilvl w:val="0"/>
          <w:numId w:val="0"/>
        </w:numPr>
      </w:pPr>
    </w:p>
    <w:p w:rsidR="006D6205" w:rsidRPr="001C6ACF" w:rsidRDefault="006D6205" w:rsidP="003708EA">
      <w:pPr>
        <w:pStyle w:val="Hlistbullet"/>
        <w:numPr>
          <w:ilvl w:val="0"/>
          <w:numId w:val="0"/>
        </w:numPr>
      </w:pPr>
    </w:p>
    <w:p w:rsidR="006D6205" w:rsidRPr="00571D58" w:rsidRDefault="006D6205" w:rsidP="003708EA">
      <w:pPr>
        <w:pStyle w:val="Hlistbullet"/>
        <w:numPr>
          <w:ilvl w:val="0"/>
          <w:numId w:val="0"/>
        </w:numPr>
      </w:pPr>
      <w:r>
        <w:br w:type="column"/>
      </w:r>
      <w:r>
        <w:rPr>
          <w:b/>
          <w:i/>
          <w:noProof/>
          <w:color w:val="F07E31" w:themeColor="accent1"/>
          <w:lang w:bidi="ar-SA"/>
        </w:rPr>
        <w:lastRenderedPageBreak/>
        <mc:AlternateContent>
          <mc:Choice Requires="wps">
            <w:drawing>
              <wp:inline distT="0" distB="0" distL="0" distR="0" wp14:anchorId="1D134C61" wp14:editId="03650808">
                <wp:extent cx="5931535" cy="8763000"/>
                <wp:effectExtent l="0" t="0" r="12065" b="19050"/>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63000"/>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DD36A9" w:rsidRDefault="00470F0E" w:rsidP="006D6205">
                            <w:pPr>
                              <w:pStyle w:val="HHeading4"/>
                            </w:pPr>
                            <w:r>
                              <w:rPr>
                                <w:noProof/>
                                <w:lang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4: Ako posúdiť čisté účinky PRV? (súvisí s treťou vrstvou)</w:t>
                            </w:r>
                          </w:p>
                          <w:p w:rsidR="00470F0E" w:rsidRPr="00553149" w:rsidRDefault="00470F0E" w:rsidP="00AC0E3D">
                            <w:pPr>
                              <w:pStyle w:val="HStandard"/>
                              <w:spacing w:after="0"/>
                              <w:rPr>
                                <w:rFonts w:cs="Arial"/>
                                <w:szCs w:val="16"/>
                              </w:rPr>
                            </w:pPr>
                            <w:r>
                              <w:t xml:space="preserve">Posúdenie čistých účinkov programu na </w:t>
                            </w:r>
                            <w:r>
                              <w:rPr>
                                <w:b/>
                              </w:rPr>
                              <w:t>makroúrovni alebo na úrovni oblasti programu</w:t>
                            </w:r>
                            <w:r>
                              <w:t xml:space="preserve"> pri použití kontrafaktuálneho scenára možno vykonať pomocou dvoch zásadných postupov: </w:t>
                            </w:r>
                            <w:r>
                              <w:rPr>
                                <w:b/>
                              </w:rPr>
                              <w:t>Prvý postup</w:t>
                            </w:r>
                            <w:r>
                              <w:t xml:space="preserve"> je založený na mikroanalýze a extrapolácii jej výsledkov na makroúroveň. V </w:t>
                            </w:r>
                            <w:r>
                              <w:rPr>
                                <w:b/>
                              </w:rPr>
                              <w:t>druhom postupe</w:t>
                            </w:r>
                            <w:r>
                              <w:t xml:space="preserve"> sa využívajú analytické nástroje ako </w:t>
                            </w:r>
                            <w:hyperlink r:id="rId50">
                              <w:r>
                                <w:rPr>
                                  <w:rStyle w:val="Hyperlink"/>
                                </w:rPr>
                                <w:t>modely všeobecnej vypočítateľnej rovnováhy</w:t>
                              </w:r>
                            </w:hyperlink>
                            <w:r>
                              <w:t xml:space="preserve">, modely čiastočnej rovnováhy a priestorové ekonometrické modely a ďalšie techniky modelovania – keď sa príslušné parametre modelu (napr. koeficienty produktivity alebo emisií) odhadujú ekonometricky </w:t>
                            </w:r>
                            <w:r>
                              <w:rPr>
                                <w:b/>
                              </w:rPr>
                              <w:t>s prihliadnutím na</w:t>
                            </w:r>
                            <w:r>
                              <w:t xml:space="preserve"> spoľahlivé príčinné súvislosti, možné výberové skreslenie, endogeneitu a priestorové závislosti. Tento postup zahŕňa aj kombináciu postupu na makroúrovni zhora nadol (napr. modely s celoštátnym alebo regionálnym pokrytím) na hodnotenie vplyvov programu s postupom na mikroúrovni zdola nahor, pričom sa posudzujú čisté účinky rôznych opatrení alebo kombinácií opatrení.</w:t>
                            </w:r>
                          </w:p>
                          <w:p w:rsidR="00470F0E" w:rsidRPr="00553149" w:rsidRDefault="00470F0E" w:rsidP="00AC0E3D">
                            <w:pPr>
                              <w:pStyle w:val="HStandard"/>
                              <w:spacing w:after="0"/>
                              <w:rPr>
                                <w:rFonts w:cs="Arial"/>
                                <w:szCs w:val="16"/>
                              </w:rPr>
                            </w:pPr>
                          </w:p>
                          <w:p w:rsidR="00470F0E" w:rsidRPr="00553149" w:rsidRDefault="00470F0E" w:rsidP="00AC0E3D">
                            <w:pPr>
                              <w:pStyle w:val="HStandard"/>
                              <w:spacing w:after="0"/>
                              <w:rPr>
                                <w:rFonts w:cs="Arial"/>
                                <w:szCs w:val="16"/>
                              </w:rPr>
                            </w:pPr>
                            <w:r>
                              <w:t xml:space="preserve">Je dôležité uviesť, že bez ohľadu na zvolený postup je analýza čistých účinkov PRV možná len vtedy, ak sú dostupné dostatočné kvantitatívne údaje a používajú sa pokročilé metodické postupy. Prípadné použitie naivných kvantitatívnych možností hodnotenia (napr. porovnanie pred programom a po programe, používanie nevhodných kontrolných skupín atď.) môže značne skresliť získané výsledky čistých vplyvov obidvoma smermi (pozitívne alebo negatívne). </w:t>
                            </w:r>
                          </w:p>
                          <w:p w:rsidR="00470F0E" w:rsidRPr="00553149" w:rsidRDefault="00470F0E" w:rsidP="00AC0E3D">
                            <w:pPr>
                              <w:pStyle w:val="HStandard"/>
                              <w:spacing w:after="0"/>
                              <w:rPr>
                                <w:rFonts w:cs="Arial"/>
                                <w:szCs w:val="16"/>
                              </w:rPr>
                            </w:pPr>
                          </w:p>
                          <w:p w:rsidR="00470F0E" w:rsidRPr="00502017" w:rsidRDefault="00470F0E" w:rsidP="00AC0E3D">
                            <w:pPr>
                              <w:pStyle w:val="HStandard"/>
                              <w:spacing w:after="0"/>
                              <w:rPr>
                                <w:rFonts w:cs="Arial"/>
                                <w:szCs w:val="16"/>
                              </w:rPr>
                            </w:pPr>
                            <w:r>
                              <w:t xml:space="preserve">Pretože </w:t>
                            </w:r>
                            <w:r>
                              <w:rPr>
                                <w:b/>
                              </w:rPr>
                              <w:t>prvý postup</w:t>
                            </w:r>
                            <w:r>
                              <w:t xml:space="preserve"> (extrapolácia mikroanalýzy na makroúroveň programovej oblasti) je najjednoduchší a najsľubnejší, nižšie sa opisujú najdôležitejšie kroky. Prístup pozostáva z piatich hlavných krokov, ktoré platia pre ukazovatele sektorových vplyvov, vplyvu na životné prostredie a sociálno-ekonomických vplyvov. Základný rozdiel medzi analýzou čistého vplyvu PRV v týchto troch oblastiach je vymedzenie jednotiek, z ktorých vychádza analýza: napr. poľnohospodárske podniky (podniky) alebo administratívne regióny (napr. NUTS 4, NUTS 5 atď.) pre sektorové ukazovatele; pozemky alebo malé zemepisné regióny (regionálne priestorové údaje) pre environmentálne ukazovatele; a administratívne regióny (napr. NUTS 3, NUTS 4 alebo NUTS 5) pre sociálno-ekonomické ukazovatele. Ide o tieto kroky:</w:t>
                            </w:r>
                          </w:p>
                          <w:p w:rsidR="00470F0E" w:rsidRPr="00502017" w:rsidRDefault="00470F0E" w:rsidP="00AC0E3D">
                            <w:pPr>
                              <w:pStyle w:val="HStandard"/>
                              <w:spacing w:after="0"/>
                              <w:rPr>
                                <w:rFonts w:cs="Arial"/>
                                <w:szCs w:val="16"/>
                              </w:rPr>
                            </w:pPr>
                          </w:p>
                          <w:p w:rsidR="00470F0E" w:rsidRPr="00735F08" w:rsidRDefault="00470F0E" w:rsidP="00AC0E3D">
                            <w:pPr>
                              <w:pStyle w:val="Hlistbullet"/>
                              <w:numPr>
                                <w:ilvl w:val="0"/>
                                <w:numId w:val="0"/>
                              </w:numPr>
                              <w:jc w:val="left"/>
                              <w:rPr>
                                <w:szCs w:val="16"/>
                              </w:rPr>
                            </w:pPr>
                            <w:r>
                              <w:rPr>
                                <w:b/>
                                <w:color w:val="F07E31" w:themeColor="accent1"/>
                              </w:rPr>
                              <w:t>1. krok:</w:t>
                            </w:r>
                            <w:r>
                              <w:t xml:space="preserve"> Odhad </w:t>
                            </w:r>
                            <w:r>
                              <w:rPr>
                                <w:b/>
                              </w:rPr>
                              <w:t>priamych účinkov PRV na podporené subjekty na mikroúrovni</w:t>
                            </w:r>
                            <w:r>
                              <w:t>:</w:t>
                            </w:r>
                          </w:p>
                          <w:p w:rsidR="00470F0E" w:rsidRPr="00553149" w:rsidRDefault="00470F0E" w:rsidP="00EC01C3">
                            <w:pPr>
                              <w:pStyle w:val="HStandard"/>
                              <w:numPr>
                                <w:ilvl w:val="1"/>
                                <w:numId w:val="13"/>
                              </w:numPr>
                              <w:spacing w:after="0"/>
                              <w:ind w:left="924" w:hanging="357"/>
                              <w:rPr>
                                <w:rFonts w:cs="Arial"/>
                                <w:szCs w:val="16"/>
                              </w:rPr>
                            </w:pPr>
                            <w:r>
                              <w:t>Výpočet priemernej hodnoty spoločných alebo doplnkových ukazovateľov vplyvu pred podporou (napr. v roku 2013) a po podpore (napr. v rokoch 2018 alebo 2019) na mikroúrovni pre skupinu podporených subjektov a kontrolnú skupinu.</w:t>
                            </w:r>
                          </w:p>
                          <w:p w:rsidR="00470F0E" w:rsidRPr="00553149" w:rsidRDefault="00470F0E" w:rsidP="002632DB">
                            <w:pPr>
                              <w:pStyle w:val="HStandard"/>
                              <w:numPr>
                                <w:ilvl w:val="1"/>
                                <w:numId w:val="13"/>
                              </w:numPr>
                              <w:spacing w:after="0"/>
                              <w:rPr>
                                <w:rFonts w:cs="Arial"/>
                                <w:szCs w:val="16"/>
                              </w:rPr>
                            </w:pPr>
                            <w:r>
                              <w:t xml:space="preserve">Výpočet špecifických politických ukazovateľov [napr. priemerné účinky </w:t>
                            </w:r>
                            <w:r w:rsidRPr="002632DB">
                              <w:t>podpory na podporených</w:t>
                            </w:r>
                            <w:r>
                              <w:t xml:space="preserve"> (ATT)], pričom ako výstup sa použijú relevantné spoločné alebo doplnkové ukazovatele vplyvu. Výpočet </w:t>
                            </w:r>
                            <w:r>
                              <w:rPr>
                                <w:b/>
                              </w:rPr>
                              <w:t>čistých priamych účinkov PRV na uvedené ukazovatele</w:t>
                            </w:r>
                            <w:r>
                              <w:t xml:space="preserve"> kombináciou vypočítaných priemerných účinkov ATT s metódou rozdiel v rozdieloch.</w:t>
                            </w:r>
                          </w:p>
                          <w:p w:rsidR="00470F0E" w:rsidRPr="00553149" w:rsidRDefault="00470F0E" w:rsidP="00EC01C3">
                            <w:pPr>
                              <w:pStyle w:val="HStandard"/>
                              <w:numPr>
                                <w:ilvl w:val="1"/>
                                <w:numId w:val="13"/>
                              </w:numPr>
                              <w:spacing w:after="0"/>
                              <w:ind w:left="924" w:hanging="357"/>
                              <w:rPr>
                                <w:rFonts w:cs="Arial"/>
                                <w:szCs w:val="16"/>
                              </w:rPr>
                            </w:pPr>
                            <w:r>
                              <w:t>Vykonanie analýzy citlivosti získaných výsledkov.</w:t>
                            </w:r>
                          </w:p>
                          <w:p w:rsidR="00470F0E" w:rsidRDefault="00470F0E" w:rsidP="00AC0E3D">
                            <w:pPr>
                              <w:pStyle w:val="Hlistbullet"/>
                              <w:numPr>
                                <w:ilvl w:val="0"/>
                                <w:numId w:val="0"/>
                              </w:numPr>
                              <w:spacing w:before="0" w:after="120" w:line="280" w:lineRule="atLeast"/>
                              <w:rPr>
                                <w:rFonts w:cs="Arial"/>
                                <w:szCs w:val="16"/>
                              </w:rPr>
                            </w:pPr>
                            <w:r>
                              <w:rPr>
                                <w:b/>
                                <w:color w:val="F07E31" w:themeColor="accent1"/>
                              </w:rPr>
                              <w:t xml:space="preserve">2. krok: </w:t>
                            </w:r>
                            <w:r>
                              <w:t xml:space="preserve">Odhad </w:t>
                            </w:r>
                            <w:r>
                              <w:rPr>
                                <w:b/>
                              </w:rPr>
                              <w:t>nepriamych účinkov PRV na podporené subjekty na mikroúrovni</w:t>
                            </w:r>
                            <w:r>
                              <w:t>: Pozorovaná zmena hodnoty ukazovateľov by sa opäť mala rozdeliť na zmeny spôsobené programom (celkový účinok primárnych a sekundárnych prínosov) a zmeny spôsobené inými faktormi.</w:t>
                            </w:r>
                            <w:r>
                              <w:rPr>
                                <w:color w:val="auto"/>
                              </w:rPr>
                              <w:t xml:space="preserve"> </w:t>
                            </w:r>
                            <w:r>
                              <w:t xml:space="preserve">Nepriame účinky programu (napr. substitučný účinok, efekt premiestnenia, multiplikačný účinok) PRV by sa mali počítať a prezentovať samostatne. </w:t>
                            </w:r>
                          </w:p>
                          <w:p w:rsidR="00470F0E" w:rsidRPr="00027601" w:rsidRDefault="00470F0E"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1D134C61" id="AutoShape 64" o:spid="_x0000_s1038" style="width:467.05pt;height:690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hyjAQAACoOAAAOAAAAZHJzL2Uyb0RvYy54bWysV22PozYQ/l6p/8HiY6VdMG+BaLOnvc1u&#10;VenannTpD3B4CaiAqU02uav63ztjTNa+Pcipaj4QjB8ez8wzjMd3785tQ14KIWvebRx66zmk6DKe&#10;191h4/yxe75JHCIH1uWs4V2xcT4X0nl3/+MPd6d+Xfi84k1eCAIknVyf+o1TDUO/dl2ZVUXL5C3v&#10;iw4mSy5aNsBQHNxcsBOwt43re17snrjIe8GzQkp4uh0nnXvFX5ZFNvxelrIYSLNxwLZBXYW67vHq&#10;3t+x9UGwvqozbQb7D1a0rO5g0QvVlg2MHEX9hqqtM8ElL4fbjLcuL8s6K5QP4A31vvLmU8X6QvkC&#10;wZH9JUzy/6PNfnv5KEidb5zUow7pWAsiPRwHrtYmcYgROvVyDcBP/UeBPsr+A8/+lDDhWjM4kIAh&#10;+9OvPAceBjwqKudStPgm+EvOKvifL8EvzgPJ4GGUBjQKIodkMJes4sDzlDwuW0+vZ0c5/FxwRcVe&#10;PshhVC+HOxX7XNu/A6XLtgEhf3JJRBOPBuREcIF4FWjJL1jw+oL1SEWSeOUlVPkNcl5gvgHTTPOc&#10;gQFe4AwN2FVOiMz32BkbsKucKwOc0MiHSM1HAL7kiwFRSIM49uYjkBpgHdF5ZmrqtUBKTa2us5qS&#10;LbGaal1nNUVbYjX10jk4m1zUUu1awpqqLWQXNQXzSAzfE1yjKIjffAKmWotI31ZqgdM3tVrmtHVa&#10;4jSVWua0VVriNHVa5jRFWkbaCs2WHt9WaDY9fFOfqx91YGr0zXyGknqYiiarpjqanTtdSOGOMNzA&#10;d5BDWFl7LrFuY12F4ryjmEBAAjicNeCpBQdhEa5K7rfgkE0mO2iG8GiOHVLKhIMcCF/Nwn0LDrFG&#10;eDoLDyw41iTEQ82ZcdYP7Re0t3Te3ch+QftL5x2O7Re0x9RyeQysVk5Aw4Otzs6HFIRmZ4cpBu3O&#10;DlMIGp4dJIfaNHs2oPAqnnBLTuMGjPsjqWD/1Zsgzrf8pdhxhRwwC8ZipqIzbdCvkKazoHrLxUhO&#10;2Akx/fcjqYHUO5GO+4TLjvs6e198meNPwiBJUl+7N5LGabqKoBDB8pNHo/fj9LiJfT2NAbXWmiwY&#10;LR3zwqAD/ISY/k2kDteYRBPAXsCE+wFNfcsL/eQSQ/gc53SwabOGy2JcF+VWn+xFd+XlazvV8ee6&#10;aVRwmg6zwY9C6L9QdcmbOsdZNRCH/WMjyAuDLHv/FD5AxzYuYcHaeoC2vqlbCDzuOzrrqoLlT12u&#10;lhlY3Yz3KoBIDq2gzklsClX7/HfqpU/JUxLehH78dBN62+3Nw/NjeBM/01W0DbaPj1v6D9pJw3VV&#10;53nRoalTK0/D72uV9aFibMIvzbzlkjQ9f1a/t567thkq5ODL9K+8U00z9sljYz2c92fVgFOlOjbR&#10;e55/hjZa8PG4AscruKm4+OKQExxVNo7868hE4ZDmlw7OAikNQ8jKQQ3CaIWbtDBn9uYM6zKg2jjZ&#10;IByo8jh4HGAMLx17UR8qWGsstB3Hg0BZY5utjB7t0gM4kCi39OEJTzzmWKFej3j3/wIAAP//AwBQ&#10;SwMEFAAGAAgAAAAhACaM+sLcAAAABgEAAA8AAABkcnMvZG93bnJldi54bWxMj8FqwzAQRO+F/IPY&#10;QG+N5KaExLUcQsEUerPbkKtibW0n1spYSuL+fbe9tJeBZYaZt9l2cr244hg6TxqShQKBVHvbUaPh&#10;4714WIMI0ZA1vSfU8IUBtvnsLjOp9Tcq8VrFRnAJhdRoaGMcUilD3aIzYeEHJPY+/ehM5HNspB3N&#10;jctdLx+VWklnOuKF1gz40mJ9ri5Og6fVyZaFTIq3w7ncvFb7w2m31/p+Pu2eQUSc4l8YfvAZHXJm&#10;OvoL2SB6DfxI/FX2NsunBMSRQ8u1UiDzTP7Hz78BAAD//wMAUEsBAi0AFAAGAAgAAAAhALaDOJL+&#10;AAAA4QEAABMAAAAAAAAAAAAAAAAAAAAAAFtDb250ZW50X1R5cGVzXS54bWxQSwECLQAUAAYACAAA&#10;ACEAOP0h/9YAAACUAQAACwAAAAAAAAAAAAAAAAAvAQAAX3JlbHMvLnJlbHNQSwECLQAUAAYACAAA&#10;ACEAJVM4cowEAAAqDgAADgAAAAAAAAAAAAAAAAAuAgAAZHJzL2Uyb0RvYy54bWxQSwECLQAUAAYA&#10;CAAAACEAJoz6wtwAAAAGAQAADwAAAAAAAAAAAAAAAADmBgAAZHJzL2Rvd25yZXYueG1sUEsFBgAA&#10;AAAEAAQA8wAAAO8HA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39480;5413534,8763000;0,8763000;0,8763000;0,523520;518001,0" o:connectangles="0,0,0,0,0,0,0,0,0" textboxrect="0,0,5931673,8670814"/>
                <v:textbox>
                  <w:txbxContent>
                    <w:p w:rsidR="00470F0E" w:rsidRPr="00DD36A9" w:rsidRDefault="00470F0E" w:rsidP="006D6205">
                      <w:pPr>
                        <w:pStyle w:val="HHeading4"/>
                      </w:pPr>
                      <w:r>
                        <w:rPr>
                          <w:noProof/>
                          <w:lang w:bidi="ar-SA"/>
                        </w:rPr>
                        <w:drawing>
                          <wp:inline distT="0" distB="0" distL="0" distR="0" wp14:anchorId="50C1D85B" wp14:editId="379605A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STRUČNÝ SPRIEVODCA 4: Ako posúdiť čisté účinky PRV? (súvisí s treťou vrstvou)</w:t>
                      </w:r>
                    </w:p>
                    <w:p w:rsidR="00470F0E" w:rsidRPr="00553149" w:rsidRDefault="00470F0E" w:rsidP="00AC0E3D">
                      <w:pPr>
                        <w:pStyle w:val="HStandard"/>
                        <w:spacing w:after="0"/>
                        <w:rPr>
                          <w:rFonts w:cs="Arial"/>
                          <w:szCs w:val="16"/>
                        </w:rPr>
                      </w:pPr>
                      <w:r>
                        <w:t xml:space="preserve">Posúdenie čistých účinkov programu na </w:t>
                      </w:r>
                      <w:r>
                        <w:rPr>
                          <w:b/>
                        </w:rPr>
                        <w:t>makroúrovni alebo na úrovni oblasti programu</w:t>
                      </w:r>
                      <w:r>
                        <w:t xml:space="preserve"> pri použití kontrafaktuálneho scenára možno vykonať pomocou dvoch zásadných postupov: </w:t>
                      </w:r>
                      <w:r>
                        <w:rPr>
                          <w:b/>
                        </w:rPr>
                        <w:t>Prvý postup</w:t>
                      </w:r>
                      <w:r>
                        <w:t xml:space="preserve"> je založený na mikroanalýze a extrapolácii jej výsledkov na makroúroveň. V </w:t>
                      </w:r>
                      <w:r>
                        <w:rPr>
                          <w:b/>
                        </w:rPr>
                        <w:t>druhom postupe</w:t>
                      </w:r>
                      <w:r>
                        <w:t xml:space="preserve"> sa využívajú analytické nástroje ako </w:t>
                      </w:r>
                      <w:hyperlink r:id="rId51">
                        <w:r>
                          <w:rPr>
                            <w:rStyle w:val="Hyperlink"/>
                          </w:rPr>
                          <w:t>modely všeobecnej vypočítateľnej rovnováhy</w:t>
                        </w:r>
                      </w:hyperlink>
                      <w:r>
                        <w:t xml:space="preserve">, modely čiastočnej rovnováhy a priestorové ekonometrické modely a ďalšie techniky modelovania – keď sa príslušné parametre modelu (napr. koeficienty produktivity alebo emisií) odhadujú ekonometricky </w:t>
                      </w:r>
                      <w:r>
                        <w:rPr>
                          <w:b/>
                        </w:rPr>
                        <w:t>s prihliadnutím na</w:t>
                      </w:r>
                      <w:r>
                        <w:t xml:space="preserve"> spoľahlivé príčinné súvislosti, možné výberové skreslenie, endogeneitu a priestorové závislosti. Tento postup zahŕňa aj kombináciu postupu na makroúrovni zhora nadol (napr. modely s celoštátnym alebo regionálnym pokrytím) na hodnotenie vplyvov programu s postupom na mikroúrovni zdola nahor, pričom sa posudzujú čisté účinky rôznych opatrení alebo kombinácií opatrení.</w:t>
                      </w:r>
                    </w:p>
                    <w:p w:rsidR="00470F0E" w:rsidRPr="00553149" w:rsidRDefault="00470F0E" w:rsidP="00AC0E3D">
                      <w:pPr>
                        <w:pStyle w:val="HStandard"/>
                        <w:spacing w:after="0"/>
                        <w:rPr>
                          <w:rFonts w:cs="Arial"/>
                          <w:szCs w:val="16"/>
                        </w:rPr>
                      </w:pPr>
                    </w:p>
                    <w:p w:rsidR="00470F0E" w:rsidRPr="00553149" w:rsidRDefault="00470F0E" w:rsidP="00AC0E3D">
                      <w:pPr>
                        <w:pStyle w:val="HStandard"/>
                        <w:spacing w:after="0"/>
                        <w:rPr>
                          <w:rFonts w:cs="Arial"/>
                          <w:szCs w:val="16"/>
                        </w:rPr>
                      </w:pPr>
                      <w:r>
                        <w:t xml:space="preserve">Je dôležité uviesť, že bez ohľadu na zvolený postup je analýza čistých účinkov PRV možná len vtedy, ak sú dostupné dostatočné kvantitatívne údaje a používajú sa pokročilé metodické postupy. Prípadné použitie naivných kvantitatívnych možností hodnotenia (napr. porovnanie pred programom a po programe, používanie nevhodných kontrolných skupín atď.) môže značne skresliť získané výsledky čistých vplyvov obidvoma smermi (pozitívne alebo negatívne). </w:t>
                      </w:r>
                    </w:p>
                    <w:p w:rsidR="00470F0E" w:rsidRPr="00553149" w:rsidRDefault="00470F0E" w:rsidP="00AC0E3D">
                      <w:pPr>
                        <w:pStyle w:val="HStandard"/>
                        <w:spacing w:after="0"/>
                        <w:rPr>
                          <w:rFonts w:cs="Arial"/>
                          <w:szCs w:val="16"/>
                        </w:rPr>
                      </w:pPr>
                    </w:p>
                    <w:p w:rsidR="00470F0E" w:rsidRPr="00502017" w:rsidRDefault="00470F0E" w:rsidP="00AC0E3D">
                      <w:pPr>
                        <w:pStyle w:val="HStandard"/>
                        <w:spacing w:after="0"/>
                        <w:rPr>
                          <w:rFonts w:cs="Arial"/>
                          <w:szCs w:val="16"/>
                        </w:rPr>
                      </w:pPr>
                      <w:r>
                        <w:t xml:space="preserve">Pretože </w:t>
                      </w:r>
                      <w:r>
                        <w:rPr>
                          <w:b/>
                        </w:rPr>
                        <w:t>prvý postup</w:t>
                      </w:r>
                      <w:r>
                        <w:t xml:space="preserve"> (extrapolácia mikroanalýzy na makroúroveň programovej oblasti) je najjednoduchší a najsľubnejší, nižšie sa opisujú najdôležitejšie kroky. Prístup pozostáva z piatich hlavných krokov, ktoré platia pre ukazovatele sektorových vplyvov, vplyvu na životné prostredie a sociálno-ekonomických vplyvov. Základný rozdiel medzi analýzou čistého vplyvu PRV v týchto troch oblastiach je vymedzenie jednotiek, z ktorých vychádza analýza: napr. poľnohospodárske podniky (podniky) alebo administratívne regióny (napr. NUTS 4, NUTS 5 atď.) pre sektorové ukazovatele; pozemky alebo malé zemepisné regióny (regionálne priestorové údaje) pre environmentálne ukazovatele; a administratívne regióny (napr. NUTS 3, NUTS 4 alebo NUTS 5) pre sociálno-ekonomické ukazovatele. Ide o tieto kroky:</w:t>
                      </w:r>
                    </w:p>
                    <w:p w:rsidR="00470F0E" w:rsidRPr="00502017" w:rsidRDefault="00470F0E" w:rsidP="00AC0E3D">
                      <w:pPr>
                        <w:pStyle w:val="HStandard"/>
                        <w:spacing w:after="0"/>
                        <w:rPr>
                          <w:rFonts w:cs="Arial"/>
                          <w:szCs w:val="16"/>
                        </w:rPr>
                      </w:pPr>
                    </w:p>
                    <w:p w:rsidR="00470F0E" w:rsidRPr="00735F08" w:rsidRDefault="00470F0E" w:rsidP="00AC0E3D">
                      <w:pPr>
                        <w:pStyle w:val="Hlistbullet"/>
                        <w:numPr>
                          <w:ilvl w:val="0"/>
                          <w:numId w:val="0"/>
                        </w:numPr>
                        <w:jc w:val="left"/>
                        <w:rPr>
                          <w:szCs w:val="16"/>
                        </w:rPr>
                      </w:pPr>
                      <w:r>
                        <w:rPr>
                          <w:b/>
                          <w:color w:val="F07E31" w:themeColor="accent1"/>
                        </w:rPr>
                        <w:t>1. krok:</w:t>
                      </w:r>
                      <w:r>
                        <w:t xml:space="preserve"> Odhad </w:t>
                      </w:r>
                      <w:r>
                        <w:rPr>
                          <w:b/>
                        </w:rPr>
                        <w:t>priamych účinkov PRV na podporené subjekty na mikroúrovni</w:t>
                      </w:r>
                      <w:r>
                        <w:t>:</w:t>
                      </w:r>
                    </w:p>
                    <w:p w:rsidR="00470F0E" w:rsidRPr="00553149" w:rsidRDefault="00470F0E" w:rsidP="00EC01C3">
                      <w:pPr>
                        <w:pStyle w:val="HStandard"/>
                        <w:numPr>
                          <w:ilvl w:val="1"/>
                          <w:numId w:val="13"/>
                        </w:numPr>
                        <w:spacing w:after="0"/>
                        <w:ind w:left="924" w:hanging="357"/>
                        <w:rPr>
                          <w:rFonts w:cs="Arial"/>
                          <w:szCs w:val="16"/>
                        </w:rPr>
                      </w:pPr>
                      <w:r>
                        <w:t>Výpočet priemernej hodnoty spoločných alebo doplnkových ukazovateľov vplyvu pred podporou (napr. v roku 2013) a po podpore (napr. v rokoch 2018 alebo 2019) na mikroúrovni pre skupinu podporených subjektov a kontrolnú skupinu.</w:t>
                      </w:r>
                    </w:p>
                    <w:p w:rsidR="00470F0E" w:rsidRPr="00553149" w:rsidRDefault="00470F0E" w:rsidP="002632DB">
                      <w:pPr>
                        <w:pStyle w:val="HStandard"/>
                        <w:numPr>
                          <w:ilvl w:val="1"/>
                          <w:numId w:val="13"/>
                        </w:numPr>
                        <w:spacing w:after="0"/>
                        <w:rPr>
                          <w:rFonts w:cs="Arial"/>
                          <w:szCs w:val="16"/>
                        </w:rPr>
                      </w:pPr>
                      <w:r>
                        <w:t xml:space="preserve">Výpočet špecifických politických ukazovateľov [napr. priemerné účinky </w:t>
                      </w:r>
                      <w:r w:rsidRPr="002632DB">
                        <w:t>podpory na podporených</w:t>
                      </w:r>
                      <w:r>
                        <w:t xml:space="preserve"> (ATT)], pričom ako výstup sa použijú relevantné spoločné alebo doplnkové ukazovatele vplyvu. Výpočet </w:t>
                      </w:r>
                      <w:r>
                        <w:rPr>
                          <w:b/>
                        </w:rPr>
                        <w:t>čistých priamych účinkov PRV na uvedené ukazovatele</w:t>
                      </w:r>
                      <w:r>
                        <w:t xml:space="preserve"> kombináciou vypočítaných priemerných účinkov ATT s metódou rozdiel v rozdieloch.</w:t>
                      </w:r>
                    </w:p>
                    <w:p w:rsidR="00470F0E" w:rsidRPr="00553149" w:rsidRDefault="00470F0E" w:rsidP="00EC01C3">
                      <w:pPr>
                        <w:pStyle w:val="HStandard"/>
                        <w:numPr>
                          <w:ilvl w:val="1"/>
                          <w:numId w:val="13"/>
                        </w:numPr>
                        <w:spacing w:after="0"/>
                        <w:ind w:left="924" w:hanging="357"/>
                        <w:rPr>
                          <w:rFonts w:cs="Arial"/>
                          <w:szCs w:val="16"/>
                        </w:rPr>
                      </w:pPr>
                      <w:r>
                        <w:t>Vykonanie analýzy citlivosti získaných výsledkov.</w:t>
                      </w:r>
                    </w:p>
                    <w:p w:rsidR="00470F0E" w:rsidRDefault="00470F0E" w:rsidP="00AC0E3D">
                      <w:pPr>
                        <w:pStyle w:val="Hlistbullet"/>
                        <w:numPr>
                          <w:ilvl w:val="0"/>
                          <w:numId w:val="0"/>
                        </w:numPr>
                        <w:spacing w:before="0" w:after="120" w:line="280" w:lineRule="atLeast"/>
                        <w:rPr>
                          <w:rFonts w:cs="Arial"/>
                          <w:szCs w:val="16"/>
                        </w:rPr>
                      </w:pPr>
                      <w:r>
                        <w:rPr>
                          <w:b/>
                          <w:color w:val="F07E31" w:themeColor="accent1"/>
                        </w:rPr>
                        <w:t xml:space="preserve">2. krok: </w:t>
                      </w:r>
                      <w:r>
                        <w:t xml:space="preserve">Odhad </w:t>
                      </w:r>
                      <w:r>
                        <w:rPr>
                          <w:b/>
                        </w:rPr>
                        <w:t>nepriamych účinkov PRV na podporené subjekty na mikroúrovni</w:t>
                      </w:r>
                      <w:r>
                        <w:t>: Pozorovaná zmena hodnoty ukazovateľov by sa opäť mala rozdeliť na zmeny spôsobené programom (celkový účinok primárnych a sekundárnych prínosov) a zmeny spôsobené inými faktormi.</w:t>
                      </w:r>
                      <w:r>
                        <w:rPr>
                          <w:color w:val="auto"/>
                        </w:rPr>
                        <w:t xml:space="preserve"> </w:t>
                      </w:r>
                      <w:r>
                        <w:t xml:space="preserve">Nepriame účinky programu (napr. substitučný účinok, efekt premiestnenia, multiplikačný účinok) PRV by sa mali počítať a prezentovať samostatne. </w:t>
                      </w:r>
                    </w:p>
                    <w:p w:rsidR="00470F0E" w:rsidRPr="00027601" w:rsidRDefault="00470F0E"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571D58" w:rsidRDefault="00AC0E3D" w:rsidP="000B6372">
      <w:pPr>
        <w:pStyle w:val="HStandard"/>
      </w:pPr>
    </w:p>
    <w:p w:rsidR="00FC012D" w:rsidRPr="00336531" w:rsidRDefault="000B213F" w:rsidP="00FC012D">
      <w:pPr>
        <w:pStyle w:val="HHeading4"/>
      </w:pPr>
      <w:r>
        <w:rPr>
          <w:b w:val="0"/>
          <w:i/>
          <w:noProof/>
          <w:color w:val="F07E31" w:themeColor="accent1"/>
          <w:lang w:bidi="ar-SA"/>
        </w:rPr>
        <mc:AlternateContent>
          <mc:Choice Requires="wps">
            <w:drawing>
              <wp:inline distT="0" distB="0" distL="0" distR="0" wp14:anchorId="470F4C74" wp14:editId="52AF0EB5">
                <wp:extent cx="5731510" cy="4419600"/>
                <wp:effectExtent l="0" t="0" r="21590"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441960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5945BB" w:rsidRDefault="00470F0E" w:rsidP="00AC0E3D">
                            <w:pPr>
                              <w:pStyle w:val="Hlistbullet"/>
                              <w:numPr>
                                <w:ilvl w:val="0"/>
                                <w:numId w:val="0"/>
                              </w:numPr>
                              <w:spacing w:before="0" w:after="120" w:line="280" w:lineRule="atLeast"/>
                              <w:rPr>
                                <w:rFonts w:cs="Arial"/>
                                <w:szCs w:val="16"/>
                              </w:rPr>
                            </w:pPr>
                            <w:r>
                              <w:rPr>
                                <w:b/>
                                <w:color w:val="F07E31" w:themeColor="accent1"/>
                              </w:rPr>
                              <w:t xml:space="preserve">3. krok: </w:t>
                            </w:r>
                            <w:r>
                              <w:t xml:space="preserve">Výpočet </w:t>
                            </w:r>
                            <w:r>
                              <w:rPr>
                                <w:b/>
                              </w:rPr>
                              <w:t>nepriamych účinkov na nepodporené subjekty na mikroúrovni</w:t>
                            </w:r>
                            <w:r>
                              <w:t xml:space="preserve">. Aj tu by sa pozorovaná zmena hodnoty ukazovateľov mala rozdeliť na dve zložky: zmeny spôsobené programom (celkový účinok primárnych a sekundárnych prínosov) a zmeny spôsobené inými faktormi. Táto fáza vychádza z predpokladu, že podpora, ktorú získali subjekty podporené z PRV, môže mať „očakávané/neočakávané“ účinky na všeobecnú rovnováhu (napr. negatívne účinky pre </w:t>
                            </w:r>
                            <w:r w:rsidRPr="00905ED8">
                              <w:t>nepodporen</w:t>
                            </w:r>
                            <w:r>
                              <w:t xml:space="preserve">é subjekty so sídlom v blízkosti prijjímateľov programu). </w:t>
                            </w:r>
                          </w:p>
                          <w:p w:rsidR="00470F0E" w:rsidRPr="005945BB" w:rsidRDefault="00470F0E" w:rsidP="00AC0E3D">
                            <w:pPr>
                              <w:pStyle w:val="HStandard"/>
                              <w:rPr>
                                <w:rFonts w:cs="Arial"/>
                                <w:szCs w:val="16"/>
                              </w:rPr>
                            </w:pPr>
                            <w:r>
                              <w:t xml:space="preserve">V tejto fáze hodnotenia je predbežné kvalitatívne posúdenie veľmi dôležité, lebo môže poskytnúť cennú perspektívu zasvätených osôb a viesť k formulácii dôležitých programovo špecifických hodnotiacich otázok (PŠHO) zameraných na výkonnosť programu, najmä pokiaľ ide o jeho pozitívne, negatívne, zamýšľané a nezamýšľané účinky pre </w:t>
                            </w:r>
                            <w:r w:rsidRPr="00905ED8">
                              <w:t>nepodporen</w:t>
                            </w:r>
                            <w:r>
                              <w:t>é subjekty. Použitie PŠHO je dobrovoľné, ale ak sa sformuluje takáto otázka, mala by sa zodpovedať. Pre predbežnú analýzu synergií alebo možných negatívnych prierezových účinkov môžu hodnotitelia použiť aj nástroje na kvalitatívne hodnotenie.</w:t>
                            </w:r>
                          </w:p>
                          <w:p w:rsidR="00470F0E" w:rsidRPr="005945BB" w:rsidRDefault="00470F0E" w:rsidP="00AC0E3D">
                            <w:pPr>
                              <w:pStyle w:val="Hlistbullet"/>
                              <w:numPr>
                                <w:ilvl w:val="0"/>
                                <w:numId w:val="0"/>
                              </w:numPr>
                              <w:spacing w:before="0" w:after="120" w:line="280" w:lineRule="atLeast"/>
                              <w:rPr>
                                <w:rFonts w:cs="Arial"/>
                                <w:szCs w:val="16"/>
                              </w:rPr>
                            </w:pPr>
                            <w:r>
                              <w:rPr>
                                <w:b/>
                                <w:color w:val="F07E31" w:themeColor="accent1"/>
                              </w:rPr>
                              <w:t xml:space="preserve">4. krok: </w:t>
                            </w:r>
                            <w:r>
                              <w:rPr>
                                <w:b/>
                              </w:rPr>
                              <w:t>Zhrnutie zistení a výpočet účinkov PRV na analyzované ukazovatele vplyvu na makroúrovni a programovej úrovni.</w:t>
                            </w:r>
                            <w:r>
                              <w:t xml:space="preserve"> V tomto kroku by hodnotiteľ mal vypočítať čisté priame účinky PRV na ukazovatele vplyvu na programovú úroveň s použitím extrapolačných postupov (t. j. vynásobením priemerných mikrovýsledkov vypočítaných na mikroúrovni počtom podporených/nepodporených subjektov).</w:t>
                            </w:r>
                          </w:p>
                          <w:p w:rsidR="00470F0E" w:rsidRPr="005945BB" w:rsidRDefault="00470F0E" w:rsidP="00AC0E3D">
                            <w:pPr>
                              <w:pStyle w:val="HStandard"/>
                              <w:rPr>
                                <w:color w:val="auto"/>
                                <w:szCs w:val="16"/>
                              </w:rPr>
                            </w:pPr>
                            <w:r>
                              <w:rPr>
                                <w:b/>
                                <w:color w:val="F07E31" w:themeColor="accent1"/>
                              </w:rPr>
                              <w:t xml:space="preserve">5. krok: </w:t>
                            </w:r>
                            <w:r>
                              <w:rPr>
                                <w:b/>
                              </w:rPr>
                              <w:t>Použitie kvalitatívnych metód</w:t>
                            </w:r>
                            <w:r>
                              <w:t xml:space="preserve"> na kontrolu a overenie získaných výsledkov (triangulácia).</w:t>
                            </w:r>
                          </w:p>
                          <w:p w:rsidR="00470F0E" w:rsidRPr="005945BB" w:rsidRDefault="00470F0E" w:rsidP="00735F08">
                            <w:pPr>
                              <w:pStyle w:val="Hlistbullet"/>
                              <w:numPr>
                                <w:ilvl w:val="0"/>
                                <w:numId w:val="0"/>
                              </w:numPr>
                              <w:jc w:val="center"/>
                              <w:rPr>
                                <w:i/>
                                <w:color w:val="F07E31" w:themeColor="accent1"/>
                                <w:szCs w:val="18"/>
                              </w:rPr>
                            </w:pPr>
                            <w:r>
                              <w:rPr>
                                <w:i/>
                                <w:color w:val="F07E31" w:themeColor="accent1"/>
                              </w:rPr>
                              <w:t>Prečítajte si viac o oddelení čistej hodnoty účinkov programu v </w:t>
                            </w:r>
                            <w:hyperlink r:id="rId52" w:history="1">
                              <w:r>
                                <w:rPr>
                                  <w:rStyle w:val="Hyperlink"/>
                                  <w:i/>
                                  <w:color w:val="F07E31" w:themeColor="accent1"/>
                                </w:rPr>
                                <w:t>Usmerneniach na hodnotenie ex post programov rozvoja vidieka na obdobie 2007 – 2013</w:t>
                              </w:r>
                            </w:hyperlink>
                            <w:r>
                              <w:rPr>
                                <w:rStyle w:val="Hyperlink"/>
                                <w:i/>
                                <w:color w:val="F07E31" w:themeColor="accent1"/>
                              </w:rPr>
                              <w:t>, kapitole 4.2 a o VVR v kapitole 4.3.3.</w:t>
                            </w:r>
                          </w:p>
                        </w:txbxContent>
                      </wps:txbx>
                      <wps:bodyPr rot="0" vert="horz" wrap="square" lIns="91440" tIns="45720" rIns="91440" bIns="45720" anchor="t" anchorCtr="0" upright="1">
                        <a:noAutofit/>
                      </wps:bodyPr>
                    </wps:wsp>
                  </a:graphicData>
                </a:graphic>
              </wp:inline>
            </w:drawing>
          </mc:Choice>
          <mc:Fallback>
            <w:pict>
              <v:shape w14:anchorId="470F4C74" id="AutoShape 63" o:spid="_x0000_s1039" style="width:451.3pt;height:348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ZViQQAACgOAAAOAAAAZHJzL2Uyb0RvYy54bWysV9tu4zYQfS/QfyD0WCCxqItviLPI2nFR&#10;YNsusO4H0BJlCZVElaQv2UX/vcOLHHITyUVRP8iSeHg4M2c0HD58uDQ1OlEuKtauAnwfBoi2Gcur&#10;9rAK/tht7+YBEpK0OalZS1fBCxXBh8cff3g4d0sasZLVOeUISFqxPHeroJSyW04mIitpQ8Q962gL&#10;gwXjDZHwyA+TnJMzsDf1JArD6eTMeN5xllEh4O3GDAaPmr8oaCZ/LwpBJapXAdgm9ZXr615dJ48P&#10;ZHngpCurzJpB/oMVDalaWPRKtSGSoCOv3lA1VcaZYIW8z1gzYUVRZVT7AN7g8DtvvpSko9oXCI7o&#10;rmES/x9t9tvpM0dVvgoWIcSnJQ2I9HSUTK+NprGK0LkTSwB+6T5z5aPoPrHsTwEDE29EPQjAoP35&#10;V5YDDwEeHZVLwRs1E/xFFx38l2vw6UWiDF6msxinGGzIYCxJ8GIKBqk1yLKfnh2F/JkyTUVOn4Q0&#10;6uVwp2OfW/t3wFI0NQj50wTFcRrHITqjfgE7qcdiBxuiEiUzHMEcmxlXysiBWaZhztgBj3AmDuwm&#10;Z+qARzinDuwm58wBJ/FsFobpcATgS74GNY0XUzwfierCAduIDjMr1a/UI6TY1eo2qyvZGKur1m1W&#10;V7QxVlcvm4ODyYVd1W4mrKvaSCZgV7AQwecUwjVN4+n3uY1dtUaRka/UCGfkajXO6es0xukqNc7p&#10;qzTG6eo0zumKNI70FRosPZGv0GB6RK4+Nz/q2NXo3XyGknroiyYp+zqaXVpbSOEOEbWB7yCHVGXt&#10;mFB1W9VVKM47bOsy4NSoA194cBBWwfUeAmu+gUM2ueygmYLr0vsuHHtwkEPBZ0PGRJEHh1gr+GIQ&#10;HntwVZMUHmqO2YTeWp/4E6y3eNjd1J9g/cXDDk/9CdZj7LlsImWV49DwqFZnF0EKQrOzUykG7c5O&#10;pRA0PDtIDr3/dUQq4XX44RadnQ24hP3XboJqvGEnumMaKVUWmPqko9Nv0K+QunWhNlc9bI/o/ztN&#10;6iLtTmTj3uOy477KPtKvQ/xJOo2iUAcfEtaQpnMcz4zwvUfGezNsNjFtnTOsAuqt1VtgSE1e+Pge&#10;0f+7SBsuk0Q9wF/AheM0xHFkRdJm2jcqG3vx9Pt3dPBps5oJatZVcutW6qq79vK1nWrZtqprHZy6&#10;VdkQpQn0X0p1weoqV6P6gR/265qjE4Es+/icPJlOCdg8WFNJaOvrqlkFc7XvWMNLSvLnNtfLSFLV&#10;5h4m17qQQCtoc1I1hbp9/rYIF8/z53lyl0TT57sk3Gzunrbr5G66xbN0E2/W6w3+W9mJk2VZ5Tlt&#10;lal9K4+Tf9cq20OFacKvzbznknA93+qfzVAHNvHN0CEHX/p/7Z1umlWfbBpredlfdANuCodqovcs&#10;f4E2mjNzXIHjFdyUjH8N0BmOKqtA/HUknAao/qWFs8ACJwlkpdQPSTpTmzR3R/buCGkzoFoFMoAa&#10;r27XEp5gyrHj1aGElUyZbZk6BhSVarK1ycYq+wDHEe2UPTqp8477rFGvB7zHfwAAAP//AwBQSwME&#10;FAAGAAgAAAAhAKtbnordAAAABQEAAA8AAABkcnMvZG93bnJldi54bWxMj81OwzAQhO9IvIO1SNyo&#10;TUEWDXEqhECiXFBLJTg68TaJGq9T/7Th7TFc4LLSaEYz35bLyQ7siD70jhRczwQwpMaZnloF2/fn&#10;qztgIWoyenCECr4wwLI6Pyt1YdyJ1njcxJblEgqFVtDFOBach6ZDq8PMjUjZ2zlvdczSt9x4fcrl&#10;duBzISS3uqe80OkRHzts9ptkFXzs08shrd6k36ZPXN3cHnZP9atSlxfTwz2wiFP8C8MPfkaHKjPV&#10;LpEJbFCQH4m/N3sLMZfAagVyIQXwquT/6atvAAAA//8DAFBLAQItABQABgAIAAAAIQC2gziS/gAA&#10;AOEBAAATAAAAAAAAAAAAAAAAAAAAAABbQ29udGVudF9UeXBlc10ueG1sUEsBAi0AFAAGAAgAAAAh&#10;ADj9If/WAAAAlAEAAAsAAAAAAAAAAAAAAAAALwEAAF9yZWxzLy5yZWxzUEsBAi0AFAAGAAgAAAAh&#10;AOJjhlWJBAAAKA4AAA4AAAAAAAAAAAAAAAAALgIAAGRycy9lMm9Eb2MueG1sUEsBAi0AFAAGAAgA&#10;AAAhAKtbnordAAAABQEAAA8AAAAAAAAAAAAAAAAA4wYAAGRycy9kb3ducmV2LnhtbFBLBQYAAAAA&#10;BAAEAPMAAADtBw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4105101;5396180,4419600;0,4419600;0,4419600;0,314499;335330,0" o:connectangles="0,0,0,0,0,0,0,0,0" textboxrect="0,0,5731510,4712335"/>
                <v:textbox>
                  <w:txbxContent>
                    <w:p w:rsidR="00470F0E" w:rsidRPr="005945BB" w:rsidRDefault="00470F0E" w:rsidP="00AC0E3D">
                      <w:pPr>
                        <w:pStyle w:val="Hlistbullet"/>
                        <w:numPr>
                          <w:ilvl w:val="0"/>
                          <w:numId w:val="0"/>
                        </w:numPr>
                        <w:spacing w:before="0" w:after="120" w:line="280" w:lineRule="atLeast"/>
                        <w:rPr>
                          <w:rFonts w:cs="Arial"/>
                          <w:szCs w:val="16"/>
                        </w:rPr>
                      </w:pPr>
                      <w:r>
                        <w:rPr>
                          <w:b/>
                          <w:color w:val="F07E31" w:themeColor="accent1"/>
                        </w:rPr>
                        <w:t xml:space="preserve">3. krok: </w:t>
                      </w:r>
                      <w:r>
                        <w:t xml:space="preserve">Výpočet </w:t>
                      </w:r>
                      <w:r>
                        <w:rPr>
                          <w:b/>
                        </w:rPr>
                        <w:t>nepriamych účinkov na nepodporené subjekty na mikroúrovni</w:t>
                      </w:r>
                      <w:r>
                        <w:t xml:space="preserve">. Aj tu by sa pozorovaná zmena hodnoty ukazovateľov mala rozdeliť na dve zložky: zmeny spôsobené programom (celkový účinok primárnych a sekundárnych prínosov) a zmeny spôsobené inými faktormi. Táto fáza vychádza z predpokladu, že podpora, ktorú získali subjekty podporené z PRV, môže mať „očakávané/neočakávané“ účinky na všeobecnú rovnováhu (napr. negatívne účinky pre </w:t>
                      </w:r>
                      <w:r w:rsidRPr="00905ED8">
                        <w:t>nepodporen</w:t>
                      </w:r>
                      <w:r>
                        <w:t xml:space="preserve">é subjekty so sídlom v blízkosti prijjímateľov programu). </w:t>
                      </w:r>
                    </w:p>
                    <w:p w:rsidR="00470F0E" w:rsidRPr="005945BB" w:rsidRDefault="00470F0E" w:rsidP="00AC0E3D">
                      <w:pPr>
                        <w:pStyle w:val="HStandard"/>
                        <w:rPr>
                          <w:rFonts w:cs="Arial"/>
                          <w:szCs w:val="16"/>
                        </w:rPr>
                      </w:pPr>
                      <w:r>
                        <w:t xml:space="preserve">V tejto fáze hodnotenia je predbežné kvalitatívne posúdenie veľmi dôležité, lebo môže poskytnúť cennú perspektívu zasvätených osôb a viesť k formulácii dôležitých programovo špecifických hodnotiacich otázok (PŠHO) zameraných na výkonnosť programu, najmä pokiaľ ide o jeho pozitívne, negatívne, zamýšľané a nezamýšľané účinky pre </w:t>
                      </w:r>
                      <w:r w:rsidRPr="00905ED8">
                        <w:t>nepodporen</w:t>
                      </w:r>
                      <w:r>
                        <w:t>é subjekty. Použitie PŠHO je dobrovoľné, ale ak sa sformuluje takáto otázka, mala by sa zodpovedať. Pre predbežnú analýzu synergií alebo možných negatívnych prierezových účinkov môžu hodnotitelia použiť aj nástroje na kvalitatívne hodnotenie.</w:t>
                      </w:r>
                    </w:p>
                    <w:p w:rsidR="00470F0E" w:rsidRPr="005945BB" w:rsidRDefault="00470F0E" w:rsidP="00AC0E3D">
                      <w:pPr>
                        <w:pStyle w:val="Hlistbullet"/>
                        <w:numPr>
                          <w:ilvl w:val="0"/>
                          <w:numId w:val="0"/>
                        </w:numPr>
                        <w:spacing w:before="0" w:after="120" w:line="280" w:lineRule="atLeast"/>
                        <w:rPr>
                          <w:rFonts w:cs="Arial"/>
                          <w:szCs w:val="16"/>
                        </w:rPr>
                      </w:pPr>
                      <w:r>
                        <w:rPr>
                          <w:b/>
                          <w:color w:val="F07E31" w:themeColor="accent1"/>
                        </w:rPr>
                        <w:t xml:space="preserve">4. krok: </w:t>
                      </w:r>
                      <w:r>
                        <w:rPr>
                          <w:b/>
                        </w:rPr>
                        <w:t>Zhrnutie zistení a výpočet účinkov PRV na analyzované ukazovatele vplyvu na makroúrovni a programovej úrovni.</w:t>
                      </w:r>
                      <w:r>
                        <w:t xml:space="preserve"> V tomto kroku by hodnotiteľ mal vypočítať čisté priame účinky PRV na ukazovatele vplyvu na programovú úroveň s použitím extrapolačných postupov (t. j. vynásobením priemerných mikrovýsledkov vypočítaných na mikroúrovni počtom podporených/nepodporených subjektov).</w:t>
                      </w:r>
                    </w:p>
                    <w:p w:rsidR="00470F0E" w:rsidRPr="005945BB" w:rsidRDefault="00470F0E" w:rsidP="00AC0E3D">
                      <w:pPr>
                        <w:pStyle w:val="HStandard"/>
                        <w:rPr>
                          <w:color w:val="auto"/>
                          <w:szCs w:val="16"/>
                        </w:rPr>
                      </w:pPr>
                      <w:r>
                        <w:rPr>
                          <w:b/>
                          <w:color w:val="F07E31" w:themeColor="accent1"/>
                        </w:rPr>
                        <w:t xml:space="preserve">5. krok: </w:t>
                      </w:r>
                      <w:r>
                        <w:rPr>
                          <w:b/>
                        </w:rPr>
                        <w:t>Použitie kvalitatívnych metód</w:t>
                      </w:r>
                      <w:r>
                        <w:t xml:space="preserve"> na kontrolu a overenie získaných výsledkov (triangulácia).</w:t>
                      </w:r>
                    </w:p>
                    <w:p w:rsidR="00470F0E" w:rsidRPr="005945BB" w:rsidRDefault="00470F0E" w:rsidP="00735F08">
                      <w:pPr>
                        <w:pStyle w:val="Hlistbullet"/>
                        <w:numPr>
                          <w:ilvl w:val="0"/>
                          <w:numId w:val="0"/>
                        </w:numPr>
                        <w:jc w:val="center"/>
                        <w:rPr>
                          <w:i/>
                          <w:color w:val="F07E31" w:themeColor="accent1"/>
                          <w:szCs w:val="18"/>
                        </w:rPr>
                      </w:pPr>
                      <w:r>
                        <w:rPr>
                          <w:i/>
                          <w:color w:val="F07E31" w:themeColor="accent1"/>
                        </w:rPr>
                        <w:t>Prečítajte si viac o oddelení čistej hodnoty účinkov programu v </w:t>
                      </w:r>
                      <w:hyperlink r:id="rId53" w:history="1">
                        <w:r>
                          <w:rPr>
                            <w:rStyle w:val="Hyperlink"/>
                            <w:i/>
                            <w:color w:val="F07E31" w:themeColor="accent1"/>
                          </w:rPr>
                          <w:t>Usmerneniach na hodnotenie ex post programov rozvoja vidieka na obdobie 2007 – 2013</w:t>
                        </w:r>
                      </w:hyperlink>
                      <w:r>
                        <w:rPr>
                          <w:rStyle w:val="Hyperlink"/>
                          <w:i/>
                          <w:color w:val="F07E31" w:themeColor="accent1"/>
                        </w:rPr>
                        <w:t>, kapitole 4.2 a o VVR v kapitole 4.3.3.</w:t>
                      </w:r>
                    </w:p>
                  </w:txbxContent>
                </v:textbox>
                <w10:anchorlock/>
              </v:shape>
            </w:pict>
          </mc:Fallback>
        </mc:AlternateContent>
      </w:r>
      <w:r>
        <w:br w:type="column"/>
      </w:r>
      <w:r>
        <w:lastRenderedPageBreak/>
        <w:t>Kontrola a overenie konzistentnosti mikroúrovne a makroúrovne (štvrtá úroveň)</w:t>
      </w:r>
    </w:p>
    <w:p w:rsidR="00FC012D" w:rsidRPr="00336531" w:rsidRDefault="000B213F" w:rsidP="00FC012D">
      <w:pPr>
        <w:pStyle w:val="HStandard"/>
        <w:rPr>
          <w:rFonts w:cs="Arial"/>
        </w:rPr>
      </w:pPr>
      <w:r>
        <w:rPr>
          <w:b/>
          <w:i/>
          <w:noProof/>
          <w:color w:val="F07E31" w:themeColor="accent1"/>
          <w:lang w:bidi="ar-SA"/>
        </w:rPr>
        <mc:AlternateContent>
          <mc:Choice Requires="wps">
            <w:drawing>
              <wp:inline distT="0" distB="0" distL="0" distR="0" wp14:anchorId="3BA9EE62" wp14:editId="012AF5C7">
                <wp:extent cx="5731510" cy="1362075"/>
                <wp:effectExtent l="0" t="0" r="21590" b="28575"/>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62075"/>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044269" w:rsidRDefault="00470F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Pre posúdenie čistých vplyvov</w:t>
                            </w:r>
                            <w:r>
                              <w:rPr>
                                <w:b w:val="0"/>
                                <w:color w:val="373737" w:themeColor="text1"/>
                              </w:rPr>
                              <w:t xml:space="preserve"> je dôležité skontrolovať konzistentnosť výsledkov z posúdenia na mikroúrovni a makroúrovni, aby bolo možné ich overiť. Konzistentnosť je zabezpečená vtedy, keď si zistenia na obidvoch úrovniach neodporujú.</w:t>
                            </w:r>
                          </w:p>
                        </w:txbxContent>
                      </wps:txbx>
                      <wps:bodyPr rot="0" vert="horz" wrap="square" lIns="91440" tIns="45720" rIns="91440" bIns="45720" anchor="ctr" anchorCtr="0" upright="1">
                        <a:noAutofit/>
                      </wps:bodyPr>
                    </wps:wsp>
                  </a:graphicData>
                </a:graphic>
              </wp:inline>
            </w:drawing>
          </mc:Choice>
          <mc:Fallback>
            <w:pict>
              <v:shape w14:anchorId="3BA9EE62" id="AutoShape 62" o:spid="_x0000_s1040" style="width:451.3pt;height:107.2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GjAQAACgOAAAOAAAAZHJzL2Uyb0RvYy54bWysV21v2zYQ/j5g/4HQxwGJRL3aRpwitZNh&#10;QNcWqPcDaImyhEmiRtKx02H/fUeKcsimkoth/iBL4sOHd/ecjse7d+e2Qc+Ui5p1aw/fBh6iXc6K&#10;ujusvT92TzcLDwlJuoI0rKNr74UK7939zz/dnfoVDVnFmoJyBCSdWJ36tVdJ2a98X+QVbYm4ZT3t&#10;YLBkvCUSHvnBLzg5AXvb+GEQpP6J8aLnLKdCwNvtMOjda/6ypLn8VJaCStSsPbBN6ivX1726+vd3&#10;ZHXgpK/q3JhB/oMVLak7WPRCtSWSoCOv31C1dc6ZYKW8zVnrs7Ksc6p9AG9w8I03XyrSU+0LBEf0&#10;lzCJ/482//j8maO6WHuL5dJDHWlBpIejZHptlIYqQqderAD4pf/MlY+i/8DyPwUM+M6IehCAQfvT&#10;76wAHgI8OirnkrdqJviLzjr4L5fg07NEObxMsggnGDTKYQxHaRhkiVrcJ6txen4U8lfKNBV5/iDk&#10;oF4Bdzr2hbF/Byxl24CQv/gIB2maYXRC4wJm0ojFFjZAFcJhiON0aTLjQhlaMMM0zRlZ4BnO2IJd&#10;5Uws8AxnasGucmYWGGMcZ8vFdATgS74ENUnDeBEtpyMAuXQBm4hOMyvVL+hgmhTbWl1ntSWbY7XV&#10;us5qizbHautlcnAyubCt2tWEtVWbyQRsCxagNIAfSpMkSr/NbWyrNYsMXaVmOENbq3lOV6c5Tlup&#10;eU5XpTlOW6d5TlukeaSr0GTpCV2FJtMjtPW5+lFHtkbfzWcoqYexaJJqrKP5uTOFFO4QURv4DnJI&#10;VdaeCVW3VV2F4rzDpi4DTo1a8KUDB2EVPJqCQzbZ7KCZgo9V/w07pJQNBzkUPJtkDx04xFrBdWGH&#10;ALxljxy4qkkKDzVn2ITeTojdCcZbPO1u4k4w/uJph1N3gvEYOy4PvhjlODQ8qtXZhZCC0OzsVIpB&#10;u7NTKQQNzw6SQ+9/PZFKeB1PuEUnawOuYP81m6Aab9kz3TGNlCoLhvqko6PJwIBXSNPZUJOrDnZE&#10;jP+9JrWRZicycR9x+XFf5+/p1yl+jLMoG9SChB1I00WUJYMuo0eD92ZYb2LaOmtYBdRZa7RgIB3y&#10;wsWPiPHfQer+4wecGYjjLEsWRiNt5fBC5eIonX79HRVcq/OGCTqkrhJbN1IX1bWPr81Ux57qptGh&#10;aTqVC2ESB8PHKVhTF2pUJYDgh/2m4eiZQI69f4wfojF3HVhbS2jqm7qFrlLtOsbwipLisSv0MpLU&#10;zXAPpjS6jEAjaDJStYS6ef57GSwfF4+L+CYO08ebONhubx6eNvFN+oSzZBttN5st/kd9JDheVXVR&#10;0E6ZOjbyOP6xRtkcKYYW/NLKOy45nj/pn5HUgvmuGTrk4Mv4r73TLbPqkoe2Wp73Z91+41jxqRZ6&#10;z4oXaKI5Gw4rcLiCm4rxrx46wUFl7Ym/joRTDzW/dXASWOI4htSR+iFOMrVFc3tkb4+QLgeqtZdL&#10;7kGNVw8bCc8w6djz+lDBWkOZ7Zg6BpS1arK10YNd5gGOI9otc3RS5x37WaNeD3j3/wIAAP//AwBQ&#10;SwMEFAAGAAgAAAAhAGLsN1fcAAAABQEAAA8AAABkcnMvZG93bnJldi54bWxMj0FLw0AQhe9C/8My&#10;gje7adAaYzZFrCJ6s4rgbZKdJqHZ2ZDdbtN/360XvQw83uO9b4rVZHoRaHSdZQWLeQKCuLa640bB&#10;1+fLdQbCeWSNvWVScCQHq3J2UWCu7YE/KGx8I2IJuxwVtN4PuZSubsmgm9uBOHpbOxr0UY6N1CMe&#10;YrnpZZokS2mw47jQ4kBPLdW7zd4oqPD5Lgvv6+Pr2zprfpBD9h22Sl1dTo8PIDxN/i8MZ/yIDmVk&#10;quyetRO9gviI/73Ru0/SJYhKQbq4uQVZFvI/fXkCAAD//wMAUEsBAi0AFAAGAAgAAAAhALaDOJL+&#10;AAAA4QEAABMAAAAAAAAAAAAAAAAAAAAAAFtDb250ZW50X1R5cGVzXS54bWxQSwECLQAUAAYACAAA&#10;ACEAOP0h/9YAAACUAQAACwAAAAAAAAAAAAAAAAAvAQAAX3JlbHMvLnJlbHNQSwECLQAUAAYACAAA&#10;ACEAkQv4xowEAAAoDgAADgAAAAAAAAAAAAAAAAAuAgAAZHJzL2Uyb0RvYy54bWxQSwECLQAUAAYA&#10;CAAAACEAYuw3V9wAAAAFAQAADwAAAAAAAAAAAAAAAADmBgAAZHJzL2Rvd25yZXYueG1sUEsFBgAA&#10;AAAEAAQA8wAAAO8H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243125;5624839,1362075;0,1362075;0,1362075;0,118950;106671,0" o:connectangles="0,0,0,0,0,0,0,0,0" textboxrect="0,0,5731510,1221469"/>
                <v:textbox>
                  <w:txbxContent>
                    <w:p w:rsidR="00470F0E" w:rsidRPr="00044269" w:rsidRDefault="00470F0E" w:rsidP="00EC01C3">
                      <w:pPr>
                        <w:pStyle w:val="HHeading4"/>
                        <w:spacing w:before="0"/>
                        <w:jc w:val="both"/>
                        <w:rPr>
                          <w:b w:val="0"/>
                          <w:i/>
                          <w:color w:val="373737" w:themeColor="text1"/>
                          <w:sz w:val="18"/>
                        </w:rPr>
                      </w:pPr>
                      <w:r>
                        <w:rPr>
                          <w:noProof/>
                          <w:color w:val="373737" w:themeColor="text1"/>
                          <w:lang w:bidi="ar-SA"/>
                        </w:rPr>
                        <w:drawing>
                          <wp:inline distT="0" distB="0" distL="0" distR="0" wp14:anchorId="1164D043" wp14:editId="63964AF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Pre posúdenie čistých vplyvov</w:t>
                      </w:r>
                      <w:r>
                        <w:rPr>
                          <w:b w:val="0"/>
                          <w:color w:val="373737" w:themeColor="text1"/>
                        </w:rPr>
                        <w:t xml:space="preserve"> je dôležité skontrolovať konzistentnosť výsledkov z posúdenia na mikroúrovni a makroúrovni, aby bolo možné ich overiť. Konzistentnosť je zabezpečená vtedy, keď si zistenia na obidvoch úrovniach neodporujú.</w:t>
                      </w:r>
                    </w:p>
                  </w:txbxContent>
                </v:textbox>
                <w10:anchorlock/>
              </v:shape>
            </w:pict>
          </mc:Fallback>
        </mc:AlternateContent>
      </w:r>
      <w:r>
        <w:t xml:space="preserve">V prípade kvantitatívneho hodnotenia zdola nahor sa konzistentnosť zabezpečí zovšeobecnením údajov z mikroúrovne na makroúroveň. </w:t>
      </w:r>
    </w:p>
    <w:p w:rsidR="00FC012D" w:rsidRPr="001C6ACF" w:rsidRDefault="00FC012D" w:rsidP="001E5FC4">
      <w:pPr>
        <w:spacing w:after="120" w:line="280" w:lineRule="atLeast"/>
        <w:rPr>
          <w:rFonts w:cs="Arial"/>
          <w:color w:val="373737"/>
          <w:sz w:val="20"/>
          <w:szCs w:val="20"/>
        </w:rPr>
      </w:pPr>
      <w:r>
        <w:rPr>
          <w:color w:val="373737" w:themeColor="text1"/>
          <w:sz w:val="20"/>
        </w:rPr>
        <w:t xml:space="preserve">V prípade </w:t>
      </w:r>
      <w:r>
        <w:rPr>
          <w:i/>
          <w:color w:val="373737" w:themeColor="text1"/>
          <w:sz w:val="20"/>
        </w:rPr>
        <w:t xml:space="preserve">priamych </w:t>
      </w:r>
      <w:r>
        <w:rPr>
          <w:color w:val="373737" w:themeColor="text1"/>
          <w:sz w:val="20"/>
        </w:rPr>
        <w:t xml:space="preserve">účinkov programu </w:t>
      </w:r>
      <w:r w:rsidR="002632DB">
        <w:rPr>
          <w:color w:val="373737" w:themeColor="text1"/>
          <w:sz w:val="20"/>
        </w:rPr>
        <w:t>na</w:t>
      </w:r>
      <w:r>
        <w:rPr>
          <w:color w:val="373737" w:themeColor="text1"/>
          <w:sz w:val="20"/>
        </w:rPr>
        <w:t xml:space="preserve"> podporované jednotky by čisté priame účinky programu vypočítané s použitím </w:t>
      </w:r>
      <w:r>
        <w:rPr>
          <w:b/>
          <w:color w:val="373737" w:themeColor="text1"/>
          <w:sz w:val="20"/>
        </w:rPr>
        <w:t>ukazovateľov výsledkov</w:t>
      </w:r>
      <w:r>
        <w:rPr>
          <w:color w:val="373737" w:themeColor="text1"/>
          <w:sz w:val="20"/>
        </w:rPr>
        <w:t xml:space="preserve"> mali byť v zásade konzistentné a mali by vykazovať rovnaký trend čistých účinkov programu vypočítaných pomocou ukazovateľov </w:t>
      </w:r>
      <w:r>
        <w:rPr>
          <w:b/>
          <w:color w:val="373737" w:themeColor="text1"/>
          <w:sz w:val="20"/>
        </w:rPr>
        <w:t>vplyvu</w:t>
      </w:r>
      <w:r>
        <w:rPr>
          <w:color w:val="373737" w:themeColor="text1"/>
          <w:sz w:val="20"/>
        </w:rPr>
        <w:t>. V závislosti od veľkosti a smeru nepriamych účinkov však výsledky na makroúrovni môžu v zásade vykazovať aj opačný smer vplyvu ako účinky na mikroúrovni. V týchto prípadoch je však nutné objasniť opačné smery účinkov na základe príčinnej súvislosti a/alebo kvantifikovaných dôkazov nepriamych účinkov. Kontrola konzistentnosti výsledkov na mikroúrovni a makroúrovni si vyžaduje dobré pochopenie hlavných faktorov, ktoré majú vplyv na každý ukazovateľ.</w:t>
      </w:r>
    </w:p>
    <w:p w:rsidR="00FC012D" w:rsidRPr="001C6ACF" w:rsidRDefault="00FC012D" w:rsidP="00FC012D">
      <w:pPr>
        <w:pStyle w:val="HStandard"/>
        <w:rPr>
          <w:rFonts w:cs="Arial"/>
        </w:rPr>
      </w:pPr>
      <w:r>
        <w:t xml:space="preserve">V prípade </w:t>
      </w:r>
      <w:r>
        <w:rPr>
          <w:i/>
        </w:rPr>
        <w:t>nepriamych účinkov</w:t>
      </w:r>
      <w:r>
        <w:t xml:space="preserve"> programu na podporované a nepodporované poľnohospodárske podniky môžu mikroekonomické zistenia po agregácii len približne aproximovať škálu všetkých možných nepriamych účinkov PRV (vrátane účinkov vypočítaných pomocou sektorových modelov). Hlavným dôvodom tejto aproximácie je zložitá povaha modelovania </w:t>
      </w:r>
      <w:r>
        <w:rPr>
          <w:b/>
        </w:rPr>
        <w:t>všetkých</w:t>
      </w:r>
      <w:r>
        <w:t xml:space="preserve"> možných nepriamych účinkov, s ktorými sa podporované a nepodporované jednotky môžu „aspoň teoreticky“ stretnúť. </w:t>
      </w:r>
    </w:p>
    <w:p w:rsidR="00FC012D" w:rsidRPr="00571D58" w:rsidRDefault="00FC012D" w:rsidP="00FC012D">
      <w:pPr>
        <w:pStyle w:val="HStandard"/>
        <w:rPr>
          <w:rFonts w:cs="Arial"/>
        </w:rPr>
      </w:pPr>
      <w:r>
        <w:t>Hodnotenie zdola nahor založené na zhrnutí rôznych zdrojov údajov s rôznymi metrickými údajmi a terminológiou môže spôsobiť nejasnosti. Jedným z hlavných problémov kontroly konzistentnosti makroúrovne a mikroúrovne je určenie príčinnej súvislosti medzi zmenami a vplyvmi meranými na úrovni poľnohospodárskeho podniku alebo pozemku a zmenami a vplyvmi mimo týchto jednotiek (napr. na úrovni NUTS 3 a úrovni programu).</w:t>
      </w:r>
      <w:r>
        <w:rPr>
          <w:color w:val="373737"/>
        </w:rPr>
        <w:t xml:space="preserve"> V tejto súvislosti je dôležité, aby sa pri použitých jednotkách analýzy a škálach zobralo do úvahy, v akom rozsahu a na akej úrovni sa účinky pravdepodobne vyskytnú. Jednoduché použitie pevných administratívnych hraníc môže skresliť výsledky. </w:t>
      </w:r>
      <w:r>
        <w:t>Možno sa snažiť a konzistentne používať metódy výberu vzorky na úrovni poľa, poľnohospodárskeho podniku a oblasti s cieľom zohľadniť rôzne druhy skúmanej taxonómie a interakcií medzi premennými opisujúcimi klímu, topografiu, využívanie pôdy, sociálno-ekonomické a pôdne podmienky</w:t>
      </w:r>
      <w:r>
        <w:rPr>
          <w:rStyle w:val="FootnoteReference"/>
        </w:rPr>
        <w:footnoteReference w:id="29"/>
      </w:r>
      <w:r>
        <w:t>. P</w:t>
      </w:r>
      <w:r w:rsidR="001D70DD">
        <w:t>rí</w:t>
      </w:r>
      <w:r>
        <w:t>stup zdola nahor so skúmanou oblasťou na úrovni pozemku alebo poľa umožňuje dosiahnutie výsledkov získavaním údajov z prieskumov, ktoré sú špecifické pre dané miesto a využívajú protokoly pokusu, a ich extrapoláciou z mikroúrovne na makroúroveň prostredníctvom geografických informačných systémov (GIS), satelitných obrázkov alebo priestorovej analýzy</w:t>
      </w:r>
      <w:r>
        <w:rPr>
          <w:rStyle w:val="FootnoteReference"/>
        </w:rPr>
        <w:footnoteReference w:id="30"/>
      </w:r>
      <w:r>
        <w:t>.</w:t>
      </w:r>
    </w:p>
    <w:p w:rsidR="00FC012D" w:rsidRPr="00571D58" w:rsidRDefault="00535279" w:rsidP="00FC012D">
      <w:pPr>
        <w:pStyle w:val="HStandard"/>
        <w:rPr>
          <w:rFonts w:cs="Arial"/>
        </w:rPr>
      </w:pPr>
      <w: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1C6ACF" w:rsidTr="00FC012D">
        <w:tc>
          <w:tcPr>
            <w:tcW w:w="9016" w:type="dxa"/>
          </w:tcPr>
          <w:p w:rsidR="00FC012D" w:rsidRPr="00336531" w:rsidRDefault="008540B6" w:rsidP="00EC01C3">
            <w:pPr>
              <w:pStyle w:val="HHeading4"/>
              <w:jc w:val="both"/>
              <w:rPr>
                <w:rFonts w:cs="Arial"/>
              </w:rPr>
            </w:pPr>
            <w:r>
              <w:rPr>
                <w:noProof/>
                <w:lang w:bidi="ar-SA"/>
              </w:rPr>
              <mc:AlternateContent>
                <mc:Choice Requires="wps">
                  <w:drawing>
                    <wp:anchor distT="0" distB="0" distL="114300" distR="114300" simplePos="0" relativeHeight="251673088" behindDoc="0" locked="0" layoutInCell="1" allowOverlap="1" wp14:anchorId="4D3520B6" wp14:editId="0A34C07C">
                      <wp:simplePos x="0" y="0"/>
                      <wp:positionH relativeFrom="column">
                        <wp:posOffset>-125730</wp:posOffset>
                      </wp:positionH>
                      <wp:positionV relativeFrom="paragraph">
                        <wp:posOffset>-53976</wp:posOffset>
                      </wp:positionV>
                      <wp:extent cx="6038850" cy="4695825"/>
                      <wp:effectExtent l="0" t="0" r="19050" b="28575"/>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695825"/>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4B68A" id="Rectangle: Diagonal Corners Rounded 15" o:spid="_x0000_s1026" style="position:absolute;margin-left:-9.9pt;margin-top:-4.25pt;width:475.5pt;height:36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69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851gIAABUGAAAOAAAAZHJzL2Uyb0RvYy54bWysVEtv2zAMvg/YfxB0X/1o0qVBnSJI0WFA&#10;0BVth55VWYq9yaImKXGyXz9KfiTrih2G+WCIIvWR/Pi4ut43iuyEdTXogmZnKSVCcyhrvSno16fb&#10;DzNKnGe6ZAq0KOhBOHq9eP/uqjVzkUMFqhSWIIh289YUtPLezJPE8Uo0zJ2BERqVEmzDPIp2k5SW&#10;tYjeqCRP04ukBVsaC1w4h7c3nZIuIr6UgvsvUjrhiSooxubj38b/S/gniys231hmqpr3YbB/iKJh&#10;tUanI9QN84xsbf0HVFNzCw6kP+PQJCBlzUXMAbPJ0lfZPFbMiJgLkuPMSJP7f7D8bndvSV0WdHaJ&#10;pdKswSI9IG1Mb5SYk5uabUAzRVZgNZaZPMBWl6Ik2TRw1xo3R4hHc29D9s6sgX93qEh+0wTB9TZ7&#10;aZtgi7mTfSzEYSyE2HvC8fIiPZ/NplgvjrrJxeV0lkd3CZsPz411/pOAhoRDQW0IKw/RhuBjKdhu&#10;7XysSdnnxcpvGSWyUVjiHeY0y9PzvgNOTPJTk9gh6LYHw9PgOCBruK2Vij2kdCQAVF2GuyiEJhYr&#10;ZQk6KyjjXGifB4cI446WKIXXkbKOpciXPygRYJR+EBJLhLzkMbE4HK9xs05VsVJ07qYpfoOzIZLo&#10;OgIGZImBjtg9wGB5GnPWw/T24amIszU+Tv8WWJfw+CJ6Bu3Hx02twb4FoPzoubMfSOqoCSy9QHnA&#10;BrbQTbYz/LbGhlgz5++ZxTpjE+F68l/wJxW0BYX+REkF9udb98EeJwy1lLS4GgrqfmyZFZSozxpn&#10;7zKbTMIuicJk+jFHwZ5qXk41etusAMuPnYfRxWOw92o4SgvNM26xZfCKKqY5+i4o93YQVr5bWbgH&#10;uVguoxnuD8P8Wj8aHsADq6E1n/bPzJp+KjwO1B0Ma6Tv4q4cR9vwUsNy60HWPiiPvPYC7p7YOP2e&#10;DMvtVI5Wx22++AUAAP//AwBQSwMEFAAGAAgAAAAhAH0UMxDiAAAACgEAAA8AAABkcnMvZG93bnJl&#10;di54bWxMj81OwzAQhO9IvIO1SNxaJ6n6kxCnQkWoEuLSlgs3J94maeN1iN02vD3LCW472tHMN/l6&#10;tJ244uBbRwriaQQCqXKmpVrBx+F1sgLhgyajO0eo4Bs9rIv7u1xnxt1oh9d9qAWHkM+0giaEPpPS&#10;Vw1a7aeuR+Lf0Q1WB5ZDLc2gbxxuO5lE0UJa3RI3NLrHTYPVeX+xCir7vj3Mt26zfDmnSXv6fKNy&#10;8aXU48P4/AQi4Bj+zPCLz+hQMFPpLmS86BRM4pTRAx+rOQg2pLM4AVEqWM7iCGSRy/8Tih8AAAD/&#10;/wMAUEsBAi0AFAAGAAgAAAAhALaDOJL+AAAA4QEAABMAAAAAAAAAAAAAAAAAAAAAAFtDb250ZW50&#10;X1R5cGVzXS54bWxQSwECLQAUAAYACAAAACEAOP0h/9YAAACUAQAACwAAAAAAAAAAAAAAAAAvAQAA&#10;X3JlbHMvLnJlbHNQSwECLQAUAAYACAAAACEA1AE/OdYCAAAVBgAADgAAAAAAAAAAAAAAAAAuAgAA&#10;ZHJzL2Uyb0RvYy54bWxQSwECLQAUAAYACAAAACEAfRQzEOIAAAAKAQAADwAAAAAAAAAAAAAAAAAw&#10;BQAAZHJzL2Rvd25yZXYueG1sUEsFBgAAAAAEAAQA8wAAAD8GAAAAAA==&#10;" path="m385199,l6038850,r,l6038850,4310626v,212740,-172459,385199,-385199,385199l,4695825r,l,385199c,172459,172459,,385199,xe" filled="f" strokecolor="#be4a35 [3205]" strokeweight="2pt">
                      <v:path arrowok="t" o:connecttype="custom" o:connectlocs="385199,0;6038850,0;6038850,0;6038850,4310626;5653651,4695825;0,4695825;0,4695825;0,385199;385199,0" o:connectangles="0,0,0,0,0,0,0,0,0"/>
                    </v:shape>
                  </w:pict>
                </mc:Fallback>
              </mc:AlternateContent>
            </w:r>
            <w:r w:rsidR="00FC012D">
              <w:rPr>
                <w:noProof/>
                <w:color w:val="373737"/>
                <w:lang w:bidi="ar-SA"/>
              </w:rPr>
              <w:drawing>
                <wp:inline distT="0" distB="0" distL="0" distR="0" wp14:anchorId="2043221E" wp14:editId="4A809690">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t xml:space="preserve"> STRUČNÝ SPRIEVODCA 5: Ako čo najlepšie využiť kvalitatívne </w:t>
            </w:r>
            <w:r w:rsidR="001D70DD">
              <w:t>prístup</w:t>
            </w:r>
            <w:r w:rsidR="00FC012D">
              <w:t>y?</w:t>
            </w:r>
          </w:p>
        </w:tc>
      </w:tr>
    </w:tbl>
    <w:p w:rsidR="00696B10" w:rsidRDefault="00696B10" w:rsidP="00EC01C3">
      <w:pPr>
        <w:pStyle w:val="HStandard"/>
        <w:spacing w:after="0"/>
        <w:ind w:left="709" w:hanging="709"/>
        <w:rPr>
          <w:rFonts w:cs="Arial"/>
          <w:sz w:val="18"/>
          <w:szCs w:val="18"/>
        </w:rPr>
      </w:pPr>
      <w:r>
        <w:rPr>
          <w:b/>
        </w:rPr>
        <w:t xml:space="preserve">Kvalitatívne </w:t>
      </w:r>
      <w:r w:rsidR="001D70DD">
        <w:rPr>
          <w:b/>
        </w:rPr>
        <w:t>prístup</w:t>
      </w:r>
      <w:r>
        <w:rPr>
          <w:b/>
        </w:rPr>
        <w:t>y</w:t>
      </w:r>
      <w:r>
        <w:t xml:space="preserve"> možno použiť s trojakým cieľom:</w:t>
      </w:r>
    </w:p>
    <w:p w:rsidR="00310B39" w:rsidRPr="001C6ACF" w:rsidRDefault="00310B39" w:rsidP="00EC01C3">
      <w:pPr>
        <w:pStyle w:val="HStandard"/>
        <w:spacing w:after="0"/>
        <w:ind w:left="709" w:hanging="709"/>
        <w:rPr>
          <w:rFonts w:cs="Arial"/>
          <w:sz w:val="18"/>
          <w:szCs w:val="18"/>
        </w:rPr>
      </w:pPr>
    </w:p>
    <w:p w:rsidR="00696B10"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Ako alternatívu ku kvantitatívnym metódam</w:t>
      </w:r>
      <w:r>
        <w:rPr>
          <w:rFonts w:ascii="Arial" w:hAnsi="Arial"/>
          <w:color w:val="373737" w:themeColor="text1"/>
          <w:sz w:val="18"/>
        </w:rPr>
        <w:t xml:space="preserve"> v prípade chýbajúcich údajov. Pomocou metódy kvalitatívneho hodnotenia založeného na teórii (TBE) možno napríklad ukázať, ako a prečo bude program fungovať a že podľa očakávania povedie k zamýšľaným výsledkom. V rámci TBE sa sleduje každý krok intervenčnej logiky programu a určujú sa príčinné súvislosti a mechanizmy zmeny, čo vedie k výsledkom a vplyvom. Rôzne vzťahy v intervenčnej logike možno analyzovať pomocou rôznych metód. V týchto usmerneniach navrhujeme skupiny zamerania (najmä metódou posudzovania vplyvu programov a projektu) alebo rozhovory so zainteresovanými stranami/odborníkmi. </w:t>
      </w:r>
    </w:p>
    <w:p w:rsidR="00310B39" w:rsidRPr="00FB6C06"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Ako doplnenie kvantitatívneho kontrafaktuálneho hodnotenia</w:t>
      </w:r>
      <w:r>
        <w:rPr>
          <w:rFonts w:ascii="Arial" w:hAnsi="Arial"/>
          <w:color w:val="373737" w:themeColor="text1"/>
          <w:sz w:val="18"/>
        </w:rPr>
        <w:t xml:space="preserve"> s cieľom lepšie porozumieť spôsobu a príčine vzniku vplyvov. Treba uviesť, že použitím TBE nemožno preskúmať čistý vplyv (t. j. mieru, v akej možno zmenu pozorovanú v oblasti programu pripísať programu), ani oddeliť účinky programu od vplyvu iných faktorov.</w:t>
      </w:r>
    </w:p>
    <w:p w:rsidR="00310B39" w:rsidRPr="00310B39" w:rsidRDefault="00310B39" w:rsidP="00EC01C3">
      <w:pPr>
        <w:pStyle w:val="ListParagraph"/>
        <w:jc w:val="both"/>
        <w:rPr>
          <w:rFonts w:ascii="Arial" w:hAnsi="Arial" w:cs="Arial"/>
          <w:color w:val="373737" w:themeColor="text1"/>
          <w:sz w:val="18"/>
          <w:szCs w:val="18"/>
        </w:rPr>
      </w:pPr>
    </w:p>
    <w:p w:rsidR="00696B10" w:rsidRPr="00310B39"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Pr>
          <w:rFonts w:ascii="Arial" w:hAnsi="Arial"/>
          <w:b/>
          <w:color w:val="373737" w:themeColor="text1"/>
          <w:sz w:val="18"/>
        </w:rPr>
        <w:t>Ako súčasť triangulácie</w:t>
      </w:r>
      <w:r>
        <w:rPr>
          <w:rFonts w:ascii="Arial" w:hAnsi="Arial"/>
          <w:color w:val="373737" w:themeColor="text1"/>
          <w:sz w:val="18"/>
        </w:rPr>
        <w:t xml:space="preserve"> na overenie zistení kvantitatívnych metód.</w:t>
      </w:r>
    </w:p>
    <w:p w:rsidR="00310B39" w:rsidRPr="001C6ACF"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1C6ACF" w:rsidRDefault="0050142E" w:rsidP="006A6A61">
      <w:pPr>
        <w:pStyle w:val="HStandard"/>
        <w:jc w:val="center"/>
        <w:rPr>
          <w:i/>
          <w:color w:val="F07E31" w:themeColor="accent1"/>
          <w:sz w:val="18"/>
        </w:rPr>
      </w:pPr>
      <w:r>
        <w:rPr>
          <w:i/>
          <w:color w:val="F07E31" w:themeColor="accent1"/>
          <w:sz w:val="18"/>
        </w:rPr>
        <w:t xml:space="preserve">Prečítajte si viac o metóde hodnotenia založenej na na teórii v dokumente </w:t>
      </w:r>
      <w:hyperlink r:id="rId54">
        <w:r>
          <w:rPr>
            <w:rStyle w:val="Hyperlink"/>
            <w:i/>
            <w:sz w:val="18"/>
          </w:rPr>
          <w:t>Investičná podpora v rámci politiky rozvoja vidieka</w:t>
        </w:r>
      </w:hyperlink>
      <w:r>
        <w:rPr>
          <w:i/>
          <w:color w:val="F07E31" w:themeColor="accent1"/>
          <w:sz w:val="18"/>
        </w:rPr>
        <w:t xml:space="preserve">, kapitola 3.3.4 (ES, 2014) a o tom, ako možno kvalitatívne metódy používať na získavanie kvantitatívnych údajov, v dokumente </w:t>
      </w:r>
      <w:hyperlink r:id="rId55" w:anchor="v=onepage&amp;amp;q=distinguishing%20between%20types%20of%20data%20and%20methods%20of%20collecting%20them%2C&amp;amp;f=false">
        <w:r>
          <w:rPr>
            <w:rStyle w:val="Hyperlink"/>
            <w:i/>
            <w:sz w:val="18"/>
          </w:rPr>
          <w:t>Rozlišovanie medzi druhmi údajov a metódami ich zberu</w:t>
        </w:r>
      </w:hyperlink>
      <w:r>
        <w:rPr>
          <w:i/>
          <w:color w:val="F07E31" w:themeColor="accent1"/>
          <w:sz w:val="18"/>
        </w:rPr>
        <w:t xml:space="preserve">, (Hentschel, 1998). </w:t>
      </w:r>
    </w:p>
    <w:p w:rsidR="006D4194" w:rsidRPr="001C6ACF" w:rsidRDefault="006D4194" w:rsidP="006D4194">
      <w:pPr>
        <w:pStyle w:val="HStandard"/>
        <w:rPr>
          <w:sz w:val="22"/>
        </w:rPr>
      </w:pPr>
    </w:p>
    <w:p w:rsidR="00A24D39" w:rsidRPr="001C6ACF" w:rsidRDefault="0095652F" w:rsidP="00B63445">
      <w:pPr>
        <w:pStyle w:val="HHeading3"/>
      </w:pPr>
      <w:r>
        <w:t xml:space="preserve">Prehľad odporúčaných hodnotiacich </w:t>
      </w:r>
      <w:r w:rsidR="001D70DD">
        <w:t>prístup</w:t>
      </w:r>
      <w:r>
        <w:t>ov na posudzovanie ukazovateľov vplyvu SPP</w:t>
      </w:r>
    </w:p>
    <w:p w:rsidR="00186FCF" w:rsidRPr="00336531" w:rsidRDefault="00186FCF" w:rsidP="00186FCF">
      <w:pPr>
        <w:pStyle w:val="HStandard"/>
        <w:rPr>
          <w:rFonts w:cs="Arial"/>
        </w:rPr>
      </w:pPr>
      <w:r>
        <w:t xml:space="preserve">V programovom období 2014 – 2020 sa posúdenie vplyvu PRV vykoná prvýkrát v roku 2019, teda v čase, keď pre rôzne PRV môžu stále predstavovať problém nedostatočné údaje spôsobené nízkou mierou využívania alebo neskorším využívaním určitých opatrení alebo nedostatkom štatistických údajov na hodnotenie. Keďže v prípade nedostatočných údajov je veľmi náročné pozorovať vplyvy PRV, v týchto usmerneniach sa navrhujú najmenej dva rôzne </w:t>
      </w:r>
      <w:r w:rsidR="001D70DD">
        <w:t>prístup</w:t>
      </w:r>
      <w:r>
        <w:t>y na výpočet spoločných ukazovateľov vplyvu druhého piliera SPP:</w:t>
      </w:r>
    </w:p>
    <w:p w:rsidR="00186FCF" w:rsidRPr="00FB6C06" w:rsidRDefault="001D70DD" w:rsidP="00C42303">
      <w:pPr>
        <w:pStyle w:val="Hlistbullet"/>
      </w:pPr>
      <w:r>
        <w:rPr>
          <w:b/>
        </w:rPr>
        <w:t>Prístup</w:t>
      </w:r>
      <w:r w:rsidR="00186FCF">
        <w:rPr>
          <w:b/>
        </w:rPr>
        <w:t xml:space="preserve"> A</w:t>
      </w:r>
      <w:r w:rsidR="00186FCF">
        <w:t xml:space="preserve"> je príkladom </w:t>
      </w:r>
      <w:r w:rsidR="00186FCF">
        <w:rPr>
          <w:b/>
        </w:rPr>
        <w:t xml:space="preserve">hodnotiaceho </w:t>
      </w:r>
      <w:r>
        <w:rPr>
          <w:b/>
        </w:rPr>
        <w:t>prístup</w:t>
      </w:r>
      <w:r w:rsidR="00186FCF">
        <w:rPr>
          <w:b/>
        </w:rPr>
        <w:t>u optimálnom stave údajov</w:t>
      </w:r>
      <w:r w:rsidR="00186FCF">
        <w:t>.</w:t>
      </w:r>
      <w:r w:rsidR="00186FCF">
        <w:rPr>
          <w:b/>
        </w:rPr>
        <w:t xml:space="preserve"> </w:t>
      </w:r>
      <w:r w:rsidR="00186FCF">
        <w:t xml:space="preserve">Môže sa použiť v roku 2019 a/alebo v hodnotení </w:t>
      </w:r>
      <w:r w:rsidR="00186FCF">
        <w:rPr>
          <w:i/>
        </w:rPr>
        <w:t>ex post</w:t>
      </w:r>
      <w:r w:rsidR="00186FCF">
        <w:t xml:space="preserve">. </w:t>
      </w:r>
      <w:r>
        <w:t>Prístup</w:t>
      </w:r>
      <w:r w:rsidR="00186FCF">
        <w:t xml:space="preserve"> A je pokročilejší ako </w:t>
      </w:r>
      <w:r>
        <w:t>prístup</w:t>
      </w:r>
      <w:r w:rsidR="00186FCF">
        <w:t xml:space="preserve"> B, a je aj presnejší. </w:t>
      </w:r>
    </w:p>
    <w:p w:rsidR="00186FCF" w:rsidRPr="001C6ACF" w:rsidRDefault="001D70DD" w:rsidP="00C42303">
      <w:pPr>
        <w:pStyle w:val="Hlistbullet"/>
      </w:pPr>
      <w:r>
        <w:rPr>
          <w:b/>
        </w:rPr>
        <w:t>Prístup</w:t>
      </w:r>
      <w:r w:rsidR="00186FCF">
        <w:rPr>
          <w:b/>
        </w:rPr>
        <w:t xml:space="preserve"> B</w:t>
      </w:r>
      <w:r w:rsidR="00186FCF">
        <w:t xml:space="preserve"> je príkladom </w:t>
      </w:r>
      <w:r w:rsidR="00186FCF">
        <w:rPr>
          <w:b/>
        </w:rPr>
        <w:t xml:space="preserve">alternatívneho hodnotiaceho </w:t>
      </w:r>
      <w:r>
        <w:rPr>
          <w:b/>
        </w:rPr>
        <w:t>prístup</w:t>
      </w:r>
      <w:r w:rsidR="00186FCF">
        <w:rPr>
          <w:b/>
        </w:rPr>
        <w:t>u v prípade, keď nedostatočné údaje</w:t>
      </w:r>
      <w:r w:rsidR="00186FCF">
        <w:t xml:space="preserve"> (napr. z dôvodu pomalého zavádzania programu, ktoré neumožňuje pozorovať vplyvy PRV) alebo iné faktory (zdroje, čas, zručnosti) bránia použitiu pokročilejšieho </w:t>
      </w:r>
      <w:r>
        <w:t>prístup</w:t>
      </w:r>
      <w:r w:rsidR="00186FCF">
        <w:t xml:space="preserve">u. </w:t>
      </w:r>
      <w:r>
        <w:t>Prístup</w:t>
      </w:r>
      <w:r w:rsidR="00186FCF">
        <w:t xml:space="preserve"> B obsahuje vo viacerých prípadoch kvalitatívnu zložku. </w:t>
      </w:r>
    </w:p>
    <w:p w:rsidR="00186FCF" w:rsidRPr="00336531" w:rsidRDefault="001D70DD" w:rsidP="00186FCF">
      <w:pPr>
        <w:pStyle w:val="HStandard"/>
        <w:rPr>
          <w:rFonts w:cs="Arial"/>
        </w:rPr>
      </w:pPr>
      <w:r>
        <w:rPr>
          <w:b/>
        </w:rPr>
        <w:t>Prístup</w:t>
      </w:r>
      <w:r w:rsidR="00CB3881">
        <w:rPr>
          <w:b/>
        </w:rPr>
        <w:t xml:space="preserve"> A aj </w:t>
      </w:r>
      <w:r>
        <w:rPr>
          <w:b/>
        </w:rPr>
        <w:t>prístup</w:t>
      </w:r>
      <w:r w:rsidR="00CB3881">
        <w:rPr>
          <w:b/>
        </w:rPr>
        <w:t xml:space="preserve"> B sú v súlade s hodnotiacimi normami.</w:t>
      </w:r>
      <w:r w:rsidR="00CB3881">
        <w:t xml:space="preserve"> </w:t>
      </w:r>
      <w:r>
        <w:t>Prístup</w:t>
      </w:r>
      <w:r w:rsidR="00CB3881">
        <w:t xml:space="preserve"> A je vymedzený ako </w:t>
      </w:r>
      <w:r>
        <w:t>prístup</w:t>
      </w:r>
      <w:r w:rsidR="00CB3881">
        <w:t xml:space="preserve">, pri ktorom možno získať najspoľahlivejšie výsledky hodnotenia pri optimálnom stave údajov. So zreteľom na stav údajov v roku 2019 sa pripúšťa, že pre mnohé PRV nemusí byť </w:t>
      </w:r>
      <w:r>
        <w:t>prístup</w:t>
      </w:r>
      <w:r w:rsidR="00CB3881">
        <w:t xml:space="preserve"> A zatiaľ najvhodnejšou voľbou (pozri: tabuľky o vhodnosti navrhnutých hodnotiacich </w:t>
      </w:r>
      <w:r>
        <w:t>prístup</w:t>
      </w:r>
      <w:r w:rsidR="00CB3881">
        <w:t xml:space="preserve">ov v kapitolách 4.1 až 4.7 technickej prílohy). Ďalšie príklady hodnotiacich metód sa uvádzajú na príslušných obrázkoch logických modelov jednotlivých ukazovateľov vplyvu. </w:t>
      </w:r>
    </w:p>
    <w:p w:rsidR="0095652F" w:rsidRPr="001C6ACF" w:rsidRDefault="008F39E9" w:rsidP="00E35440">
      <w:pPr>
        <w:pStyle w:val="HHeadingtables"/>
      </w:pPr>
      <w:r>
        <w:br w:type="column"/>
      </w:r>
      <w:r>
        <w:lastRenderedPageBreak/>
        <w:t xml:space="preserve">Príklady odporúčaných hodnotiacich </w:t>
      </w:r>
      <w:r w:rsidR="001D70DD">
        <w:t>prístup</w:t>
      </w:r>
      <w:r>
        <w:t xml:space="preserve">ov na posudzovanie ukazovateľov vplyvu SPP </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701"/>
      </w:tblGrid>
      <w:tr w:rsidR="00515FD4" w:rsidRPr="001C6ACF" w:rsidTr="005F69E8">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rPr>
            </w:pPr>
            <w:r>
              <w:rPr>
                <w:b/>
                <w:color w:val="FFFFFF" w:themeColor="background1"/>
                <w:sz w:val="16"/>
              </w:rPr>
              <w:t>Kód</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647A13" w:rsidP="00C202D0">
            <w:pPr>
              <w:pStyle w:val="HStandard"/>
              <w:jc w:val="center"/>
              <w:rPr>
                <w:b/>
                <w:bCs/>
                <w:color w:val="FFFFFF" w:themeColor="background1"/>
                <w:sz w:val="16"/>
              </w:rPr>
            </w:pPr>
            <w:r>
              <w:rPr>
                <w:b/>
                <w:color w:val="FFFFFF" w:themeColor="background1"/>
                <w:sz w:val="16"/>
              </w:rPr>
              <w:t>Ukazovateľ</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1D70DD" w:rsidP="008D4934">
            <w:pPr>
              <w:pStyle w:val="HStandard"/>
              <w:spacing w:line="240" w:lineRule="atLeast"/>
              <w:jc w:val="center"/>
              <w:rPr>
                <w:color w:val="FFFFFF" w:themeColor="background1"/>
                <w:sz w:val="16"/>
              </w:rPr>
            </w:pPr>
            <w:r>
              <w:rPr>
                <w:b/>
                <w:color w:val="FFFFFF" w:themeColor="background1"/>
              </w:rPr>
              <w:t>Prístup</w:t>
            </w:r>
            <w:r w:rsidR="002D74F7">
              <w:rPr>
                <w:b/>
                <w:color w:val="FFFFFF" w:themeColor="background1"/>
              </w:rPr>
              <w:t xml:space="preserve"> A</w:t>
            </w:r>
            <w:r w:rsidR="002D74F7">
              <w:rPr>
                <w:color w:val="FFFFFF" w:themeColor="background1"/>
              </w:rPr>
              <w:t xml:space="preserve"> </w:t>
            </w:r>
            <w:r w:rsidR="002D74F7">
              <w:rPr>
                <w:color w:val="FFFFFF" w:themeColor="background1"/>
                <w:sz w:val="16"/>
              </w:rPr>
              <w:br/>
              <w:t xml:space="preserve">Príklad </w:t>
            </w:r>
            <w:r>
              <w:rPr>
                <w:color w:val="FFFFFF" w:themeColor="background1"/>
                <w:sz w:val="16"/>
              </w:rPr>
              <w:t>prístup</w:t>
            </w:r>
            <w:r w:rsidR="002D74F7">
              <w:rPr>
                <w:color w:val="FFFFFF" w:themeColor="background1"/>
                <w:sz w:val="16"/>
              </w:rPr>
              <w:t>u pri optimálnom stave údajov</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1D70DD" w:rsidP="0089010B">
            <w:pPr>
              <w:pStyle w:val="HStandard"/>
              <w:spacing w:line="240" w:lineRule="atLeast"/>
              <w:jc w:val="center"/>
              <w:rPr>
                <w:color w:val="FFFFFF" w:themeColor="background1"/>
                <w:sz w:val="16"/>
              </w:rPr>
            </w:pPr>
            <w:r>
              <w:rPr>
                <w:b/>
                <w:color w:val="FFFFFF" w:themeColor="background1"/>
              </w:rPr>
              <w:t>Prístup</w:t>
            </w:r>
            <w:r w:rsidR="002D74F7">
              <w:rPr>
                <w:b/>
                <w:color w:val="FFFFFF" w:themeColor="background1"/>
              </w:rPr>
              <w:t xml:space="preserve"> B</w:t>
            </w:r>
            <w:r w:rsidR="002D74F7">
              <w:rPr>
                <w:color w:val="FFFFFF" w:themeColor="background1"/>
              </w:rPr>
              <w:t xml:space="preserve"> </w:t>
            </w:r>
            <w:r w:rsidR="002D74F7">
              <w:rPr>
                <w:color w:val="FFFFFF" w:themeColor="background1"/>
              </w:rPr>
              <w:br/>
            </w:r>
            <w:r w:rsidR="002D74F7">
              <w:rPr>
                <w:color w:val="FFFFFF" w:themeColor="background1"/>
                <w:sz w:val="16"/>
              </w:rPr>
              <w:t xml:space="preserve">Príklad alternatívneho </w:t>
            </w:r>
            <w:r>
              <w:rPr>
                <w:color w:val="FFFFFF" w:themeColor="background1"/>
                <w:sz w:val="16"/>
              </w:rPr>
              <w:t>prístup</w:t>
            </w:r>
            <w:r w:rsidR="002D74F7">
              <w:rPr>
                <w:color w:val="FFFFFF" w:themeColor="background1"/>
                <w:sz w:val="16"/>
              </w:rPr>
              <w:t>u v prípade nedostatočných údajov</w:t>
            </w:r>
          </w:p>
        </w:tc>
      </w:tr>
      <w:tr w:rsidR="00515FD4" w:rsidRPr="001C6ACF" w:rsidTr="005F69E8">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1C6ACF"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Mikroúroveň</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Makroúroveň</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Mikroúroveň</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1C6ACF" w:rsidRDefault="00515FD4" w:rsidP="008D4934">
            <w:pPr>
              <w:pStyle w:val="HStandard"/>
              <w:spacing w:line="240" w:lineRule="atLeast"/>
              <w:jc w:val="center"/>
              <w:rPr>
                <w:i/>
                <w:iCs/>
                <w:color w:val="FFFFFF" w:themeColor="background1"/>
                <w:sz w:val="16"/>
              </w:rPr>
            </w:pPr>
            <w:r>
              <w:rPr>
                <w:i/>
                <w:color w:val="FFFFFF" w:themeColor="background1"/>
                <w:sz w:val="16"/>
              </w:rPr>
              <w:t>Makroúroveň</w:t>
            </w:r>
          </w:p>
        </w:tc>
      </w:tr>
      <w:tr w:rsidR="00515FD4" w:rsidRPr="001C6ACF" w:rsidTr="00670F92">
        <w:trPr>
          <w:trHeight w:val="255"/>
        </w:trPr>
        <w:tc>
          <w:tcPr>
            <w:tcW w:w="9209" w:type="dxa"/>
            <w:gridSpan w:val="6"/>
            <w:tcBorders>
              <w:top w:val="single" w:sz="4" w:space="0" w:color="FFFFFF" w:themeColor="background1"/>
            </w:tcBorders>
            <w:shd w:val="clear" w:color="auto" w:fill="BE4A35" w:themeFill="accent2"/>
            <w:hideMark/>
          </w:tcPr>
          <w:p w:rsidR="00515FD4" w:rsidRPr="001C6ACF" w:rsidRDefault="00515FD4" w:rsidP="008D4934">
            <w:pPr>
              <w:pStyle w:val="HStandard"/>
              <w:spacing w:line="240" w:lineRule="atLeast"/>
              <w:rPr>
                <w:b/>
                <w:bCs/>
                <w:color w:val="FFFFFF" w:themeColor="background1"/>
                <w:sz w:val="16"/>
              </w:rPr>
            </w:pPr>
            <w:r>
              <w:rPr>
                <w:b/>
                <w:color w:val="FFFFFF" w:themeColor="background1"/>
                <w:sz w:val="16"/>
              </w:rPr>
              <w:t>Sektorové vplyvy</w:t>
            </w:r>
          </w:p>
        </w:tc>
      </w:tr>
      <w:tr w:rsidR="00515FD4" w:rsidRPr="001C6ACF" w:rsidTr="005F69E8">
        <w:trPr>
          <w:trHeight w:val="1193"/>
        </w:trPr>
        <w:tc>
          <w:tcPr>
            <w:tcW w:w="988" w:type="dxa"/>
            <w:tcBorders>
              <w:bottom w:val="single" w:sz="4" w:space="0" w:color="808080" w:themeColor="background1" w:themeShade="80"/>
              <w:right w:val="nil"/>
            </w:tcBorders>
            <w:hideMark/>
          </w:tcPr>
          <w:p w:rsidR="00515FD4" w:rsidRPr="00571D58" w:rsidRDefault="00515FD4" w:rsidP="00887886">
            <w:pPr>
              <w:pStyle w:val="HStandard"/>
              <w:jc w:val="center"/>
              <w:rPr>
                <w:b/>
                <w:bCs/>
                <w:color w:val="BE4A35" w:themeColor="accent2"/>
              </w:rPr>
            </w:pPr>
            <w:r>
              <w:rPr>
                <w:b/>
                <w:bCs/>
                <w:noProof/>
                <w:color w:val="BE4A35" w:themeColor="accent2"/>
                <w:lang w:bidi="ar-SA"/>
              </w:rPr>
              <w:drawing>
                <wp:anchor distT="0" distB="0" distL="114300" distR="114300" simplePos="0" relativeHeight="251713024" behindDoc="1" locked="0" layoutInCell="1" allowOverlap="1" wp14:anchorId="421CFEF5" wp14:editId="6D6DE560">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I.01</w:t>
            </w:r>
          </w:p>
        </w:tc>
        <w:tc>
          <w:tcPr>
            <w:tcW w:w="1417" w:type="dxa"/>
            <w:tcBorders>
              <w:left w:val="nil"/>
              <w:bottom w:val="single" w:sz="4" w:space="0" w:color="808080" w:themeColor="background1" w:themeShade="80"/>
            </w:tcBorders>
            <w:vAlign w:val="center"/>
            <w:hideMark/>
          </w:tcPr>
          <w:p w:rsidR="00515FD4" w:rsidRPr="00FB6C06" w:rsidRDefault="00515FD4" w:rsidP="007B323D">
            <w:pPr>
              <w:pStyle w:val="HStandard"/>
              <w:spacing w:after="0"/>
              <w:jc w:val="left"/>
              <w:rPr>
                <w:b/>
                <w:color w:val="BE4A35" w:themeColor="accent2"/>
                <w:sz w:val="16"/>
                <w:szCs w:val="18"/>
              </w:rPr>
            </w:pPr>
            <w:r>
              <w:rPr>
                <w:b/>
                <w:color w:val="BE4A35" w:themeColor="accent2"/>
                <w:sz w:val="16"/>
              </w:rPr>
              <w:t>Poľnohospodársky príjem z podnikania</w:t>
            </w:r>
          </w:p>
        </w:tc>
        <w:tc>
          <w:tcPr>
            <w:tcW w:w="1701" w:type="dxa"/>
            <w:vMerge w:val="restart"/>
            <w:vAlign w:val="center"/>
            <w:hideMark/>
          </w:tcPr>
          <w:p w:rsidR="00515FD4" w:rsidRPr="001C6ACF" w:rsidRDefault="00515FD4" w:rsidP="007008C0">
            <w:pPr>
              <w:pStyle w:val="HStandard"/>
              <w:spacing w:after="0" w:line="240" w:lineRule="auto"/>
              <w:jc w:val="center"/>
              <w:rPr>
                <w:sz w:val="16"/>
                <w:szCs w:val="18"/>
              </w:rPr>
            </w:pPr>
            <w:r>
              <w:rPr>
                <w:sz w:val="16"/>
              </w:rPr>
              <w:t xml:space="preserve">Kombinácia metód </w:t>
            </w:r>
            <w:r w:rsidR="00905ED8" w:rsidRPr="00905ED8">
              <w:rPr>
                <w:sz w:val="16"/>
              </w:rPr>
              <w:t xml:space="preserve">odhadu pravdepodobnosti získania podpory </w:t>
            </w:r>
            <w:r>
              <w:rPr>
                <w:sz w:val="16"/>
              </w:rPr>
              <w:t>s metódou rozdiel v rozdieloch (PSM-DiD)</w:t>
            </w:r>
          </w:p>
        </w:tc>
        <w:tc>
          <w:tcPr>
            <w:tcW w:w="1701" w:type="dxa"/>
            <w:vMerge w:val="restart"/>
            <w:vAlign w:val="center"/>
            <w:hideMark/>
          </w:tcPr>
          <w:p w:rsidR="00515FD4" w:rsidRPr="001C6ACF" w:rsidRDefault="001D70DD" w:rsidP="007008C0">
            <w:pPr>
              <w:pStyle w:val="HStandard"/>
              <w:spacing w:after="0" w:line="240" w:lineRule="auto"/>
              <w:jc w:val="center"/>
              <w:rPr>
                <w:sz w:val="16"/>
                <w:szCs w:val="18"/>
              </w:rPr>
            </w:pPr>
            <w:r>
              <w:rPr>
                <w:sz w:val="16"/>
              </w:rPr>
              <w:t>Prístup</w:t>
            </w:r>
            <w:r w:rsidR="00515FD4">
              <w:rPr>
                <w:sz w:val="16"/>
              </w:rPr>
              <w:t xml:space="preserve">y zdola nahor so zovšeobecnením zistení na mikroúrovni </w:t>
            </w:r>
            <w:r w:rsidR="00515FD4">
              <w:rPr>
                <w:sz w:val="16"/>
                <w:szCs w:val="18"/>
              </w:rPr>
              <w:br/>
            </w:r>
            <w:r w:rsidR="00515FD4">
              <w:rPr>
                <w:sz w:val="16"/>
                <w:szCs w:val="18"/>
              </w:rPr>
              <w:br/>
            </w:r>
            <w:r w:rsidR="00515FD4">
              <w:rPr>
                <w:sz w:val="16"/>
              </w:rPr>
              <w:t>Použitie sektorového modelu</w:t>
            </w:r>
          </w:p>
        </w:tc>
        <w:tc>
          <w:tcPr>
            <w:tcW w:w="1701" w:type="dxa"/>
            <w:vMerge w:val="restart"/>
            <w:vAlign w:val="center"/>
            <w:hideMark/>
          </w:tcPr>
          <w:p w:rsidR="00515FD4" w:rsidRPr="001C6ACF" w:rsidRDefault="00515FD4" w:rsidP="005743DC">
            <w:pPr>
              <w:pStyle w:val="HStandard"/>
              <w:spacing w:after="0" w:line="240" w:lineRule="auto"/>
              <w:jc w:val="center"/>
              <w:rPr>
                <w:sz w:val="16"/>
                <w:szCs w:val="18"/>
              </w:rPr>
            </w:pPr>
            <w:r>
              <w:rPr>
                <w:sz w:val="16"/>
              </w:rPr>
              <w:t xml:space="preserve">Metóda regresnej </w:t>
            </w:r>
            <w:r w:rsidR="005743DC">
              <w:rPr>
                <w:sz w:val="16"/>
              </w:rPr>
              <w:t>analýzy</w:t>
            </w:r>
            <w:r>
              <w:rPr>
                <w:sz w:val="16"/>
              </w:rPr>
              <w:t xml:space="preserve"> (RDD)</w:t>
            </w:r>
          </w:p>
        </w:tc>
        <w:tc>
          <w:tcPr>
            <w:tcW w:w="1701" w:type="dxa"/>
            <w:vMerge w:val="restart"/>
            <w:vAlign w:val="center"/>
            <w:hideMark/>
          </w:tcPr>
          <w:p w:rsidR="00515FD4" w:rsidRPr="001C6ACF" w:rsidRDefault="001D70DD" w:rsidP="007008C0">
            <w:pPr>
              <w:pStyle w:val="HStandard"/>
              <w:spacing w:after="0" w:line="240" w:lineRule="auto"/>
              <w:jc w:val="center"/>
              <w:rPr>
                <w:sz w:val="16"/>
                <w:szCs w:val="18"/>
              </w:rPr>
            </w:pPr>
            <w:r>
              <w:rPr>
                <w:sz w:val="16"/>
              </w:rPr>
              <w:t>Prístup</w:t>
            </w:r>
            <w:r w:rsidR="00515FD4">
              <w:rPr>
                <w:sz w:val="16"/>
              </w:rPr>
              <w:t>y zdola nahor s úpravou zistení na mikroúrovni</w:t>
            </w:r>
          </w:p>
        </w:tc>
      </w:tr>
      <w:tr w:rsidR="00515FD4" w:rsidRPr="001C6ACF" w:rsidTr="005F69E8">
        <w:trPr>
          <w:trHeight w:val="1167"/>
        </w:trPr>
        <w:tc>
          <w:tcPr>
            <w:tcW w:w="988" w:type="dxa"/>
            <w:tcBorders>
              <w:right w:val="nil"/>
            </w:tcBorders>
            <w:hideMark/>
          </w:tcPr>
          <w:p w:rsidR="00515FD4" w:rsidRPr="00336531" w:rsidRDefault="008D4934" w:rsidP="008D4934">
            <w:pPr>
              <w:pStyle w:val="HStandard"/>
              <w:jc w:val="center"/>
              <w:rPr>
                <w:b/>
                <w:bCs/>
                <w:color w:val="BE4A35" w:themeColor="accent2"/>
              </w:rPr>
            </w:pPr>
            <w:r>
              <w:rPr>
                <w:b/>
                <w:bCs/>
                <w:noProof/>
                <w:color w:val="BE4A35" w:themeColor="accent2"/>
                <w:lang w:bidi="ar-SA"/>
              </w:rPr>
              <w:drawing>
                <wp:anchor distT="0" distB="0" distL="114300" distR="114300" simplePos="0" relativeHeight="251727360" behindDoc="0" locked="0" layoutInCell="1" allowOverlap="1" wp14:anchorId="2C05950E" wp14:editId="6D33F341">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BE4A35" w:themeColor="accent2"/>
              </w:rPr>
              <w:t>I.02</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Poľnohospodársky dôchodok z faktorov</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5F69E8">
        <w:trPr>
          <w:trHeight w:val="1163"/>
        </w:trPr>
        <w:tc>
          <w:tcPr>
            <w:tcW w:w="988" w:type="dxa"/>
            <w:tcBorders>
              <w:right w:val="nil"/>
            </w:tcBorders>
            <w:hideMark/>
          </w:tcPr>
          <w:p w:rsidR="00515FD4" w:rsidRPr="00571D58" w:rsidRDefault="00515FD4" w:rsidP="004A2D39">
            <w:pPr>
              <w:pStyle w:val="HStandard"/>
              <w:jc w:val="center"/>
              <w:rPr>
                <w:b/>
                <w:bCs/>
                <w:color w:val="BE4A35" w:themeColor="accent2"/>
              </w:rPr>
            </w:pPr>
            <w:r>
              <w:rPr>
                <w:b/>
                <w:bCs/>
                <w:noProof/>
                <w:color w:val="BE4A35" w:themeColor="accent2"/>
                <w:lang w:bidi="ar-SA"/>
              </w:rPr>
              <w:drawing>
                <wp:anchor distT="0" distB="0" distL="114300" distR="114300" simplePos="0" relativeHeight="251712000" behindDoc="1" locked="0" layoutInCell="1" allowOverlap="1" wp14:anchorId="7D07F527" wp14:editId="3554D2C7">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BE4A35" w:themeColor="accent2"/>
              </w:rPr>
              <w:t>I.03</w:t>
            </w:r>
          </w:p>
        </w:tc>
        <w:tc>
          <w:tcPr>
            <w:tcW w:w="1417" w:type="dxa"/>
            <w:tcBorders>
              <w:left w:val="nil"/>
            </w:tcBorders>
            <w:vAlign w:val="center"/>
            <w:hideMark/>
          </w:tcPr>
          <w:p w:rsidR="00515FD4" w:rsidRPr="00336531" w:rsidRDefault="00515FD4" w:rsidP="00670F92">
            <w:pPr>
              <w:pStyle w:val="HStandard"/>
              <w:spacing w:after="0"/>
              <w:jc w:val="left"/>
              <w:rPr>
                <w:b/>
                <w:color w:val="BE4A35" w:themeColor="accent2"/>
                <w:sz w:val="16"/>
                <w:szCs w:val="18"/>
              </w:rPr>
            </w:pPr>
            <w:r>
              <w:rPr>
                <w:b/>
                <w:color w:val="BE4A35" w:themeColor="accent2"/>
                <w:sz w:val="16"/>
              </w:rPr>
              <w:t>Celková produktivita faktorov v poľnohospodárstve</w:t>
            </w: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c>
          <w:tcPr>
            <w:tcW w:w="1701" w:type="dxa"/>
            <w:vMerge/>
            <w:hideMark/>
          </w:tcPr>
          <w:p w:rsidR="00515FD4" w:rsidRPr="001C6ACF" w:rsidRDefault="00515FD4" w:rsidP="007008C0">
            <w:pPr>
              <w:pStyle w:val="HStandard"/>
              <w:spacing w:line="240" w:lineRule="auto"/>
              <w:rPr>
                <w:sz w:val="16"/>
              </w:rPr>
            </w:pPr>
          </w:p>
        </w:tc>
      </w:tr>
      <w:tr w:rsidR="00515FD4" w:rsidRPr="001C6ACF" w:rsidTr="00670F92">
        <w:trPr>
          <w:trHeight w:val="255"/>
        </w:trPr>
        <w:tc>
          <w:tcPr>
            <w:tcW w:w="9209" w:type="dxa"/>
            <w:gridSpan w:val="6"/>
            <w:shd w:val="clear" w:color="auto" w:fill="57825E" w:themeFill="accent4"/>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Vplyv na životné prostredie</w:t>
            </w:r>
          </w:p>
        </w:tc>
      </w:tr>
      <w:tr w:rsidR="00515FD4" w:rsidRPr="001C6ACF" w:rsidTr="005F69E8">
        <w:trPr>
          <w:trHeight w:val="1068"/>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4048" behindDoc="1" locked="0" layoutInCell="1" allowOverlap="1" wp14:anchorId="1226EEA4" wp14:editId="7A9DD4F4">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I.07</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 xml:space="preserve">Emisie z poľnohospodárstva </w:t>
            </w:r>
          </w:p>
        </w:tc>
        <w:tc>
          <w:tcPr>
            <w:tcW w:w="1701" w:type="dxa"/>
            <w:vAlign w:val="center"/>
            <w:hideMark/>
          </w:tcPr>
          <w:p w:rsidR="00515FD4" w:rsidRPr="007645B4" w:rsidRDefault="00BB68D4" w:rsidP="007008C0">
            <w:pPr>
              <w:pStyle w:val="HStandard"/>
              <w:spacing w:line="240" w:lineRule="auto"/>
              <w:jc w:val="center"/>
              <w:rPr>
                <w:rFonts w:cs="Arial"/>
                <w:sz w:val="16"/>
                <w:szCs w:val="18"/>
              </w:rPr>
            </w:pPr>
            <w:r>
              <w:rPr>
                <w:sz w:val="16"/>
              </w:rPr>
              <w:t xml:space="preserve">Regresné a párovacie </w:t>
            </w:r>
            <w:r w:rsidR="001D70DD">
              <w:rPr>
                <w:sz w:val="16"/>
              </w:rPr>
              <w:t>prístup</w:t>
            </w:r>
            <w:r>
              <w:rPr>
                <w:sz w:val="16"/>
              </w:rPr>
              <w:t>y</w:t>
            </w:r>
          </w:p>
        </w:tc>
        <w:tc>
          <w:tcPr>
            <w:tcW w:w="1701" w:type="dxa"/>
            <w:vAlign w:val="center"/>
            <w:hideMark/>
          </w:tcPr>
          <w:p w:rsidR="00515FD4" w:rsidRPr="001C6ACF" w:rsidRDefault="00905ED8" w:rsidP="007008C0">
            <w:pPr>
              <w:pStyle w:val="HStandard"/>
              <w:spacing w:line="240" w:lineRule="auto"/>
              <w:jc w:val="center"/>
              <w:rPr>
                <w:rFonts w:cs="Arial"/>
                <w:sz w:val="16"/>
                <w:szCs w:val="18"/>
              </w:rPr>
            </w:pPr>
            <w:r>
              <w:rPr>
                <w:sz w:val="16"/>
              </w:rPr>
              <w:t>Zovšeobecnený odhad</w:t>
            </w:r>
            <w:r w:rsidRPr="00905ED8">
              <w:rPr>
                <w:sz w:val="16"/>
              </w:rPr>
              <w:t xml:space="preserve"> pravdepodobnosti získania podpory </w:t>
            </w:r>
            <w:r w:rsidR="00515FD4">
              <w:rPr>
                <w:sz w:val="16"/>
              </w:rPr>
              <w:t>s použitím NUTS 3 alebo iných priestorových údajov</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Žiadne</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Naivné porovnanie</w:t>
            </w:r>
            <w:r>
              <w:rPr>
                <w:rFonts w:cs="Arial"/>
                <w:sz w:val="16"/>
                <w:szCs w:val="18"/>
              </w:rPr>
              <w:br/>
            </w:r>
            <w:r>
              <w:rPr>
                <w:sz w:val="16"/>
              </w:rPr>
              <w:t>so základnými hodnotami (vrátane kvalitatívnych metód)</w:t>
            </w:r>
          </w:p>
        </w:tc>
      </w:tr>
      <w:tr w:rsidR="00515FD4" w:rsidRPr="001C6ACF" w:rsidTr="005F69E8">
        <w:trPr>
          <w:trHeight w:val="630"/>
        </w:trPr>
        <w:tc>
          <w:tcPr>
            <w:tcW w:w="988" w:type="dxa"/>
            <w:tcBorders>
              <w:right w:val="nil"/>
            </w:tcBorders>
            <w:hideMark/>
          </w:tcPr>
          <w:p w:rsidR="00515FD4" w:rsidRPr="00571D58" w:rsidRDefault="008D493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0976" behindDoc="1" locked="0" layoutInCell="1" allowOverlap="1" wp14:anchorId="13FF8A81" wp14:editId="4D714610">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I.08</w:t>
            </w:r>
          </w:p>
        </w:tc>
        <w:tc>
          <w:tcPr>
            <w:tcW w:w="1417" w:type="dxa"/>
            <w:tcBorders>
              <w:left w:val="nil"/>
            </w:tcBorders>
            <w:vAlign w:val="center"/>
            <w:hideMark/>
          </w:tcPr>
          <w:p w:rsidR="00515FD4" w:rsidRPr="00FB6C06" w:rsidRDefault="00515FD4" w:rsidP="00670F92">
            <w:pPr>
              <w:pStyle w:val="HStandard"/>
              <w:jc w:val="left"/>
              <w:rPr>
                <w:rFonts w:cs="Arial"/>
                <w:b/>
                <w:color w:val="57825E" w:themeColor="accent4"/>
                <w:sz w:val="16"/>
                <w:szCs w:val="18"/>
              </w:rPr>
            </w:pPr>
            <w:r>
              <w:rPr>
                <w:b/>
                <w:color w:val="57825E" w:themeColor="accent4"/>
                <w:sz w:val="16"/>
              </w:rPr>
              <w:t>Index vtáctva žijúceho na poľnohospodárskej pôde</w:t>
            </w:r>
          </w:p>
        </w:tc>
        <w:tc>
          <w:tcPr>
            <w:tcW w:w="1701" w:type="dxa"/>
            <w:vMerge w:val="restart"/>
            <w:vAlign w:val="center"/>
            <w:hideMark/>
          </w:tcPr>
          <w:p w:rsidR="00515FD4" w:rsidRPr="001C6ACF" w:rsidRDefault="004E327A" w:rsidP="004E327A">
            <w:pPr>
              <w:pStyle w:val="HStandard"/>
              <w:spacing w:line="240" w:lineRule="auto"/>
              <w:jc w:val="center"/>
              <w:rPr>
                <w:rFonts w:cs="Arial"/>
                <w:sz w:val="16"/>
                <w:szCs w:val="18"/>
              </w:rPr>
            </w:pPr>
            <w:r>
              <w:rPr>
                <w:sz w:val="16"/>
              </w:rPr>
              <w:t>M</w:t>
            </w:r>
            <w:r w:rsidR="00905ED8">
              <w:rPr>
                <w:sz w:val="16"/>
              </w:rPr>
              <w:t>etód</w:t>
            </w:r>
            <w:r>
              <w:rPr>
                <w:sz w:val="16"/>
              </w:rPr>
              <w:t>a</w:t>
            </w:r>
            <w:r w:rsidR="00905ED8">
              <w:rPr>
                <w:sz w:val="16"/>
              </w:rPr>
              <w:t xml:space="preserve"> </w:t>
            </w:r>
            <w:r w:rsidRPr="004E327A">
              <w:rPr>
                <w:sz w:val="16"/>
              </w:rPr>
              <w:t xml:space="preserve">odhadu pravdepodobnosti získania podpory </w:t>
            </w:r>
            <w:r w:rsidR="00515FD4">
              <w:rPr>
                <w:sz w:val="16"/>
              </w:rPr>
              <w:t>(PSM) a metóda rozdiel v rozdieloch (DiD)</w:t>
            </w:r>
          </w:p>
        </w:tc>
        <w:tc>
          <w:tcPr>
            <w:tcW w:w="1701" w:type="dxa"/>
            <w:vMerge w:val="restart"/>
            <w:vAlign w:val="center"/>
            <w:hideMark/>
          </w:tcPr>
          <w:p w:rsidR="00515FD4" w:rsidRPr="001C6ACF" w:rsidRDefault="00905ED8" w:rsidP="007008C0">
            <w:pPr>
              <w:pStyle w:val="HStandard"/>
              <w:spacing w:line="240" w:lineRule="auto"/>
              <w:jc w:val="center"/>
              <w:rPr>
                <w:rFonts w:cs="Arial"/>
                <w:sz w:val="16"/>
                <w:szCs w:val="18"/>
              </w:rPr>
            </w:pPr>
            <w:r>
              <w:rPr>
                <w:sz w:val="16"/>
              </w:rPr>
              <w:t xml:space="preserve">Metóda </w:t>
            </w:r>
            <w:r w:rsidRPr="00905ED8">
              <w:rPr>
                <w:sz w:val="16"/>
              </w:rPr>
              <w:t>odhadu pravdepodobnosti získania podpory</w:t>
            </w:r>
            <w:r w:rsidR="00515FD4">
              <w:rPr>
                <w:sz w:val="16"/>
              </w:rPr>
              <w:t xml:space="preserve"> (PSM) a metóda rozdiel v rozdieloch (DiD)</w:t>
            </w:r>
          </w:p>
          <w:p w:rsidR="00515FD4" w:rsidRPr="001C6ACF" w:rsidRDefault="00515FD4" w:rsidP="007008C0">
            <w:pPr>
              <w:pStyle w:val="HStandard"/>
              <w:spacing w:line="240" w:lineRule="auto"/>
              <w:jc w:val="center"/>
              <w:rPr>
                <w:rFonts w:cs="Arial"/>
                <w:sz w:val="16"/>
                <w:szCs w:val="18"/>
              </w:rPr>
            </w:pPr>
            <w:r>
              <w:rPr>
                <w:sz w:val="16"/>
              </w:rPr>
              <w:t>Priestorové ekonometrické modely pre biogeografické oblasti</w:t>
            </w:r>
          </w:p>
        </w:tc>
        <w:tc>
          <w:tcPr>
            <w:tcW w:w="1701" w:type="dxa"/>
            <w:vMerge w:val="restart"/>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Štatistická analýza párových porovnaní </w:t>
            </w:r>
            <w:r>
              <w:rPr>
                <w:i/>
                <w:sz w:val="16"/>
              </w:rPr>
              <w:t>ad hoc</w:t>
            </w:r>
            <w:r>
              <w:rPr>
                <w:sz w:val="16"/>
              </w:rPr>
              <w:t xml:space="preserve"> alebo viacerých porovnávacích skupín s použitím DiD spoločne s kvalitatívnymi posúdeniami</w:t>
            </w:r>
          </w:p>
        </w:tc>
        <w:tc>
          <w:tcPr>
            <w:tcW w:w="1701" w:type="dxa"/>
            <w:vMerge w:val="restart"/>
            <w:vAlign w:val="center"/>
            <w:hideMark/>
          </w:tcPr>
          <w:p w:rsidR="00515FD4" w:rsidRPr="001C6ACF" w:rsidRDefault="001D70DD" w:rsidP="007008C0">
            <w:pPr>
              <w:pStyle w:val="HStandard"/>
              <w:spacing w:line="240" w:lineRule="auto"/>
              <w:jc w:val="center"/>
              <w:rPr>
                <w:rFonts w:cs="Arial"/>
                <w:sz w:val="16"/>
                <w:szCs w:val="18"/>
              </w:rPr>
            </w:pPr>
            <w:r>
              <w:rPr>
                <w:sz w:val="16"/>
              </w:rPr>
              <w:t>Prístup</w:t>
            </w:r>
            <w:r w:rsidR="00515FD4">
              <w:rPr>
                <w:sz w:val="16"/>
              </w:rPr>
              <w:t>y zdola nahor s úpravou zistení na mikroúrovni spoločne s kvalitatívnymi posúdeniami</w:t>
            </w:r>
          </w:p>
        </w:tc>
      </w:tr>
      <w:tr w:rsidR="00515FD4" w:rsidRPr="001C6ACF" w:rsidTr="005F69E8">
        <w:trPr>
          <w:trHeight w:val="1083"/>
        </w:trPr>
        <w:tc>
          <w:tcPr>
            <w:tcW w:w="988" w:type="dxa"/>
            <w:tcBorders>
              <w:right w:val="nil"/>
            </w:tcBorders>
            <w:hideMark/>
          </w:tcPr>
          <w:p w:rsidR="00515FD4" w:rsidRPr="00571D58" w:rsidRDefault="00515FD4" w:rsidP="004A2D39">
            <w:pPr>
              <w:pStyle w:val="HStandard"/>
              <w:jc w:val="center"/>
              <w:rPr>
                <w:b/>
                <w:bCs/>
                <w:color w:val="57825E" w:themeColor="accent4"/>
              </w:rPr>
            </w:pPr>
            <w:r>
              <w:rPr>
                <w:b/>
                <w:bCs/>
                <w:noProof/>
                <w:color w:val="57825E" w:themeColor="accent4"/>
                <w:lang w:bidi="ar-SA"/>
              </w:rPr>
              <w:drawing>
                <wp:anchor distT="0" distB="0" distL="114300" distR="114300" simplePos="0" relativeHeight="251709952" behindDoc="1" locked="0" layoutInCell="1" allowOverlap="1" wp14:anchorId="0D99AD6E" wp14:editId="5B9F11BA">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I.09</w:t>
            </w:r>
          </w:p>
        </w:tc>
        <w:tc>
          <w:tcPr>
            <w:tcW w:w="1417" w:type="dxa"/>
            <w:tcBorders>
              <w:left w:val="nil"/>
            </w:tcBorders>
            <w:vAlign w:val="center"/>
            <w:hideMark/>
          </w:tcPr>
          <w:p w:rsidR="00515FD4" w:rsidRPr="00336531" w:rsidRDefault="00515FD4" w:rsidP="00670F92">
            <w:pPr>
              <w:pStyle w:val="HStandard"/>
              <w:jc w:val="left"/>
              <w:rPr>
                <w:rFonts w:cs="Arial"/>
                <w:b/>
                <w:color w:val="57825E" w:themeColor="accent4"/>
                <w:sz w:val="16"/>
                <w:szCs w:val="18"/>
              </w:rPr>
            </w:pPr>
            <w:r>
              <w:rPr>
                <w:b/>
                <w:color w:val="57825E" w:themeColor="accent4"/>
                <w:sz w:val="16"/>
              </w:rPr>
              <w:t>Poľnohospodárstvo s vysokou prírodnou hodnotou (HNV)</w:t>
            </w: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c>
          <w:tcPr>
            <w:tcW w:w="1701" w:type="dxa"/>
            <w:vMerge/>
            <w:vAlign w:val="center"/>
            <w:hideMark/>
          </w:tcPr>
          <w:p w:rsidR="00515FD4" w:rsidRPr="001C6ACF" w:rsidRDefault="00515FD4" w:rsidP="007008C0">
            <w:pPr>
              <w:pStyle w:val="HStandard"/>
              <w:spacing w:line="240" w:lineRule="auto"/>
              <w:jc w:val="center"/>
              <w:rPr>
                <w:rFonts w:cs="Arial"/>
                <w:sz w:val="16"/>
                <w:szCs w:val="18"/>
              </w:rPr>
            </w:pPr>
          </w:p>
        </w:tc>
      </w:tr>
      <w:tr w:rsidR="00273775" w:rsidRPr="001C6ACF" w:rsidTr="005F69E8">
        <w:trPr>
          <w:trHeight w:val="1082"/>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22240" behindDoc="1" locked="0" layoutInCell="1" allowOverlap="1" wp14:anchorId="0077F254" wp14:editId="14982742">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I.10</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Odber vody v poľnohospodárstve </w:t>
            </w:r>
          </w:p>
        </w:tc>
        <w:tc>
          <w:tcPr>
            <w:tcW w:w="1701" w:type="dxa"/>
            <w:vMerge w:val="restart"/>
            <w:vAlign w:val="center"/>
            <w:hideMark/>
          </w:tcPr>
          <w:p w:rsidR="00273775" w:rsidRPr="001C6ACF" w:rsidRDefault="00273775" w:rsidP="007008C0">
            <w:pPr>
              <w:pStyle w:val="HStandard"/>
              <w:spacing w:line="240" w:lineRule="auto"/>
              <w:jc w:val="center"/>
              <w:rPr>
                <w:rFonts w:cs="Arial"/>
                <w:sz w:val="16"/>
                <w:szCs w:val="18"/>
              </w:rPr>
            </w:pPr>
            <w:r>
              <w:rPr>
                <w:sz w:val="16"/>
              </w:rPr>
              <w:t xml:space="preserve">Regresné a párovacie </w:t>
            </w:r>
            <w:r w:rsidR="001D70DD">
              <w:rPr>
                <w:sz w:val="16"/>
              </w:rPr>
              <w:t>prístup</w:t>
            </w:r>
            <w:r>
              <w:rPr>
                <w:sz w:val="16"/>
              </w:rPr>
              <w:t>y pre I.10, I.11-1 a v závislosti od dostupnosti údajov pre I.11-2</w:t>
            </w:r>
            <w:r>
              <w:rPr>
                <w:rFonts w:cs="Arial"/>
                <w:sz w:val="16"/>
                <w:szCs w:val="18"/>
              </w:rPr>
              <w:br/>
            </w:r>
            <w:r>
              <w:rPr>
                <w:sz w:val="16"/>
              </w:rPr>
              <w:t>Simulácia prípadovej štúdie správneho územia povodia alebo jeho podjednotky len pre I.11-2</w:t>
            </w:r>
          </w:p>
        </w:tc>
        <w:tc>
          <w:tcPr>
            <w:tcW w:w="1701" w:type="dxa"/>
            <w:vMerge w:val="restart"/>
            <w:vAlign w:val="center"/>
            <w:hideMark/>
          </w:tcPr>
          <w:p w:rsidR="00273775" w:rsidRPr="001C6ACF" w:rsidRDefault="00905ED8" w:rsidP="00905ED8">
            <w:pPr>
              <w:pStyle w:val="HStandard"/>
              <w:spacing w:line="240" w:lineRule="auto"/>
              <w:jc w:val="center"/>
              <w:rPr>
                <w:rFonts w:cs="Arial"/>
                <w:sz w:val="16"/>
                <w:szCs w:val="18"/>
              </w:rPr>
            </w:pPr>
            <w:r>
              <w:rPr>
                <w:sz w:val="16"/>
              </w:rPr>
              <w:t>Zovšeobecnený</w:t>
            </w:r>
            <w:r w:rsidR="00273775">
              <w:rPr>
                <w:sz w:val="16"/>
              </w:rPr>
              <w:t xml:space="preserve"> </w:t>
            </w:r>
            <w:r>
              <w:rPr>
                <w:sz w:val="16"/>
              </w:rPr>
              <w:t xml:space="preserve">odhad </w:t>
            </w:r>
            <w:r w:rsidRPr="00905ED8">
              <w:rPr>
                <w:sz w:val="16"/>
              </w:rPr>
              <w:t>pravdepodobnosti získania podpory</w:t>
            </w:r>
            <w:r w:rsidR="00273775">
              <w:rPr>
                <w:sz w:val="16"/>
              </w:rPr>
              <w:t xml:space="preserve"> (GPSM) </w:t>
            </w:r>
            <w:r w:rsidR="00273775">
              <w:rPr>
                <w:rFonts w:cs="Arial"/>
                <w:sz w:val="16"/>
                <w:szCs w:val="18"/>
              </w:rPr>
              <w:br/>
            </w:r>
            <w:r w:rsidR="00273775">
              <w:rPr>
                <w:rFonts w:cs="Arial"/>
                <w:sz w:val="16"/>
                <w:szCs w:val="18"/>
              </w:rPr>
              <w:br/>
            </w:r>
            <w:r w:rsidR="00273775">
              <w:rPr>
                <w:sz w:val="16"/>
              </w:rPr>
              <w:t>Priestorová ekonometria</w:t>
            </w:r>
          </w:p>
        </w:tc>
        <w:tc>
          <w:tcPr>
            <w:tcW w:w="1701" w:type="dxa"/>
            <w:vMerge w:val="restart"/>
            <w:vAlign w:val="center"/>
            <w:hideMark/>
          </w:tcPr>
          <w:p w:rsidR="00273775" w:rsidRPr="001C6ACF" w:rsidRDefault="00B9614C" w:rsidP="007008C0">
            <w:pPr>
              <w:pStyle w:val="HStandard"/>
              <w:spacing w:line="240" w:lineRule="auto"/>
              <w:jc w:val="center"/>
              <w:rPr>
                <w:rFonts w:cs="Arial"/>
                <w:sz w:val="16"/>
                <w:szCs w:val="18"/>
              </w:rPr>
            </w:pPr>
            <w:r>
              <w:rPr>
                <w:sz w:val="16"/>
              </w:rPr>
              <w:t>Kvalitatívne metódy</w:t>
            </w:r>
          </w:p>
        </w:tc>
        <w:tc>
          <w:tcPr>
            <w:tcW w:w="1701" w:type="dxa"/>
            <w:vMerge w:val="restart"/>
            <w:vAlign w:val="center"/>
          </w:tcPr>
          <w:p w:rsidR="00273775" w:rsidRPr="001C6ACF" w:rsidRDefault="001043CE" w:rsidP="007008C0">
            <w:pPr>
              <w:pStyle w:val="HStandard"/>
              <w:spacing w:line="240" w:lineRule="auto"/>
              <w:jc w:val="center"/>
              <w:rPr>
                <w:rFonts w:cs="Arial"/>
                <w:sz w:val="16"/>
                <w:szCs w:val="18"/>
              </w:rPr>
            </w:pPr>
            <w:r>
              <w:rPr>
                <w:sz w:val="16"/>
              </w:rPr>
              <w:t>Naivné porovnanie skupín pomocou kvalitatívnych metód</w:t>
            </w:r>
          </w:p>
        </w:tc>
      </w:tr>
      <w:tr w:rsidR="00273775" w:rsidRPr="001C6ACF" w:rsidTr="005F69E8">
        <w:trPr>
          <w:trHeight w:val="984"/>
        </w:trPr>
        <w:tc>
          <w:tcPr>
            <w:tcW w:w="988" w:type="dxa"/>
            <w:tcBorders>
              <w:right w:val="nil"/>
            </w:tcBorders>
            <w:hideMark/>
          </w:tcPr>
          <w:p w:rsidR="00273775" w:rsidRPr="00571D58" w:rsidRDefault="00273775"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21216" behindDoc="1" locked="0" layoutInCell="1" allowOverlap="1" wp14:anchorId="2C26BEEF" wp14:editId="65779F64">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I.11</w:t>
            </w:r>
          </w:p>
        </w:tc>
        <w:tc>
          <w:tcPr>
            <w:tcW w:w="1417" w:type="dxa"/>
            <w:tcBorders>
              <w:left w:val="nil"/>
            </w:tcBorders>
            <w:vAlign w:val="center"/>
            <w:hideMark/>
          </w:tcPr>
          <w:p w:rsidR="00273775" w:rsidRPr="00336531" w:rsidRDefault="00273775" w:rsidP="00670F92">
            <w:pPr>
              <w:pStyle w:val="HStandard"/>
              <w:jc w:val="left"/>
              <w:rPr>
                <w:rFonts w:cs="Arial"/>
                <w:b/>
                <w:color w:val="57825E" w:themeColor="accent4"/>
                <w:sz w:val="16"/>
                <w:szCs w:val="18"/>
              </w:rPr>
            </w:pPr>
            <w:r>
              <w:rPr>
                <w:b/>
                <w:color w:val="57825E" w:themeColor="accent4"/>
                <w:sz w:val="16"/>
              </w:rPr>
              <w:t xml:space="preserve">Kvalita vody </w:t>
            </w: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hideMark/>
          </w:tcPr>
          <w:p w:rsidR="00273775" w:rsidRPr="001C6ACF" w:rsidRDefault="00273775" w:rsidP="007008C0">
            <w:pPr>
              <w:pStyle w:val="HStandard"/>
              <w:spacing w:line="240" w:lineRule="auto"/>
              <w:jc w:val="center"/>
              <w:rPr>
                <w:rFonts w:cs="Arial"/>
                <w:sz w:val="16"/>
                <w:szCs w:val="18"/>
              </w:rPr>
            </w:pPr>
          </w:p>
        </w:tc>
        <w:tc>
          <w:tcPr>
            <w:tcW w:w="1701" w:type="dxa"/>
            <w:vMerge/>
          </w:tcPr>
          <w:p w:rsidR="00273775" w:rsidRPr="001C6ACF" w:rsidRDefault="00273775" w:rsidP="007008C0">
            <w:pPr>
              <w:pStyle w:val="HStandard"/>
              <w:spacing w:line="240" w:lineRule="auto"/>
              <w:jc w:val="center"/>
              <w:rPr>
                <w:rFonts w:cs="Arial"/>
                <w:sz w:val="16"/>
                <w:szCs w:val="18"/>
              </w:rPr>
            </w:pPr>
          </w:p>
        </w:tc>
      </w:tr>
      <w:tr w:rsidR="00515FD4" w:rsidRPr="001C6ACF" w:rsidTr="005F69E8">
        <w:trPr>
          <w:trHeight w:val="1214"/>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5072" behindDoc="1" locked="0" layoutInCell="1" allowOverlap="1" wp14:anchorId="392AA93D" wp14:editId="34AB6C8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I.12</w:t>
            </w:r>
          </w:p>
        </w:tc>
        <w:tc>
          <w:tcPr>
            <w:tcW w:w="1417" w:type="dxa"/>
            <w:tcBorders>
              <w:left w:val="nil"/>
            </w:tcBorders>
            <w:vAlign w:val="center"/>
            <w:hideMark/>
          </w:tcPr>
          <w:p w:rsidR="00515FD4" w:rsidRPr="00336531" w:rsidRDefault="00515FD4" w:rsidP="001B04F9">
            <w:pPr>
              <w:pStyle w:val="HStandard"/>
              <w:jc w:val="left"/>
              <w:rPr>
                <w:rFonts w:cs="Arial"/>
                <w:b/>
                <w:color w:val="57825E" w:themeColor="accent4"/>
                <w:sz w:val="16"/>
                <w:szCs w:val="18"/>
              </w:rPr>
            </w:pPr>
            <w:r>
              <w:rPr>
                <w:b/>
                <w:color w:val="57825E" w:themeColor="accent4"/>
                <w:sz w:val="16"/>
              </w:rPr>
              <w:t xml:space="preserve">Organické pôdne látky v ornej pôde </w:t>
            </w:r>
          </w:p>
        </w:tc>
        <w:tc>
          <w:tcPr>
            <w:tcW w:w="1701" w:type="dxa"/>
            <w:vAlign w:val="center"/>
            <w:hideMark/>
          </w:tcPr>
          <w:p w:rsidR="00515FD4" w:rsidRPr="001C6ACF" w:rsidRDefault="00FF2060" w:rsidP="007008C0">
            <w:pPr>
              <w:pStyle w:val="HStandard"/>
              <w:spacing w:line="240" w:lineRule="auto"/>
              <w:jc w:val="center"/>
              <w:rPr>
                <w:rFonts w:cs="Arial"/>
                <w:sz w:val="16"/>
                <w:szCs w:val="18"/>
              </w:rPr>
            </w:pPr>
            <w:r>
              <w:rPr>
                <w:sz w:val="16"/>
              </w:rPr>
              <w:t>Posúdenie organických pôdnych látok na základe hĺbky pôdy 0 – 60 cm</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Žiadne</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 xml:space="preserve">Posúdenie organických pôdnych látok </w:t>
            </w:r>
            <w:r>
              <w:rPr>
                <w:rFonts w:cs="Arial"/>
                <w:sz w:val="16"/>
                <w:szCs w:val="18"/>
              </w:rPr>
              <w:br/>
            </w:r>
            <w:r>
              <w:rPr>
                <w:sz w:val="16"/>
              </w:rPr>
              <w:t xml:space="preserve">na základe zjednodušených </w:t>
            </w:r>
            <w:r>
              <w:rPr>
                <w:sz w:val="16"/>
              </w:rPr>
              <w:lastRenderedPageBreak/>
              <w:t>programov monitorovania pôdy</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lastRenderedPageBreak/>
              <w:t xml:space="preserve">Posúdenie organických pôdnych látok </w:t>
            </w:r>
            <w:r>
              <w:rPr>
                <w:rFonts w:cs="Arial"/>
                <w:sz w:val="16"/>
                <w:szCs w:val="18"/>
              </w:rPr>
              <w:br/>
            </w:r>
            <w:r>
              <w:rPr>
                <w:sz w:val="16"/>
              </w:rPr>
              <w:t xml:space="preserve">na základe </w:t>
            </w:r>
            <w:r w:rsidR="00541C44">
              <w:rPr>
                <w:sz w:val="16"/>
              </w:rPr>
              <w:t xml:space="preserve">údajov </w:t>
            </w:r>
            <w:r>
              <w:rPr>
                <w:sz w:val="16"/>
              </w:rPr>
              <w:t>databázy LUCAS</w:t>
            </w:r>
          </w:p>
        </w:tc>
      </w:tr>
      <w:tr w:rsidR="00515FD4" w:rsidRPr="001C6ACF" w:rsidTr="006A4FC1">
        <w:trPr>
          <w:trHeight w:val="43"/>
        </w:trPr>
        <w:tc>
          <w:tcPr>
            <w:tcW w:w="988" w:type="dxa"/>
            <w:tcBorders>
              <w:right w:val="nil"/>
            </w:tcBorders>
            <w:hideMark/>
          </w:tcPr>
          <w:p w:rsidR="00515FD4" w:rsidRPr="00571D58" w:rsidRDefault="00515FD4" w:rsidP="000F570B">
            <w:pPr>
              <w:pStyle w:val="HStandard"/>
              <w:jc w:val="center"/>
              <w:rPr>
                <w:b/>
                <w:bCs/>
                <w:color w:val="57825E" w:themeColor="accent4"/>
              </w:rPr>
            </w:pPr>
            <w:r>
              <w:rPr>
                <w:b/>
                <w:bCs/>
                <w:noProof/>
                <w:color w:val="57825E" w:themeColor="accent4"/>
                <w:lang w:bidi="ar-SA"/>
              </w:rPr>
              <w:drawing>
                <wp:anchor distT="0" distB="0" distL="114300" distR="114300" simplePos="0" relativeHeight="251716096" behindDoc="1" locked="0" layoutInCell="1" allowOverlap="1" wp14:anchorId="2F6ED840" wp14:editId="4A6ACFFD">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7825E" w:themeColor="accent4"/>
              </w:rPr>
              <w:t>I.13</w:t>
            </w:r>
          </w:p>
        </w:tc>
        <w:tc>
          <w:tcPr>
            <w:tcW w:w="1417" w:type="dxa"/>
            <w:tcBorders>
              <w:left w:val="nil"/>
            </w:tcBorders>
            <w:vAlign w:val="center"/>
            <w:hideMark/>
          </w:tcPr>
          <w:p w:rsidR="006E3A77" w:rsidRPr="00FB6C06" w:rsidRDefault="00515FD4" w:rsidP="001B04F9">
            <w:pPr>
              <w:pStyle w:val="HStandard"/>
              <w:jc w:val="left"/>
              <w:rPr>
                <w:rFonts w:cs="Arial"/>
                <w:b/>
                <w:color w:val="57825E" w:themeColor="accent4"/>
                <w:sz w:val="16"/>
                <w:szCs w:val="18"/>
              </w:rPr>
            </w:pPr>
            <w:r>
              <w:rPr>
                <w:b/>
                <w:color w:val="57825E" w:themeColor="accent4"/>
                <w:sz w:val="16"/>
              </w:rPr>
              <w:t>Pôdna erózia spôsobená vodou</w:t>
            </w:r>
          </w:p>
        </w:tc>
        <w:tc>
          <w:tcPr>
            <w:tcW w:w="1701" w:type="dxa"/>
            <w:vAlign w:val="center"/>
            <w:hideMark/>
          </w:tcPr>
          <w:p w:rsidR="00515FD4" w:rsidRPr="00863E73" w:rsidRDefault="00BB68D4" w:rsidP="007008C0">
            <w:pPr>
              <w:pStyle w:val="NormalWeb"/>
              <w:jc w:val="center"/>
              <w:rPr>
                <w:rFonts w:ascii="Arial" w:hAnsi="Arial" w:cs="Arial"/>
                <w:color w:val="373737" w:themeColor="text1"/>
                <w:sz w:val="16"/>
                <w:szCs w:val="18"/>
              </w:rPr>
            </w:pPr>
            <w:r>
              <w:rPr>
                <w:rFonts w:ascii="Arial" w:hAnsi="Arial"/>
                <w:color w:val="373737" w:themeColor="text1"/>
                <w:sz w:val="16"/>
              </w:rPr>
              <w:t xml:space="preserve">Hodnotiace </w:t>
            </w:r>
            <w:r w:rsidR="001D70DD">
              <w:rPr>
                <w:rFonts w:ascii="Arial" w:hAnsi="Arial"/>
                <w:color w:val="373737" w:themeColor="text1"/>
                <w:sz w:val="16"/>
              </w:rPr>
              <w:t>prístup</w:t>
            </w:r>
            <w:r>
              <w:rPr>
                <w:rFonts w:ascii="Arial" w:hAnsi="Arial"/>
                <w:color w:val="373737" w:themeColor="text1"/>
                <w:sz w:val="16"/>
              </w:rPr>
              <w:t>y založené na štatistike</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Priestorová ekonometria GPSM s podporou DiD</w:t>
            </w:r>
          </w:p>
        </w:tc>
        <w:tc>
          <w:tcPr>
            <w:tcW w:w="1701" w:type="dxa"/>
            <w:vAlign w:val="center"/>
            <w:hideMark/>
          </w:tcPr>
          <w:p w:rsidR="00515FD4" w:rsidRPr="001C6ACF" w:rsidRDefault="00515FD4" w:rsidP="007008C0">
            <w:pPr>
              <w:pStyle w:val="HStandard"/>
              <w:spacing w:line="240" w:lineRule="auto"/>
              <w:jc w:val="center"/>
              <w:rPr>
                <w:rFonts w:cs="Arial"/>
                <w:sz w:val="16"/>
                <w:szCs w:val="18"/>
              </w:rPr>
            </w:pPr>
            <w:r>
              <w:rPr>
                <w:sz w:val="16"/>
              </w:rPr>
              <w:t>Naivné porovnanie so základnými hodnotami alebo medzi dynamickými skupinami</w:t>
            </w:r>
          </w:p>
        </w:tc>
        <w:tc>
          <w:tcPr>
            <w:tcW w:w="1701" w:type="dxa"/>
            <w:vAlign w:val="center"/>
            <w:hideMark/>
          </w:tcPr>
          <w:p w:rsidR="00B52E11" w:rsidRPr="001C6ACF" w:rsidRDefault="00515FD4" w:rsidP="007008C0">
            <w:pPr>
              <w:pStyle w:val="HStandard"/>
              <w:spacing w:line="240" w:lineRule="auto"/>
              <w:jc w:val="center"/>
              <w:rPr>
                <w:rFonts w:cs="Arial"/>
                <w:sz w:val="16"/>
                <w:szCs w:val="18"/>
              </w:rPr>
            </w:pPr>
            <w:r>
              <w:rPr>
                <w:sz w:val="16"/>
              </w:rPr>
              <w:t>Kvantitatívne naivné posúdenie</w:t>
            </w:r>
            <w:r w:rsidR="00541C44">
              <w:rPr>
                <w:sz w:val="16"/>
              </w:rPr>
              <w:t xml:space="preserve"> </w:t>
            </w:r>
            <w:r>
              <w:rPr>
                <w:sz w:val="16"/>
              </w:rPr>
              <w:t>vzťahu medzi priestorovými jednotkami a celoštátnymi priemerom</w:t>
            </w:r>
          </w:p>
          <w:p w:rsidR="00735F08" w:rsidRPr="001C6ACF" w:rsidRDefault="00735F08" w:rsidP="007008C0">
            <w:pPr>
              <w:pStyle w:val="HStandard"/>
              <w:spacing w:line="240" w:lineRule="auto"/>
              <w:jc w:val="center"/>
              <w:rPr>
                <w:rFonts w:cs="Arial"/>
                <w:sz w:val="16"/>
                <w:szCs w:val="18"/>
              </w:rPr>
            </w:pPr>
          </w:p>
        </w:tc>
      </w:tr>
      <w:tr w:rsidR="00515FD4" w:rsidRPr="001C6ACF" w:rsidTr="00670F92">
        <w:trPr>
          <w:trHeight w:val="255"/>
        </w:trPr>
        <w:tc>
          <w:tcPr>
            <w:tcW w:w="9209" w:type="dxa"/>
            <w:gridSpan w:val="6"/>
            <w:tcBorders>
              <w:top w:val="single" w:sz="4" w:space="0" w:color="FFFFFF" w:themeColor="background1"/>
            </w:tcBorders>
            <w:shd w:val="clear" w:color="auto" w:fill="59638E" w:themeFill="accent3"/>
            <w:hideMark/>
          </w:tcPr>
          <w:p w:rsidR="00515FD4" w:rsidRPr="001C6ACF" w:rsidRDefault="00515FD4" w:rsidP="007008C0">
            <w:pPr>
              <w:pStyle w:val="HStandard"/>
              <w:spacing w:line="240" w:lineRule="auto"/>
              <w:rPr>
                <w:bCs/>
                <w:color w:val="FFFFFF" w:themeColor="background1"/>
                <w:sz w:val="16"/>
              </w:rPr>
            </w:pPr>
            <w:r>
              <w:rPr>
                <w:color w:val="FFFFFF" w:themeColor="background1"/>
                <w:sz w:val="16"/>
              </w:rPr>
              <w:t>Sociálno-ekonomické účinky</w:t>
            </w:r>
          </w:p>
        </w:tc>
      </w:tr>
      <w:tr w:rsidR="00515FD4" w:rsidRPr="001C6ACF" w:rsidTr="005F69E8">
        <w:trPr>
          <w:trHeight w:val="1189"/>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bidi="ar-SA"/>
              </w:rPr>
              <w:drawing>
                <wp:anchor distT="0" distB="0" distL="114300" distR="114300" simplePos="0" relativeHeight="251717120" behindDoc="1" locked="0" layoutInCell="1" allowOverlap="1" wp14:anchorId="7EB9F459" wp14:editId="3EDFF990">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Pr>
                <w:b/>
                <w:color w:val="59638E" w:themeColor="accent3"/>
              </w:rPr>
              <w:t>I.14</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Miera zamestnanosti vo vidieckych oblastiach </w:t>
            </w:r>
          </w:p>
        </w:tc>
        <w:tc>
          <w:tcPr>
            <w:tcW w:w="1701" w:type="dxa"/>
            <w:vMerge w:val="restart"/>
            <w:vAlign w:val="center"/>
            <w:hideMark/>
          </w:tcPr>
          <w:p w:rsidR="00515FD4" w:rsidRPr="00FB6C06" w:rsidRDefault="00515FD4" w:rsidP="007008C0">
            <w:pPr>
              <w:pStyle w:val="HStandard"/>
              <w:spacing w:line="240" w:lineRule="auto"/>
              <w:jc w:val="center"/>
              <w:rPr>
                <w:sz w:val="16"/>
                <w:szCs w:val="18"/>
              </w:rPr>
            </w:pPr>
            <w:r>
              <w:rPr>
                <w:sz w:val="16"/>
              </w:rPr>
              <w:t>Žiadne</w:t>
            </w:r>
          </w:p>
        </w:tc>
        <w:tc>
          <w:tcPr>
            <w:tcW w:w="1701" w:type="dxa"/>
            <w:vMerge w:val="restart"/>
            <w:vAlign w:val="center"/>
            <w:hideMark/>
          </w:tcPr>
          <w:p w:rsidR="00515FD4" w:rsidRPr="001C6ACF" w:rsidRDefault="00515FD4" w:rsidP="004E327A">
            <w:pPr>
              <w:pStyle w:val="HStandard"/>
              <w:spacing w:line="240" w:lineRule="auto"/>
              <w:jc w:val="center"/>
              <w:rPr>
                <w:sz w:val="16"/>
                <w:szCs w:val="18"/>
              </w:rPr>
            </w:pPr>
            <w:r>
              <w:rPr>
                <w:sz w:val="16"/>
              </w:rPr>
              <w:t>Rekurzívne dynamický model vypočítateľnej všeobecnej rovnováhy (CGE)</w:t>
            </w:r>
            <w:r>
              <w:rPr>
                <w:sz w:val="16"/>
                <w:szCs w:val="18"/>
              </w:rPr>
              <w:br/>
            </w:r>
            <w:r>
              <w:rPr>
                <w:sz w:val="16"/>
                <w:szCs w:val="18"/>
              </w:rPr>
              <w:br/>
            </w:r>
            <w:r w:rsidR="004E327A">
              <w:rPr>
                <w:sz w:val="16"/>
              </w:rPr>
              <w:t xml:space="preserve">Metóda </w:t>
            </w:r>
            <w:r w:rsidR="004E327A" w:rsidRPr="004E327A">
              <w:rPr>
                <w:sz w:val="16"/>
              </w:rPr>
              <w:t>odhadu pravdepodobnosti získania podpory</w:t>
            </w:r>
            <w:r>
              <w:rPr>
                <w:sz w:val="16"/>
              </w:rPr>
              <w:t xml:space="preserve"> (PSM) a zovšeobecnen</w:t>
            </w:r>
            <w:r w:rsidR="00905ED8">
              <w:rPr>
                <w:sz w:val="16"/>
              </w:rPr>
              <w:t>ý</w:t>
            </w:r>
            <w:r>
              <w:rPr>
                <w:sz w:val="16"/>
              </w:rPr>
              <w:t xml:space="preserve"> </w:t>
            </w:r>
            <w:r w:rsidR="00905ED8" w:rsidRPr="00905ED8">
              <w:rPr>
                <w:sz w:val="16"/>
              </w:rPr>
              <w:t>odhad pravdepodobnosti získania podpory</w:t>
            </w:r>
            <w:r>
              <w:rPr>
                <w:sz w:val="16"/>
              </w:rPr>
              <w:t xml:space="preserve"> (GPSM)</w:t>
            </w:r>
          </w:p>
        </w:tc>
        <w:tc>
          <w:tcPr>
            <w:tcW w:w="1701" w:type="dxa"/>
            <w:vMerge w:val="restart"/>
            <w:noWrap/>
            <w:vAlign w:val="center"/>
            <w:hideMark/>
          </w:tcPr>
          <w:p w:rsidR="00515FD4" w:rsidRPr="001C6ACF" w:rsidRDefault="00515FD4" w:rsidP="007008C0">
            <w:pPr>
              <w:pStyle w:val="HStandard"/>
              <w:spacing w:line="240" w:lineRule="auto"/>
              <w:jc w:val="center"/>
              <w:rPr>
                <w:sz w:val="16"/>
                <w:szCs w:val="18"/>
              </w:rPr>
            </w:pPr>
            <w:r>
              <w:rPr>
                <w:sz w:val="16"/>
              </w:rPr>
              <w:t>Žiadne</w:t>
            </w:r>
          </w:p>
        </w:tc>
        <w:tc>
          <w:tcPr>
            <w:tcW w:w="1701" w:type="dxa"/>
            <w:vMerge w:val="restart"/>
            <w:vAlign w:val="center"/>
            <w:hideMark/>
          </w:tcPr>
          <w:p w:rsidR="00515FD4" w:rsidRPr="001C6ACF" w:rsidRDefault="00515FD4" w:rsidP="007008C0">
            <w:pPr>
              <w:pStyle w:val="HStandard"/>
              <w:spacing w:line="240" w:lineRule="auto"/>
              <w:jc w:val="center"/>
              <w:rPr>
                <w:sz w:val="16"/>
                <w:szCs w:val="18"/>
              </w:rPr>
            </w:pPr>
            <w:r>
              <w:rPr>
                <w:sz w:val="16"/>
              </w:rPr>
              <w:t>Analýza vstupov a výstupov</w:t>
            </w:r>
          </w:p>
          <w:p w:rsidR="00186FCF" w:rsidRPr="001C6ACF" w:rsidRDefault="00186FCF" w:rsidP="007008C0">
            <w:pPr>
              <w:pStyle w:val="HStandard"/>
              <w:spacing w:line="240" w:lineRule="auto"/>
              <w:jc w:val="center"/>
              <w:rPr>
                <w:sz w:val="16"/>
                <w:szCs w:val="18"/>
              </w:rPr>
            </w:pPr>
            <w:r>
              <w:rPr>
                <w:sz w:val="16"/>
              </w:rPr>
              <w:t>(s podporou kvalitatívnej analýzy)</w:t>
            </w:r>
          </w:p>
        </w:tc>
      </w:tr>
      <w:tr w:rsidR="00515FD4" w:rsidRPr="001C6ACF" w:rsidTr="005F69E8">
        <w:trPr>
          <w:trHeight w:val="1405"/>
        </w:trPr>
        <w:tc>
          <w:tcPr>
            <w:tcW w:w="988" w:type="dxa"/>
            <w:tcBorders>
              <w:right w:val="nil"/>
            </w:tcBorders>
            <w:hideMark/>
          </w:tcPr>
          <w:p w:rsidR="00515FD4" w:rsidRPr="00571D58" w:rsidRDefault="00515FD4" w:rsidP="00B91C1E">
            <w:pPr>
              <w:pStyle w:val="HStandard"/>
              <w:jc w:val="center"/>
              <w:rPr>
                <w:b/>
                <w:bCs/>
                <w:color w:val="59638E" w:themeColor="accent3"/>
              </w:rPr>
            </w:pPr>
            <w:r>
              <w:rPr>
                <w:b/>
                <w:color w:val="59638E" w:themeColor="accent3"/>
              </w:rPr>
              <w:t>I.15</w:t>
            </w:r>
            <w:r>
              <w:rPr>
                <w:b/>
                <w:bCs/>
                <w:noProof/>
                <w:color w:val="59638E" w:themeColor="accent3"/>
                <w:lang w:bidi="ar-SA"/>
              </w:rPr>
              <w:drawing>
                <wp:inline distT="0" distB="0" distL="0" distR="0" wp14:anchorId="3175CD46" wp14:editId="0F50C69B">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Miera chudoby vo vidieckych oblastiach</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r w:rsidR="00515FD4" w:rsidRPr="001C6ACF" w:rsidTr="005F69E8">
        <w:trPr>
          <w:trHeight w:val="1413"/>
        </w:trPr>
        <w:tc>
          <w:tcPr>
            <w:tcW w:w="988" w:type="dxa"/>
            <w:tcBorders>
              <w:right w:val="nil"/>
            </w:tcBorders>
            <w:hideMark/>
          </w:tcPr>
          <w:p w:rsidR="00515FD4" w:rsidRPr="00571D58" w:rsidRDefault="00515FD4" w:rsidP="00B91C1E">
            <w:pPr>
              <w:pStyle w:val="HStandard"/>
              <w:jc w:val="center"/>
              <w:rPr>
                <w:b/>
                <w:bCs/>
                <w:color w:val="59638E" w:themeColor="accent3"/>
              </w:rPr>
            </w:pPr>
            <w:r>
              <w:rPr>
                <w:b/>
                <w:bCs/>
                <w:noProof/>
                <w:color w:val="59638E" w:themeColor="accent3"/>
                <w:lang w:bidi="ar-SA"/>
              </w:rPr>
              <w:drawing>
                <wp:anchor distT="0" distB="0" distL="114300" distR="114300" simplePos="0" relativeHeight="251719168" behindDoc="1" locked="0" layoutInCell="1" allowOverlap="1" wp14:anchorId="28DFE96C" wp14:editId="310AA828">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Pr>
                <w:b/>
                <w:color w:val="59638E" w:themeColor="accent3"/>
              </w:rPr>
              <w:t>I.16</w:t>
            </w:r>
          </w:p>
        </w:tc>
        <w:tc>
          <w:tcPr>
            <w:tcW w:w="1417" w:type="dxa"/>
            <w:tcBorders>
              <w:left w:val="nil"/>
            </w:tcBorders>
            <w:vAlign w:val="center"/>
            <w:hideMark/>
          </w:tcPr>
          <w:p w:rsidR="00515FD4" w:rsidRPr="00336531" w:rsidRDefault="00515FD4" w:rsidP="001B04F9">
            <w:pPr>
              <w:pStyle w:val="HStandard"/>
              <w:jc w:val="left"/>
              <w:rPr>
                <w:b/>
                <w:color w:val="59638E" w:themeColor="accent3"/>
                <w:sz w:val="16"/>
                <w:szCs w:val="18"/>
              </w:rPr>
            </w:pPr>
            <w:r>
              <w:rPr>
                <w:b/>
                <w:color w:val="59638E" w:themeColor="accent3"/>
                <w:sz w:val="16"/>
              </w:rPr>
              <w:t xml:space="preserve">HDP na obyvateľa vo vidieckych oblastiach </w:t>
            </w: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c>
          <w:tcPr>
            <w:tcW w:w="1701" w:type="dxa"/>
            <w:vMerge/>
            <w:hideMark/>
          </w:tcPr>
          <w:p w:rsidR="00515FD4" w:rsidRPr="001C6ACF" w:rsidRDefault="00515FD4" w:rsidP="008D4934">
            <w:pPr>
              <w:pStyle w:val="HStandard"/>
              <w:spacing w:line="240" w:lineRule="atLeast"/>
              <w:rPr>
                <w:sz w:val="16"/>
              </w:rPr>
            </w:pPr>
          </w:p>
        </w:tc>
      </w:tr>
    </w:tbl>
    <w:p w:rsidR="00186FCF" w:rsidRPr="001C6ACF" w:rsidRDefault="00186FCF" w:rsidP="00186FCF">
      <w:pPr>
        <w:pStyle w:val="HStandard"/>
        <w:rPr>
          <w:rFonts w:cs="Arial"/>
        </w:rPr>
      </w:pPr>
    </w:p>
    <w:p w:rsidR="00186FCF" w:rsidRPr="001C6ACF" w:rsidRDefault="00186FCF" w:rsidP="00186FCF">
      <w:pPr>
        <w:pStyle w:val="HStandard"/>
        <w:rPr>
          <w:rFonts w:cs="Arial"/>
        </w:rPr>
      </w:pPr>
      <w:r>
        <w:t xml:space="preserve">V tabuľke uvedenej vyššie sa uvádza pre každý ukazovateľ vplyvu druhého piliera SPP prehľad odporúčaných hodnotiacich </w:t>
      </w:r>
      <w:r w:rsidR="001D70DD">
        <w:t>prístup</w:t>
      </w:r>
      <w:r>
        <w:t xml:space="preserve">ov pre posúdenie na mikroúrovni a makroúrovni, ktoré sú podrobnejšie opísané v kapitolách 2.2 až 2.9 usmernení, ako aj v technickej prílohe. </w:t>
      </w:r>
    </w:p>
    <w:p w:rsidR="00186FCF" w:rsidRPr="001C6ACF" w:rsidRDefault="00186FCF"/>
    <w:p w:rsidR="008D4934" w:rsidRPr="00571D58" w:rsidRDefault="000B213F" w:rsidP="00B34DDC">
      <w:pPr>
        <w:pStyle w:val="HStandard"/>
        <w:jc w:val="center"/>
      </w:pPr>
      <w:bookmarkStart w:id="0" w:name="_GoBack"/>
      <w:r>
        <w:rPr>
          <w:b/>
          <w:i/>
          <w:noProof/>
          <w:color w:val="F07E31" w:themeColor="accent1"/>
          <w:lang w:bidi="ar-SA"/>
        </w:rPr>
        <w:lastRenderedPageBreak/>
        <mc:AlternateContent>
          <mc:Choice Requires="wps">
            <w:drawing>
              <wp:inline distT="0" distB="0" distL="0" distR="0" wp14:anchorId="00E1CACC" wp14:editId="17E0884F">
                <wp:extent cx="5819775" cy="2705100"/>
                <wp:effectExtent l="0" t="0" r="28575" b="19050"/>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705100"/>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70F0E" w:rsidRPr="00D43E45" w:rsidRDefault="00470F0E"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Hodnotiace postupy</w:t>
                            </w:r>
                            <w:r>
                              <w:rPr>
                                <w:b w:val="0"/>
                                <w:color w:val="373737" w:themeColor="text1"/>
                              </w:rPr>
                              <w:t xml:space="preserve"> opísané v týchto usmerneniach sú príkladmi prípadných možností, pričom existujú aj ďalšie možnosti. V záujme výberu najlepšej možnosti na získanie spoľahlivých dôkazov môžu hodnotitelia zvoliť aj iné postupy na hodnotenie vplyvov PRV s prihliadnutím na </w:t>
                            </w:r>
                            <w:r>
                              <w:rPr>
                                <w:color w:val="373737" w:themeColor="text1"/>
                              </w:rPr>
                              <w:t>špecifickú situáciu PRV</w:t>
                            </w:r>
                            <w:r>
                              <w:rPr>
                                <w:b w:val="0"/>
                                <w:color w:val="373737" w:themeColor="text1"/>
                              </w:rPr>
                              <w:t>, pokiaľ ide o:</w:t>
                            </w:r>
                          </w:p>
                          <w:p w:rsidR="00470F0E" w:rsidRPr="00D43E45" w:rsidRDefault="00470F0E" w:rsidP="00EC01C3">
                            <w:pPr>
                              <w:pStyle w:val="Hlistbullet"/>
                              <w:rPr>
                                <w:i/>
                                <w:sz w:val="18"/>
                              </w:rPr>
                            </w:pPr>
                            <w:r>
                              <w:t xml:space="preserve">veľkosť PRV, </w:t>
                            </w:r>
                          </w:p>
                          <w:p w:rsidR="00470F0E" w:rsidRPr="00D43E45" w:rsidRDefault="00470F0E" w:rsidP="00EC01C3">
                            <w:pPr>
                              <w:pStyle w:val="Hlistbullet"/>
                              <w:rPr>
                                <w:i/>
                                <w:sz w:val="18"/>
                              </w:rPr>
                            </w:pPr>
                            <w:r>
                              <w:t xml:space="preserve">rozšírenie PRV, </w:t>
                            </w:r>
                          </w:p>
                          <w:p w:rsidR="00470F0E" w:rsidRPr="00D43E45" w:rsidRDefault="00470F0E" w:rsidP="00EC01C3">
                            <w:pPr>
                              <w:pStyle w:val="Hlistbullet"/>
                              <w:rPr>
                                <w:i/>
                                <w:sz w:val="18"/>
                              </w:rPr>
                            </w:pPr>
                            <w:r>
                              <w:t>dostupnosť a kvalitu údajov na hodnotenie.</w:t>
                            </w:r>
                          </w:p>
                          <w:p w:rsidR="00470F0E" w:rsidRPr="00E53246" w:rsidRDefault="00470F0E" w:rsidP="00EC01C3">
                            <w:pPr>
                              <w:pStyle w:val="HHeading4"/>
                              <w:spacing w:before="0"/>
                              <w:jc w:val="both"/>
                              <w:rPr>
                                <w:b w:val="0"/>
                                <w:color w:val="373737" w:themeColor="text1"/>
                              </w:rPr>
                            </w:pPr>
                            <w:r>
                              <w:rPr>
                                <w:b w:val="0"/>
                                <w:color w:val="373737" w:themeColor="text1"/>
                              </w:rPr>
                              <w:t>Logické modely predstavené v týchto usmerneniach by mali hodnotiteľom slúžiť ako užitočné nástroje na identifikáciu možných možností hodnotenia v danom reálnom kontexte.</w:t>
                            </w:r>
                          </w:p>
                        </w:txbxContent>
                      </wps:txbx>
                      <wps:bodyPr rot="0" vert="horz" wrap="square" lIns="91440" tIns="45720" rIns="91440" bIns="45720" anchor="ctr" anchorCtr="0" upright="1">
                        <a:noAutofit/>
                      </wps:bodyPr>
                    </wps:wsp>
                  </a:graphicData>
                </a:graphic>
              </wp:inline>
            </w:drawing>
          </mc:Choice>
          <mc:Fallback>
            <w:pict>
              <v:shape w14:anchorId="00E1CACC" id="AutoShape 61" o:spid="_x0000_s1041" style="width:458.25pt;height:213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NaggQAACgOAAAOAAAAZHJzL2Uyb0RvYy54bWysV9tu4zYQfS/QfyD0WCCRKOtiG3EW2Tgp&#10;CmzbBdb9AFqiLKGSqJJ07N1F/73DixyyWcmLon6QRfHwaGbOaDi8e3fuWvRCuWhYvwnwbRQg2hes&#10;bPrDJvhj93yzDJCQpC9Jy3q6CT5TEby7//GHu9OwpjGrWVtSjoCkF+vTsAlqKYd1GIqiph0Rt2yg&#10;PUxWjHdEwpAfwpKTE7B3bRhHURaeGC8HzgoqBDzdmsngXvNXFS3k71UlqETtJgDbpL5yfd2ra3h/&#10;R9YHToa6KawZ5D9Y0ZGmh5deqLZEEnTkzRuqrik4E6yStwXrQlZVTUG1D+ANjv7lzaeaDFT7AsER&#10;wyVM4v+jLX57+chRU26C5SoPUE86EOnhKJl+N8qwitBpEGsAfho+cuWjGD6w4k8BE6E3owYCMGh/&#10;+pWVwEOAR0flXPFOrQR/0VkH//Ml+PQsUQEP0yVe5XkaoALm4jxKcaTlCcl6XF4chfyZMk1FXj4I&#10;adQr4U7HvrT270DpqmtByJ9ChNM8TVJ0QuML7KIRix1shGqEl1ES4cxmxoUydmCWaZpz4YBnOBMH&#10;dpUTInPxaYYzc2BXOUHxCyfOkizJ8XQE4Eu+gNMsi+NFNB2BlQO2EZ1mxq5eM6TY1eo6qyvZHKur&#10;1nVWV7Q5Vlcvm4OTyQXp9hrbqwnrqjaTCdgVLEJZBD+UpeniTW5jV61ZZOwrNcMZu1rNc/o6zXG6&#10;Ss1z+irNcbo6zXO6Is0jfYUmS0/sKzSZHrGrz9WPeuFq9M18hpJ6GIsmqcc6Wpx7W0jhDhG1ge8g&#10;h1RlHZhQdVvVVSjOO70pAAng1KwDX3lwEFbBF6qWfgsO2eSyg2YKnk7CsQcHORQ8n4THHhxireCr&#10;SfjCg6uapPBQc6asT/wF1ls87W7qL7D+4mmHM3+B9Rh7LpvAWuU4NDyq1dnFkILQ7OxUikG7s1Mp&#10;BA3PDpJD738DkUp4HX64RSdnA66hkbOboJrv2AvdMY2UKgtMfdLRGTfoV0jbu1Cbqx52RIz/gyZ1&#10;kXYnsnEfccVx3xTv6ZcpfpwvFslSqwUJa0jzZBUnRsjRI+O9mTabmLbOmVYB9d41WmBI39ABfkSM&#10;/x5S9x/f4YwhhsZnoRNidMI8ULk4Sjelgm910TJBTeoqsfUXeFFd+/jaTPXsuWlbHZq2V7kQpwl0&#10;X0pzwdqmVLN6wA/7x5ajFwI59v4peTCmApsH6xoJTX3bdNBVql3HGl5TUj71pX6NJE1r7nX4FDk0&#10;gjYjVUuom+evq2j1tHxaJjdJnD3dJNF2e/Pw/JjcZM84T7eL7ePjFv+t7MTJum7KkvbK1LGRx8n3&#10;Ncr2SGFa8Esr77kkXM+f9c9K6sBC3wwdcvBl/Nfe6ZZZdcmmrZbn/Vm336YKqBZ6z8rP0ERzZg4r&#10;cLiCm5rxLwE6wUFlE4i/joTTALW/9HASWOFEpbjUgyTN1RbN3Zm9O0P6Aqg2QSF5ADVeDR4ljGHR&#10;ceDNoYZ3mTLbM3UMqBrVZGujjV12AMcR7ZY9OqnzjjvWqNcD3v0/AAAA//8DAFBLAwQUAAYACAAA&#10;ACEAXV5aJd0AAAAFAQAADwAAAGRycy9kb3ducmV2LnhtbEyPQWvCQBCF7wX/wzJCL0U3ioaaZiMi&#10;WmhP1ip4nGSnSTA7G7Krxn/fbS/tZeDxHu99ky5704grda62rGAyjkAQF1bXXCo4fG5HzyCcR9bY&#10;WCYFd3KwzAYPKSba3viDrntfilDCLkEFlfdtIqUrKjLoxrYlDt6X7Qz6ILtS6g5vodw0chpFsTRY&#10;c1iosKV1RcV5fzEKtm98uh+fTu+W57PD62J9zndmo9TjsF+9gPDU+78w/OAHdMgCU24vrJ1oFIRH&#10;/O8N3mISz0HkCmbTOAKZpfI/ffYNAAD//wMAUEsBAi0AFAAGAAgAAAAhALaDOJL+AAAA4QEAABMA&#10;AAAAAAAAAAAAAAAAAAAAAFtDb250ZW50X1R5cGVzXS54bWxQSwECLQAUAAYACAAAACEAOP0h/9YA&#10;AACUAQAACwAAAAAAAAAAAAAAAAAvAQAAX3JlbHMvLnJlbHNQSwECLQAUAAYACAAAACEAKscjWoIE&#10;AAAoDgAADgAAAAAAAAAAAAAAAAAuAgAAZHJzL2Uyb0RvYy54bWxQSwECLQAUAAYACAAAACEAXV5a&#10;Jd0AAAAFAQAADwAAAAAAAAAAAAAAAADcBgAAZHJzL2Rvd25yZXYueG1sUEsFBgAAAAAEAAQA8wAA&#10;AOY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468863;5662230,2705100;0,2705100;0,2705100;0,236237;157545,0" o:connectangles="0,0,0,0,0,0,0,0,0" textboxrect="0,0,5819775,1804016"/>
                <v:textbox>
                  <w:txbxContent>
                    <w:p w:rsidR="00470F0E" w:rsidRPr="00D43E45" w:rsidRDefault="00470F0E" w:rsidP="00EC01C3">
                      <w:pPr>
                        <w:pStyle w:val="HHeading4"/>
                        <w:spacing w:before="0"/>
                        <w:jc w:val="both"/>
                        <w:rPr>
                          <w:rFonts w:cs="Arial"/>
                          <w:b w:val="0"/>
                          <w:color w:val="373737" w:themeColor="text1"/>
                        </w:rPr>
                      </w:pPr>
                      <w:r>
                        <w:rPr>
                          <w:noProof/>
                          <w:color w:val="373737" w:themeColor="text1"/>
                          <w:lang w:bidi="ar-SA"/>
                        </w:rPr>
                        <w:drawing>
                          <wp:inline distT="0" distB="0" distL="0" distR="0" wp14:anchorId="17C6E184" wp14:editId="43C63B20">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Hodnotiace postupy</w:t>
                      </w:r>
                      <w:r>
                        <w:rPr>
                          <w:b w:val="0"/>
                          <w:color w:val="373737" w:themeColor="text1"/>
                        </w:rPr>
                        <w:t xml:space="preserve"> opísané v týchto usmerneniach sú príkladmi prípadných možností, pričom existujú aj ďalšie možnosti. V záujme výberu najlepšej možnosti na získanie spoľahlivých dôkazov môžu hodnotitelia zvoliť aj iné postupy na hodnotenie vplyvov PRV s prihliadnutím na </w:t>
                      </w:r>
                      <w:r>
                        <w:rPr>
                          <w:color w:val="373737" w:themeColor="text1"/>
                        </w:rPr>
                        <w:t>špecifickú situáciu PRV</w:t>
                      </w:r>
                      <w:r>
                        <w:rPr>
                          <w:b w:val="0"/>
                          <w:color w:val="373737" w:themeColor="text1"/>
                        </w:rPr>
                        <w:t>, pokiaľ ide o:</w:t>
                      </w:r>
                    </w:p>
                    <w:p w:rsidR="00470F0E" w:rsidRPr="00D43E45" w:rsidRDefault="00470F0E" w:rsidP="00EC01C3">
                      <w:pPr>
                        <w:pStyle w:val="Hlistbullet"/>
                        <w:rPr>
                          <w:i/>
                          <w:sz w:val="18"/>
                        </w:rPr>
                      </w:pPr>
                      <w:r>
                        <w:t xml:space="preserve">veľkosť PRV, </w:t>
                      </w:r>
                    </w:p>
                    <w:p w:rsidR="00470F0E" w:rsidRPr="00D43E45" w:rsidRDefault="00470F0E" w:rsidP="00EC01C3">
                      <w:pPr>
                        <w:pStyle w:val="Hlistbullet"/>
                        <w:rPr>
                          <w:i/>
                          <w:sz w:val="18"/>
                        </w:rPr>
                      </w:pPr>
                      <w:r>
                        <w:t xml:space="preserve">rozšírenie PRV, </w:t>
                      </w:r>
                    </w:p>
                    <w:p w:rsidR="00470F0E" w:rsidRPr="00D43E45" w:rsidRDefault="00470F0E" w:rsidP="00EC01C3">
                      <w:pPr>
                        <w:pStyle w:val="Hlistbullet"/>
                        <w:rPr>
                          <w:i/>
                          <w:sz w:val="18"/>
                        </w:rPr>
                      </w:pPr>
                      <w:r>
                        <w:t>dostupnosť a kvalitu údajov na hodnotenie.</w:t>
                      </w:r>
                    </w:p>
                    <w:p w:rsidR="00470F0E" w:rsidRPr="00E53246" w:rsidRDefault="00470F0E" w:rsidP="00EC01C3">
                      <w:pPr>
                        <w:pStyle w:val="HHeading4"/>
                        <w:spacing w:before="0"/>
                        <w:jc w:val="both"/>
                        <w:rPr>
                          <w:b w:val="0"/>
                          <w:color w:val="373737" w:themeColor="text1"/>
                        </w:rPr>
                      </w:pPr>
                      <w:r>
                        <w:rPr>
                          <w:b w:val="0"/>
                          <w:color w:val="373737" w:themeColor="text1"/>
                        </w:rPr>
                        <w:t>Logické modely predstavené v týchto usmerneniach by mali hodnotiteľom slúžiť ako užitočné nástroje na identifikáciu možných možností hodnotenia v danom reálnom kontexte.</w:t>
                      </w:r>
                    </w:p>
                  </w:txbxContent>
                </v:textbox>
                <w10:anchorlock/>
              </v:shape>
            </w:pict>
          </mc:Fallback>
        </mc:AlternateContent>
      </w:r>
      <w:bookmarkEnd w:id="0"/>
    </w:p>
    <w:p w:rsidR="003F30B5" w:rsidRDefault="003F30B5">
      <w:pPr>
        <w:spacing w:before="0" w:after="0" w:line="240" w:lineRule="auto"/>
        <w:jc w:val="left"/>
        <w:rPr>
          <w:color w:val="373737" w:themeColor="text1"/>
          <w:sz w:val="20"/>
          <w:szCs w:val="20"/>
        </w:rPr>
      </w:pPr>
    </w:p>
    <w:sectPr w:rsidR="003F30B5" w:rsidSect="005F79DE">
      <w:headerReference w:type="default" r:id="rId69"/>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94F" w:rsidRDefault="0007494F">
      <w:pPr>
        <w:spacing w:before="0" w:after="0" w:line="240" w:lineRule="auto"/>
      </w:pPr>
      <w:r>
        <w:separator/>
      </w:r>
    </w:p>
  </w:endnote>
  <w:endnote w:type="continuationSeparator" w:id="0">
    <w:p w:rsidR="0007494F" w:rsidRDefault="0007494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470F0E" w:rsidRDefault="00470F0E">
        <w:pPr>
          <w:pStyle w:val="Footer"/>
        </w:pPr>
        <w:r>
          <w:fldChar w:fldCharType="begin"/>
        </w:r>
        <w:r>
          <w:instrText xml:space="preserve"> PAGE   \* MERGEFORMAT </w:instrText>
        </w:r>
        <w:r>
          <w:fldChar w:fldCharType="separate"/>
        </w:r>
        <w:r w:rsidR="00C05B88">
          <w:rPr>
            <w:noProof/>
          </w:rPr>
          <w:t>1</w:t>
        </w:r>
        <w:r>
          <w:rPr>
            <w:noProof/>
          </w:rPr>
          <w:fldChar w:fldCharType="end"/>
        </w:r>
      </w:p>
    </w:sdtContent>
  </w:sdt>
  <w:p w:rsidR="00470F0E" w:rsidRDefault="00470F0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pPr>
      <w:pStyle w:val="Footer"/>
    </w:pPr>
  </w:p>
  <w:p w:rsidR="00470F0E" w:rsidRDefault="00470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470F0E" w:rsidRDefault="00470F0E">
        <w:pPr>
          <w:pStyle w:val="Footer"/>
        </w:pPr>
        <w:r>
          <w:fldChar w:fldCharType="begin"/>
        </w:r>
        <w:r>
          <w:instrText xml:space="preserve"> PAGE   \* MERGEFORMAT </w:instrText>
        </w:r>
        <w:r>
          <w:fldChar w:fldCharType="separate"/>
        </w:r>
        <w:r w:rsidR="00EA66C4">
          <w:rPr>
            <w:noProof/>
          </w:rPr>
          <w:t>2</w:t>
        </w:r>
        <w:r>
          <w:rPr>
            <w:noProof/>
          </w:rPr>
          <w:fldChar w:fldCharType="end"/>
        </w:r>
      </w:p>
    </w:sdtContent>
  </w:sdt>
  <w:p w:rsidR="00470F0E" w:rsidRDefault="00470F0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470F0E" w:rsidRDefault="00470F0E">
        <w:pPr>
          <w:pStyle w:val="Footer"/>
        </w:pPr>
        <w:r>
          <w:fldChar w:fldCharType="begin"/>
        </w:r>
        <w:r>
          <w:instrText xml:space="preserve"> PAGE   \* MERGEFORMAT </w:instrText>
        </w:r>
        <w:r>
          <w:fldChar w:fldCharType="separate"/>
        </w:r>
        <w:r w:rsidR="00EA66C4">
          <w:rPr>
            <w:noProof/>
          </w:rPr>
          <w:t>1</w:t>
        </w:r>
        <w:r>
          <w:rPr>
            <w:noProof/>
          </w:rPr>
          <w:fldChar w:fldCharType="end"/>
        </w:r>
      </w:p>
    </w:sdtContent>
  </w:sdt>
  <w:p w:rsidR="00470F0E" w:rsidRDefault="00470F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94F" w:rsidRPr="005B2AAC" w:rsidRDefault="0007494F">
      <w:pPr>
        <w:spacing w:before="0" w:after="0" w:line="240" w:lineRule="auto"/>
        <w:rPr>
          <w:color w:val="F07E31" w:themeColor="accent1"/>
        </w:rPr>
      </w:pPr>
      <w:r>
        <w:rPr>
          <w:color w:val="F07E31" w:themeColor="accent1"/>
        </w:rPr>
        <w:separator/>
      </w:r>
    </w:p>
  </w:footnote>
  <w:footnote w:type="continuationSeparator" w:id="0">
    <w:p w:rsidR="0007494F" w:rsidRDefault="0007494F">
      <w:pPr>
        <w:spacing w:before="0" w:after="0" w:line="240" w:lineRule="auto"/>
      </w:pPr>
      <w:r>
        <w:continuationSeparator/>
      </w:r>
    </w:p>
  </w:footnote>
  <w:footnote w:id="1">
    <w:p w:rsidR="00470F0E" w:rsidRPr="003563F4" w:rsidRDefault="00470F0E">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Článok 54 a článok 56 ods. 3 nariadenia (EÚ) č. 1303/2013.</w:t>
      </w:r>
    </w:p>
  </w:footnote>
  <w:footnote w:id="2">
    <w:p w:rsidR="00470F0E" w:rsidRPr="00E53246" w:rsidRDefault="00470F0E" w:rsidP="00CD63F6">
      <w:pPr>
        <w:pStyle w:val="FootnoteText"/>
      </w:pPr>
      <w:r>
        <w:rPr>
          <w:rStyle w:val="FootnoteReference"/>
          <w:color w:val="878787" w:themeColor="text2" w:themeTint="99"/>
        </w:rPr>
        <w:footnoteRef/>
      </w:r>
      <w:r>
        <w:rPr>
          <w:color w:val="878787" w:themeColor="text2" w:themeTint="99"/>
        </w:rPr>
        <w:t xml:space="preserve"> Príloha VII k nariadeniu (EÚ) č. 808/2014.</w:t>
      </w:r>
    </w:p>
  </w:footnote>
  <w:footnote w:id="3">
    <w:p w:rsidR="00470F0E" w:rsidRPr="003563F4" w:rsidRDefault="00470F0E" w:rsidP="001C2076">
      <w:pPr>
        <w:pStyle w:val="FootnoteText"/>
        <w:rPr>
          <w:color w:val="878787" w:themeColor="text2" w:themeTint="99"/>
        </w:rPr>
      </w:pPr>
      <w:r>
        <w:rPr>
          <w:color w:val="878787" w:themeColor="text2" w:themeTint="99"/>
          <w:vertAlign w:val="superscript"/>
        </w:rPr>
        <w:footnoteRef/>
      </w:r>
      <w:r>
        <w:rPr>
          <w:color w:val="878787" w:themeColor="text2" w:themeTint="99"/>
        </w:rPr>
        <w:t xml:space="preserve"> Článok 75 </w:t>
      </w:r>
      <w:hyperlink r:id="rId1">
        <w:r>
          <w:rPr>
            <w:color w:val="878787" w:themeColor="text2" w:themeTint="99"/>
          </w:rPr>
          <w:t>nariadenia (EÚ) č. 1305/2013</w:t>
        </w:r>
      </w:hyperlink>
      <w:r>
        <w:rPr>
          <w:color w:val="878787" w:themeColor="text2" w:themeTint="99"/>
        </w:rPr>
        <w:t>.</w:t>
      </w:r>
    </w:p>
  </w:footnote>
  <w:footnote w:id="4">
    <w:p w:rsidR="00470F0E" w:rsidRPr="003563F4" w:rsidRDefault="00470F0E" w:rsidP="00BA41C1">
      <w:pPr>
        <w:pStyle w:val="FootnoteText"/>
        <w:rPr>
          <w:color w:val="878787" w:themeColor="text2" w:themeTint="99"/>
        </w:rPr>
      </w:pPr>
      <w:r>
        <w:rPr>
          <w:color w:val="878787" w:themeColor="text2" w:themeTint="99"/>
          <w:vertAlign w:val="superscript"/>
        </w:rPr>
        <w:footnoteRef/>
      </w:r>
      <w:r>
        <w:rPr>
          <w:color w:val="878787" w:themeColor="text2" w:themeTint="99"/>
          <w:vertAlign w:val="superscript"/>
        </w:rPr>
        <w:t xml:space="preserve"> </w:t>
      </w:r>
      <w:hyperlink r:id="rId2">
        <w:r>
          <w:rPr>
            <w:rStyle w:val="Hyperlink"/>
            <w:color w:val="878787" w:themeColor="text2" w:themeTint="99"/>
            <w:sz w:val="16"/>
            <w:u w:val="none"/>
          </w:rPr>
          <w:t xml:space="preserve">Usmernenia Vytvorenie a plnenie plánu hodnotenia programov rozvoja vidieka na obdobie 2014 – 2020. </w:t>
        </w:r>
      </w:hyperlink>
    </w:p>
  </w:footnote>
  <w:footnote w:id="5">
    <w:p w:rsidR="00470F0E" w:rsidRPr="003563F4" w:rsidRDefault="00470F0E" w:rsidP="00BA41C1">
      <w:pPr>
        <w:pStyle w:val="FootnoteText"/>
        <w:rPr>
          <w:color w:val="878787" w:themeColor="text2" w:themeTint="99"/>
        </w:rPr>
      </w:pPr>
      <w:r>
        <w:rPr>
          <w:color w:val="878787" w:themeColor="text2" w:themeTint="99"/>
          <w:vertAlign w:val="superscript"/>
        </w:rPr>
        <w:footnoteRef/>
      </w:r>
      <w:r>
        <w:rPr>
          <w:color w:val="878787" w:themeColor="text2" w:themeTint="99"/>
        </w:rPr>
        <w:t xml:space="preserve"> </w:t>
      </w:r>
      <w:hyperlink r:id="rId3">
        <w:r>
          <w:rPr>
            <w:rStyle w:val="Hyperlink"/>
            <w:color w:val="878787" w:themeColor="text2" w:themeTint="99"/>
            <w:sz w:val="16"/>
            <w:u w:val="none"/>
          </w:rPr>
          <w:t>Vykonávacie nariadenie Rady (EÚ) č. 808/2014, bod 9 prílohy I a bod 7 prílohy VII</w:t>
        </w:r>
      </w:hyperlink>
      <w:r>
        <w:rPr>
          <w:rStyle w:val="Hyperlink"/>
          <w:color w:val="878787" w:themeColor="text2" w:themeTint="99"/>
          <w:sz w:val="16"/>
          <w:u w:val="none"/>
        </w:rPr>
        <w:t>.</w:t>
      </w:r>
    </w:p>
  </w:footnote>
  <w:footnote w:id="6">
    <w:p w:rsidR="00470F0E" w:rsidRPr="003563F4" w:rsidRDefault="00470F0E" w:rsidP="000D3DB8">
      <w:pPr>
        <w:pStyle w:val="FootnoteText"/>
        <w:ind w:left="142" w:hanging="142"/>
        <w:rPr>
          <w:color w:val="878787" w:themeColor="text2" w:themeTint="99"/>
        </w:rPr>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Poradenské centrum pre hodnotenie zhrnulo zistenia VSV predložených v roku 2017 v </w:t>
      </w:r>
      <w:hyperlink r:id="rId4">
        <w:r>
          <w:rPr>
            <w:color w:val="878787" w:themeColor="text2" w:themeTint="99"/>
          </w:rPr>
          <w:t>Súhrnnej správe prvkov hodnotenia aktualizovaných VSV za rok 2017: Kapitola 7</w:t>
        </w:r>
      </w:hyperlink>
      <w:r>
        <w:rPr>
          <w:color w:val="878787" w:themeColor="text2" w:themeTint="99"/>
        </w:rPr>
        <w:t>.</w:t>
      </w:r>
    </w:p>
  </w:footnote>
  <w:footnote w:id="7">
    <w:p w:rsidR="00470F0E" w:rsidRPr="00E53246" w:rsidRDefault="00470F0E">
      <w:pPr>
        <w:pStyle w:val="FootnoteText"/>
      </w:pPr>
      <w:r>
        <w:rPr>
          <w:i/>
          <w:color w:val="878787" w:themeColor="text2" w:themeTint="99"/>
          <w:vertAlign w:val="superscript"/>
        </w:rPr>
        <w:footnoteRef/>
      </w:r>
      <w:r>
        <w:rPr>
          <w:color w:val="878787" w:themeColor="text2" w:themeTint="99"/>
          <w:vertAlign w:val="superscript"/>
        </w:rPr>
        <w:t xml:space="preserve"> </w:t>
      </w:r>
      <w:r>
        <w:rPr>
          <w:color w:val="878787" w:themeColor="text2" w:themeTint="99"/>
        </w:rPr>
        <w:t>Príloha VII k nariadeniu (EÚ) č. 808/2014.</w:t>
      </w:r>
    </w:p>
  </w:footnote>
  <w:footnote w:id="8">
    <w:p w:rsidR="00470F0E" w:rsidRPr="003563F4" w:rsidRDefault="00470F0E" w:rsidP="00BA41C1">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w:t>
      </w:r>
      <w:hyperlink r:id="rId5">
        <w:r>
          <w:rPr>
            <w:color w:val="878787" w:themeColor="text2" w:themeTint="99"/>
          </w:rPr>
          <w:t>Články 67 až 79 nariadenia (EÚ) č. 1305/2014</w:t>
        </w:r>
      </w:hyperlink>
      <w:r>
        <w:rPr>
          <w:color w:val="878787" w:themeColor="text2" w:themeTint="99"/>
        </w:rPr>
        <w:t xml:space="preserve">, </w:t>
      </w:r>
      <w:hyperlink r:id="rId6">
        <w:r>
          <w:rPr>
            <w:color w:val="878787" w:themeColor="text2" w:themeTint="99"/>
          </w:rPr>
          <w:t>článok 110 nariadenia (EÚ) č.1306/2013,</w:t>
        </w:r>
      </w:hyperlink>
      <w:r>
        <w:rPr>
          <w:color w:val="878787" w:themeColor="text2" w:themeTint="99"/>
        </w:rPr>
        <w:t xml:space="preserve"> </w:t>
      </w:r>
      <w:hyperlink r:id="rId7">
        <w:r>
          <w:rPr>
            <w:color w:val="878787" w:themeColor="text2" w:themeTint="99"/>
          </w:rPr>
          <w:t>článok 1 písm. a) a príloha I k nariadeniu (EÚ) č. 834/2014</w:t>
        </w:r>
      </w:hyperlink>
      <w:r>
        <w:rPr>
          <w:color w:val="878787" w:themeColor="text2" w:themeTint="99"/>
        </w:rPr>
        <w:t xml:space="preserve">, </w:t>
      </w:r>
      <w:hyperlink r:id="rId8">
        <w:r>
          <w:rPr>
            <w:color w:val="878787" w:themeColor="text2" w:themeTint="99"/>
          </w:rPr>
          <w:t>článok 14 a prílohy IV, V, VI a VII k nariadeniu (EÚ) č. 808/2014</w:t>
        </w:r>
      </w:hyperlink>
      <w:r>
        <w:rPr>
          <w:color w:val="878787" w:themeColor="text2" w:themeTint="99"/>
        </w:rPr>
        <w:t>.</w:t>
      </w:r>
    </w:p>
  </w:footnote>
  <w:footnote w:id="9">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Článok 54 nariadenia (EÚ) č. 1303/2013.</w:t>
      </w:r>
    </w:p>
  </w:footnote>
  <w:footnote w:id="10">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Článok 56 nariadenia (EÚ) č. 1303/2013.</w:t>
      </w:r>
    </w:p>
  </w:footnote>
  <w:footnote w:id="11">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Článok 110 nariadenia (EÚ) č. 1306/2013.</w:t>
      </w:r>
    </w:p>
  </w:footnote>
  <w:footnote w:id="12">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Článok 110 ods. 3 a článok 110 ods. 4 nariadenia (EÚ) č. 1306/2013.</w:t>
      </w:r>
    </w:p>
  </w:footnote>
  <w:footnote w:id="13">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Články 67 a 68 nariadenia (EÚ) č. 1305/2013.</w:t>
      </w:r>
    </w:p>
  </w:footnote>
  <w:footnote w:id="14">
    <w:p w:rsidR="00470F0E" w:rsidRPr="00E53246" w:rsidRDefault="00470F0E" w:rsidP="001C2076">
      <w:pPr>
        <w:pStyle w:val="FootnoteText"/>
      </w:pPr>
      <w:r>
        <w:rPr>
          <w:rStyle w:val="FootnoteReference"/>
          <w:color w:val="878787" w:themeColor="text2" w:themeTint="99"/>
        </w:rPr>
        <w:footnoteRef/>
      </w:r>
      <w:r>
        <w:rPr>
          <w:color w:val="878787" w:themeColor="text2" w:themeTint="99"/>
        </w:rPr>
        <w:t xml:space="preserve"> Článok 69 nariadenia (EÚ) č. 1305/2013.</w:t>
      </w:r>
    </w:p>
  </w:footnote>
  <w:footnote w:id="15">
    <w:p w:rsidR="00470F0E" w:rsidRPr="003563F4" w:rsidRDefault="00470F0E" w:rsidP="00693C0D">
      <w:pPr>
        <w:pStyle w:val="FootnoteText"/>
        <w:rPr>
          <w:color w:val="878787" w:themeColor="text2" w:themeTint="99"/>
        </w:rPr>
      </w:pPr>
      <w:r>
        <w:rPr>
          <w:rStyle w:val="FootnoteReference"/>
          <w:i w:val="0"/>
          <w:color w:val="878787" w:themeColor="text2" w:themeTint="99"/>
          <w:position w:val="0"/>
        </w:rPr>
        <w:footnoteRef/>
      </w:r>
      <w:r>
        <w:rPr>
          <w:color w:val="878787" w:themeColor="text2" w:themeTint="99"/>
        </w:rPr>
        <w:t xml:space="preserve"> </w:t>
      </w:r>
      <w:hyperlink r:id="rId9">
        <w:r>
          <w:rPr>
            <w:color w:val="878787" w:themeColor="text2" w:themeTint="99"/>
          </w:rPr>
          <w:t xml:space="preserve"> Technická príručka o monitorovaní a hodnotení spoločnej poľnohospodárskej politiky na obdobie 2014 – 2020, Európska komisia, jún 2017</w:t>
        </w:r>
      </w:hyperlink>
      <w:r>
        <w:rPr>
          <w:rStyle w:val="Hyperlink"/>
          <w:color w:val="878787" w:themeColor="text2" w:themeTint="99"/>
          <w:sz w:val="16"/>
          <w:u w:val="none"/>
        </w:rPr>
        <w:t>.</w:t>
      </w:r>
    </w:p>
  </w:footnote>
  <w:footnote w:id="16">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Článok 14 nariadenia (EÚ) č. 808/2014.</w:t>
      </w:r>
    </w:p>
  </w:footnote>
  <w:footnote w:id="17">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Príloha IV k nariadeniu (EÚ) č. 808/2014.</w:t>
      </w:r>
    </w:p>
  </w:footnote>
  <w:footnote w:id="18">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Príloha V k nariadeniu (EÚ) č. 808/2014.</w:t>
      </w:r>
    </w:p>
  </w:footnote>
  <w:footnote w:id="19">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Bod 2 prílohy VII k nariadeniu (EÚ) č. 808/2014.</w:t>
      </w:r>
    </w:p>
  </w:footnote>
  <w:footnote w:id="20">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ČASŤ I bod 9 prílohy I k nariadeniu (EÚ) č. 808/2014.</w:t>
      </w:r>
    </w:p>
  </w:footnote>
  <w:footnote w:id="21">
    <w:p w:rsidR="00470F0E" w:rsidRPr="003563F4" w:rsidRDefault="00470F0E" w:rsidP="001C2076">
      <w:pPr>
        <w:pStyle w:val="FootnoteText"/>
        <w:rPr>
          <w:color w:val="878787" w:themeColor="text2" w:themeTint="99"/>
        </w:rPr>
      </w:pPr>
      <w:r>
        <w:rPr>
          <w:rStyle w:val="FootnoteReference"/>
          <w:color w:val="878787" w:themeColor="text2" w:themeTint="99"/>
        </w:rPr>
        <w:footnoteRef/>
      </w:r>
      <w:r>
        <w:rPr>
          <w:color w:val="878787" w:themeColor="text2" w:themeTint="99"/>
        </w:rPr>
        <w:t xml:space="preserve"> Bod 7 k prílohe VII k nariadeniu (EÚ) č. 808/2014.</w:t>
      </w:r>
    </w:p>
  </w:footnote>
  <w:footnote w:id="22">
    <w:p w:rsidR="00470F0E" w:rsidRPr="00E53246" w:rsidRDefault="00470F0E" w:rsidP="00FC0340">
      <w:pPr>
        <w:pStyle w:val="FootnoteText"/>
      </w:pPr>
      <w:r>
        <w:rPr>
          <w:rStyle w:val="FootnoteReference"/>
          <w:color w:val="878787" w:themeColor="text2" w:themeTint="99"/>
        </w:rPr>
        <w:footnoteRef/>
      </w:r>
      <w:r>
        <w:rPr>
          <w:color w:val="878787" w:themeColor="text2" w:themeTint="99"/>
        </w:rPr>
        <w:t xml:space="preserve"> Príloha IV k nariadeniu (EÚ) č. 808/2014.</w:t>
      </w:r>
    </w:p>
  </w:footnote>
  <w:footnote w:id="23">
    <w:p w:rsidR="00470F0E" w:rsidRPr="00E53246" w:rsidRDefault="00470F0E" w:rsidP="009119D2">
      <w:pPr>
        <w:pStyle w:val="FootnoteText"/>
        <w:ind w:left="200" w:hanging="200"/>
      </w:pPr>
      <w:r>
        <w:rPr>
          <w:rStyle w:val="FootnoteReference"/>
          <w:color w:val="878787" w:themeColor="text2" w:themeTint="99"/>
        </w:rPr>
        <w:footnoteRef/>
      </w:r>
      <w:r>
        <w:rPr>
          <w:color w:val="878787" w:themeColor="text2" w:themeTint="99"/>
        </w:rPr>
        <w:t xml:space="preserve"> </w:t>
      </w:r>
      <w:hyperlink r:id="rId10">
        <w:r>
          <w:rPr>
            <w:color w:val="878787" w:themeColor="text2" w:themeTint="99"/>
          </w:rPr>
          <w:t xml:space="preserve"> Technická príručka o monitorovaní a hodnotení spoločnej poľnohospodárskej politiky na obdobie 2014 – 2020, Európska komisia, jún 2017</w:t>
        </w:r>
      </w:hyperlink>
      <w:r>
        <w:rPr>
          <w:rStyle w:val="Hyperlink"/>
          <w:color w:val="878787" w:themeColor="text2" w:themeTint="99"/>
          <w:sz w:val="16"/>
          <w:u w:val="none"/>
        </w:rPr>
        <w:t>.</w:t>
      </w:r>
    </w:p>
  </w:footnote>
  <w:footnote w:id="24">
    <w:p w:rsidR="00470F0E" w:rsidRPr="000D3DB8" w:rsidRDefault="00470F0E" w:rsidP="00176032">
      <w:pPr>
        <w:pStyle w:val="FootnoteText"/>
        <w:rPr>
          <w:rStyle w:val="Hyperlink"/>
          <w:sz w:val="16"/>
          <w:szCs w:val="16"/>
        </w:rPr>
      </w:pPr>
      <w:r>
        <w:rPr>
          <w:rStyle w:val="FootnoteReference"/>
          <w:color w:val="878787" w:themeColor="text2" w:themeTint="99"/>
        </w:rPr>
        <w:footnoteRef/>
      </w:r>
      <w:r>
        <w:rPr>
          <w:color w:val="878787" w:themeColor="text2" w:themeTint="99"/>
        </w:rPr>
        <w:t xml:space="preserve"> </w:t>
      </w:r>
      <w:r>
        <w:t>Ďalšie informácie o cykle hodnotenia sa uvádzajú v usmerneniach</w:t>
      </w:r>
      <w:r>
        <w:rPr>
          <w:color w:val="878787" w:themeColor="text2" w:themeTint="99"/>
        </w:rPr>
        <w:t xml:space="preserve"> </w:t>
      </w:r>
      <w:hyperlink r:id="rId11">
        <w:r>
          <w:rPr>
            <w:rStyle w:val="Hyperlink"/>
            <w:sz w:val="16"/>
          </w:rPr>
          <w:t>Posúdenie výsledkov programov rozvoja vidieka: ako sa pripraviť na podávanie správ o hodnotení v roku 2017</w:t>
        </w:r>
      </w:hyperlink>
      <w:r>
        <w:rPr>
          <w:rStyle w:val="Hyperlink"/>
          <w:sz w:val="16"/>
        </w:rPr>
        <w:t>.</w:t>
      </w:r>
    </w:p>
  </w:footnote>
  <w:footnote w:id="25">
    <w:p w:rsidR="00470F0E" w:rsidRPr="00E53246" w:rsidRDefault="00470F0E" w:rsidP="000D3DB8">
      <w:pPr>
        <w:pStyle w:val="FootnoteText"/>
      </w:pPr>
      <w:r>
        <w:rPr>
          <w:rStyle w:val="FootnoteReference"/>
          <w:color w:val="878787" w:themeColor="text2" w:themeTint="99"/>
        </w:rPr>
        <w:footnoteRef/>
      </w:r>
      <w:r>
        <w:t xml:space="preserve"> RO – riadiaci orgán, MV – monitorovací výbor, PA – platobná agentúra, HÚ – hodnotiaci útvar , HRS – hodnotiaca riadiaca skupina, H – hodnotitelia, PÚ – poskytovatelia údajov, I – iní.</w:t>
      </w:r>
    </w:p>
  </w:footnote>
  <w:footnote w:id="26">
    <w:p w:rsidR="00470F0E" w:rsidRPr="00274AB7" w:rsidRDefault="00470F0E">
      <w:pPr>
        <w:pStyle w:val="FootnoteText"/>
      </w:pPr>
      <w:r>
        <w:rPr>
          <w:rStyle w:val="FootnoteReference"/>
          <w:color w:val="878787" w:themeColor="text2" w:themeTint="99"/>
        </w:rPr>
        <w:footnoteRef/>
      </w:r>
      <w:r>
        <w:rPr>
          <w:color w:val="878787" w:themeColor="text2" w:themeTint="99"/>
        </w:rPr>
        <w:t xml:space="preserve"> ENVIEVAL je kolaboratívny projekt EÚ (dohoda o grante č. 312071), ktorý od januára 2013 do decembra 2015 prijímal financovanie zo siedmeho rámcového programu Európskej únie v oblasti výskumu, technického rozvoja a demonštračných činností.</w:t>
      </w:r>
    </w:p>
  </w:footnote>
  <w:footnote w:id="27">
    <w:p w:rsidR="00470F0E" w:rsidRPr="00E53246" w:rsidRDefault="00470F0E">
      <w:pPr>
        <w:pStyle w:val="FootnoteText"/>
      </w:pPr>
      <w:r>
        <w:rPr>
          <w:rStyle w:val="FootnoteReference"/>
          <w:color w:val="878787" w:themeColor="text2" w:themeTint="99"/>
        </w:rPr>
        <w:footnoteRef/>
      </w:r>
      <w:r>
        <w:t xml:space="preserve"> Metodická príručka na hodnotenie vplyvu PRV na životné prostredie: Správa D9.5, projekt ENVIEVAL (dohoda o grante č. 312071). Brusel: Európska komisia, Morkvenas Z., Navickas K., Gulbinas J., Jefanovas A., Schwarz G., Wolff A., Offermann F., Osterburg B., Aalders I., Miller D., Morrice J., Vlahos G., Smyrniotopoulou A., Artell J., Aakkula J., Toikkanen H., Povellato A., Longhitano D., Lasorella V., Balazs K., et al (2015), s. 152.</w:t>
      </w:r>
    </w:p>
  </w:footnote>
  <w:footnote w:id="28">
    <w:p w:rsidR="00470F0E" w:rsidRPr="00E53246" w:rsidRDefault="00470F0E" w:rsidP="00820050">
      <w:pPr>
        <w:pStyle w:val="FootnoteText"/>
      </w:pPr>
      <w:r>
        <w:rPr>
          <w:rStyle w:val="FootnoteReference"/>
          <w:color w:val="878787" w:themeColor="text2" w:themeTint="99"/>
        </w:rPr>
        <w:footnoteRef/>
      </w:r>
      <w:r>
        <w:rPr>
          <w:color w:val="878787" w:themeColor="text2" w:themeTint="99"/>
        </w:rPr>
        <w:t xml:space="preserve"> </w:t>
      </w:r>
      <w:r>
        <w:t>Kroky, ktoré sa majú vykonať pri čistom posúdení vplyvov PRV, sa ďalej opisujú v </w:t>
      </w:r>
      <w:hyperlink r:id="rId12">
        <w:r>
          <w:rPr>
            <w:rStyle w:val="Hyperlink"/>
            <w:sz w:val="16"/>
          </w:rPr>
          <w:t xml:space="preserve">Usmerneniach na hodnotenie </w:t>
        </w:r>
        <w:r>
          <w:rPr>
            <w:rStyle w:val="Hyperlink"/>
            <w:i/>
            <w:sz w:val="16"/>
          </w:rPr>
          <w:t>ex post</w:t>
        </w:r>
        <w:r>
          <w:rPr>
            <w:rStyle w:val="Hyperlink"/>
            <w:sz w:val="16"/>
          </w:rPr>
          <w:t xml:space="preserve"> programov rozvoja vidieka na obdobie 2007 – 2013</w:t>
        </w:r>
      </w:hyperlink>
      <w:r>
        <w:t>, konkrétne v kapitolách 4.2.3 a 4.2.4.</w:t>
      </w:r>
    </w:p>
  </w:footnote>
  <w:footnote w:id="29">
    <w:p w:rsidR="00470F0E" w:rsidRPr="003563F4" w:rsidRDefault="00470F0E" w:rsidP="00B9614C">
      <w:pPr>
        <w:pStyle w:val="FootnoteText"/>
      </w:pPr>
      <w:r>
        <w:rPr>
          <w:rStyle w:val="FootnoteReference"/>
          <w:color w:val="878787" w:themeColor="text2" w:themeTint="99"/>
        </w:rPr>
        <w:footnoteRef/>
      </w:r>
      <w:r>
        <w:t xml:space="preserve"> Odkazy na ďalšie informácie: Landscape-moderated biodiversity effects of agri-environmental management: a meta-analysis, Proceedings. Biological sciences / The Royal Society, 278(1713): 1894 – 1902, Batáry P., Báldi A., Kleijn D., Tscharntke T., (2011). </w:t>
      </w:r>
    </w:p>
  </w:footnote>
  <w:footnote w:id="30">
    <w:p w:rsidR="00470F0E" w:rsidRPr="00E53246" w:rsidRDefault="00470F0E" w:rsidP="00FC012D">
      <w:pPr>
        <w:pStyle w:val="FootnoteText"/>
      </w:pPr>
      <w:r>
        <w:rPr>
          <w:rStyle w:val="FootnoteReference"/>
          <w:color w:val="878787" w:themeColor="text2" w:themeTint="99"/>
        </w:rPr>
        <w:footnoteRef/>
      </w:r>
      <w:r>
        <w:rPr>
          <w:color w:val="878787" w:themeColor="text2" w:themeTint="99"/>
        </w:rPr>
        <w:t xml:space="preserve"> </w:t>
      </w:r>
      <w:r>
        <w:t xml:space="preserve">Odkazy na ďalšie informácie: Organic farming at local and landscape scales benefits plant diversity, Ecography 33(3): 514 –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Pr="00E4509B" w:rsidRDefault="00470F0E" w:rsidP="008D52EA">
    <w:pPr>
      <w:pStyle w:val="Header"/>
    </w:pPr>
    <w:r>
      <w:tab/>
      <w:t>Časť I – Aké informácie je nutné uviesť vo VSV predloženej v roku 2019?</w:t>
    </w:r>
  </w:p>
  <w:p w:rsidR="00470F0E" w:rsidRPr="002C3379" w:rsidRDefault="00470F0E" w:rsidP="00E450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0F0E" w:rsidRDefault="00470F0E" w:rsidP="000412E5">
    <w:pPr>
      <w:pStyle w:val="Header"/>
      <w:tabs>
        <w:tab w:val="clear" w:pos="9072"/>
        <w:tab w:val="right" w:pos="14175"/>
      </w:tabs>
    </w:pPr>
    <w:r>
      <w:tab/>
      <w:t>spoločných hodnotiacich otázok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03D2044C"/>
    <w:lvl w:ilvl="0" w:tplc="8C24ADFE">
      <w:start w:val="1"/>
      <w:numFmt w:val="decimal"/>
      <w:lvlText w:val="%1."/>
      <w:lvlJc w:val="left"/>
      <w:pPr>
        <w:ind w:left="720" w:hanging="360"/>
      </w:pPr>
      <w:rPr>
        <w:rFonts w:hint="default"/>
        <w:u w:val="single"/>
      </w:rPr>
    </w:lvl>
    <w:lvl w:ilvl="1" w:tplc="08090017">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94F"/>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894"/>
    <w:rsid w:val="00135951"/>
    <w:rsid w:val="00135B4A"/>
    <w:rsid w:val="0013678F"/>
    <w:rsid w:val="001367B9"/>
    <w:rsid w:val="00136C15"/>
    <w:rsid w:val="00137201"/>
    <w:rsid w:val="00137828"/>
    <w:rsid w:val="00140380"/>
    <w:rsid w:val="0014085A"/>
    <w:rsid w:val="00140A22"/>
    <w:rsid w:val="00140F4E"/>
    <w:rsid w:val="00141199"/>
    <w:rsid w:val="0014235A"/>
    <w:rsid w:val="00143D51"/>
    <w:rsid w:val="00144841"/>
    <w:rsid w:val="00146C75"/>
    <w:rsid w:val="00147AD9"/>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0DD"/>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762A"/>
    <w:rsid w:val="002479D6"/>
    <w:rsid w:val="00247F5A"/>
    <w:rsid w:val="002506A5"/>
    <w:rsid w:val="00250C24"/>
    <w:rsid w:val="0025123F"/>
    <w:rsid w:val="0025164E"/>
    <w:rsid w:val="002520A7"/>
    <w:rsid w:val="00252E56"/>
    <w:rsid w:val="002535D9"/>
    <w:rsid w:val="002553C6"/>
    <w:rsid w:val="00255E6A"/>
    <w:rsid w:val="00256636"/>
    <w:rsid w:val="002573E7"/>
    <w:rsid w:val="00260D48"/>
    <w:rsid w:val="00261A45"/>
    <w:rsid w:val="00263267"/>
    <w:rsid w:val="002632DB"/>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65C"/>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0F0E"/>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0BAA"/>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91D"/>
    <w:rsid w:val="004E0985"/>
    <w:rsid w:val="004E19D7"/>
    <w:rsid w:val="004E29DD"/>
    <w:rsid w:val="004E327A"/>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1C44"/>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3DC"/>
    <w:rsid w:val="00574AC5"/>
    <w:rsid w:val="00574BCD"/>
    <w:rsid w:val="00574CEA"/>
    <w:rsid w:val="005759B5"/>
    <w:rsid w:val="00576309"/>
    <w:rsid w:val="005766B3"/>
    <w:rsid w:val="00576C0B"/>
    <w:rsid w:val="00576CD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3C42"/>
    <w:rsid w:val="0061464F"/>
    <w:rsid w:val="00615E37"/>
    <w:rsid w:val="00620EFB"/>
    <w:rsid w:val="006219F7"/>
    <w:rsid w:val="00623751"/>
    <w:rsid w:val="00623CD7"/>
    <w:rsid w:val="006242C0"/>
    <w:rsid w:val="006242EF"/>
    <w:rsid w:val="00624ACE"/>
    <w:rsid w:val="00625658"/>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1F29"/>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4D3"/>
    <w:rsid w:val="007F7915"/>
    <w:rsid w:val="00800238"/>
    <w:rsid w:val="00800928"/>
    <w:rsid w:val="00801FF1"/>
    <w:rsid w:val="00802368"/>
    <w:rsid w:val="008023B9"/>
    <w:rsid w:val="0080249A"/>
    <w:rsid w:val="00803687"/>
    <w:rsid w:val="00803D07"/>
    <w:rsid w:val="00803EED"/>
    <w:rsid w:val="00804913"/>
    <w:rsid w:val="00804EBE"/>
    <w:rsid w:val="008050AA"/>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B6"/>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422"/>
    <w:rsid w:val="0088157D"/>
    <w:rsid w:val="008816EC"/>
    <w:rsid w:val="00881C17"/>
    <w:rsid w:val="00882E85"/>
    <w:rsid w:val="00882F10"/>
    <w:rsid w:val="0088319B"/>
    <w:rsid w:val="00883275"/>
    <w:rsid w:val="00885AF0"/>
    <w:rsid w:val="008867A0"/>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5C30"/>
    <w:rsid w:val="00905ED8"/>
    <w:rsid w:val="0090648B"/>
    <w:rsid w:val="00906DAF"/>
    <w:rsid w:val="009076EE"/>
    <w:rsid w:val="00907E11"/>
    <w:rsid w:val="00910016"/>
    <w:rsid w:val="009119D2"/>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D2"/>
    <w:rsid w:val="00B335E5"/>
    <w:rsid w:val="00B34317"/>
    <w:rsid w:val="00B34830"/>
    <w:rsid w:val="00B34DDC"/>
    <w:rsid w:val="00B34E34"/>
    <w:rsid w:val="00B352F9"/>
    <w:rsid w:val="00B35826"/>
    <w:rsid w:val="00B35D61"/>
    <w:rsid w:val="00B377DB"/>
    <w:rsid w:val="00B37B0C"/>
    <w:rsid w:val="00B4036A"/>
    <w:rsid w:val="00B40D28"/>
    <w:rsid w:val="00B416C1"/>
    <w:rsid w:val="00B41B94"/>
    <w:rsid w:val="00B41C5F"/>
    <w:rsid w:val="00B41D0D"/>
    <w:rsid w:val="00B42D5D"/>
    <w:rsid w:val="00B433E7"/>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2BCF"/>
    <w:rsid w:val="00C031EB"/>
    <w:rsid w:val="00C036FD"/>
    <w:rsid w:val="00C03900"/>
    <w:rsid w:val="00C04203"/>
    <w:rsid w:val="00C04647"/>
    <w:rsid w:val="00C05B88"/>
    <w:rsid w:val="00C0663E"/>
    <w:rsid w:val="00C06953"/>
    <w:rsid w:val="00C10A7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268FE"/>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1589"/>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052A"/>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6C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E7C34"/>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82A"/>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sk-SK"/>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sk-SK"/>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sk-SK"/>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sk-SK"/>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sk-SK"/>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sk-SK"/>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sk-SK"/>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sk-SK"/>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sk-SK" w:eastAsia="sk-SK"/>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sk-SK"/>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sk-SK" w:eastAsia="sk-SK"/>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sk-SK"/>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sk-SK"/>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sk-SK"/>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enrd.ec.europa.eu/evaluation/publications/guidelines-assessment-rdp-results-how-prepare-reporting-evaluation-2017_en" TargetMode="External"/><Relationship Id="rId39" Type="http://schemas.openxmlformats.org/officeDocument/2006/relationships/image" Target="media/image5.png"/><Relationship Id="rId21" Type="http://schemas.openxmlformats.org/officeDocument/2006/relationships/hyperlink" Target="https://ec.europa.eu/agriculture/sites/agriculture/files/cap-indicators/impact/impact-indicators-fiches.pdf" TargetMode="External"/><Relationship Id="rId34" Type="http://schemas.openxmlformats.org/officeDocument/2006/relationships/hyperlink" Target="http://ec.europa.eu/eurostat/documents/4411192/4411431/Europe_2020_Targets.pdf" TargetMode="External"/><Relationship Id="rId42" Type="http://schemas.openxmlformats.org/officeDocument/2006/relationships/image" Target="media/image6.jpeg"/><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enrd.ec.europa.eu/enrd-static/app_templates/enrd_assets/pdf/evaluation/epe_master.pdf" TargetMode="External"/><Relationship Id="rId55"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63" Type="http://schemas.openxmlformats.org/officeDocument/2006/relationships/image" Target="media/image15.png"/><Relationship Id="rId6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c.europa.eu/agriculture/sites/agriculture/files/cap-indicators/impact/2016-impact-indicators-fich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ec.europa.eu/agriculture/sites/agriculture/files/cap-indicators/result/rd-target-indicators_en.pdf" TargetMode="External"/><Relationship Id="rId32" Type="http://schemas.openxmlformats.org/officeDocument/2006/relationships/hyperlink" Target="http://ec.europa.eu/eurostat/web/europe-2020-indicators/europe-2020-strategy/targets" TargetMode="External"/><Relationship Id="rId37" Type="http://schemas.openxmlformats.org/officeDocument/2006/relationships/footer" Target="footer5.xml"/><Relationship Id="rId40" Type="http://schemas.openxmlformats.org/officeDocument/2006/relationships/hyperlink" Target="https://www.envieval.eu/" TargetMode="External"/><Relationship Id="rId45" Type="http://schemas.openxmlformats.org/officeDocument/2006/relationships/hyperlink" Target="https://www.envieval.eu/fileadmin/envieval/dissemination/deliverables/D9.5_Handbook_for_the_evaluation_of_environmental_impacts_of_RDPs.pdf" TargetMode="External"/><Relationship Id="rId53" Type="http://schemas.openxmlformats.org/officeDocument/2006/relationships/hyperlink" Target="https://ec.europa.eu/agriculture/sites/agriculture/files/evaluation/guidelines/2007-2013-ex-post_en.pdf" TargetMode="External"/><Relationship Id="rId58" Type="http://schemas.openxmlformats.org/officeDocument/2006/relationships/image" Target="media/image10.png"/><Relationship Id="rId66"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c.europa.eu/sfc/en/system/files/ged/RDP_Annex%2011.pdf" TargetMode="External"/><Relationship Id="rId28" Type="http://schemas.openxmlformats.org/officeDocument/2006/relationships/hyperlink" Target="https://enrd.ec.europa.eu/evaluation/publications/evaluation-innovation-rural-development-programmes-2014-2020_en" TargetMode="External"/><Relationship Id="rId36" Type="http://schemas.openxmlformats.org/officeDocument/2006/relationships/hyperlink" Target="https://enrd.ec.europa.eu/sites/enrd/files/uploaded-files/wp_evaluation_questions_2015.pdf" TargetMode="External"/><Relationship Id="rId49" Type="http://schemas.openxmlformats.org/officeDocument/2006/relationships/hyperlink" Target="https://enrd.ec.europa.eu/news-events/news/ex-post-evaluation-rdps-2007-2013_en"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enrd.ec.europa.eu/evaluation/publications/guidelines-assessment-rdp-results-how-prepare-reporting-evaluation-2017_en" TargetMode="External"/><Relationship Id="rId31" Type="http://schemas.openxmlformats.org/officeDocument/2006/relationships/hyperlink" Target="https://enrd.ec.europa.eu/evaluation/publications/evaluation-innovation-rural-development-programmes-2014-2020_en" TargetMode="External"/><Relationship Id="rId44" Type="http://schemas.openxmlformats.org/officeDocument/2006/relationships/hyperlink" Target="https://www.envieval.eu/" TargetMode="External"/><Relationship Id="rId52" Type="http://schemas.openxmlformats.org/officeDocument/2006/relationships/hyperlink" Target="https://ec.europa.eu/agriculture/sites/agriculture/files/evaluation/guidelines/2007-2013-ex-post_en.pdf" TargetMode="External"/><Relationship Id="rId60" Type="http://schemas.openxmlformats.org/officeDocument/2006/relationships/image" Target="media/image12.png"/><Relationship Id="rId65"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enrd.ec.europa.eu/sites/enrd/files/twg-01_rdp_results.pdf" TargetMode="External"/><Relationship Id="rId27" Type="http://schemas.openxmlformats.org/officeDocument/2006/relationships/hyperlink" Target="https://enrd.ec.europa.eu/evaluation/publications/evaluation-leaderclld_en" TargetMode="External"/><Relationship Id="rId30" Type="http://schemas.openxmlformats.org/officeDocument/2006/relationships/hyperlink" Target="https://ec.europa.eu/agriculture/cap-indicators/context_en" TargetMode="External"/><Relationship Id="rId35" Type="http://schemas.openxmlformats.org/officeDocument/2006/relationships/hyperlink" Target="https://ec.europa.eu/agriculture/cap-indicators/context/2016/2016-context-indicators-fiches.pdf" TargetMode="External"/><Relationship Id="rId43" Type="http://schemas.openxmlformats.org/officeDocument/2006/relationships/image" Target="media/image7.jpeg"/><Relationship Id="rId48" Type="http://schemas.openxmlformats.org/officeDocument/2006/relationships/hyperlink" Target="https://enrd.ec.europa.eu/news-events/news/ex-post-evaluation-rdps-2007-2013_en" TargetMode="External"/><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enrd.ec.europa.eu/enrd-static/app_templates/enrd_assets/pdf/evaluation/epe_master.pdf"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ec.europa.eu/agriculture/sites/agriculture/files/cap-indicators/result/complementary-result-indicator-fiches-pillar-ii_en.pdf" TargetMode="External"/><Relationship Id="rId33" Type="http://schemas.openxmlformats.org/officeDocument/2006/relationships/hyperlink" Target="http://ec.europa.eu/eurostat/web/products-statistical-books/-/KS-EZ-17-001" TargetMode="External"/><Relationship Id="rId38" Type="http://schemas.openxmlformats.org/officeDocument/2006/relationships/footer" Target="footer6.xml"/><Relationship Id="rId46" Type="http://schemas.openxmlformats.org/officeDocument/2006/relationships/hyperlink" Target="https://ec.europa.eu/agriculture/sites/agriculture/files/evaluation/guidelines/2007-2013-ex-post_en.pdf"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image" Target="media/image4.jpeg"/><Relationship Id="rId41" Type="http://schemas.openxmlformats.org/officeDocument/2006/relationships/hyperlink" Target="https://www.envieval.eu/fileadmin/envieval/dissemination/deliverables/D9.5_Handbook_for_the_evaluation_of_environmental_impacts_of_RDPs.pdf" TargetMode="External"/><Relationship Id="rId54" Type="http://schemas.openxmlformats.org/officeDocument/2006/relationships/hyperlink" Target="https://ec.europa.eu/agriculture/sites/agriculture/files/evaluation/rural-development-reports/2014/investment-support-rdp/fulltext_en.pdf" TargetMode="External"/><Relationship Id="rId62" Type="http://schemas.openxmlformats.org/officeDocument/2006/relationships/image" Target="media/image14.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sk/ALL/?uri=CELEX:32014R0808" TargetMode="External"/><Relationship Id="rId3" Type="http://schemas.openxmlformats.org/officeDocument/2006/relationships/hyperlink" Target="http://eur-lex.europa.eu/legal-content/sk/ALL/?uri=CELEX:32014R0808" TargetMode="External"/><Relationship Id="rId7" Type="http://schemas.openxmlformats.org/officeDocument/2006/relationships/hyperlink" Target="http://eur-lex.europa.eu/legal-content/SK/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sk/ALL/?uri=CELEX:32013R1305" TargetMode="External"/><Relationship Id="rId6" Type="http://schemas.openxmlformats.org/officeDocument/2006/relationships/hyperlink" Target="http://eur-lex.europa.eu/legal-content/sk/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https:\\eur-lex.europa.eu\legal-content\sk\ALL\?uri=CELEX:32013R1305"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C9F7F-20E5-4BB2-934E-22FEB7739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7482</Words>
  <Characters>42648</Characters>
  <Application>Microsoft Office Word</Application>
  <DocSecurity>0</DocSecurity>
  <Lines>355</Lines>
  <Paragraphs>100</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50030</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2018-11-20T08:58:00Z</dcterms:created>
  <dcterms:modified xsi:type="dcterms:W3CDTF">2018-11-20T09:01:00Z</dcterms:modified>
</cp:coreProperties>
</file>