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CE0CD6" w:rsidP="00A80806">
      <w:pPr>
        <w:pStyle w:val="HHeadingboxes"/>
        <w:numPr>
          <w:ilvl w:val="0"/>
          <w:numId w:val="0"/>
        </w:numPr>
      </w:pPr>
      <w:bookmarkStart w:id="0" w:name="_GoBack"/>
      <w:bookmarkEnd w:id="0"/>
      <w:r>
        <w:rPr>
          <w:noProof/>
          <w:szCs w:val="24"/>
          <w:lang w:bidi="ar-SA"/>
        </w:rPr>
        <w:pict>
          <v:shapetype id="_x0000_t202" coordsize="21600,21600" o:spt="202" path="m,l,21600r21600,l21600,xe">
            <v:stroke joinstyle="miter"/>
            <v:path gradientshapeok="t" o:connecttype="rect"/>
          </v:shapetype>
          <v:shape id="Text Box 5" o:spid="_x0000_s1026" type="#_x0000_t202" style="position:absolute;margin-left:161.7pt;margin-top:395.25pt;width:376.05pt;height:178.7pt;z-index:-2516618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B03F62" w:rsidRPr="00E76949" w:rsidRDefault="00B03F62" w:rsidP="00E76949">
                  <w:pPr>
                    <w:pStyle w:val="HTitle1"/>
                  </w:pPr>
                  <w:r>
                    <w:t>LINEE GUIDA</w:t>
                  </w:r>
                </w:p>
                <w:p w:rsidR="00B03F62" w:rsidRPr="00196DF6" w:rsidRDefault="00B03F62" w:rsidP="00196DF6">
                  <w:pPr>
                    <w:pStyle w:val="HTitle2"/>
                  </w:pPr>
                  <w:r>
                    <w:t>Valutazione delle realizzazioni e degli impatti del PSR nel 2019</w:t>
                  </w:r>
                </w:p>
                <w:p w:rsidR="00B03F62" w:rsidRPr="00F15219" w:rsidRDefault="00B03F62" w:rsidP="00196DF6">
                  <w:pPr>
                    <w:pStyle w:val="HTitle2"/>
                  </w:pPr>
                </w:p>
                <w:p w:rsidR="00B03F62" w:rsidRPr="00435F02" w:rsidRDefault="00B03F62" w:rsidP="00196DF6">
                  <w:pPr>
                    <w:pStyle w:val="HTitle3"/>
                    <w:rPr>
                      <w:color w:val="auto"/>
                    </w:rPr>
                  </w:pPr>
                  <w:r>
                    <w:rPr>
                      <w:color w:val="auto"/>
                    </w:rPr>
                    <w:t>Agosto 2018</w:t>
                  </w:r>
                </w:p>
                <w:p w:rsidR="00B03F62" w:rsidRDefault="00B03F62" w:rsidP="00196DF6">
                  <w:pPr>
                    <w:pStyle w:val="HTitle3"/>
                  </w:pPr>
                </w:p>
              </w:txbxContent>
            </v:textbox>
            <w10:wrap type="tight" anchorx="page" anchory="page"/>
          </v:shape>
        </w:pict>
      </w:r>
      <w:r w:rsidR="000B213F">
        <w:rPr>
          <w:noProof/>
          <w:lang w:val="en-GB" w:eastAsia="en-GB" w:bidi="ar-SA"/>
        </w:rPr>
        <w:drawing>
          <wp:anchor distT="0" distB="0" distL="114300" distR="114300" simplePos="0" relativeHeight="251653631" behindDoc="1" locked="0" layoutInCell="1" allowOverlap="1">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0B213F">
        <w:t xml:space="preserve"> </w:t>
      </w:r>
      <w:r w:rsidR="000B213F">
        <w:br w:type="page"/>
      </w:r>
    </w:p>
    <w:p w:rsidR="00016061" w:rsidRPr="00571D58" w:rsidRDefault="00CE0CD6" w:rsidP="007C6797">
      <w:pPr>
        <w:pStyle w:val="HStandard"/>
      </w:pPr>
      <w:r>
        <w:rPr>
          <w:noProof/>
          <w:lang w:bidi="ar-SA"/>
        </w:rPr>
        <w:lastRenderedPageBreak/>
        <w:pict>
          <v:shape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B03F62" w:rsidRPr="00811EF1" w:rsidRDefault="00B03F62" w:rsidP="00811EF1">
                  <w:pPr>
                    <w:pStyle w:val="Hdisclaimer"/>
                  </w:pPr>
                  <w:r>
                    <w:t>Avviso sui diritti d'autore</w:t>
                  </w:r>
                </w:p>
                <w:p w:rsidR="00B03F62" w:rsidRPr="00811EF1" w:rsidRDefault="00B03F62" w:rsidP="00811EF1">
                  <w:pPr>
                    <w:pStyle w:val="Hdisclaimer"/>
                  </w:pPr>
                  <w:r>
                    <w:t>© Unione europea, 2018</w:t>
                  </w:r>
                </w:p>
                <w:p w:rsidR="00B03F62" w:rsidRPr="00811EF1" w:rsidRDefault="00B03F62" w:rsidP="00811EF1">
                  <w:pPr>
                    <w:pStyle w:val="Hdisclaimer"/>
                  </w:pPr>
                  <w:r>
                    <w:t>Riproduzione autorizzata con citazione della fonte.</w:t>
                  </w:r>
                </w:p>
                <w:p w:rsidR="00B03F62" w:rsidRPr="00811EF1" w:rsidRDefault="00B03F62" w:rsidP="00811EF1">
                  <w:pPr>
                    <w:pStyle w:val="Hdisclaimer"/>
                  </w:pPr>
                  <w:r>
                    <w:t xml:space="preserve">Citazione raccomandata: </w:t>
                  </w:r>
                </w:p>
                <w:p w:rsidR="00B03F62" w:rsidRDefault="00B03F62" w:rsidP="00435F02">
                  <w:pPr>
                    <w:pStyle w:val="Hdisclaimer"/>
                  </w:pPr>
                  <w:r>
                    <w:t xml:space="preserve">COMMISSIONE EUROPEA – Direzione generale dell'Agricoltura e dello sviluppo rurale – Unità C.4 (2018): Linee guida. Valutazione delle realizzazioni e degli impatti del PSR nel 2019. Bruxelles, agosto 2018. </w:t>
                  </w:r>
                </w:p>
                <w:p w:rsidR="00B03F62" w:rsidRPr="00811EF1" w:rsidRDefault="00B03F62" w:rsidP="00811EF1">
                  <w:pPr>
                    <w:pStyle w:val="Hdisclaimer"/>
                  </w:pPr>
                  <w:r>
                    <w:t>Esclusione di responsabilità</w:t>
                  </w:r>
                </w:p>
                <w:p w:rsidR="00B03F62" w:rsidRPr="00811EF1" w:rsidRDefault="00B03F62" w:rsidP="00811EF1">
                  <w:pPr>
                    <w:pStyle w:val="Hdisclaimer"/>
                  </w:pPr>
                  <w:r>
                    <w:t>Le informazioni riportate e i pareri espressi nelle presenti linee guida impegnano soltanto l'autore (gli autori) e non riflettono necessariamente l'opinione ufficiale della Commissione. La Commissione non garantisce l'accuratezza dei dati contenuti nelle presenti linee guida. La Commissione, o chiunque agisca in suo nome, declina ogni responsabilità per l'uso dei contenuti delle presenti linee guida.</w:t>
                  </w:r>
                </w:p>
                <w:p w:rsidR="00B03F62" w:rsidRPr="00811EF1" w:rsidRDefault="00B03F62" w:rsidP="005B24FC">
                  <w:pPr>
                    <w:pStyle w:val="Hdisclaimer"/>
                    <w:tabs>
                      <w:tab w:val="right" w:pos="10065"/>
                    </w:tabs>
                  </w:pPr>
                  <w:r>
                    <w:rPr>
                      <w:noProof/>
                      <w:color w:val="auto"/>
                      <w:lang w:val="en-GB" w:eastAsia="en-GB" w:bidi="ar-SA"/>
                    </w:rPr>
                    <w:drawing>
                      <wp:inline distT="0" distB="0" distL="0" distR="0" wp14:anchorId="2D4B26A6" wp14:editId="3716805A">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7546D28F" wp14:editId="3908BE4C">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B03F62" w:rsidRPr="00811EF1" w:rsidRDefault="00B03F62" w:rsidP="00811EF1">
                  <w:pPr>
                    <w:pStyle w:val="Hdisclaimer"/>
                  </w:pPr>
                  <w:r>
                    <w:t>L'Helpdesk di valutazione è il soggetto responsabile della funzione di valutazione nell'ambito della Rete europea per lo sviluppo rurale (RESR) e, in particolare, fornisce orientamenti per la valutazione dei PSR e delle politiche rientranti nell'ambito di competenza della DG AGRI, unità C.4 "Monitoraggio e valutazione" della Commissione europea (CE). Al fine di migliorare la valutazione delle politiche di sviluppo rurale dell'Unione, l'Helpdesk di valutazione fornisce sostegno a tutte le parti interessate alla valutazione, in particolare la DG AGRI, le autorità nazionali, le autorità di gestione dei PSR e i valutatori, attraverso lo sviluppo e la diffusione di metodologie e strumenti adeguati, il rilevamento e lo scambio di buone pratiche, lo sviluppo di capacità e il dialogo con i componenti della rete circa tematiche relative alla valutazione.</w:t>
                  </w:r>
                </w:p>
                <w:p w:rsidR="00B03F62" w:rsidRPr="00811EF1" w:rsidRDefault="00B03F62" w:rsidP="00811EF1">
                  <w:pPr>
                    <w:pStyle w:val="Hdisclaimer"/>
                  </w:pPr>
                  <w:r>
                    <w:t>Ulteriori informazioni circa le attività dell'Helpdesk europeo di valutazione per lo sviluppo rurale sono disponibili in Internet, sul server Europa (http://enrd.ec.europa.eu).</w:t>
                  </w:r>
                </w:p>
              </w:txbxContent>
            </v:textbox>
            <w10:wrap anchorx="margin"/>
          </v:shape>
        </w:pict>
      </w:r>
      <w:r w:rsidR="000B213F">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CE0CD6" w:rsidP="007C6797">
      <w:pPr>
        <w:pStyle w:val="HStandard"/>
      </w:pPr>
      <w:r>
        <w:rPr>
          <w:noProof/>
          <w:lang w:bidi="ar-SA"/>
        </w:rPr>
        <w:pict>
          <v:shape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B03F62" w:rsidRPr="00F15219" w:rsidRDefault="00B03F62" w:rsidP="00E76949">
                  <w:pPr>
                    <w:pStyle w:val="HTitle1"/>
                  </w:pPr>
                  <w:r>
                    <w:t>Linee guida</w:t>
                  </w:r>
                </w:p>
                <w:p w:rsidR="00B03F62" w:rsidRPr="00F15219" w:rsidRDefault="00B03F62" w:rsidP="00BE49CF">
                  <w:pPr>
                    <w:pStyle w:val="HTitle2"/>
                  </w:pPr>
                  <w:r>
                    <w:t>VALUTAZIONE DELLE REALIZZAZIONI E DEGLI IMPATTI DEL PSR NEL 2019</w:t>
                  </w:r>
                </w:p>
                <w:p w:rsidR="00B03F62" w:rsidRPr="00F15219" w:rsidRDefault="00B03F62" w:rsidP="00196DF6">
                  <w:pPr>
                    <w:pStyle w:val="HTitle2"/>
                  </w:pPr>
                </w:p>
                <w:p w:rsidR="00B03F62" w:rsidRPr="00D46054" w:rsidRDefault="00B03F62" w:rsidP="00BE49CF">
                  <w:pPr>
                    <w:pStyle w:val="HTitle3"/>
                    <w:rPr>
                      <w:color w:val="auto"/>
                    </w:rPr>
                  </w:pPr>
                  <w:r>
                    <w:rPr>
                      <w:color w:val="auto"/>
                    </w:rPr>
                    <w:t>Agosto 2018</w:t>
                  </w:r>
                </w:p>
                <w:p w:rsidR="00B03F62" w:rsidRPr="00D46054" w:rsidRDefault="00B03F62" w:rsidP="00196DF6">
                  <w:pPr>
                    <w:pStyle w:val="HTitle3"/>
                    <w:rPr>
                      <w:color w:val="auto"/>
                    </w:rPr>
                  </w:pPr>
                </w:p>
              </w:txbxContent>
            </v:textbox>
            <w10:wrap type="tight" anchorx="page" anchory="page"/>
          </v:shape>
        </w:pict>
      </w:r>
    </w:p>
    <w:p w:rsidR="00016061" w:rsidRPr="00571D58" w:rsidRDefault="00016061" w:rsidP="007C6797">
      <w:pPr>
        <w:pStyle w:val="HStandard"/>
        <w:sectPr w:rsidR="00016061" w:rsidRPr="00571D58" w:rsidSect="00FA7E7B">
          <w:footerReference w:type="first" r:id="rId11"/>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Indice</w:t>
      </w:r>
    </w:p>
    <w:p w:rsidR="00FB5A40" w:rsidRDefault="00FB5A40" w:rsidP="00FB5A40">
      <w:r>
        <w:t>Ringraziamenti</w:t>
      </w:r>
      <w:r>
        <w:tab/>
      </w:r>
      <w:r w:rsidR="009E7958">
        <w:tab/>
      </w:r>
      <w:r w:rsidR="009E7958">
        <w:tab/>
      </w:r>
      <w:r w:rsidR="009E7958">
        <w:tab/>
      </w:r>
      <w:r w:rsidR="009E7958">
        <w:tab/>
      </w:r>
      <w:r w:rsidR="009E7958">
        <w:tab/>
      </w:r>
      <w:r w:rsidR="009E7958">
        <w:tab/>
      </w:r>
      <w:r w:rsidR="009E7958">
        <w:tab/>
      </w:r>
      <w:r w:rsidR="009E7958">
        <w:tab/>
      </w:r>
      <w:r w:rsidR="009E7958">
        <w:tab/>
      </w:r>
      <w:r w:rsidR="009E7958">
        <w:tab/>
      </w:r>
      <w:r>
        <w:t>1</w:t>
      </w:r>
    </w:p>
    <w:p w:rsidR="00FB5A40" w:rsidRDefault="00FB5A40" w:rsidP="00FB5A40">
      <w:r>
        <w:t>INTRODUZIONE</w:t>
      </w:r>
      <w:r>
        <w:tab/>
      </w:r>
      <w:r w:rsidR="009E7958">
        <w:tab/>
      </w:r>
      <w:r w:rsidR="009E7958">
        <w:tab/>
      </w:r>
      <w:r w:rsidR="009E7958">
        <w:tab/>
      </w:r>
      <w:r w:rsidR="009E7958">
        <w:tab/>
      </w:r>
      <w:r w:rsidR="009E7958">
        <w:tab/>
      </w:r>
      <w:r w:rsidR="009E7958">
        <w:tab/>
      </w:r>
      <w:r w:rsidR="009E7958">
        <w:tab/>
      </w:r>
      <w:r w:rsidR="009E7958">
        <w:tab/>
      </w:r>
      <w:r w:rsidR="009E7958">
        <w:tab/>
      </w:r>
      <w:r w:rsidR="009E7958">
        <w:tab/>
      </w:r>
      <w:r>
        <w:t>2</w:t>
      </w:r>
    </w:p>
    <w:p w:rsidR="00FB5A40" w:rsidRDefault="00FB5A40" w:rsidP="00FB5A40">
      <w:r>
        <w:t>1 Cosa deve essere comunicato in merito alla valutazione nella RAE presentata nel 2019? (Parte I)</w:t>
      </w:r>
      <w:r>
        <w:tab/>
        <w:t>3</w:t>
      </w:r>
    </w:p>
    <w:p w:rsidR="00FB5A40" w:rsidRDefault="00FB5A40" w:rsidP="00FB5A40">
      <w:r>
        <w:t>1.1</w:t>
      </w:r>
      <w:r>
        <w:tab/>
        <w:t>Quadro giuridico e aspetti principali della valutazione nel 2019</w:t>
      </w:r>
      <w:r w:rsidR="009E7958">
        <w:tab/>
      </w:r>
      <w:r w:rsidR="009E7958">
        <w:tab/>
      </w:r>
      <w:r w:rsidR="009E7958">
        <w:tab/>
      </w:r>
      <w:r w:rsidR="009E7958">
        <w:tab/>
      </w:r>
      <w:r>
        <w:tab/>
        <w:t>3</w:t>
      </w:r>
    </w:p>
    <w:p w:rsidR="00FB5A40" w:rsidRDefault="00FB5A40" w:rsidP="00FB5A40">
      <w:r>
        <w:t>1.2</w:t>
      </w:r>
      <w:r>
        <w:tab/>
        <w:t>Come rendicontare sul QVC nel 2019?</w:t>
      </w:r>
      <w:r>
        <w:tab/>
      </w:r>
      <w:r w:rsidR="009E7958">
        <w:tab/>
      </w:r>
      <w:r w:rsidR="009E7958">
        <w:tab/>
      </w:r>
      <w:r w:rsidR="009E7958">
        <w:tab/>
      </w:r>
      <w:r w:rsidR="009E7958">
        <w:tab/>
      </w:r>
      <w:r w:rsidR="009E7958">
        <w:tab/>
      </w:r>
      <w:r w:rsidR="009E7958">
        <w:tab/>
      </w:r>
      <w:r>
        <w:t>6</w:t>
      </w:r>
    </w:p>
    <w:p w:rsidR="00FB5A40" w:rsidRDefault="00FB5A40" w:rsidP="00FB5A40">
      <w:r>
        <w:t>1.3</w:t>
      </w:r>
      <w:r>
        <w:tab/>
        <w:t>Prepararsi per la RAE del 2019</w:t>
      </w:r>
      <w:r>
        <w:tab/>
      </w:r>
      <w:r w:rsidR="009E7958">
        <w:tab/>
      </w:r>
      <w:r w:rsidR="009E7958">
        <w:tab/>
      </w:r>
      <w:r w:rsidR="009E7958">
        <w:tab/>
      </w:r>
      <w:r w:rsidR="009E7958">
        <w:tab/>
      </w:r>
      <w:r w:rsidR="009E7958">
        <w:tab/>
      </w:r>
      <w:r w:rsidR="009E7958">
        <w:tab/>
      </w:r>
      <w:r w:rsidR="009E7958">
        <w:tab/>
      </w:r>
      <w:r>
        <w:t>8</w:t>
      </w:r>
    </w:p>
    <w:p w:rsidR="00FB5A40" w:rsidRDefault="00FB5A40" w:rsidP="00FB5A40">
      <w:r>
        <w:t>2</w:t>
      </w:r>
      <w:r>
        <w:tab/>
        <w:t>Approcci alla valutazione degli impatti del PSR nel 2019 (PARTE II)</w:t>
      </w:r>
      <w:r>
        <w:tab/>
      </w:r>
      <w:r w:rsidR="009E7958">
        <w:tab/>
      </w:r>
      <w:r w:rsidR="009E7958">
        <w:tab/>
      </w:r>
      <w:r w:rsidR="009E7958">
        <w:tab/>
      </w:r>
      <w:r>
        <w:t>12</w:t>
      </w:r>
    </w:p>
    <w:p w:rsidR="00FB5A40" w:rsidRDefault="00FB5A40" w:rsidP="00FB5A40">
      <w:r>
        <w:t>2.1</w:t>
      </w:r>
      <w:r>
        <w:tab/>
        <w:t>Scegliere approcci valutativi adeguati per la valutazione degli impatti del PSR</w:t>
      </w:r>
      <w:r>
        <w:tab/>
      </w:r>
      <w:r w:rsidR="009E7958">
        <w:tab/>
      </w:r>
      <w:r w:rsidR="009E7958">
        <w:tab/>
      </w:r>
      <w:r>
        <w:t>12</w:t>
      </w:r>
    </w:p>
    <w:p w:rsidR="00FB5A40" w:rsidRDefault="00FB5A40" w:rsidP="00FB5A40">
      <w:r>
        <w:t>2.1.1</w:t>
      </w:r>
      <w:r>
        <w:tab/>
        <w:t>Come si possono utilizzare i modelli logici per stabilire quali approcci valutativi sono adeguati?</w:t>
      </w:r>
      <w:r>
        <w:tab/>
        <w:t>12</w:t>
      </w:r>
    </w:p>
    <w:p w:rsidR="009E7958" w:rsidRDefault="00FB5A40" w:rsidP="009F252A">
      <w:pPr>
        <w:ind w:left="720" w:right="26" w:hanging="720"/>
      </w:pPr>
      <w:r>
        <w:t>2.1.2</w:t>
      </w:r>
      <w:r>
        <w:tab/>
        <w:t xml:space="preserve">Panoramica degli approcci valutativi raccomandati per la valutazione degli indicatori </w:t>
      </w:r>
    </w:p>
    <w:p w:rsidR="00FB5A40" w:rsidRDefault="00981EF4" w:rsidP="009F252A">
      <w:pPr>
        <w:ind w:left="720" w:right="26" w:hanging="11"/>
      </w:pPr>
      <w:r>
        <w:t>di impatto</w:t>
      </w:r>
      <w:r w:rsidR="00FB5A40">
        <w:t xml:space="preserve"> della PAC</w:t>
      </w:r>
      <w:r w:rsidR="00FB5A40">
        <w:tab/>
      </w:r>
      <w:r w:rsidR="009E7958">
        <w:tab/>
      </w:r>
      <w:r w:rsidR="009E7958">
        <w:tab/>
      </w:r>
      <w:r w:rsidR="009E7958">
        <w:tab/>
      </w:r>
      <w:r w:rsidR="009E7958">
        <w:tab/>
      </w:r>
      <w:r w:rsidR="009E7958">
        <w:tab/>
      </w:r>
      <w:r w:rsidR="009E7958">
        <w:tab/>
      </w:r>
      <w:r w:rsidR="009E7958">
        <w:tab/>
      </w:r>
      <w:r w:rsidR="009E7958">
        <w:tab/>
      </w:r>
      <w:r w:rsidR="00FB5A40">
        <w:t>23</w:t>
      </w:r>
    </w:p>
    <w:p w:rsidR="00016061" w:rsidRPr="001C6ACF" w:rsidRDefault="00542440" w:rsidP="000B62C2">
      <w:pPr>
        <w:pStyle w:val="HContent"/>
      </w:pPr>
      <w:r>
        <w:lastRenderedPageBreak/>
        <w:t xml:space="preserve">Tabelle e figure </w:t>
      </w:r>
    </w:p>
    <w:p w:rsidR="00FB5A40" w:rsidRDefault="00FB5A40" w:rsidP="00FB5A40">
      <w:r>
        <w:t>Tabella 1.</w:t>
      </w:r>
      <w:r>
        <w:tab/>
        <w:t>Orientamenti per rispondere al QVC nella RAE del 2019</w:t>
      </w:r>
      <w:r>
        <w:tab/>
      </w:r>
      <w:r w:rsidR="002A68B9">
        <w:tab/>
      </w:r>
      <w:r w:rsidR="002A68B9">
        <w:tab/>
      </w:r>
      <w:r w:rsidR="002A68B9">
        <w:tab/>
      </w:r>
      <w:r>
        <w:t>7</w:t>
      </w:r>
    </w:p>
    <w:p w:rsidR="00FB5A40" w:rsidRDefault="00FB5A40" w:rsidP="00FB5A40">
      <w:r>
        <w:t>Tabella 2.</w:t>
      </w:r>
      <w:r>
        <w:tab/>
        <w:t>Lista di controllo delle fasi raccomandate per la valutazione nel 2019</w:t>
      </w:r>
      <w:r>
        <w:tab/>
      </w:r>
      <w:r w:rsidR="002A68B9">
        <w:tab/>
      </w:r>
      <w:r w:rsidR="002A68B9">
        <w:tab/>
      </w:r>
      <w:r>
        <w:t>9</w:t>
      </w:r>
    </w:p>
    <w:p w:rsidR="002A68B9" w:rsidRDefault="00FB5A40" w:rsidP="00FB5A40">
      <w:r>
        <w:t>Tabella 3.</w:t>
      </w:r>
      <w:r>
        <w:tab/>
        <w:t xml:space="preserve">Esempi di approcci valutativi raccomandati per la valutazione degli indicatori </w:t>
      </w:r>
    </w:p>
    <w:p w:rsidR="00FB5A40" w:rsidRDefault="00981EF4" w:rsidP="009F252A">
      <w:pPr>
        <w:ind w:left="709" w:firstLine="709"/>
      </w:pPr>
      <w:r>
        <w:t xml:space="preserve">di impatto </w:t>
      </w:r>
      <w:r w:rsidR="00FB5A40">
        <w:t>della PAC</w:t>
      </w:r>
      <w:r w:rsidR="00FB5A40">
        <w:tab/>
      </w:r>
      <w:r w:rsidR="002A68B9">
        <w:tab/>
      </w:r>
      <w:r w:rsidR="002A68B9">
        <w:tab/>
      </w:r>
      <w:r w:rsidR="002A68B9">
        <w:tab/>
      </w:r>
      <w:r w:rsidR="002A68B9">
        <w:tab/>
      </w:r>
      <w:r w:rsidR="002A68B9">
        <w:tab/>
      </w:r>
      <w:r w:rsidR="002A68B9">
        <w:tab/>
      </w:r>
      <w:r w:rsidR="002A68B9">
        <w:tab/>
      </w:r>
      <w:r w:rsidR="00FB5A40">
        <w:t>24</w:t>
      </w:r>
    </w:p>
    <w:p w:rsidR="00FE491B" w:rsidRPr="00571D58" w:rsidRDefault="00FE491B" w:rsidP="00FE491B">
      <w:pPr>
        <w:pStyle w:val="HContent"/>
      </w:pPr>
      <w:r>
        <w:lastRenderedPageBreak/>
        <w:t>Elenco degli acronimi</w:t>
      </w:r>
    </w:p>
    <w:p w:rsidR="008F4B89" w:rsidRPr="001C6ACF" w:rsidRDefault="008F4B89" w:rsidP="00FE491B">
      <w:pPr>
        <w:pStyle w:val="HStandard"/>
        <w:ind w:left="993" w:hanging="993"/>
      </w:pPr>
      <w:r>
        <w:t>AG</w:t>
      </w:r>
      <w:r>
        <w:tab/>
      </w:r>
      <w:r>
        <w:tab/>
        <w:t>Autorità di gestione</w:t>
      </w:r>
    </w:p>
    <w:p w:rsidR="008F4B89" w:rsidRPr="001C6ACF" w:rsidRDefault="008F4B89" w:rsidP="00FE491B">
      <w:pPr>
        <w:pStyle w:val="HStandard"/>
        <w:ind w:left="993" w:hanging="993"/>
      </w:pPr>
      <w:r>
        <w:t>ARPES</w:t>
      </w:r>
      <w:r>
        <w:tab/>
      </w:r>
      <w:r>
        <w:tab/>
        <w:t>A rischio di povertà o esclusione sociale</w:t>
      </w:r>
    </w:p>
    <w:p w:rsidR="008F4B89" w:rsidRPr="001C6ACF" w:rsidRDefault="008F4B89" w:rsidP="00FE491B">
      <w:pPr>
        <w:pStyle w:val="HStandard"/>
        <w:ind w:left="993" w:hanging="993"/>
      </w:pPr>
      <w:r>
        <w:t>AS</w:t>
      </w:r>
      <w:r>
        <w:tab/>
      </w:r>
      <w:r>
        <w:tab/>
        <w:t>Aspetto specifico</w:t>
      </w:r>
    </w:p>
    <w:p w:rsidR="008F4B89" w:rsidRPr="001C6ACF" w:rsidRDefault="008F4B89" w:rsidP="00FE491B">
      <w:pPr>
        <w:pStyle w:val="HStandard"/>
        <w:ind w:left="993" w:hanging="993"/>
      </w:pPr>
      <w:r>
        <w:t>AT</w:t>
      </w:r>
      <w:r>
        <w:tab/>
      </w:r>
      <w:r>
        <w:tab/>
        <w:t>Assistenza tecnica</w:t>
      </w:r>
    </w:p>
    <w:p w:rsidR="008F4B89" w:rsidRPr="001C6ACF" w:rsidRDefault="008F4B89" w:rsidP="00FE491B">
      <w:pPr>
        <w:pStyle w:val="HStandard"/>
        <w:ind w:left="993" w:hanging="993"/>
      </w:pPr>
      <w:r>
        <w:t>AVN</w:t>
      </w:r>
      <w:r>
        <w:tab/>
      </w:r>
      <w:r>
        <w:tab/>
        <w:t>(Agricoltura ad) alto valore naturalistico</w:t>
      </w:r>
    </w:p>
    <w:p w:rsidR="008F4B89" w:rsidRPr="001C6ACF" w:rsidRDefault="008F4B89" w:rsidP="00FE491B">
      <w:pPr>
        <w:pStyle w:val="HStandard"/>
        <w:ind w:left="993" w:hanging="993"/>
      </w:pPr>
      <w:r>
        <w:t>BCAA</w:t>
      </w:r>
      <w:r>
        <w:tab/>
      </w:r>
      <w:r>
        <w:tab/>
        <w:t>Buone condizioni agronomiche e ambientali</w:t>
      </w:r>
    </w:p>
    <w:p w:rsidR="008F4B89" w:rsidRPr="001C6ACF" w:rsidRDefault="008F4B89" w:rsidP="00FE491B">
      <w:pPr>
        <w:pStyle w:val="HStandard"/>
        <w:ind w:left="993" w:hanging="993"/>
      </w:pPr>
      <w:r>
        <w:t>BLN</w:t>
      </w:r>
      <w:r>
        <w:tab/>
      </w:r>
      <w:r>
        <w:tab/>
        <w:t>Bilancio lordo dei nutrienti</w:t>
      </w:r>
    </w:p>
    <w:p w:rsidR="008F4B89" w:rsidRPr="001C6ACF" w:rsidRDefault="008F4B89" w:rsidP="00FE491B">
      <w:pPr>
        <w:pStyle w:val="HStandard"/>
        <w:ind w:left="993" w:hanging="993"/>
      </w:pPr>
      <w:r>
        <w:t>BSE</w:t>
      </w:r>
      <w:r>
        <w:tab/>
      </w:r>
      <w:r>
        <w:tab/>
        <w:t>Buono stato ecologico</w:t>
      </w:r>
    </w:p>
    <w:p w:rsidR="008F4B89" w:rsidRPr="001C6ACF" w:rsidRDefault="008F4B89" w:rsidP="00FE491B">
      <w:pPr>
        <w:pStyle w:val="HStandard"/>
        <w:ind w:left="993" w:hanging="993"/>
      </w:pPr>
      <w:r>
        <w:t>CEA</w:t>
      </w:r>
      <w:r>
        <w:tab/>
      </w:r>
      <w:r>
        <w:tab/>
        <w:t>Conto economico dell</w:t>
      </w:r>
      <w:r w:rsidR="00C36C9E">
        <w:t>'</w:t>
      </w:r>
      <w:r>
        <w:t>agricoltura</w:t>
      </w:r>
    </w:p>
    <w:p w:rsidR="008F4B89" w:rsidRPr="00FB5A40" w:rsidRDefault="008F4B89" w:rsidP="00FE491B">
      <w:pPr>
        <w:pStyle w:val="HStandard"/>
        <w:ind w:left="993" w:hanging="993"/>
      </w:pPr>
      <w:r>
        <w:t>CG</w:t>
      </w:r>
      <w:r>
        <w:tab/>
      </w:r>
      <w:r>
        <w:tab/>
        <w:t>Criteri di giudizio</w:t>
      </w:r>
    </w:p>
    <w:p w:rsidR="008F4B89" w:rsidRPr="001C6ACF" w:rsidRDefault="008F4B89" w:rsidP="00FE491B">
      <w:pPr>
        <w:pStyle w:val="HStandard"/>
        <w:ind w:left="993" w:hanging="993"/>
      </w:pPr>
      <w:r>
        <w:t>CLLD</w:t>
      </w:r>
      <w:r>
        <w:tab/>
      </w:r>
      <w:r>
        <w:tab/>
        <w:t>Sviluppo locale di tipo partecipativo</w:t>
      </w:r>
    </w:p>
    <w:p w:rsidR="008F4B89" w:rsidRPr="001C6ACF" w:rsidRDefault="008F4B89" w:rsidP="00FE491B">
      <w:pPr>
        <w:pStyle w:val="HStandard"/>
        <w:ind w:left="993" w:hanging="993"/>
      </w:pPr>
      <w:r>
        <w:t>CORINE</w:t>
      </w:r>
      <w:r>
        <w:tab/>
      </w:r>
      <w:r>
        <w:tab/>
        <w:t>Coordinamento delle informazioni sull</w:t>
      </w:r>
      <w:r w:rsidR="00C36C9E">
        <w:t>'</w:t>
      </w:r>
      <w:r>
        <w:t>ambiente</w:t>
      </w:r>
    </w:p>
    <w:p w:rsidR="008F4B89" w:rsidRPr="00FB5A40" w:rsidRDefault="008F4B89" w:rsidP="00FE491B">
      <w:pPr>
        <w:pStyle w:val="HStandard"/>
        <w:ind w:left="993" w:hanging="993"/>
      </w:pPr>
      <w:r>
        <w:t>COS</w:t>
      </w:r>
      <w:r>
        <w:tab/>
      </w:r>
      <w:r>
        <w:tab/>
        <w:t>Carbonio organico nel suolo</w:t>
      </w:r>
    </w:p>
    <w:p w:rsidR="008F4B89" w:rsidRPr="001C6ACF" w:rsidRDefault="008F4B89" w:rsidP="00FE491B">
      <w:pPr>
        <w:pStyle w:val="HStandard"/>
        <w:ind w:left="993" w:hanging="993"/>
      </w:pPr>
      <w:r>
        <w:t>CS</w:t>
      </w:r>
      <w:r>
        <w:tab/>
      </w:r>
      <w:r>
        <w:tab/>
        <w:t>Comitato di sorveglianza</w:t>
      </w:r>
    </w:p>
    <w:p w:rsidR="008F4B89" w:rsidRPr="001C6ACF" w:rsidRDefault="008F4B89" w:rsidP="00FE491B">
      <w:pPr>
        <w:pStyle w:val="HStandard"/>
        <w:ind w:left="993" w:hanging="993"/>
      </w:pPr>
      <w:r>
        <w:t>DG AGRI</w:t>
      </w:r>
      <w:r>
        <w:tab/>
      </w:r>
      <w:r>
        <w:tab/>
        <w:t>Direzione generale dell</w:t>
      </w:r>
      <w:r w:rsidR="00C36C9E">
        <w:t>'</w:t>
      </w:r>
      <w:r>
        <w:t>Agricoltura e dello sviluppo rurale</w:t>
      </w:r>
    </w:p>
    <w:p w:rsidR="008F4B89" w:rsidRPr="001C6ACF" w:rsidRDefault="008F4B89" w:rsidP="00FE491B">
      <w:pPr>
        <w:pStyle w:val="HStandard"/>
        <w:ind w:left="993" w:hanging="993"/>
      </w:pPr>
      <w:r>
        <w:t>DI</w:t>
      </w:r>
      <w:r>
        <w:tab/>
      </w:r>
      <w:r>
        <w:tab/>
        <w:t>Distretto idrografico</w:t>
      </w:r>
    </w:p>
    <w:p w:rsidR="008F4B89" w:rsidRPr="001C6ACF" w:rsidRDefault="008F4B89" w:rsidP="00FE491B">
      <w:pPr>
        <w:pStyle w:val="HStandard"/>
        <w:ind w:left="993" w:hanging="993"/>
      </w:pPr>
      <w:r>
        <w:t>DL</w:t>
      </w:r>
      <w:r>
        <w:tab/>
      </w:r>
      <w:r>
        <w:tab/>
        <w:t>Documento di lavoro</w:t>
      </w:r>
    </w:p>
    <w:p w:rsidR="008F4B89" w:rsidRPr="001C6ACF" w:rsidRDefault="008F4B89" w:rsidP="00FE491B">
      <w:pPr>
        <w:pStyle w:val="HStandard"/>
        <w:ind w:left="993" w:hanging="993"/>
      </w:pPr>
      <w:r>
        <w:t>DN</w:t>
      </w:r>
      <w:r>
        <w:tab/>
      </w:r>
      <w:r>
        <w:tab/>
        <w:t>Direttiva Nitrati</w:t>
      </w:r>
    </w:p>
    <w:p w:rsidR="008F4B89" w:rsidRPr="001C6ACF" w:rsidRDefault="008F4B89" w:rsidP="00FE491B">
      <w:pPr>
        <w:pStyle w:val="HStandard"/>
        <w:ind w:left="993" w:hanging="993"/>
      </w:pPr>
      <w:r>
        <w:t>DnD</w:t>
      </w:r>
      <w:r>
        <w:tab/>
      </w:r>
      <w:r>
        <w:tab/>
        <w:t>Differenza nelle differenze</w:t>
      </w:r>
    </w:p>
    <w:p w:rsidR="008F4B89" w:rsidRPr="001C6ACF" w:rsidRDefault="008F4B89" w:rsidP="00FE491B">
      <w:pPr>
        <w:pStyle w:val="HStandard"/>
        <w:ind w:left="993" w:hanging="993"/>
      </w:pPr>
      <w:r>
        <w:t>DQA</w:t>
      </w:r>
      <w:r>
        <w:tab/>
      </w:r>
      <w:r>
        <w:tab/>
        <w:t>Direttiva quadro sulle acque</w:t>
      </w:r>
    </w:p>
    <w:p w:rsidR="008F4B89" w:rsidRPr="001C6ACF" w:rsidRDefault="008F4B89" w:rsidP="00FE491B">
      <w:pPr>
        <w:pStyle w:val="HStandard"/>
        <w:ind w:left="993" w:hanging="993"/>
      </w:pPr>
      <w:r>
        <w:t>DRD</w:t>
      </w:r>
      <w:r>
        <w:tab/>
      </w:r>
      <w:r>
        <w:tab/>
        <w:t xml:space="preserve">Disegno con regressione discontinua </w:t>
      </w:r>
    </w:p>
    <w:p w:rsidR="008F4B89" w:rsidRPr="001C6ACF" w:rsidRDefault="008F4B89" w:rsidP="00FE491B">
      <w:pPr>
        <w:pStyle w:val="HStandard"/>
        <w:ind w:left="993" w:hanging="993"/>
      </w:pPr>
      <w:r>
        <w:t>DVSP</w:t>
      </w:r>
      <w:r>
        <w:tab/>
      </w:r>
      <w:r>
        <w:tab/>
        <w:t>Domanda di valutazione specifica del programma</w:t>
      </w:r>
    </w:p>
    <w:p w:rsidR="008F4B89" w:rsidRPr="001C6ACF" w:rsidRDefault="008F4B89" w:rsidP="00FE491B">
      <w:pPr>
        <w:pStyle w:val="HStandard"/>
        <w:ind w:left="993" w:hanging="993"/>
      </w:pPr>
      <w:r>
        <w:t>EDGAR</w:t>
      </w:r>
      <w:r>
        <w:tab/>
      </w:r>
      <w:r>
        <w:tab/>
        <w:t>Banca dati sulle emissioni per la ricerca atmosferica globale</w:t>
      </w:r>
    </w:p>
    <w:p w:rsidR="008F4B89" w:rsidRPr="001C6ACF" w:rsidRDefault="008F4B89" w:rsidP="00FE491B">
      <w:pPr>
        <w:pStyle w:val="HStandard"/>
        <w:ind w:left="993" w:hanging="993"/>
      </w:pPr>
      <w:r>
        <w:t xml:space="preserve">EGC </w:t>
      </w:r>
      <w:r>
        <w:tab/>
      </w:r>
      <w:r>
        <w:tab/>
        <w:t>Equilibrio generale calcolabile</w:t>
      </w:r>
    </w:p>
    <w:p w:rsidR="008F4B89" w:rsidRPr="001C6ACF" w:rsidRDefault="008F4B89" w:rsidP="00FE491B">
      <w:pPr>
        <w:pStyle w:val="HStandard"/>
        <w:ind w:left="993" w:hanging="993"/>
      </w:pPr>
      <w:r>
        <w:t>EMTT</w:t>
      </w:r>
      <w:r>
        <w:tab/>
      </w:r>
      <w:r>
        <w:tab/>
        <w:t>Effetti medi del trattamento sui trattati</w:t>
      </w:r>
    </w:p>
    <w:p w:rsidR="008F4B89" w:rsidRPr="001C6ACF" w:rsidRDefault="008F4B89" w:rsidP="00FE491B">
      <w:pPr>
        <w:pStyle w:val="HStandard"/>
        <w:ind w:left="993" w:hanging="993"/>
      </w:pPr>
      <w:r>
        <w:t>ESDAC</w:t>
      </w:r>
      <w:r>
        <w:tab/>
      </w:r>
      <w:r>
        <w:tab/>
        <w:t>Centro europeo per i dati sui suoli</w:t>
      </w:r>
    </w:p>
    <w:p w:rsidR="008F4B89" w:rsidRPr="001C6ACF" w:rsidRDefault="008F4B89" w:rsidP="00FE491B">
      <w:pPr>
        <w:pStyle w:val="HStandard"/>
        <w:ind w:left="993" w:hanging="993"/>
      </w:pPr>
      <w:r>
        <w:t>FBI</w:t>
      </w:r>
      <w:r>
        <w:tab/>
      </w:r>
      <w:r>
        <w:tab/>
        <w:t>Indice dell</w:t>
      </w:r>
      <w:r w:rsidR="00C36C9E">
        <w:t>'</w:t>
      </w:r>
      <w:r>
        <w:t>avifauna nelle aree agricole</w:t>
      </w:r>
    </w:p>
    <w:p w:rsidR="008F4B89" w:rsidRPr="001C6ACF" w:rsidRDefault="008F4B89" w:rsidP="00FE491B">
      <w:pPr>
        <w:pStyle w:val="HStandard"/>
        <w:ind w:left="993" w:hanging="993"/>
      </w:pPr>
      <w:r>
        <w:t>FD</w:t>
      </w:r>
      <w:r>
        <w:tab/>
      </w:r>
      <w:r>
        <w:tab/>
        <w:t>Fornitore di dati</w:t>
      </w:r>
    </w:p>
    <w:p w:rsidR="008F4B89" w:rsidRPr="001C6ACF" w:rsidRDefault="008F4B89" w:rsidP="00FE491B">
      <w:pPr>
        <w:pStyle w:val="HStandard"/>
        <w:ind w:left="993" w:hanging="993"/>
      </w:pPr>
      <w:r>
        <w:t>FEASR</w:t>
      </w:r>
      <w:r>
        <w:tab/>
      </w:r>
      <w:r>
        <w:tab/>
        <w:t>Fondo europeo agricolo per lo sviluppo rurale</w:t>
      </w:r>
    </w:p>
    <w:p w:rsidR="008F4B89" w:rsidRPr="001C6ACF" w:rsidRDefault="008F4B89" w:rsidP="00FE491B">
      <w:pPr>
        <w:pStyle w:val="HStandard"/>
        <w:ind w:left="993" w:hanging="993"/>
      </w:pPr>
      <w:r>
        <w:t>Fondi SIE</w:t>
      </w:r>
      <w:r>
        <w:tab/>
      </w:r>
      <w:r>
        <w:tab/>
        <w:t>Fondi strutturali e d</w:t>
      </w:r>
      <w:r w:rsidR="00C36C9E">
        <w:t>'</w:t>
      </w:r>
      <w:r>
        <w:t>investimento europei</w:t>
      </w:r>
    </w:p>
    <w:p w:rsidR="008F4B89" w:rsidRPr="001C6ACF" w:rsidRDefault="008F4B89" w:rsidP="00FE491B">
      <w:pPr>
        <w:pStyle w:val="HStandard"/>
        <w:ind w:left="993" w:hanging="993"/>
      </w:pPr>
      <w:r>
        <w:t xml:space="preserve">GDV </w:t>
      </w:r>
      <w:r>
        <w:tab/>
      </w:r>
      <w:r>
        <w:tab/>
        <w:t>Gruppo direttivo di valutazione</w:t>
      </w:r>
    </w:p>
    <w:p w:rsidR="008F4B89" w:rsidRPr="001C6ACF" w:rsidRDefault="008F4B89" w:rsidP="00FE491B">
      <w:pPr>
        <w:pStyle w:val="HStandard"/>
        <w:ind w:left="993" w:hanging="993"/>
      </w:pPr>
      <w:r>
        <w:t>GERD</w:t>
      </w:r>
      <w:r>
        <w:tab/>
      </w:r>
      <w:r>
        <w:tab/>
        <w:t>Spesa interna lorda in R&amp;S</w:t>
      </w:r>
    </w:p>
    <w:p w:rsidR="008F4B89" w:rsidRPr="00981EF4" w:rsidRDefault="008F4B89" w:rsidP="00FE491B">
      <w:pPr>
        <w:pStyle w:val="HStandard"/>
        <w:ind w:left="993" w:hanging="993"/>
      </w:pPr>
      <w:r w:rsidRPr="00981EF4">
        <w:t>GES</w:t>
      </w:r>
      <w:r w:rsidRPr="00981EF4">
        <w:tab/>
      </w:r>
      <w:r w:rsidRPr="00981EF4">
        <w:tab/>
        <w:t>Gas a effetto serra</w:t>
      </w:r>
    </w:p>
    <w:p w:rsidR="008F4B89" w:rsidRPr="002F0BB3" w:rsidRDefault="008F4B89" w:rsidP="002F0BB3">
      <w:pPr>
        <w:pStyle w:val="HStandard"/>
        <w:ind w:left="1440" w:hanging="1440"/>
      </w:pPr>
      <w:r w:rsidRPr="002F0BB3">
        <w:lastRenderedPageBreak/>
        <w:t>GPSM</w:t>
      </w:r>
      <w:r w:rsidRPr="002F0BB3">
        <w:tab/>
      </w:r>
      <w:r w:rsidRPr="00981EF4">
        <w:rPr>
          <w:i/>
        </w:rPr>
        <w:t>Generalised Propensity Score Matching</w:t>
      </w:r>
      <w:r w:rsidR="002F0BB3">
        <w:t xml:space="preserve"> (Incrocio generalizzato di dati sulla propensione)</w:t>
      </w:r>
    </w:p>
    <w:p w:rsidR="008F4B89" w:rsidRPr="001C6ACF" w:rsidRDefault="008F4B89" w:rsidP="00FE491B">
      <w:pPr>
        <w:pStyle w:val="HStandard"/>
        <w:ind w:left="993" w:hanging="993"/>
      </w:pPr>
      <w:r>
        <w:t>GTRI</w:t>
      </w:r>
      <w:r>
        <w:tab/>
      </w:r>
      <w:r>
        <w:tab/>
        <w:t>Generazione di tabelle regionali di input-output</w:t>
      </w:r>
    </w:p>
    <w:p w:rsidR="008F4B89" w:rsidRPr="001C6ACF" w:rsidRDefault="008F4B89" w:rsidP="00FE491B">
      <w:pPr>
        <w:pStyle w:val="HStandard"/>
        <w:ind w:left="993" w:hanging="993"/>
      </w:pPr>
      <w:r>
        <w:t>I</w:t>
      </w:r>
      <w:r>
        <w:tab/>
      </w:r>
      <w:r>
        <w:tab/>
        <w:t>Indicatore di impatto</w:t>
      </w:r>
    </w:p>
    <w:p w:rsidR="008F4B89" w:rsidRPr="00FB6C06" w:rsidRDefault="008F4B89" w:rsidP="00FE491B">
      <w:pPr>
        <w:pStyle w:val="HStandard"/>
        <w:ind w:left="993" w:hanging="993"/>
      </w:pPr>
      <w:r>
        <w:t>IAA</w:t>
      </w:r>
      <w:r>
        <w:tab/>
      </w:r>
      <w:r>
        <w:tab/>
        <w:t>Indicatori agro-ambientali</w:t>
      </w:r>
    </w:p>
    <w:p w:rsidR="008F4B89" w:rsidRPr="001C6ACF" w:rsidRDefault="008F4B89" w:rsidP="00FE491B">
      <w:pPr>
        <w:pStyle w:val="HStandard"/>
        <w:ind w:left="993" w:hanging="993"/>
      </w:pPr>
      <w:r>
        <w:t>ICC</w:t>
      </w:r>
      <w:r>
        <w:tab/>
      </w:r>
      <w:r>
        <w:tab/>
        <w:t>Indicatori comuni di contesto</w:t>
      </w:r>
    </w:p>
    <w:p w:rsidR="008F4B89" w:rsidRPr="001C6ACF" w:rsidRDefault="008F4B89" w:rsidP="00FE491B">
      <w:pPr>
        <w:pStyle w:val="HStandard"/>
        <w:ind w:left="993" w:hanging="993"/>
      </w:pPr>
      <w:r>
        <w:t>IMPA</w:t>
      </w:r>
      <w:r>
        <w:tab/>
      </w:r>
      <w:r>
        <w:tab/>
        <w:t>Indagine sui metodi di produzione agricola</w:t>
      </w:r>
    </w:p>
    <w:p w:rsidR="008F4B89" w:rsidRPr="001C6ACF" w:rsidRDefault="008F4B89" w:rsidP="00FE491B">
      <w:pPr>
        <w:pStyle w:val="HStandard"/>
        <w:ind w:left="993" w:hanging="993"/>
      </w:pPr>
      <w:r>
        <w:t>IO</w:t>
      </w:r>
      <w:r>
        <w:tab/>
      </w:r>
      <w:r>
        <w:tab/>
        <w:t>(Analisi) input-output</w:t>
      </w:r>
    </w:p>
    <w:p w:rsidR="008F4B89" w:rsidRPr="001C6ACF" w:rsidRDefault="008F4B89" w:rsidP="00FE491B">
      <w:pPr>
        <w:pStyle w:val="HStandard"/>
        <w:ind w:left="993" w:hanging="993"/>
      </w:pPr>
      <w:r>
        <w:t>IPPC</w:t>
      </w:r>
      <w:r>
        <w:tab/>
      </w:r>
      <w:r>
        <w:tab/>
        <w:t>Prevenzione e riduzione integrate dell</w:t>
      </w:r>
      <w:r w:rsidR="00C36C9E">
        <w:t>'</w:t>
      </w:r>
      <w:r>
        <w:t>inquinamento</w:t>
      </w:r>
    </w:p>
    <w:p w:rsidR="008F4B89" w:rsidRPr="001C6ACF" w:rsidRDefault="008F4B89" w:rsidP="00FE491B">
      <w:pPr>
        <w:pStyle w:val="HStandard"/>
        <w:ind w:left="993" w:hanging="993"/>
      </w:pPr>
      <w:r>
        <w:t>JRC</w:t>
      </w:r>
      <w:r>
        <w:tab/>
      </w:r>
      <w:r>
        <w:tab/>
        <w:t>Centro comune di ricerca</w:t>
      </w:r>
    </w:p>
    <w:p w:rsidR="008F4B89" w:rsidRPr="00482ABA" w:rsidRDefault="008F4B89" w:rsidP="00FE491B">
      <w:pPr>
        <w:pStyle w:val="HStandard"/>
        <w:ind w:left="993" w:hanging="993"/>
      </w:pPr>
      <w:r>
        <w:t>LI</w:t>
      </w:r>
      <w:r>
        <w:tab/>
      </w:r>
      <w:r>
        <w:tab/>
        <w:t>Logica di intervento</w:t>
      </w:r>
    </w:p>
    <w:p w:rsidR="008F4B89" w:rsidRPr="001C6ACF" w:rsidRDefault="008F4B89" w:rsidP="00FE491B">
      <w:pPr>
        <w:pStyle w:val="HStandard"/>
        <w:ind w:left="993" w:hanging="993"/>
      </w:pPr>
      <w:r>
        <w:t>LUCAS</w:t>
      </w:r>
      <w:r>
        <w:tab/>
      </w:r>
      <w:r>
        <w:tab/>
        <w:t>Indagine statistica areale per campione sull</w:t>
      </w:r>
      <w:r w:rsidR="00C36C9E">
        <w:t>'</w:t>
      </w:r>
      <w:r>
        <w:t>uso/l</w:t>
      </w:r>
      <w:r w:rsidR="00C36C9E">
        <w:t>'</w:t>
      </w:r>
      <w:r>
        <w:t>occupazione dei suoli</w:t>
      </w:r>
    </w:p>
    <w:p w:rsidR="008F4B89" w:rsidRPr="001C6ACF" w:rsidRDefault="008F4B89" w:rsidP="00FE491B">
      <w:pPr>
        <w:pStyle w:val="HStandard"/>
        <w:ind w:left="993" w:hanging="993"/>
      </w:pPr>
      <w:r>
        <w:t>LULUCF</w:t>
      </w:r>
      <w:r>
        <w:tab/>
      </w:r>
      <w:r>
        <w:tab/>
        <w:t>Uso del suolo, cambiamenti di uso del suolo e silvicoltura</w:t>
      </w:r>
    </w:p>
    <w:p w:rsidR="008F4B89" w:rsidRPr="001C6ACF" w:rsidRDefault="008F4B89" w:rsidP="00FE491B">
      <w:pPr>
        <w:pStyle w:val="HStandard"/>
        <w:ind w:left="993" w:hanging="993"/>
      </w:pPr>
      <w:r>
        <w:t>M</w:t>
      </w:r>
      <w:r>
        <w:tab/>
      </w:r>
      <w:r>
        <w:tab/>
        <w:t xml:space="preserve">Misura </w:t>
      </w:r>
    </w:p>
    <w:p w:rsidR="008F4B89" w:rsidRPr="001C6ACF" w:rsidRDefault="008F4B89" w:rsidP="00FE491B">
      <w:pPr>
        <w:pStyle w:val="HStandard"/>
        <w:ind w:left="993" w:hanging="993"/>
      </w:pPr>
      <w:r>
        <w:t>MCS</w:t>
      </w:r>
      <w:r>
        <w:tab/>
      </w:r>
      <w:r>
        <w:tab/>
        <w:t>Matrice di contabilità sociale</w:t>
      </w:r>
    </w:p>
    <w:p w:rsidR="008F4B89" w:rsidRPr="00FB5A40" w:rsidRDefault="008F4B89" w:rsidP="00FE491B">
      <w:pPr>
        <w:pStyle w:val="HStandard"/>
        <w:ind w:left="993" w:hanging="993"/>
      </w:pPr>
      <w:r>
        <w:t>MOS</w:t>
      </w:r>
      <w:r>
        <w:tab/>
      </w:r>
      <w:r>
        <w:tab/>
        <w:t xml:space="preserve">Materia organica del suolo </w:t>
      </w:r>
    </w:p>
    <w:p w:rsidR="008F4B89" w:rsidRPr="001C6ACF" w:rsidRDefault="008F4B89" w:rsidP="00FE491B">
      <w:pPr>
        <w:pStyle w:val="HStandard"/>
        <w:ind w:left="993" w:hanging="993"/>
      </w:pPr>
      <w:r>
        <w:t>MVIPP</w:t>
      </w:r>
      <w:r>
        <w:tab/>
      </w:r>
      <w:r>
        <w:tab/>
        <w:t>Metodo per la valutazione di impatto di programmi e progetti</w:t>
      </w:r>
    </w:p>
    <w:p w:rsidR="008F4B89" w:rsidRPr="001C6ACF" w:rsidRDefault="008F4B89" w:rsidP="00FE491B">
      <w:pPr>
        <w:pStyle w:val="HStandard"/>
        <w:ind w:left="993" w:hanging="993"/>
      </w:pPr>
      <w:r>
        <w:t>NUTS</w:t>
      </w:r>
      <w:r>
        <w:tab/>
      </w:r>
      <w:r>
        <w:tab/>
        <w:t>Classificazione comune delle unità territoriali per la statistica</w:t>
      </w:r>
      <w:r>
        <w:tab/>
      </w:r>
    </w:p>
    <w:p w:rsidR="008F4B89" w:rsidRPr="001C6ACF" w:rsidRDefault="008F4B89" w:rsidP="00FE491B">
      <w:pPr>
        <w:pStyle w:val="HStandard"/>
        <w:ind w:left="993" w:hanging="993"/>
      </w:pPr>
      <w:r>
        <w:t>ONG</w:t>
      </w:r>
      <w:r>
        <w:tab/>
      </w:r>
      <w:r>
        <w:tab/>
        <w:t>Organizzazione non governativa</w:t>
      </w:r>
    </w:p>
    <w:p w:rsidR="008F4B89" w:rsidRPr="001C6ACF" w:rsidRDefault="008F4B89" w:rsidP="00FE491B">
      <w:pPr>
        <w:pStyle w:val="HStandard"/>
        <w:ind w:left="993" w:hanging="993"/>
      </w:pPr>
      <w:r>
        <w:t>OP</w:t>
      </w:r>
      <w:r>
        <w:tab/>
      </w:r>
      <w:r>
        <w:tab/>
        <w:t>Organismo pagatore</w:t>
      </w:r>
    </w:p>
    <w:p w:rsidR="008F4B89" w:rsidRPr="001C6ACF" w:rsidRDefault="008F4B89" w:rsidP="00FE491B">
      <w:pPr>
        <w:pStyle w:val="HStandard"/>
        <w:ind w:left="993" w:hanging="993"/>
      </w:pPr>
      <w:r>
        <w:t>PAA</w:t>
      </w:r>
      <w:r>
        <w:tab/>
      </w:r>
      <w:r>
        <w:tab/>
        <w:t>Programma d</w:t>
      </w:r>
      <w:r w:rsidR="00C36C9E">
        <w:t>'</w:t>
      </w:r>
      <w:r>
        <w:t>azione per l</w:t>
      </w:r>
      <w:r w:rsidR="00C36C9E">
        <w:t>'</w:t>
      </w:r>
      <w:r>
        <w:t>ambiente</w:t>
      </w:r>
    </w:p>
    <w:p w:rsidR="008F4B89" w:rsidRPr="001C6ACF" w:rsidRDefault="008F4B89" w:rsidP="00FE491B">
      <w:pPr>
        <w:pStyle w:val="HStandard"/>
        <w:ind w:left="993" w:hanging="993"/>
      </w:pPr>
      <w:r>
        <w:t>PAC</w:t>
      </w:r>
      <w:r>
        <w:tab/>
      </w:r>
      <w:r>
        <w:tab/>
        <w:t xml:space="preserve">Politica agricola comune </w:t>
      </w:r>
    </w:p>
    <w:p w:rsidR="008F4B89" w:rsidRPr="001C6ACF" w:rsidRDefault="008F4B89" w:rsidP="00FE491B">
      <w:pPr>
        <w:pStyle w:val="HStandard"/>
        <w:ind w:left="993" w:hanging="993"/>
      </w:pPr>
      <w:r>
        <w:t>PEI</w:t>
      </w:r>
      <w:r>
        <w:tab/>
      </w:r>
      <w:r>
        <w:tab/>
        <w:t>Partenariato europeo per l</w:t>
      </w:r>
      <w:r w:rsidR="00C36C9E">
        <w:t>'</w:t>
      </w:r>
      <w:r>
        <w:t>innovazione</w:t>
      </w:r>
    </w:p>
    <w:p w:rsidR="008F4B89" w:rsidRPr="001C6ACF" w:rsidRDefault="008F4B89" w:rsidP="00FE491B">
      <w:pPr>
        <w:pStyle w:val="HStandard"/>
        <w:ind w:left="993" w:hanging="993"/>
      </w:pPr>
      <w:r>
        <w:t>PIL</w:t>
      </w:r>
      <w:r>
        <w:tab/>
      </w:r>
      <w:r>
        <w:tab/>
        <w:t xml:space="preserve">Prodotto interno lordo </w:t>
      </w:r>
    </w:p>
    <w:p w:rsidR="008F4B89" w:rsidRPr="00275ADF" w:rsidRDefault="008F4B89" w:rsidP="00FE491B">
      <w:pPr>
        <w:pStyle w:val="HStandard"/>
        <w:ind w:left="993" w:hanging="993"/>
      </w:pPr>
      <w:r>
        <w:t>PSM</w:t>
      </w:r>
      <w:r>
        <w:tab/>
      </w:r>
      <w:r>
        <w:tab/>
      </w:r>
      <w:r w:rsidRPr="00981EF4">
        <w:rPr>
          <w:i/>
        </w:rPr>
        <w:t>Propensity Score Matching</w:t>
      </w:r>
      <w:r w:rsidR="00275ADF">
        <w:t xml:space="preserve"> (Incrocio di dati sulla propensione)</w:t>
      </w:r>
    </w:p>
    <w:p w:rsidR="008F4B89" w:rsidRPr="001C6ACF" w:rsidRDefault="008F4B89" w:rsidP="00FE491B">
      <w:pPr>
        <w:pStyle w:val="HStandard"/>
        <w:ind w:left="993" w:hanging="993"/>
      </w:pPr>
      <w:r>
        <w:t>PSR</w:t>
      </w:r>
      <w:r>
        <w:tab/>
      </w:r>
      <w:r>
        <w:tab/>
        <w:t>Programma di sviluppo rurale</w:t>
      </w:r>
    </w:p>
    <w:p w:rsidR="008F4B89" w:rsidRPr="001C6ACF" w:rsidRDefault="008F4B89" w:rsidP="00FE491B">
      <w:pPr>
        <w:pStyle w:val="HStandard"/>
        <w:ind w:left="993" w:hanging="993"/>
      </w:pPr>
      <w:r>
        <w:t>PTF</w:t>
      </w:r>
      <w:r>
        <w:tab/>
      </w:r>
      <w:r>
        <w:tab/>
        <w:t>Produttività totale dei fattori</w:t>
      </w:r>
    </w:p>
    <w:p w:rsidR="008F4B89" w:rsidRPr="001C6ACF" w:rsidRDefault="008F4B89" w:rsidP="00FE491B">
      <w:pPr>
        <w:pStyle w:val="HStandard"/>
        <w:ind w:left="993" w:hanging="993"/>
      </w:pPr>
      <w:r>
        <w:t>QVC</w:t>
      </w:r>
      <w:r>
        <w:tab/>
      </w:r>
      <w:r>
        <w:tab/>
        <w:t>Questionario valutativo comune</w:t>
      </w:r>
    </w:p>
    <w:p w:rsidR="008F4B89" w:rsidRPr="001C6ACF" w:rsidRDefault="008F4B89" w:rsidP="00FE491B">
      <w:pPr>
        <w:pStyle w:val="HStandard"/>
        <w:ind w:left="993" w:hanging="993"/>
      </w:pPr>
      <w:r>
        <w:t>R</w:t>
      </w:r>
      <w:r>
        <w:tab/>
      </w:r>
      <w:r>
        <w:tab/>
        <w:t>Indicatori di risultato</w:t>
      </w:r>
    </w:p>
    <w:p w:rsidR="008F4B89" w:rsidRPr="001C6ACF" w:rsidRDefault="008F4B89" w:rsidP="00FE491B">
      <w:pPr>
        <w:pStyle w:val="HStandard"/>
        <w:ind w:left="993" w:hanging="993"/>
      </w:pPr>
      <w:r>
        <w:t>RAE</w:t>
      </w:r>
      <w:r>
        <w:tab/>
      </w:r>
      <w:r>
        <w:tab/>
        <w:t xml:space="preserve">Relazione annuale </w:t>
      </w:r>
      <w:r w:rsidR="004A1FA1">
        <w:t>di esecuzione</w:t>
      </w:r>
    </w:p>
    <w:p w:rsidR="008F4B89" w:rsidRPr="007645B4" w:rsidRDefault="008F4B89" w:rsidP="00FE491B">
      <w:pPr>
        <w:pStyle w:val="HStandard"/>
        <w:ind w:left="993" w:hanging="993"/>
      </w:pPr>
      <w:r>
        <w:t>RFA</w:t>
      </w:r>
      <w:r>
        <w:tab/>
      </w:r>
      <w:r>
        <w:tab/>
        <w:t>Reddito dei fattori in agricoltura</w:t>
      </w:r>
    </w:p>
    <w:p w:rsidR="008F4B89" w:rsidRPr="00336531" w:rsidRDefault="008F4B89" w:rsidP="00FE491B">
      <w:pPr>
        <w:pStyle w:val="HStandard"/>
        <w:ind w:left="993" w:hanging="993"/>
      </w:pPr>
      <w:r>
        <w:t>RIA</w:t>
      </w:r>
      <w:r>
        <w:tab/>
      </w:r>
      <w:r>
        <w:tab/>
        <w:t>Reddito da impresa agricola</w:t>
      </w:r>
    </w:p>
    <w:p w:rsidR="008F4B89" w:rsidRPr="001C6ACF" w:rsidRDefault="008F4B89" w:rsidP="00FE491B">
      <w:pPr>
        <w:pStyle w:val="HStandard"/>
        <w:ind w:left="993" w:hanging="993"/>
      </w:pPr>
      <w:r>
        <w:t>RICA</w:t>
      </w:r>
      <w:r>
        <w:tab/>
      </w:r>
      <w:r>
        <w:tab/>
        <w:t>Rete d</w:t>
      </w:r>
      <w:r w:rsidR="00C36C9E">
        <w:t>'</w:t>
      </w:r>
      <w:r>
        <w:t>informazione contabile agricola</w:t>
      </w:r>
    </w:p>
    <w:p w:rsidR="008F4B89" w:rsidRPr="001C6ACF" w:rsidRDefault="008F4B89" w:rsidP="00FE491B">
      <w:pPr>
        <w:pStyle w:val="HStandard"/>
        <w:ind w:left="993" w:hanging="993"/>
      </w:pPr>
      <w:r>
        <w:t>RRN</w:t>
      </w:r>
      <w:r>
        <w:tab/>
      </w:r>
      <w:r>
        <w:tab/>
        <w:t>Rete rurale nazionale</w:t>
      </w:r>
    </w:p>
    <w:p w:rsidR="008F4B89" w:rsidRPr="001C6ACF" w:rsidRDefault="008F4B89" w:rsidP="00FE491B">
      <w:pPr>
        <w:pStyle w:val="HStandard"/>
        <w:ind w:left="993" w:hanging="993"/>
      </w:pPr>
      <w:r>
        <w:t>RUSLE</w:t>
      </w:r>
      <w:r>
        <w:tab/>
      </w:r>
      <w:r>
        <w:tab/>
        <w:t>Equazione universale rivista per la perdita del suolo</w:t>
      </w:r>
    </w:p>
    <w:p w:rsidR="008F4B89" w:rsidRPr="001C6ACF" w:rsidRDefault="008F4B89" w:rsidP="00FE491B">
      <w:pPr>
        <w:pStyle w:val="HStandard"/>
        <w:ind w:left="993" w:hanging="993"/>
      </w:pPr>
      <w:r>
        <w:t>SAU</w:t>
      </w:r>
      <w:r>
        <w:tab/>
      </w:r>
      <w:r>
        <w:tab/>
        <w:t>Superficie agricola utilizzata</w:t>
      </w:r>
    </w:p>
    <w:p w:rsidR="008F4B89" w:rsidRPr="001C6ACF" w:rsidRDefault="008F4B89" w:rsidP="00FE491B">
      <w:pPr>
        <w:pStyle w:val="HStandard"/>
        <w:ind w:left="993" w:hanging="993"/>
      </w:pPr>
      <w:r>
        <w:lastRenderedPageBreak/>
        <w:t>SCMV</w:t>
      </w:r>
      <w:r>
        <w:tab/>
      </w:r>
      <w:r>
        <w:tab/>
        <w:t>Sistema comune di monitoraggio e valutazione</w:t>
      </w:r>
    </w:p>
    <w:p w:rsidR="008F4B89" w:rsidRPr="001C6ACF" w:rsidRDefault="008F4B89" w:rsidP="00FE491B">
      <w:pPr>
        <w:pStyle w:val="HStandard"/>
        <w:ind w:left="993" w:hanging="993"/>
      </w:pPr>
      <w:r>
        <w:t>SEBI</w:t>
      </w:r>
      <w:r>
        <w:tab/>
      </w:r>
      <w:r>
        <w:tab/>
        <w:t>Razionalizzazione degli indicatori europei della biodiversità</w:t>
      </w:r>
    </w:p>
    <w:p w:rsidR="008F4B89" w:rsidRPr="001C6ACF" w:rsidRDefault="008F4B89" w:rsidP="00FE491B">
      <w:pPr>
        <w:pStyle w:val="HStandard"/>
        <w:ind w:left="993" w:hanging="993"/>
      </w:pPr>
      <w:r>
        <w:t>SFC</w:t>
      </w:r>
      <w:r>
        <w:tab/>
      </w:r>
      <w:r>
        <w:tab/>
        <w:t>Sistema comune di gestione dei fondi condivisi</w:t>
      </w:r>
    </w:p>
    <w:p w:rsidR="008F4B89" w:rsidRPr="001C6ACF" w:rsidRDefault="008F4B89" w:rsidP="00FE491B">
      <w:pPr>
        <w:pStyle w:val="HStandard"/>
        <w:ind w:left="993" w:hanging="993"/>
      </w:pPr>
      <w:r>
        <w:t>SIG</w:t>
      </w:r>
      <w:r>
        <w:tab/>
      </w:r>
      <w:r>
        <w:tab/>
        <w:t>Sistema di informazione geografica</w:t>
      </w:r>
    </w:p>
    <w:p w:rsidR="008F4B89" w:rsidRPr="001C6ACF" w:rsidRDefault="008F4B89" w:rsidP="00FE491B">
      <w:pPr>
        <w:pStyle w:val="HStandard"/>
        <w:ind w:left="993" w:hanging="993"/>
      </w:pPr>
      <w:r>
        <w:t>SIGC</w:t>
      </w:r>
      <w:r>
        <w:tab/>
      </w:r>
      <w:r>
        <w:tab/>
        <w:t>Sistema integrato di gestione e di controllo</w:t>
      </w:r>
    </w:p>
    <w:p w:rsidR="008F4B89" w:rsidRPr="001C6ACF" w:rsidRDefault="008F4B89" w:rsidP="00FE491B">
      <w:pPr>
        <w:pStyle w:val="HStandard"/>
        <w:ind w:left="993" w:hanging="993"/>
      </w:pPr>
      <w:r>
        <w:t>SIPA</w:t>
      </w:r>
      <w:r>
        <w:tab/>
      </w:r>
      <w:r>
        <w:tab/>
        <w:t>Sistema di identificazione della parcelle agricole</w:t>
      </w:r>
    </w:p>
    <w:p w:rsidR="008F4B89" w:rsidRPr="001C6ACF" w:rsidRDefault="008F4B89" w:rsidP="00FE491B">
      <w:pPr>
        <w:pStyle w:val="HStandard"/>
        <w:ind w:left="993" w:hanging="993"/>
      </w:pPr>
      <w:r>
        <w:t>SM</w:t>
      </w:r>
      <w:r>
        <w:tab/>
      </w:r>
      <w:r>
        <w:tab/>
        <w:t>Stato membro</w:t>
      </w:r>
    </w:p>
    <w:p w:rsidR="008F4B89" w:rsidRPr="001C6ACF" w:rsidRDefault="008F4B89" w:rsidP="00FE491B">
      <w:pPr>
        <w:pStyle w:val="HStandard"/>
        <w:ind w:left="993" w:hanging="993"/>
      </w:pPr>
      <w:r>
        <w:t>SWOT</w:t>
      </w:r>
      <w:r>
        <w:tab/>
      </w:r>
      <w:r>
        <w:tab/>
        <w:t>Punti di forza, punti deboli, opportunità e sfide</w:t>
      </w:r>
    </w:p>
    <w:p w:rsidR="008F4B89" w:rsidRPr="001C6ACF" w:rsidRDefault="008F4B89" w:rsidP="00FE491B">
      <w:pPr>
        <w:pStyle w:val="HStandard"/>
        <w:ind w:left="993" w:hanging="993"/>
      </w:pPr>
      <w:r>
        <w:t>T</w:t>
      </w:r>
      <w:r>
        <w:tab/>
      </w:r>
      <w:r>
        <w:tab/>
        <w:t>Indicatore di obiettivo</w:t>
      </w:r>
    </w:p>
    <w:p w:rsidR="008F4B89" w:rsidRPr="001C6ACF" w:rsidRDefault="008F4B89" w:rsidP="00FE491B">
      <w:pPr>
        <w:pStyle w:val="HStandard"/>
        <w:ind w:left="993" w:hanging="993"/>
      </w:pPr>
      <w:r>
        <w:t>TdR</w:t>
      </w:r>
      <w:r>
        <w:tab/>
      </w:r>
      <w:r>
        <w:tab/>
        <w:t>Termini di riferimento</w:t>
      </w:r>
    </w:p>
    <w:p w:rsidR="008F4B89" w:rsidRPr="00482ABA" w:rsidRDefault="008F4B89" w:rsidP="00FE491B">
      <w:pPr>
        <w:pStyle w:val="HStandard"/>
        <w:ind w:left="993" w:hanging="993"/>
      </w:pPr>
      <w:r>
        <w:t xml:space="preserve">TIC </w:t>
      </w:r>
      <w:r>
        <w:tab/>
      </w:r>
      <w:r>
        <w:tab/>
        <w:t>Tecnologie dell</w:t>
      </w:r>
      <w:r w:rsidR="00C36C9E">
        <w:t>'</w:t>
      </w:r>
      <w:r>
        <w:t xml:space="preserve">informazione </w:t>
      </w:r>
      <w:r w:rsidR="00595BD3">
        <w:t xml:space="preserve">e </w:t>
      </w:r>
      <w:r>
        <w:t>della comunicazione</w:t>
      </w:r>
    </w:p>
    <w:p w:rsidR="008F4B89" w:rsidRPr="001C6ACF" w:rsidRDefault="008F4B89" w:rsidP="00FE491B">
      <w:pPr>
        <w:pStyle w:val="HStandard"/>
        <w:ind w:left="993" w:hanging="993"/>
      </w:pPr>
      <w:r>
        <w:t>UAA</w:t>
      </w:r>
      <w:r>
        <w:tab/>
      </w:r>
      <w:r>
        <w:tab/>
        <w:t>Unità amministrativa agricola</w:t>
      </w:r>
    </w:p>
    <w:p w:rsidR="008F4B89" w:rsidRPr="001C6ACF" w:rsidRDefault="008F4B89" w:rsidP="00FE491B">
      <w:pPr>
        <w:pStyle w:val="HStandard"/>
        <w:ind w:left="993" w:hanging="993"/>
      </w:pPr>
      <w:r>
        <w:t>UB</w:t>
      </w:r>
      <w:r>
        <w:tab/>
      </w:r>
      <w:r>
        <w:tab/>
        <w:t>Unità di bovino</w:t>
      </w:r>
    </w:p>
    <w:p w:rsidR="008F4B89" w:rsidRPr="001C6ACF" w:rsidRDefault="008F4B89" w:rsidP="00FE491B">
      <w:pPr>
        <w:pStyle w:val="HStandard"/>
        <w:ind w:left="993" w:hanging="993"/>
      </w:pPr>
      <w:r>
        <w:t>UE</w:t>
      </w:r>
      <w:r>
        <w:tab/>
      </w:r>
      <w:r>
        <w:tab/>
        <w:t>Unione europea</w:t>
      </w:r>
    </w:p>
    <w:p w:rsidR="008F4B89" w:rsidRPr="001C6ACF" w:rsidRDefault="008F4B89" w:rsidP="00FE491B">
      <w:pPr>
        <w:pStyle w:val="HStandard"/>
        <w:ind w:left="993" w:hanging="993"/>
      </w:pPr>
      <w:r>
        <w:t>ULA</w:t>
      </w:r>
      <w:r>
        <w:tab/>
      </w:r>
      <w:r>
        <w:tab/>
        <w:t>Unità di lavoro-anno</w:t>
      </w:r>
    </w:p>
    <w:p w:rsidR="008F4B89" w:rsidRPr="001C6ACF" w:rsidRDefault="008F4B89" w:rsidP="00FE491B">
      <w:pPr>
        <w:pStyle w:val="HStandard"/>
        <w:ind w:left="993" w:hanging="993"/>
      </w:pPr>
      <w:r>
        <w:t>ULF</w:t>
      </w:r>
      <w:r>
        <w:tab/>
      </w:r>
      <w:r>
        <w:tab/>
        <w:t xml:space="preserve">Unità lavorativa familiare </w:t>
      </w:r>
    </w:p>
    <w:p w:rsidR="008F4B89" w:rsidRPr="001C6ACF" w:rsidRDefault="008F4B89" w:rsidP="00FE491B">
      <w:pPr>
        <w:pStyle w:val="HStandard"/>
        <w:ind w:left="993" w:hanging="993"/>
      </w:pPr>
      <w:r>
        <w:t>UVa</w:t>
      </w:r>
      <w:r>
        <w:tab/>
      </w:r>
      <w:r>
        <w:tab/>
        <w:t>Unità di valutazione</w:t>
      </w:r>
    </w:p>
    <w:p w:rsidR="008F4B89" w:rsidRPr="001C6ACF" w:rsidRDefault="008F4B89" w:rsidP="00FE491B">
      <w:pPr>
        <w:pStyle w:val="HStandard"/>
        <w:ind w:left="993" w:hanging="993"/>
      </w:pPr>
      <w:r>
        <w:t>Va</w:t>
      </w:r>
      <w:r>
        <w:tab/>
      </w:r>
      <w:r>
        <w:tab/>
        <w:t>Valutatore</w:t>
      </w:r>
    </w:p>
    <w:p w:rsidR="008F4B89" w:rsidRPr="001C6ACF" w:rsidRDefault="008F4B89" w:rsidP="00FE491B">
      <w:pPr>
        <w:pStyle w:val="HStandard"/>
        <w:ind w:left="993" w:hanging="993"/>
      </w:pPr>
      <w:r>
        <w:t>VBT</w:t>
      </w:r>
      <w:r>
        <w:tab/>
      </w:r>
      <w:r>
        <w:tab/>
        <w:t>Valutazione basata sulla teoria</w:t>
      </w:r>
    </w:p>
    <w:p w:rsidR="008F4B89" w:rsidRPr="00FB5A40" w:rsidRDefault="008F4B89" w:rsidP="00FE491B">
      <w:pPr>
        <w:pStyle w:val="HStandard"/>
        <w:ind w:left="993" w:hanging="993"/>
      </w:pPr>
      <w:r>
        <w:t>VS</w:t>
      </w:r>
      <w:r>
        <w:tab/>
      </w:r>
      <w:r>
        <w:tab/>
        <w:t>Variabili strumentali</w:t>
      </w:r>
    </w:p>
    <w:p w:rsidR="008F4B89" w:rsidRPr="001C6ACF" w:rsidRDefault="008F4B89" w:rsidP="00FE491B">
      <w:pPr>
        <w:pStyle w:val="HStandard"/>
        <w:ind w:left="993" w:hanging="993"/>
      </w:pPr>
      <w:r>
        <w:t>ZVN</w:t>
      </w:r>
      <w:r>
        <w:tab/>
      </w:r>
      <w:r>
        <w:tab/>
        <w:t>Zone soggette a vincoli naturali</w:t>
      </w:r>
    </w:p>
    <w:p w:rsidR="00D32538" w:rsidRPr="001C6ACF" w:rsidRDefault="00D32538" w:rsidP="0095356C">
      <w:pPr>
        <w:pStyle w:val="HStandard"/>
        <w:ind w:left="993" w:hanging="993"/>
        <w:sectPr w:rsidR="00D32538" w:rsidRPr="001C6ACF"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Ringraziamenti</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Le presenti linee guida sono state elaborate da un gruppo internazionale di esperti di valutazione dello sviluppo rurale che comprende Jerzy Michalek (impatti settoriali), Demetrios Psaltopoulos (impatti socio-economici), Marili Parisaki (metodi qualitativi), Tomáš Ratinger (impatti settoriali), Gerald Schwarz (impatti ambientali), Dimitris Skuras (impatti ambientali), Darko Znaor (impatti ambientali). Il gruppo di lavoro tematico ad esso correlato è stato coordinato dall</w:t>
      </w:r>
      <w:r w:rsidR="00C36C9E">
        <w:rPr>
          <w:i/>
          <w:color w:val="373737" w:themeColor="text1"/>
          <w:sz w:val="20"/>
        </w:rPr>
        <w:t>'</w:t>
      </w:r>
      <w:r>
        <w:rPr>
          <w:i/>
          <w:color w:val="373737" w:themeColor="text1"/>
          <w:sz w:val="20"/>
        </w:rPr>
        <w:t>Helpdesk di valutazione sotto la guida di Jela Tvrdonova e Hannes Wimmer. Valérie Dumont, Myles Stiffler, Matteo Metta, Valdis Kudins e Harriet Mackaill-Hill hanno sostenuto il lavoro di elaborazione e garantito la qualità e l</w:t>
      </w:r>
      <w:r w:rsidR="00C36C9E">
        <w:rPr>
          <w:i/>
          <w:color w:val="373737" w:themeColor="text1"/>
          <w:sz w:val="20"/>
        </w:rPr>
        <w:t>'</w:t>
      </w:r>
      <w:r>
        <w:rPr>
          <w:i/>
          <w:color w:val="373737" w:themeColor="text1"/>
          <w:sz w:val="20"/>
        </w:rPr>
        <w:t xml:space="preserve">estetica della versione finale delle linee guida. </w:t>
      </w:r>
    </w:p>
    <w:p w:rsidR="00EB120C" w:rsidRPr="001C6ACF" w:rsidRDefault="00EB120C" w:rsidP="00EB120C">
      <w:pPr>
        <w:spacing w:after="120" w:line="280" w:lineRule="atLeast"/>
        <w:rPr>
          <w:i/>
          <w:iCs/>
          <w:color w:val="373737" w:themeColor="text1"/>
          <w:sz w:val="20"/>
          <w:szCs w:val="20"/>
        </w:rPr>
      </w:pPr>
      <w:r>
        <w:rPr>
          <w:i/>
          <w:color w:val="373737" w:themeColor="text1"/>
          <w:sz w:val="20"/>
        </w:rPr>
        <w:t>Vari esperti hanno svolto la funzione di revisori inter pares (Rolf Bergs, Kit Macleod, Žymantas Morkvėnas). Rappresentanti della DG Agricoltura e sviluppo rurale hanno garantito la coerenza delle linee guida con il quadro politico dell</w:t>
      </w:r>
      <w:r w:rsidR="00C36C9E">
        <w:rPr>
          <w:i/>
          <w:color w:val="373737" w:themeColor="text1"/>
          <w:sz w:val="20"/>
        </w:rPr>
        <w:t>'</w:t>
      </w:r>
      <w:r>
        <w:rPr>
          <w:i/>
          <w:color w:val="373737" w:themeColor="text1"/>
          <w:sz w:val="20"/>
        </w:rPr>
        <w:t>UE.</w:t>
      </w:r>
    </w:p>
    <w:p w:rsidR="006F7D30" w:rsidRPr="001C6ACF" w:rsidRDefault="00EB120C" w:rsidP="00EB120C">
      <w:pPr>
        <w:pStyle w:val="HStandard"/>
      </w:pPr>
      <w:r>
        <w:rPr>
          <w:i/>
        </w:rPr>
        <w:t>Rappresentanti degli Stati membri hanno fornito commenti sulle versioni in bozza delle linee guida durante la consultazione del gruppo dei principali soggetti interessati in gennaio e aprile 2018. I membri del gruppo di esperti sul monitoraggio e la valutazione della PAC hanno fornito commenti sulla bozza finale nel giugno 2018. </w:t>
      </w:r>
    </w:p>
    <w:p w:rsidR="00860B72" w:rsidRPr="001C6ACF" w:rsidRDefault="00860B72" w:rsidP="000B2A17">
      <w:pPr>
        <w:pStyle w:val="HStandard"/>
      </w:pPr>
    </w:p>
    <w:p w:rsidR="008E728A" w:rsidRPr="001C6ACF" w:rsidRDefault="008549B5" w:rsidP="00194D3D">
      <w:pPr>
        <w:pStyle w:val="HHeading1"/>
        <w:numPr>
          <w:ilvl w:val="0"/>
          <w:numId w:val="0"/>
        </w:numPr>
        <w:spacing w:before="0"/>
        <w:rPr>
          <w:sz w:val="28"/>
        </w:rPr>
      </w:pPr>
      <w:r>
        <w:rPr>
          <w:sz w:val="28"/>
        </w:rPr>
        <w:lastRenderedPageBreak/>
        <w:t>INTRODUZIONE</w:t>
      </w:r>
    </w:p>
    <w:p w:rsidR="00CD63F6" w:rsidRPr="001C6ACF" w:rsidRDefault="00CD63F6" w:rsidP="00CD63F6">
      <w:pPr>
        <w:pStyle w:val="HHeading4"/>
      </w:pPr>
      <w:r>
        <w:t>Importanza della valutazione</w:t>
      </w:r>
    </w:p>
    <w:p w:rsidR="00CD63F6" w:rsidRPr="001C6ACF" w:rsidRDefault="00CD63F6" w:rsidP="00CD63F6">
      <w:pPr>
        <w:pStyle w:val="HStandard"/>
      </w:pPr>
      <w:r>
        <w:t>I fondi strutturali e d</w:t>
      </w:r>
      <w:r w:rsidR="00C36C9E">
        <w:t>'</w:t>
      </w:r>
      <w:r>
        <w:t xml:space="preserve">investimento europei (fondi SIE) sono importanti </w:t>
      </w:r>
      <w:r>
        <w:rPr>
          <w:b/>
        </w:rPr>
        <w:t>strumenti pubblici</w:t>
      </w:r>
      <w:r>
        <w:t xml:space="preserve"> finalizzati a sostenere le azioni correlate alle principali priorità dell</w:t>
      </w:r>
      <w:r w:rsidR="00C36C9E">
        <w:t>'</w:t>
      </w:r>
      <w:r>
        <w:t>Unione, realizzate mediante programmi pluriennali negli Stati membri e nelle regioni. Pertanto, è nell</w:t>
      </w:r>
      <w:r w:rsidR="00C36C9E">
        <w:t>'</w:t>
      </w:r>
      <w:r>
        <w:t>interesse dei decisori politici e dei cittadini sapere se i soldi sono spesi in modo responsabile e ottengono i risultati attesi e se gli interventi sono diretti ai beneficiari giusti per conseguire gli obiettivi politici dell</w:t>
      </w:r>
      <w:r w:rsidR="00C36C9E">
        <w:t>'</w:t>
      </w:r>
      <w:r>
        <w:t xml:space="preserve">UE. </w:t>
      </w:r>
    </w:p>
    <w:p w:rsidR="00CD63F6" w:rsidRPr="001C6ACF" w:rsidRDefault="00CD63F6" w:rsidP="00CC00DA">
      <w:pPr>
        <w:pStyle w:val="HStandard"/>
      </w:pPr>
      <w:r>
        <w:t xml:space="preserve">La </w:t>
      </w:r>
      <w:r>
        <w:rPr>
          <w:b/>
        </w:rPr>
        <w:t>valutazione</w:t>
      </w:r>
      <w:r>
        <w:t xml:space="preserve"> è uno strumento che consente di misurare l</w:t>
      </w:r>
      <w:r w:rsidR="00C36C9E">
        <w:t>'</w:t>
      </w:r>
      <w:r>
        <w:t>efficacia, l</w:t>
      </w:r>
      <w:r w:rsidR="00C36C9E">
        <w:t>'</w:t>
      </w:r>
      <w:r>
        <w:t>efficienza, i risultati e gli impatti</w:t>
      </w:r>
      <w:r>
        <w:rPr>
          <w:rStyle w:val="FootnoteReference"/>
        </w:rPr>
        <w:footnoteReference w:id="1"/>
      </w:r>
      <w:r>
        <w:t>, la rilevanza, la coerenza e il valore aggiunto UE della politica al fine di garantirne l</w:t>
      </w:r>
      <w:r w:rsidR="00C36C9E">
        <w:t>'</w:t>
      </w:r>
      <w:r>
        <w:t xml:space="preserve">attendibilità e la trasparenza e, in ultima analisi, di migliorarne la progettazione. Nel contesto dello sviluppo rurale, il </w:t>
      </w:r>
      <w:r>
        <w:rPr>
          <w:b/>
        </w:rPr>
        <w:t>periodo di programmazione 2014-2020</w:t>
      </w:r>
      <w:r>
        <w:t xml:space="preserve"> prevede due momenti di valutazione intermedia: il primo nel 2017, quando le parti interessate valutano i risultati della politica, e il secondo nel 2019, quando si misurano sia i risultati sia gli impatti della politica. Inoltre, </w:t>
      </w:r>
      <w:r>
        <w:rPr>
          <w:b/>
        </w:rPr>
        <w:t>dopo il periodo di programmazione</w:t>
      </w:r>
      <w:r>
        <w:t xml:space="preserve"> sarà eseguita una valutazione ex post.</w:t>
      </w:r>
      <w:r>
        <w:rPr>
          <w:b/>
        </w:rPr>
        <w:t xml:space="preserve"> </w:t>
      </w:r>
    </w:p>
    <w:p w:rsidR="00CD63F6" w:rsidRPr="001C6ACF" w:rsidRDefault="00CD63F6" w:rsidP="00194D3D">
      <w:pPr>
        <w:pStyle w:val="HHeading4"/>
        <w:spacing w:before="160" w:after="160"/>
      </w:pPr>
      <w:r>
        <w:t xml:space="preserve">Finalità delle linee guida </w:t>
      </w:r>
    </w:p>
    <w:p w:rsidR="00CD63F6" w:rsidRPr="00571D58" w:rsidRDefault="00BD7C99" w:rsidP="00CD63F6">
      <w:pPr>
        <w:pStyle w:val="HStandard"/>
      </w:pPr>
      <w:r>
        <w:t>Il quadro giuridico stabilisce che nel 2019 gli Stati membri devono rendicontare sui risultati realizzati dal PSR con riguardo agli obiettivi del programma e sui contributi forniti dal PSR alla strategia dell</w:t>
      </w:r>
      <w:r w:rsidR="00C36C9E">
        <w:t>'</w:t>
      </w:r>
      <w:r>
        <w:t>UE per una crescita intelligente, sostenibile e inclusiva. Per l</w:t>
      </w:r>
      <w:r w:rsidR="00C36C9E">
        <w:t>'</w:t>
      </w:r>
      <w:r>
        <w:t xml:space="preserve">adempimento di tale obbligo è richiesta la presentazione nel 2019 delle relazioni annuali </w:t>
      </w:r>
      <w:r w:rsidR="004A1FA1">
        <w:t>di esecuzione</w:t>
      </w:r>
      <w:r>
        <w:t xml:space="preserve"> (RAE). Le valutazioni sono intese a misurare il contributo netto del programma ai cambiamenti nei valori degli indicatori d</w:t>
      </w:r>
      <w:r w:rsidR="00C36C9E">
        <w:t>'</w:t>
      </w:r>
      <w:r>
        <w:t>impatto della PAC nonché a rispondere al questionario valutativo</w:t>
      </w:r>
      <w:r>
        <w:rPr>
          <w:rStyle w:val="FootnoteReference"/>
        </w:rPr>
        <w:footnoteReference w:id="2"/>
      </w:r>
      <w:r>
        <w:t xml:space="preserve">. </w:t>
      </w:r>
    </w:p>
    <w:p w:rsidR="00CD63F6" w:rsidRPr="001C6ACF" w:rsidRDefault="009642AA" w:rsidP="009F77FD">
      <w:pPr>
        <w:pStyle w:val="HStandard"/>
      </w:pPr>
      <w:r>
        <w:t xml:space="preserve">Le presenti linee guida hanno lo scopo di </w:t>
      </w:r>
      <w:r>
        <w:rPr>
          <w:b/>
        </w:rPr>
        <w:t>esaminare le sfide</w:t>
      </w:r>
      <w:r>
        <w:t xml:space="preserve"> connesse alle attività di valutazione per la RAE nel 2019, </w:t>
      </w:r>
      <w:r>
        <w:rPr>
          <w:b/>
        </w:rPr>
        <w:t>presentare approcci concreti</w:t>
      </w:r>
      <w:r>
        <w:t xml:space="preserve"> per stimare i contributi netti forniti dal PSR agli indicatori comuni di impatto della PAC e valutare i progressi compiuti nel conseguimento degli obiettivi a livello dell</w:t>
      </w:r>
      <w:r w:rsidR="00C36C9E">
        <w:t>'</w:t>
      </w:r>
      <w:r>
        <w:t xml:space="preserve">UE, nonché </w:t>
      </w:r>
      <w:r>
        <w:rPr>
          <w:b/>
        </w:rPr>
        <w:t>fornire sostegno per rispondere</w:t>
      </w:r>
      <w:r>
        <w:t xml:space="preserve"> alle domande nn. 22-30 del QVC e comunicare alla Commissione europea i risultati della valutazione nelle RAE presentate nel 2019.</w:t>
      </w:r>
    </w:p>
    <w:p w:rsidR="00CD63F6" w:rsidRPr="001C6ACF" w:rsidRDefault="00CD63F6" w:rsidP="00194D3D">
      <w:pPr>
        <w:pStyle w:val="HHeading4"/>
        <w:spacing w:before="160" w:after="160"/>
      </w:pPr>
      <w:r>
        <w:t xml:space="preserve">Struttura e contenuto delle linee guida </w:t>
      </w:r>
    </w:p>
    <w:p w:rsidR="00CD63F6" w:rsidRPr="001C6ACF" w:rsidRDefault="00BD7C99" w:rsidP="005C0884">
      <w:pPr>
        <w:pStyle w:val="HStandard"/>
      </w:pPr>
      <w:r>
        <w:t xml:space="preserve">Le </w:t>
      </w:r>
      <w:r>
        <w:rPr>
          <w:b/>
        </w:rPr>
        <w:t>linee guida NON VINCOLANTI</w:t>
      </w:r>
      <w:r>
        <w:t xml:space="preserve"> </w:t>
      </w:r>
      <w:r>
        <w:rPr>
          <w:i/>
        </w:rPr>
        <w:t>Valutazione delle realizzazioni e degli impatti del PSR nel 2019</w:t>
      </w:r>
      <w:r>
        <w:t xml:space="preserve"> comprendono quanto segue. </w:t>
      </w:r>
    </w:p>
    <w:p w:rsidR="00CD63F6" w:rsidRPr="001C6ACF" w:rsidRDefault="008358D0" w:rsidP="00AD4DC6">
      <w:pPr>
        <w:pStyle w:val="Hlistbullet"/>
        <w:spacing w:line="276" w:lineRule="auto"/>
      </w:pPr>
      <w:r>
        <w:rPr>
          <w:b/>
          <w:color w:val="F07E31" w:themeColor="accent1"/>
        </w:rPr>
        <w:t>PARTE I</w:t>
      </w:r>
      <w:r>
        <w:t xml:space="preserve"> </w:t>
      </w:r>
      <w:r>
        <w:rPr>
          <w:b/>
          <w:color w:val="F07E31" w:themeColor="accent1"/>
        </w:rPr>
        <w:t xml:space="preserve">(destinata principalmente alle autorità di gestione): </w:t>
      </w:r>
      <w:r>
        <w:t xml:space="preserve">informa sui requisiti giuridici e indica come rendicontare in merito alle domande nn. 22-30 del QVC nel 2019. La parte I contiene riferimenti ad altre linee guida vigenti. </w:t>
      </w:r>
    </w:p>
    <w:p w:rsidR="00CD63F6" w:rsidRPr="001C6ACF" w:rsidRDefault="008358D0" w:rsidP="00AD4DC6">
      <w:pPr>
        <w:pStyle w:val="Hlistbullet"/>
        <w:spacing w:line="276" w:lineRule="auto"/>
      </w:pPr>
      <w:r>
        <w:rPr>
          <w:b/>
          <w:color w:val="F07E31" w:themeColor="accent1"/>
        </w:rPr>
        <w:t>PARTE II</w:t>
      </w:r>
      <w:r>
        <w:t xml:space="preserve"> </w:t>
      </w:r>
      <w:r>
        <w:rPr>
          <w:b/>
          <w:color w:val="F07E31" w:themeColor="accent1"/>
        </w:rPr>
        <w:t xml:space="preserve">(destinata principalmente ai valutatori): </w:t>
      </w:r>
      <w:r>
        <w:t>offre sostegno metodologico per la valutazione degli indicatori comuni di impatto del secondo pilastro (impatti settoriali, ambientali e socioeconomici). Questa parte spiega la logica di intervento, l</w:t>
      </w:r>
      <w:r w:rsidR="00C36C9E">
        <w:t>'</w:t>
      </w:r>
      <w:r>
        <w:t>uso di elementi di valutazione aggiuntivi, i requisiti per i dati e le unità di valutazione, oltre a guidare il lettore nella scelta degli approcci valutativi più appropriati per scorporare i contributi del PSR ai valori degli indicatori di impatto della PAC. Inoltre, la parte II suggerisce approcci per valutare i contributi del PSR all</w:t>
      </w:r>
      <w:r w:rsidR="00C36C9E">
        <w:t>'</w:t>
      </w:r>
      <w:r>
        <w:t>attuazione della strategia Europa 2020 e all</w:t>
      </w:r>
      <w:r w:rsidR="00C36C9E">
        <w:t>'</w:t>
      </w:r>
      <w:r>
        <w:t xml:space="preserve">innovazione. </w:t>
      </w:r>
    </w:p>
    <w:p w:rsidR="00800238" w:rsidRPr="001C6ACF" w:rsidRDefault="00800238" w:rsidP="00AD4DC6">
      <w:pPr>
        <w:pStyle w:val="Hlistbullet"/>
        <w:spacing w:line="276" w:lineRule="auto"/>
      </w:pPr>
      <w:r>
        <w:rPr>
          <w:b/>
          <w:color w:val="F07E31" w:themeColor="accent1"/>
        </w:rPr>
        <w:t>PARTE III:</w:t>
      </w:r>
      <w:r>
        <w:rPr>
          <w:color w:val="F07E31" w:themeColor="accent1"/>
        </w:rPr>
        <w:t xml:space="preserve"> </w:t>
      </w:r>
      <w:r>
        <w:t>contiene le schede per rispondere alle domande nn. 22-30 del QVC.</w:t>
      </w:r>
    </w:p>
    <w:p w:rsidR="00CD63F6" w:rsidRPr="001C6ACF" w:rsidRDefault="00FE491B" w:rsidP="00AD4DC6">
      <w:pPr>
        <w:pStyle w:val="Hlistbullet"/>
        <w:spacing w:line="276" w:lineRule="auto"/>
      </w:pPr>
      <w:r>
        <w:rPr>
          <w:b/>
          <w:color w:val="F07E31" w:themeColor="accent1"/>
        </w:rPr>
        <w:t xml:space="preserve">PARTE IV: </w:t>
      </w:r>
      <w:r>
        <w:t>contiene l</w:t>
      </w:r>
      <w:r w:rsidR="00C36C9E">
        <w:t>'</w:t>
      </w:r>
      <w:r>
        <w:t xml:space="preserve">allegato tecnico con informazioni più dettagliate sugli approcci per valutare gli indicatori di impatto della PAC e il glossario dei termini. </w:t>
      </w:r>
    </w:p>
    <w:p w:rsidR="001C2076" w:rsidRPr="001C6ACF" w:rsidRDefault="001C2076" w:rsidP="008D52EA">
      <w:pPr>
        <w:pStyle w:val="HHeading1"/>
        <w:tabs>
          <w:tab w:val="clear" w:pos="474"/>
          <w:tab w:val="clear" w:pos="567"/>
        </w:tabs>
        <w:rPr>
          <w:sz w:val="28"/>
        </w:rPr>
      </w:pPr>
      <w:r>
        <w:rPr>
          <w:sz w:val="28"/>
        </w:rPr>
        <w:lastRenderedPageBreak/>
        <w:t xml:space="preserve">Cosa deve essere comunicato in merito alla valutazione nella </w:t>
      </w:r>
      <w:r w:rsidR="00194D3D">
        <w:rPr>
          <w:sz w:val="28"/>
        </w:rPr>
        <w:t>RAE presentata nel 2019? (Parte </w:t>
      </w:r>
      <w:r>
        <w:rPr>
          <w:sz w:val="28"/>
        </w:rPr>
        <w:t>I)</w:t>
      </w:r>
    </w:p>
    <w:p w:rsidR="001C2076" w:rsidRPr="001C6ACF" w:rsidRDefault="000C5796" w:rsidP="00E35440">
      <w:pPr>
        <w:pStyle w:val="HHeading2"/>
      </w:pPr>
      <w:r>
        <w:t xml:space="preserve">Quadro giuridico e aspetti principali della valutazione nel 2019 </w:t>
      </w:r>
    </w:p>
    <w:p w:rsidR="00B013D7" w:rsidRPr="00571D58" w:rsidRDefault="006A3698" w:rsidP="001C2076">
      <w:pPr>
        <w:pStyle w:val="HStandard"/>
      </w:pPr>
      <w:r>
        <w:t>A partire dal giugno 2016, e ogni anno fino al 2024</w:t>
      </w:r>
      <w:r>
        <w:rPr>
          <w:rStyle w:val="FootnoteReference"/>
        </w:rPr>
        <w:footnoteReference w:id="3"/>
      </w:r>
      <w:r>
        <w:t>, gli Stati membri presentano alla Commissione europea una RAE contenente informazioni sull</w:t>
      </w:r>
      <w:r w:rsidR="00C36C9E">
        <w:t>'</w:t>
      </w:r>
      <w:r>
        <w:t>attuazione del PSR e sui progressi compiuti nell</w:t>
      </w:r>
      <w:r w:rsidR="00C36C9E">
        <w:t>'</w:t>
      </w:r>
      <w:r>
        <w:t>attuazione del piano di valutazione</w:t>
      </w:r>
      <w:r>
        <w:rPr>
          <w:rStyle w:val="FootnoteReference"/>
        </w:rPr>
        <w:footnoteReference w:id="4"/>
      </w:r>
      <w:r>
        <w:t xml:space="preserve">. </w:t>
      </w:r>
    </w:p>
    <w:p w:rsidR="001C2076" w:rsidRPr="0036731C" w:rsidRDefault="001C2076" w:rsidP="001C2076">
      <w:pPr>
        <w:pStyle w:val="HStandard"/>
      </w:pPr>
      <w:r>
        <w:t xml:space="preserve">La </w:t>
      </w:r>
      <w:r>
        <w:rPr>
          <w:b/>
        </w:rPr>
        <w:t>RAE del 2017</w:t>
      </w:r>
      <w:r>
        <w:t xml:space="preserve"> includeva la quantificazione delle realizzazioni del programma (mediante la valutazione degli indicatori di risultato, compresi gli indicatori complementari di risultato). I criteri di giudizio sono stati utilizzati per interpretare gli indicatori di risultato e rispondere alle domande nn. 1-21 del QVC</w:t>
      </w:r>
      <w:r>
        <w:rPr>
          <w:rStyle w:val="FootnoteReference"/>
        </w:rPr>
        <w:footnoteReference w:id="5"/>
      </w:r>
      <w:r>
        <w:t xml:space="preserve">. Anche le </w:t>
      </w:r>
      <w:r>
        <w:rPr>
          <w:i/>
        </w:rPr>
        <w:t xml:space="preserve">linee guida </w:t>
      </w:r>
      <w:hyperlink r:id="rId14">
        <w:r>
          <w:rPr>
            <w:rStyle w:val="Hyperlink"/>
            <w:i/>
          </w:rPr>
          <w:t>Valutazione dei risultati del PSR: come prepararsi per la rendicontazione in merito alla valutazione nel 2017</w:t>
        </w:r>
      </w:hyperlink>
      <w:r>
        <w:t xml:space="preserve"> possono essere di supporto per queste attività, rendendole rilevanti anche per l</w:t>
      </w:r>
      <w:r w:rsidR="00C36C9E">
        <w:t>'</w:t>
      </w:r>
      <w:r>
        <w:t>esercizio 2019</w:t>
      </w:r>
      <w:r>
        <w:rPr>
          <w:rStyle w:val="FootnoteReference"/>
        </w:rPr>
        <w:footnoteReference w:id="6"/>
      </w:r>
      <w:r>
        <w:t xml:space="preserve">. </w:t>
      </w:r>
    </w:p>
    <w:p w:rsidR="00BA41C1" w:rsidRPr="001C6ACF" w:rsidRDefault="001C2076" w:rsidP="001C2076">
      <w:pPr>
        <w:pStyle w:val="HStandard"/>
      </w:pPr>
      <w:r>
        <w:t xml:space="preserve">La </w:t>
      </w:r>
      <w:r>
        <w:rPr>
          <w:b/>
        </w:rPr>
        <w:t>RAE</w:t>
      </w:r>
      <w:r>
        <w:t xml:space="preserve"> presentata </w:t>
      </w:r>
      <w:r>
        <w:rPr>
          <w:b/>
        </w:rPr>
        <w:t>nel 2019</w:t>
      </w:r>
      <w:r>
        <w:t xml:space="preserve"> richiede un aggiornamento dei risultati della valutazione precedentemente comunicati nel 2017 e </w:t>
      </w:r>
      <w:r>
        <w:rPr>
          <w:u w:val="single"/>
        </w:rPr>
        <w:t>in aggiunta</w:t>
      </w:r>
      <w:r>
        <w:t xml:space="preserve"> comprenderà:</w:t>
      </w:r>
    </w:p>
    <w:p w:rsidR="00BA41C1" w:rsidRPr="001C6ACF" w:rsidRDefault="001C2076" w:rsidP="00BA41C1">
      <w:pPr>
        <w:pStyle w:val="Hlistbullet"/>
      </w:pPr>
      <w:r>
        <w:t xml:space="preserve">i risultati della valutazione degli impatti del PSR ottenuti calcolando e interpretando i valori netti degli indicatori di impatto della PAC; </w:t>
      </w:r>
    </w:p>
    <w:p w:rsidR="00BA41C1" w:rsidRPr="001C6ACF" w:rsidRDefault="00BA41C1" w:rsidP="00BA41C1">
      <w:pPr>
        <w:pStyle w:val="Hlistbullet"/>
      </w:pPr>
      <w:r>
        <w:t>i contributi del PSR alla strategia dell</w:t>
      </w:r>
      <w:r w:rsidR="00C36C9E">
        <w:t>'</w:t>
      </w:r>
      <w:r>
        <w:t xml:space="preserve">UE per una crescita intelligente, sostenibile e inclusiva, nonché alla strategia per la biodiversità; </w:t>
      </w:r>
    </w:p>
    <w:p w:rsidR="001C2076" w:rsidRPr="001C6ACF" w:rsidRDefault="00BA41C1" w:rsidP="00BA41C1">
      <w:pPr>
        <w:pStyle w:val="Hlistbullet"/>
      </w:pPr>
      <w:r>
        <w:t>le risposte alle domande del QVC per i PSR 2014-2020 relative agli obiettivi a livello dell</w:t>
      </w:r>
      <w:r w:rsidR="00C36C9E">
        <w:t>'</w:t>
      </w:r>
      <w:r>
        <w:t>UE (ossia le domande nn. 22-30 del QVC).</w:t>
      </w:r>
    </w:p>
    <w:p w:rsidR="001C2076" w:rsidRPr="0036731C" w:rsidRDefault="00CA1C02" w:rsidP="001C2076">
      <w:pPr>
        <w:pStyle w:val="HStandard"/>
      </w:pPr>
      <w:r>
        <w:t>La seguente figura offre una panoramica dei principali requisiti per la rendicontazione in merito alla valutazione nelle RAE durante il periodo di programmazione, come stabilito dal quadro giuridico</w:t>
      </w:r>
      <w:r>
        <w:rPr>
          <w:rStyle w:val="FootnoteReference"/>
        </w:rPr>
        <w:footnoteReference w:id="7"/>
      </w:r>
      <w:r>
        <w:t xml:space="preserve"> e dalle relative linee guida. </w:t>
      </w:r>
    </w:p>
    <w:p w:rsidR="001C2076" w:rsidRPr="00FB6C06" w:rsidRDefault="00CA1C02" w:rsidP="00A05534">
      <w:pPr>
        <w:pStyle w:val="HHeadingfigures"/>
      </w:pPr>
      <w:r>
        <w:lastRenderedPageBreak/>
        <w:t xml:space="preserve">Rendicontazione in merito alla valutazione </w:t>
      </w:r>
      <w:r w:rsidR="00E51011">
        <w:t>(</w:t>
      </w:r>
      <w:r>
        <w:t>ai sensi dell</w:t>
      </w:r>
      <w:r w:rsidR="00C36C9E">
        <w:t>'</w:t>
      </w:r>
      <w:r>
        <w:t>allegato VII del regolamento (UE) n. 808/2014</w:t>
      </w:r>
      <w:r w:rsidR="00E51011">
        <w:t xml:space="preserve">) </w:t>
      </w:r>
    </w:p>
    <w:p w:rsidR="001C2076" w:rsidRPr="00571D58" w:rsidRDefault="00972E32" w:rsidP="00744BAA">
      <w:pPr>
        <w:pStyle w:val="HStandard"/>
        <w:jc w:val="center"/>
      </w:pPr>
      <w:r w:rsidRPr="00972E32">
        <w:rPr>
          <w:noProof/>
          <w:lang w:val="en-GB" w:eastAsia="en-GB" w:bidi="ar-SA"/>
        </w:rPr>
        <w:drawing>
          <wp:inline distT="0" distB="0" distL="0" distR="0" wp14:anchorId="5843A8FC" wp14:editId="36B6B100">
            <wp:extent cx="4994932" cy="292839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996712" cy="2929439"/>
                    </a:xfrm>
                    <a:prstGeom prst="rect">
                      <a:avLst/>
                    </a:prstGeom>
                    <a:noFill/>
                    <a:ln w="9525">
                      <a:noFill/>
                      <a:miter lim="800000"/>
                      <a:headEnd/>
                      <a:tailEnd/>
                    </a:ln>
                  </pic:spPr>
                </pic:pic>
              </a:graphicData>
            </a:graphic>
          </wp:inline>
        </w:drawing>
      </w:r>
    </w:p>
    <w:p w:rsidR="001C2076" w:rsidRPr="007645B4" w:rsidRDefault="001C2076" w:rsidP="008D52EA">
      <w:pPr>
        <w:pStyle w:val="HSource"/>
        <w:rPr>
          <w:i w:val="0"/>
        </w:rPr>
      </w:pPr>
      <w:r>
        <w:t>Fonte: Helpdesk europeo di valutazione per lo sviluppo rurale (2018).</w:t>
      </w:r>
    </w:p>
    <w:p w:rsidR="00E52E73" w:rsidRPr="007645B4" w:rsidRDefault="00E52E73" w:rsidP="00E52E73">
      <w:pPr>
        <w:pStyle w:val="HHeading4"/>
      </w:pPr>
      <w:r>
        <w:t>Il quadro giu</w:t>
      </w:r>
      <w:r w:rsidR="00BD4B8D">
        <w:t>ridico</w:t>
      </w:r>
    </w:p>
    <w:p w:rsidR="00DE65AB" w:rsidRPr="001C6ACF" w:rsidRDefault="00BA41C1" w:rsidP="001C2076">
      <w:pPr>
        <w:pStyle w:val="HStandard"/>
      </w:pPr>
      <w:r>
        <w:t xml:space="preserve">Il quadro giuridico e il sistema comune di monitoraggio e valutazione (SCMV) forniscono la base su cui poggia la valutazione dei PSR. </w:t>
      </w:r>
    </w:p>
    <w:p w:rsidR="001A2395" w:rsidRPr="00863E73" w:rsidRDefault="00BA41C1" w:rsidP="001C2076">
      <w:pPr>
        <w:pStyle w:val="HStandard"/>
      </w:pPr>
      <w:r>
        <w:rPr>
          <w:b/>
        </w:rPr>
        <w:t>Il quadro giuridico</w:t>
      </w:r>
      <w:r>
        <w:rPr>
          <w:rStyle w:val="FootnoteReference"/>
        </w:rPr>
        <w:footnoteReference w:id="8"/>
      </w:r>
      <w:r>
        <w:t xml:space="preserve"> costituisce la base per la valutazione delle realizzazioni del PSR e dei suoi contributi agli obiet</w:t>
      </w:r>
      <w:r w:rsidR="00BD4B8D">
        <w:t>tivi politici generali dell</w:t>
      </w:r>
      <w:r w:rsidR="00C36C9E">
        <w:t>'</w:t>
      </w:r>
      <w:r w:rsidR="00BD4B8D">
        <w:t>UE.</w:t>
      </w:r>
    </w:p>
    <w:p w:rsidR="001C2076" w:rsidRPr="001C6ACF" w:rsidRDefault="00CA1C02" w:rsidP="001C2076">
      <w:pPr>
        <w:pStyle w:val="HStandard"/>
      </w:pPr>
      <w:r>
        <w:t xml:space="preserve">Le </w:t>
      </w:r>
      <w:r>
        <w:rPr>
          <w:b/>
        </w:rPr>
        <w:t>disposizioni generali</w:t>
      </w:r>
      <w:r>
        <w:t xml:space="preserve"> in materia di valutazione sono stabilite dal </w:t>
      </w:r>
      <w:r>
        <w:rPr>
          <w:b/>
        </w:rPr>
        <w:t>regolamento (UE) n. 1303/2013</w:t>
      </w:r>
      <w:r>
        <w:t xml:space="preserve"> e specificano il ruolo della valutazione per:</w:t>
      </w:r>
    </w:p>
    <w:p w:rsidR="001C2076" w:rsidRPr="001C6ACF" w:rsidRDefault="001C2076" w:rsidP="008D52EA">
      <w:pPr>
        <w:pStyle w:val="Hlistbullet"/>
      </w:pPr>
      <w:r>
        <w:t>migliorare la qualità della progettazione e dell</w:t>
      </w:r>
      <w:r w:rsidR="00C36C9E">
        <w:t>'</w:t>
      </w:r>
      <w:r>
        <w:t xml:space="preserve">attuazione dei programmi; </w:t>
      </w:r>
    </w:p>
    <w:p w:rsidR="001C2076" w:rsidRPr="00571D58" w:rsidRDefault="001C2076" w:rsidP="008D52EA">
      <w:pPr>
        <w:pStyle w:val="Hlistbullet"/>
      </w:pPr>
      <w:r>
        <w:t>valutare l</w:t>
      </w:r>
      <w:r w:rsidR="00C36C9E">
        <w:t>'</w:t>
      </w:r>
      <w:r>
        <w:t>efficacia, l</w:t>
      </w:r>
      <w:r w:rsidR="00C36C9E">
        <w:t>'</w:t>
      </w:r>
      <w:r>
        <w:t>efficienza e l</w:t>
      </w:r>
      <w:r w:rsidR="00C36C9E">
        <w:t>'</w:t>
      </w:r>
      <w:r>
        <w:t>impatto dei programmi</w:t>
      </w:r>
      <w:r>
        <w:rPr>
          <w:rStyle w:val="FootnoteReference"/>
        </w:rPr>
        <w:footnoteReference w:id="9"/>
      </w:r>
      <w:r>
        <w:t xml:space="preserve">. </w:t>
      </w:r>
    </w:p>
    <w:p w:rsidR="00087412" w:rsidRPr="001C6ACF" w:rsidRDefault="00D42EC7" w:rsidP="001C2076">
      <w:pPr>
        <w:pStyle w:val="HStandard"/>
      </w:pPr>
      <w:r>
        <w:t xml:space="preserve">A tal fine, gli Stati membri mettono a disposizione le </w:t>
      </w:r>
      <w:r>
        <w:rPr>
          <w:b/>
        </w:rPr>
        <w:t>risorse necessarie per l</w:t>
      </w:r>
      <w:r w:rsidR="00C36C9E">
        <w:rPr>
          <w:b/>
        </w:rPr>
        <w:t>'</w:t>
      </w:r>
      <w:r>
        <w:rPr>
          <w:b/>
        </w:rPr>
        <w:t>esecuzione delle valutazioni</w:t>
      </w:r>
      <w:r>
        <w:t xml:space="preserve"> e garantiscono che siano attuate le procedure per </w:t>
      </w:r>
      <w:r>
        <w:rPr>
          <w:b/>
        </w:rPr>
        <w:t>la produzione e la raccolta dei dati richiesti per le valutazioni</w:t>
      </w:r>
      <w:r>
        <w:t xml:space="preserve">, compresi quelli relativi agli indicatori comuni e, se del caso, agli indicatori specifici del programma. </w:t>
      </w:r>
    </w:p>
    <w:p w:rsidR="001C2076" w:rsidRPr="00571D58" w:rsidRDefault="001C2076" w:rsidP="001C2076">
      <w:pPr>
        <w:pStyle w:val="HStandard"/>
      </w:pPr>
      <w:r>
        <w:t xml:space="preserve">La valutazione è eseguita sulla base del </w:t>
      </w:r>
      <w:r>
        <w:rPr>
          <w:b/>
        </w:rPr>
        <w:t>piano di valutazione</w:t>
      </w:r>
      <w:r>
        <w:t xml:space="preserve"> e i suoi risultati sono soggetti ad appropriato follow-up conformemente alle norme specifiche di ciascun fondo. Almeno una volta nel corso del periodo di programmazione viene valutato in che modo il sostegno dei fondi SIE abbia contribuito al conseguimento degli obiettivi di ciascuna priorità</w:t>
      </w:r>
      <w:r>
        <w:rPr>
          <w:rStyle w:val="FootnoteReference"/>
        </w:rPr>
        <w:footnoteReference w:id="10"/>
      </w:r>
      <w:r>
        <w:t>.</w:t>
      </w:r>
    </w:p>
    <w:p w:rsidR="001C2076" w:rsidRPr="00571D58" w:rsidRDefault="001C2076" w:rsidP="001C2076">
      <w:pPr>
        <w:pStyle w:val="HStandard"/>
      </w:pPr>
      <w:r>
        <w:t xml:space="preserve">Il </w:t>
      </w:r>
      <w:r>
        <w:rPr>
          <w:b/>
        </w:rPr>
        <w:t>regolamento (UE) n. 1306/2013</w:t>
      </w:r>
      <w:r>
        <w:t xml:space="preserve"> specifica i requisiti per il monitoraggio e la valutazione della politica agricola comune (PAC)</w:t>
      </w:r>
      <w:r>
        <w:rPr>
          <w:rStyle w:val="FootnoteReference"/>
        </w:rPr>
        <w:footnoteReference w:id="11"/>
      </w:r>
      <w:r>
        <w:t xml:space="preserve"> e stabilisce che la Commissione europea deve garantire le prestazioni della PAC in relazione al conseguimento dei suoi </w:t>
      </w:r>
      <w:r>
        <w:rPr>
          <w:b/>
        </w:rPr>
        <w:t>obiettivi comuni</w:t>
      </w:r>
      <w:r>
        <w:t>. L</w:t>
      </w:r>
      <w:r w:rsidR="00C36C9E">
        <w:t>'</w:t>
      </w:r>
      <w:r>
        <w:t>impatto combinato di tutti gli strumenti della PAC è misurato e valutato in base alle informazioni ottenute grazie alle attività di monitoraggio e valutazione condotte negli Stati membri.</w:t>
      </w:r>
      <w:r>
        <w:rPr>
          <w:b/>
        </w:rPr>
        <w:t xml:space="preserve"> </w:t>
      </w:r>
      <w:r>
        <w:t xml:space="preserve">Gli obiettivi comuni sono valutati mediante </w:t>
      </w:r>
      <w:r>
        <w:rPr>
          <w:b/>
        </w:rPr>
        <w:t>indicatori comuni di impatto</w:t>
      </w:r>
      <w:r>
        <w:t xml:space="preserve">, mentre i relativi obiettivi specifici sono valutati per mezzo di </w:t>
      </w:r>
      <w:r>
        <w:rPr>
          <w:b/>
        </w:rPr>
        <w:lastRenderedPageBreak/>
        <w:t>indicatori comuni di risultato</w:t>
      </w:r>
      <w:r>
        <w:t>. Le informazioni raccolte si basano su fonti di dati esistenti, quali la Rete d</w:t>
      </w:r>
      <w:r w:rsidR="00C36C9E">
        <w:t>'</w:t>
      </w:r>
      <w:r>
        <w:t>informazione contabile agricola (RICA) ed Eurostat. La Commissione europea tiene conto dei dati richiesti e delle sinergie tra le potenziali fonti di dati, in particolare del loro impiego a fini statistici, se del caso</w:t>
      </w:r>
      <w:r>
        <w:rPr>
          <w:rStyle w:val="FootnoteReference"/>
        </w:rPr>
        <w:footnoteReference w:id="12"/>
      </w:r>
      <w:r>
        <w:t>.</w:t>
      </w:r>
    </w:p>
    <w:p w:rsidR="001C2076" w:rsidRPr="001C6ACF" w:rsidRDefault="001C2076" w:rsidP="001C2076">
      <w:pPr>
        <w:pStyle w:val="HStandard"/>
      </w:pPr>
      <w:r>
        <w:t xml:space="preserve">Il </w:t>
      </w:r>
      <w:r>
        <w:rPr>
          <w:b/>
        </w:rPr>
        <w:t>regolamento (UE) n. 1305/2013 istituisce il sistema comune di monitoraggio e valutazione</w:t>
      </w:r>
      <w:r>
        <w:t xml:space="preserve"> e ne definisce gli obiettivi</w:t>
      </w:r>
      <w:r>
        <w:rPr>
          <w:rStyle w:val="FootnoteReference"/>
        </w:rPr>
        <w:footnoteReference w:id="13"/>
      </w:r>
      <w:r>
        <w:t xml:space="preserve"> e gli indicatori comuni</w:t>
      </w:r>
      <w:r>
        <w:rPr>
          <w:rStyle w:val="FootnoteReference"/>
        </w:rPr>
        <w:footnoteReference w:id="14"/>
      </w:r>
      <w:r>
        <w:t>. Gli indicatori sono riferiti alla situazione di partenza (indicatori di contesto) nonché all</w:t>
      </w:r>
      <w:r w:rsidR="00C36C9E">
        <w:t>'</w:t>
      </w:r>
      <w:r>
        <w:t>esecuzione finanziaria, ai prodotti, ai risultati e all</w:t>
      </w:r>
      <w:r w:rsidR="00C36C9E">
        <w:t>'</w:t>
      </w:r>
      <w:r>
        <w:t>impatto del programma. Gli indicatori comuni sono basati su dati disponibili e correlati alla struttura e agli obiettivi del quadro strategico per lo sviluppo rurale; consentono di valutare i progressi, l</w:t>
      </w:r>
      <w:r w:rsidR="00C36C9E">
        <w:t>'</w:t>
      </w:r>
      <w:r>
        <w:t>efficienza e l</w:t>
      </w:r>
      <w:r w:rsidR="00C36C9E">
        <w:t>'</w:t>
      </w:r>
      <w:r>
        <w:t>efficacia dell</w:t>
      </w:r>
      <w:r w:rsidR="00C36C9E">
        <w:t>'</w:t>
      </w:r>
      <w:r>
        <w:t>attuazione della politica di sviluppo rurale rispetto agli obiettivi generali e specifici di tale politica a livello unionale, nazionale e di programma.</w:t>
      </w:r>
    </w:p>
    <w:p w:rsidR="001C2076" w:rsidRPr="001C6ACF" w:rsidRDefault="001C2076" w:rsidP="001C2076">
      <w:pPr>
        <w:pStyle w:val="HStandard"/>
        <w:rPr>
          <w:b/>
        </w:rPr>
      </w:pPr>
      <w:r>
        <w:t xml:space="preserve">Gli impatti dei programmi di sviluppo rurale sono valutati per mezzo di indicatori di impatto comuni (nonché indicatori aggiuntivi e specifici del programma). </w:t>
      </w:r>
      <w:r>
        <w:rPr>
          <w:b/>
        </w:rPr>
        <w:t xml:space="preserve">Ciascuno Stato membro è responsabile della valutazione degli impatti del programma. </w:t>
      </w:r>
    </w:p>
    <w:p w:rsidR="00E52E73" w:rsidRPr="001C6ACF" w:rsidRDefault="00E52E73" w:rsidP="00E52E73">
      <w:pPr>
        <w:pStyle w:val="HHeading4"/>
      </w:pPr>
      <w:r>
        <w:t>Gli elementi di valutazione comuni</w:t>
      </w:r>
    </w:p>
    <w:p w:rsidR="00D42EC7" w:rsidRPr="00CB20AA" w:rsidRDefault="00D42EC7" w:rsidP="00D42EC7">
      <w:pPr>
        <w:pStyle w:val="HStandard"/>
      </w:pPr>
      <w:r>
        <w:t>L</w:t>
      </w:r>
      <w:r w:rsidR="00C36C9E">
        <w:t>'</w:t>
      </w:r>
      <w:r>
        <w:t>SCMV rientra nel quadro comune di monitoraggio e valutazione (QCMV) della PAC</w:t>
      </w:r>
      <w:r>
        <w:rPr>
          <w:rStyle w:val="FootnoteReference"/>
        </w:rPr>
        <w:footnoteReference w:id="15"/>
      </w:r>
      <w:r>
        <w:t xml:space="preserve"> e comprende numerosi documenti orientativi per l</w:t>
      </w:r>
      <w:r w:rsidR="00C36C9E">
        <w:t>'</w:t>
      </w:r>
      <w:r>
        <w:t xml:space="preserve">utilizzo del questionario valutativo comune e degli indicatori comuni in sede di monitoraggio e valutazione della politica di sviluppo rurale. Il </w:t>
      </w:r>
      <w:r>
        <w:rPr>
          <w:b/>
        </w:rPr>
        <w:t>regolamento</w:t>
      </w:r>
      <w:r>
        <w:t xml:space="preserve"> di esecuzione </w:t>
      </w:r>
      <w:r>
        <w:rPr>
          <w:b/>
        </w:rPr>
        <w:t>(UE) n. 808/2014</w:t>
      </w:r>
      <w:r>
        <w:t xml:space="preserve"> della Commissione</w:t>
      </w:r>
      <w:r>
        <w:rPr>
          <w:rStyle w:val="FootnoteReference"/>
          <w:b/>
        </w:rPr>
        <w:footnoteReference w:id="16"/>
      </w:r>
      <w:r>
        <w:t xml:space="preserve"> descrive l</w:t>
      </w:r>
      <w:r w:rsidR="00C36C9E">
        <w:t>'</w:t>
      </w:r>
      <w:r>
        <w:t xml:space="preserve">SCMV più in dettaglio e ne specifica gli elementi: </w:t>
      </w:r>
    </w:p>
    <w:p w:rsidR="001C2076" w:rsidRPr="00FB6C06" w:rsidRDefault="001C2076" w:rsidP="008D52EA">
      <w:pPr>
        <w:pStyle w:val="Hlistbullet"/>
      </w:pPr>
      <w:r>
        <w:t xml:space="preserve">una logica di intervento che indichi le interazioni tra priorità, aspetti specifici e misure; </w:t>
      </w:r>
    </w:p>
    <w:p w:rsidR="001C2076" w:rsidRPr="00571D58" w:rsidRDefault="001C2076" w:rsidP="008D52EA">
      <w:pPr>
        <w:pStyle w:val="Hlistbullet"/>
      </w:pPr>
      <w:r>
        <w:t>un insieme di indicatori comuni di contesto, di risultato e di prodotto, compresi gli indicatori da utilizzare per definire obiettivi quantificati in relazione ad aspetti specifici dello sviluppo rurale</w:t>
      </w:r>
      <w:r>
        <w:rPr>
          <w:rStyle w:val="FootnoteReference"/>
        </w:rPr>
        <w:footnoteReference w:id="17"/>
      </w:r>
      <w:r>
        <w:t xml:space="preserve">; </w:t>
      </w:r>
    </w:p>
    <w:p w:rsidR="001C2076" w:rsidRPr="00571D58" w:rsidRDefault="001C2076" w:rsidP="008D52EA">
      <w:pPr>
        <w:pStyle w:val="Hlistbullet"/>
      </w:pPr>
      <w:r>
        <w:t>un questionario valutativo comune</w:t>
      </w:r>
      <w:r>
        <w:rPr>
          <w:rStyle w:val="FootnoteReference"/>
        </w:rPr>
        <w:footnoteReference w:id="18"/>
      </w:r>
      <w:r>
        <w:t>;</w:t>
      </w:r>
    </w:p>
    <w:p w:rsidR="001C2076" w:rsidRPr="00FB6C06" w:rsidRDefault="001C2076" w:rsidP="008D52EA">
      <w:pPr>
        <w:pStyle w:val="Hlistbullet"/>
      </w:pPr>
      <w:r>
        <w:t xml:space="preserve">la raccolta, la conservazione e la trasmissione dei dati; </w:t>
      </w:r>
    </w:p>
    <w:p w:rsidR="001C2076" w:rsidRPr="00571D58" w:rsidRDefault="001C2076" w:rsidP="008D52EA">
      <w:pPr>
        <w:pStyle w:val="Hlistbullet"/>
      </w:pPr>
      <w:r>
        <w:t>relazioni periodiche sulle attività di monitoraggio e valutazione</w:t>
      </w:r>
      <w:r>
        <w:rPr>
          <w:rStyle w:val="FootnoteReference"/>
        </w:rPr>
        <w:footnoteReference w:id="19"/>
      </w:r>
      <w:r>
        <w:t xml:space="preserve">; </w:t>
      </w:r>
    </w:p>
    <w:p w:rsidR="001C2076" w:rsidRPr="00571D58" w:rsidRDefault="001C2076" w:rsidP="008D52EA">
      <w:pPr>
        <w:pStyle w:val="Hlistbullet"/>
      </w:pPr>
      <w:r>
        <w:t>il piano di valutazione</w:t>
      </w:r>
      <w:r>
        <w:rPr>
          <w:rStyle w:val="FootnoteReference"/>
        </w:rPr>
        <w:footnoteReference w:id="20"/>
      </w:r>
      <w:r>
        <w:t xml:space="preserve">; </w:t>
      </w:r>
    </w:p>
    <w:p w:rsidR="001C2076" w:rsidRPr="00571D58" w:rsidRDefault="001C2076" w:rsidP="008D52EA">
      <w:pPr>
        <w:pStyle w:val="Hlistbullet"/>
      </w:pPr>
      <w:r>
        <w:t xml:space="preserve">le valutazioni ex ante ed ex post nonché ogni altra attività di valutazione correlata al programma di sviluppo rurale, comprese le attività necessarie a soddisfare i requisiti supplementari delle relazioni annuali </w:t>
      </w:r>
      <w:r w:rsidR="004A1FA1">
        <w:t>di esecuzione</w:t>
      </w:r>
      <w:r>
        <w:t xml:space="preserve"> presentate nel 2017 e nel 2019</w:t>
      </w:r>
      <w:r>
        <w:rPr>
          <w:rStyle w:val="FootnoteReference"/>
        </w:rPr>
        <w:footnoteReference w:id="21"/>
      </w:r>
      <w:r>
        <w:t>;</w:t>
      </w:r>
    </w:p>
    <w:p w:rsidR="001C2076" w:rsidRPr="00571D58" w:rsidRDefault="001C2076" w:rsidP="008D52EA">
      <w:pPr>
        <w:pStyle w:val="Hlistbullet"/>
      </w:pPr>
      <w:r>
        <w:t>un sostegno per consentire a tutti i soggetti responsabili del monitoraggio e della valutazione di adempiere i propri obblighi</w:t>
      </w:r>
      <w:r>
        <w:rPr>
          <w:rStyle w:val="FootnoteReference"/>
        </w:rPr>
        <w:footnoteReference w:id="22"/>
      </w:r>
      <w:r>
        <w:t xml:space="preserve">. </w:t>
      </w:r>
    </w:p>
    <w:p w:rsidR="00F40273" w:rsidRPr="00CB20AA" w:rsidRDefault="00D42EC7" w:rsidP="001C2076">
      <w:pPr>
        <w:pStyle w:val="HStandard"/>
      </w:pPr>
      <w:r>
        <w:t xml:space="preserve">Inoltre, la Commissione europea fornisce </w:t>
      </w:r>
      <w:r>
        <w:rPr>
          <w:b/>
        </w:rPr>
        <w:t>schede</w:t>
      </w:r>
      <w:r>
        <w:t xml:space="preserve"> dettagliate per ciascuno degli indicatori comuni su cui rendicontare nelle RAE presentate nel 2017 e nel 2019; tra essi figurano anche i 16 </w:t>
      </w:r>
      <w:hyperlink r:id="rId16">
        <w:r>
          <w:rPr>
            <w:rStyle w:val="Hyperlink"/>
          </w:rPr>
          <w:t>indicatori comuni di impatto della PAC</w:t>
        </w:r>
      </w:hyperlink>
      <w:r>
        <w:t xml:space="preserve">. </w:t>
      </w:r>
      <w:r>
        <w:rPr>
          <w:b/>
        </w:rPr>
        <w:t>Ciascuna scheda per gli indicatori di impatto</w:t>
      </w:r>
      <w:r>
        <w:t xml:space="preserve"> contiene un link:</w:t>
      </w:r>
    </w:p>
    <w:p w:rsidR="00F40273" w:rsidRPr="001C6ACF" w:rsidRDefault="00A3244E" w:rsidP="00DA263D">
      <w:pPr>
        <w:pStyle w:val="Hlistbullet"/>
      </w:pPr>
      <w:r>
        <w:t xml:space="preserve">al rispettivo obiettivo strategico; </w:t>
      </w:r>
    </w:p>
    <w:p w:rsidR="00F40273" w:rsidRPr="001C6ACF" w:rsidRDefault="001C2076" w:rsidP="00DA263D">
      <w:pPr>
        <w:pStyle w:val="Hlistbullet"/>
      </w:pPr>
      <w:r>
        <w:t>alla definizione dell</w:t>
      </w:r>
      <w:r w:rsidR="00C36C9E">
        <w:t>'</w:t>
      </w:r>
      <w:r>
        <w:t xml:space="preserve">indicatore; </w:t>
      </w:r>
    </w:p>
    <w:p w:rsidR="00F40273" w:rsidRPr="001C6ACF" w:rsidRDefault="001C2076" w:rsidP="00DA263D">
      <w:pPr>
        <w:pStyle w:val="Hlistbullet"/>
      </w:pPr>
      <w:r>
        <w:t>all</w:t>
      </w:r>
      <w:r w:rsidR="00C36C9E">
        <w:t>'</w:t>
      </w:r>
      <w:r>
        <w:t xml:space="preserve">unità di misura; </w:t>
      </w:r>
    </w:p>
    <w:p w:rsidR="00F40273" w:rsidRPr="001C6ACF" w:rsidRDefault="001C2076" w:rsidP="00DA263D">
      <w:pPr>
        <w:pStyle w:val="Hlistbullet"/>
      </w:pPr>
      <w:r>
        <w:lastRenderedPageBreak/>
        <w:t xml:space="preserve">al metodo/alla formula di calcolo; </w:t>
      </w:r>
    </w:p>
    <w:p w:rsidR="00F40273" w:rsidRPr="001C6ACF" w:rsidRDefault="001C2076" w:rsidP="00DA263D">
      <w:pPr>
        <w:pStyle w:val="Hlistbullet"/>
      </w:pPr>
      <w:r>
        <w:t xml:space="preserve">ai requisiti per i dati e alle fonti; </w:t>
      </w:r>
    </w:p>
    <w:p w:rsidR="00F40273" w:rsidRPr="001C6ACF" w:rsidRDefault="003304E5" w:rsidP="00DA263D">
      <w:pPr>
        <w:pStyle w:val="Hlistbullet"/>
      </w:pPr>
      <w:r>
        <w:t xml:space="preserve">al livello e alla frequenza della raccolta dei dati; </w:t>
      </w:r>
    </w:p>
    <w:p w:rsidR="001C2076" w:rsidRPr="001C6ACF" w:rsidRDefault="001C2076" w:rsidP="00DA263D">
      <w:pPr>
        <w:pStyle w:val="Hlistbullet"/>
      </w:pPr>
      <w:r>
        <w:t xml:space="preserve">alle informazioni sui ritardi nella raccolta dei dati. </w:t>
      </w:r>
    </w:p>
    <w:p w:rsidR="001C2076" w:rsidRPr="001C6ACF" w:rsidRDefault="001C2076" w:rsidP="001C2076">
      <w:pPr>
        <w:pStyle w:val="HStandard"/>
      </w:pPr>
      <w:r>
        <w:rPr>
          <w:b/>
        </w:rPr>
        <w:t>13 dei 16 indicatori comuni di impatto della PAC</w:t>
      </w:r>
      <w:r>
        <w:t xml:space="preserve"> sono utilizzati per la valutazione degli impatti del PSR:</w:t>
      </w:r>
    </w:p>
    <w:p w:rsidR="001C2076" w:rsidRPr="001C6ACF" w:rsidRDefault="001C2076" w:rsidP="008D52EA">
      <w:pPr>
        <w:pStyle w:val="Hlistbullet"/>
      </w:pPr>
      <w:r>
        <w:t>I.01 Reddito da impresa agricola</w:t>
      </w:r>
    </w:p>
    <w:p w:rsidR="001C2076" w:rsidRPr="001C6ACF" w:rsidRDefault="001C2076" w:rsidP="008D52EA">
      <w:pPr>
        <w:pStyle w:val="Hlistbullet"/>
      </w:pPr>
      <w:r>
        <w:t>I.02 Reddito dei fattori in agricoltura</w:t>
      </w:r>
    </w:p>
    <w:p w:rsidR="001C2076" w:rsidRPr="001C6ACF" w:rsidRDefault="001C2076" w:rsidP="008D52EA">
      <w:pPr>
        <w:pStyle w:val="Hlistbullet"/>
      </w:pPr>
      <w:r>
        <w:t>I.03 Produttività totale dei fattori in agricoltura</w:t>
      </w:r>
    </w:p>
    <w:p w:rsidR="001C2076" w:rsidRPr="001C6ACF" w:rsidRDefault="001C2076" w:rsidP="008D52EA">
      <w:pPr>
        <w:pStyle w:val="Hlistbullet"/>
      </w:pPr>
      <w:r>
        <w:t>I.07 Emissioni agricole</w:t>
      </w:r>
    </w:p>
    <w:p w:rsidR="001C2076" w:rsidRPr="001C6ACF" w:rsidRDefault="001C2076" w:rsidP="008D52EA">
      <w:pPr>
        <w:pStyle w:val="Hlistbullet"/>
      </w:pPr>
      <w:r>
        <w:t>I.08 Indice dell</w:t>
      </w:r>
      <w:r w:rsidR="00C36C9E">
        <w:t>'</w:t>
      </w:r>
      <w:r>
        <w:t>avifauna nelle aree agricole</w:t>
      </w:r>
    </w:p>
    <w:p w:rsidR="001C2076" w:rsidRPr="001C6ACF" w:rsidRDefault="001C2076" w:rsidP="008D52EA">
      <w:pPr>
        <w:pStyle w:val="Hlistbullet"/>
      </w:pPr>
      <w:r>
        <w:t>I.09 Agricoltura ad alto valore naturalistico (AVN)</w:t>
      </w:r>
    </w:p>
    <w:p w:rsidR="001C2076" w:rsidRPr="001C6ACF" w:rsidRDefault="001C2076" w:rsidP="008D52EA">
      <w:pPr>
        <w:pStyle w:val="Hlistbullet"/>
      </w:pPr>
      <w:r>
        <w:t>I.10 Estrazione di acqua in agricoltura</w:t>
      </w:r>
    </w:p>
    <w:p w:rsidR="001C2076" w:rsidRPr="001C6ACF" w:rsidRDefault="001C2076" w:rsidP="008D52EA">
      <w:pPr>
        <w:pStyle w:val="Hlistbullet"/>
      </w:pPr>
      <w:r>
        <w:t>I.11 Qualità dell</w:t>
      </w:r>
      <w:r w:rsidR="00C36C9E">
        <w:t>'</w:t>
      </w:r>
      <w:r>
        <w:t>acqua</w:t>
      </w:r>
    </w:p>
    <w:p w:rsidR="001C2076" w:rsidRPr="001C6ACF" w:rsidRDefault="001C2076" w:rsidP="008D52EA">
      <w:pPr>
        <w:pStyle w:val="Hlistbullet"/>
      </w:pPr>
      <w:r>
        <w:t>I.12 Materia organica del suolo nei seminativi</w:t>
      </w:r>
    </w:p>
    <w:p w:rsidR="001C2076" w:rsidRPr="001C6ACF" w:rsidRDefault="001C2076" w:rsidP="008D52EA">
      <w:pPr>
        <w:pStyle w:val="Hlistbullet"/>
      </w:pPr>
      <w:r>
        <w:t>I.13 Erosione del suolo per azione dell</w:t>
      </w:r>
      <w:r w:rsidR="00C36C9E">
        <w:t>'</w:t>
      </w:r>
      <w:r>
        <w:t>acqua</w:t>
      </w:r>
    </w:p>
    <w:p w:rsidR="001C2076" w:rsidRPr="001C6ACF" w:rsidRDefault="001C2076" w:rsidP="008D52EA">
      <w:pPr>
        <w:pStyle w:val="Hlistbullet"/>
      </w:pPr>
      <w:r>
        <w:t>I.14 Tasso di occupazione in agricoltura</w:t>
      </w:r>
    </w:p>
    <w:p w:rsidR="001C2076" w:rsidRPr="001C6ACF" w:rsidRDefault="001C2076" w:rsidP="008D52EA">
      <w:pPr>
        <w:pStyle w:val="Hlistbullet"/>
      </w:pPr>
      <w:r>
        <w:t>I.15 Grado di povertà in agricoltura</w:t>
      </w:r>
    </w:p>
    <w:p w:rsidR="001C2076" w:rsidRPr="001C6ACF" w:rsidRDefault="001C2076" w:rsidP="008D52EA">
      <w:pPr>
        <w:pStyle w:val="Hlistbullet"/>
      </w:pPr>
      <w:r>
        <w:t>I.16 PIL agricolo pro capite</w:t>
      </w:r>
    </w:p>
    <w:p w:rsidR="001C2076" w:rsidRPr="001C6ACF" w:rsidRDefault="00B21618" w:rsidP="00E35440">
      <w:pPr>
        <w:pStyle w:val="HHeading2"/>
      </w:pPr>
      <w:r>
        <w:t xml:space="preserve"> Come rendicontare in merito al QVC nel 2019?</w:t>
      </w:r>
    </w:p>
    <w:p w:rsidR="001C2076" w:rsidRPr="001C6ACF" w:rsidRDefault="003304E5" w:rsidP="003304E5">
      <w:pPr>
        <w:pStyle w:val="HStandard"/>
      </w:pPr>
      <w:r>
        <w:t xml:space="preserve">Nel 2019 gli Stati membri rendicontano in merito ai risultati delle proprie valutazioni rispondendo a tutte le pertinenti domande di valutazione comuni e specifiche del programma in ciascuna delle rispettive sezioni della RAE. </w:t>
      </w:r>
    </w:p>
    <w:p w:rsidR="001C2076" w:rsidRPr="001C6ACF" w:rsidRDefault="00906DAF" w:rsidP="003304E5">
      <w:pPr>
        <w:pStyle w:val="HStandard"/>
      </w:pPr>
      <w:r>
        <w:t>Analogamente alle domande nn. 1-21 del QVC, le risposte alle domande relative agli obiettivi a livello dell</w:t>
      </w:r>
      <w:r w:rsidR="00C36C9E">
        <w:t>'</w:t>
      </w:r>
      <w:r>
        <w:t>UE (nn. 22-30) dovrebbero basarsi sulle prove ottenute dai risultati della valutazione. I giudizi sul successo degli interventi sono formulati con l</w:t>
      </w:r>
      <w:r w:rsidR="00C36C9E">
        <w:t>'</w:t>
      </w:r>
      <w:r>
        <w:t>aiuto di criteri di giudizio e misurati mediante indicatori comuni e aggiuntivi di impatto, nonché mediante indicatori collegati alla strategia dell</w:t>
      </w:r>
      <w:r w:rsidR="00C36C9E">
        <w:t>'</w:t>
      </w:r>
      <w:r>
        <w:t>UE per una crescita intelligente, sostenibile e inclusiva. Inoltre, in caso di scarsità di dati, per rispondere al questionario valutativo si possono raccogliere anche informazioni qualitative.</w:t>
      </w:r>
    </w:p>
    <w:p w:rsidR="00970A15" w:rsidRPr="001C6ACF" w:rsidRDefault="00C16EB2" w:rsidP="00970A15">
      <w:pPr>
        <w:pStyle w:val="HHeading4"/>
      </w:pPr>
      <w:r>
        <w:t>Quali sono le fasi generali per rispondere al questionario valutativo?</w:t>
      </w:r>
    </w:p>
    <w:p w:rsidR="001C2076" w:rsidRPr="001C6ACF" w:rsidRDefault="001C2076" w:rsidP="007D2D54">
      <w:pPr>
        <w:pStyle w:val="HStandard"/>
        <w:rPr>
          <w:rFonts w:cs="Arial"/>
        </w:rPr>
      </w:pPr>
      <w:r>
        <w:t xml:space="preserve">Si raccomanda di attenersi alle seguenti fasi generali per elaborare </w:t>
      </w:r>
      <w:r w:rsidR="00A05534">
        <w:t>le risposte alle domande nn. 22</w:t>
      </w:r>
      <w:r w:rsidR="00A05534">
        <w:noBreakHyphen/>
      </w:r>
      <w:r>
        <w:t>30 del QVC:</w:t>
      </w:r>
    </w:p>
    <w:p w:rsidR="001C2076" w:rsidRPr="001C6ACF" w:rsidRDefault="007B324B" w:rsidP="00E35440">
      <w:pPr>
        <w:pStyle w:val="Hlistbullet"/>
      </w:pPr>
      <w:r>
        <w:t>riesaminare la logica di intervento del programma collegata agli obiettivi della PAC/obiettivi della strategia Europa 2020, alla o alle priorità dello sviluppo rurale, all</w:t>
      </w:r>
      <w:r w:rsidR="00C36C9E">
        <w:t>'</w:t>
      </w:r>
      <w:r>
        <w:t>aspetto o agli aspetti specifici e alle misure di ciascuna domanda del QVC;</w:t>
      </w:r>
    </w:p>
    <w:p w:rsidR="001C2076" w:rsidRPr="001C6ACF" w:rsidRDefault="00DA263D" w:rsidP="00E35440">
      <w:pPr>
        <w:pStyle w:val="Hlistbullet"/>
      </w:pPr>
      <w:r>
        <w:t xml:space="preserve">definire criteri di giudizio e collegarli agli indicatori comuni (e aggiuntivi) di impatto da utilizzare per rispondere al questionario valutativo; </w:t>
      </w:r>
    </w:p>
    <w:p w:rsidR="001C2076" w:rsidRPr="00863E73" w:rsidRDefault="007B324B" w:rsidP="00E35440">
      <w:pPr>
        <w:pStyle w:val="Hlistbullet"/>
      </w:pPr>
      <w:r>
        <w:t>selezionare metodi quantitativi e qualitativi atti a valutare i valori netti</w:t>
      </w:r>
      <w:r>
        <w:rPr>
          <w:rStyle w:val="FootnoteReference"/>
          <w:i w:val="0"/>
          <w:position w:val="0"/>
          <w:sz w:val="20"/>
          <w:vertAlign w:val="superscript"/>
        </w:rPr>
        <w:footnoteReference w:id="23"/>
      </w:r>
      <w:r>
        <w:t xml:space="preserve"> degli indicatori di impatto; </w:t>
      </w:r>
    </w:p>
    <w:p w:rsidR="001C2076" w:rsidRPr="001C6ACF" w:rsidRDefault="007B324B" w:rsidP="00E35440">
      <w:pPr>
        <w:pStyle w:val="Hlistbullet"/>
      </w:pPr>
      <w:r>
        <w:t xml:space="preserve">fornire valori quantitativi per gli indicatori di risultato e di impatto nonché pertinenti risultati qualitativi per rispondere al questionario valutativo; </w:t>
      </w:r>
    </w:p>
    <w:p w:rsidR="001C2076" w:rsidRPr="001C6ACF" w:rsidRDefault="007B324B" w:rsidP="00E35440">
      <w:pPr>
        <w:pStyle w:val="Hlistbullet"/>
      </w:pPr>
      <w:r>
        <w:t>rispondere al questionario valutativo.</w:t>
      </w:r>
    </w:p>
    <w:p w:rsidR="001C2076" w:rsidRPr="001C6ACF" w:rsidRDefault="00217482" w:rsidP="007D2D54">
      <w:pPr>
        <w:pStyle w:val="HStandard"/>
      </w:pPr>
      <w:r>
        <w:lastRenderedPageBreak/>
        <w:t>Le fasi suindicate sono simili a quelle suggerite per l</w:t>
      </w:r>
      <w:r w:rsidR="00C36C9E">
        <w:t>'</w:t>
      </w:r>
      <w:r>
        <w:t xml:space="preserve">esercizio di valutazione nel 2017. Tuttavia, nel 2019 possono sorgere alcune nuove sfide, che sono spiegate in dettaglio nella </w:t>
      </w:r>
      <w:r>
        <w:rPr>
          <w:color w:val="F07E31" w:themeColor="accent1"/>
        </w:rPr>
        <w:t xml:space="preserve">parte II </w:t>
      </w:r>
      <w:r>
        <w:t xml:space="preserve">delle linee guida. </w:t>
      </w:r>
    </w:p>
    <w:p w:rsidR="001C2076" w:rsidRPr="001C6ACF" w:rsidRDefault="001C2076" w:rsidP="00812032">
      <w:pPr>
        <w:pStyle w:val="HHeading4"/>
      </w:pPr>
      <w:r>
        <w:t xml:space="preserve">Dove si possono trovare orientamenti per rispondere al QVC nel 2019? </w:t>
      </w:r>
    </w:p>
    <w:p w:rsidR="00217482" w:rsidRPr="001C6ACF" w:rsidRDefault="00217482" w:rsidP="00217482">
      <w:pPr>
        <w:pStyle w:val="HStandard"/>
      </w:pPr>
      <w:r>
        <w:t>Le presenti linee guida forniscono informazioni dettagliate su come</w:t>
      </w:r>
      <w:r w:rsidR="00BD4B8D">
        <w:t xml:space="preserve"> rispondere alle domande nn. 22</w:t>
      </w:r>
      <w:r w:rsidR="00BD4B8D">
        <w:noBreakHyphen/>
      </w:r>
      <w:r>
        <w:t>30 del QVC relative agli obiettivi a livello dell</w:t>
      </w:r>
      <w:r w:rsidR="00C36C9E">
        <w:t>'</w:t>
      </w:r>
      <w:r>
        <w:t xml:space="preserve">UE. Laddove necessario, le linee guida rimandano ad altri orientamenti pertinenti, come indicato nella tabella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Gli orientamenti per rispondere alle domande del QVC relative agli aspetti specifici dello sviluppo rurale, alle sinergie dei programmi, all</w:t>
      </w:r>
      <w:r w:rsidR="00C36C9E">
        <w:rPr>
          <w:color w:val="373737" w:themeColor="text1"/>
          <w:sz w:val="20"/>
        </w:rPr>
        <w:t>'</w:t>
      </w:r>
      <w:r>
        <w:rPr>
          <w:color w:val="373737" w:themeColor="text1"/>
          <w:sz w:val="20"/>
        </w:rPr>
        <w:t>assistenza tecnica e alle reti rurali nazionali (domande nn. 1-21 del QVC) sono disponibili:</w:t>
      </w:r>
    </w:p>
    <w:p w:rsidR="008E3ACB" w:rsidRPr="001C6ACF" w:rsidRDefault="00217482" w:rsidP="00E35440">
      <w:pPr>
        <w:pStyle w:val="Hlistbullet"/>
      </w:pPr>
      <w:r>
        <w:t xml:space="preserve">nelle </w:t>
      </w:r>
      <w:r>
        <w:rPr>
          <w:i/>
        </w:rPr>
        <w:t xml:space="preserve">Linee guida </w:t>
      </w:r>
      <w:hyperlink r:id="rId17">
        <w:r>
          <w:rPr>
            <w:rStyle w:val="Hyperlink"/>
            <w:i/>
            <w:color w:val="373737" w:themeColor="text1"/>
            <w:u w:val="none"/>
          </w:rPr>
          <w:t>Valutazione dei risultati del PSR: come prepararsi per la rendicontazione in merito alla valutazione nel 2017</w:t>
        </w:r>
      </w:hyperlink>
      <w:r>
        <w:t xml:space="preserve">; questo documento spiega come rendicontare in merito alle valutazioni nella RAE presentata nel 2017 e successivamente. Le linee guida suggeriscono possibili approcci valutativi per esaminare i risultati del PSR nel 2017; tali approcci restano validi anche nel 2019 per quanto riguarda le domande nn. 1-21 del QVC; </w:t>
      </w:r>
    </w:p>
    <w:p w:rsidR="001C2076" w:rsidRPr="001C6ACF" w:rsidRDefault="006F62E2" w:rsidP="00E35440">
      <w:pPr>
        <w:pStyle w:val="Hlistbullet"/>
      </w:pPr>
      <w:r>
        <w:t>nell</w:t>
      </w:r>
      <w:r w:rsidR="00C36C9E">
        <w:t>'</w:t>
      </w:r>
      <w:hyperlink r:id="rId18">
        <w:r>
          <w:rPr>
            <w:rStyle w:val="Hyperlink"/>
            <w:i/>
            <w:color w:val="373737" w:themeColor="text1"/>
            <w:u w:val="none"/>
          </w:rPr>
          <w:t>Allegato 11 – Schede per rispondere al questionario valutativo comune per i programmi di sviluppo rurale 2014-2020</w:t>
        </w:r>
      </w:hyperlink>
      <w:r>
        <w:rPr>
          <w:rStyle w:val="Hyperlink"/>
          <w:i/>
          <w:color w:val="373737" w:themeColor="text1"/>
          <w:u w:val="none"/>
        </w:rPr>
        <w:t>,</w:t>
      </w:r>
      <w:r>
        <w:t xml:space="preserve"> che offre supporto tecnico su com</w:t>
      </w:r>
      <w:r w:rsidR="00BD4B8D">
        <w:t>e rispondere alle domande nn. 1</w:t>
      </w:r>
      <w:r w:rsidR="00BD4B8D">
        <w:noBreakHyphen/>
      </w:r>
      <w:r>
        <w:t>21 del QVC. Inoltre, l</w:t>
      </w:r>
      <w:r w:rsidR="00C36C9E">
        <w:t>'</w:t>
      </w:r>
      <w:r>
        <w:t>allegato illustra la logica di intervento correlata a ciascuna domanda del QVC, descrive elementi di valutazione utili e propone metodi di valutazione.</w:t>
      </w:r>
    </w:p>
    <w:p w:rsidR="0020488A" w:rsidRPr="001C6ACF" w:rsidRDefault="0020488A" w:rsidP="005A56B7">
      <w:pPr>
        <w:pStyle w:val="HStandard"/>
      </w:pPr>
      <w:r>
        <w:t xml:space="preserve">La tabella 1 contiene una panoramica dei documenti più rilevanti per rispondere al QVC nella RAE del 2019: </w:t>
      </w:r>
    </w:p>
    <w:p w:rsidR="00AB3BA1" w:rsidRPr="001C6ACF" w:rsidRDefault="009F77FD" w:rsidP="00BD4B8D">
      <w:pPr>
        <w:pStyle w:val="HHeadingtables"/>
      </w:pPr>
      <w:r>
        <w:br w:type="column"/>
      </w:r>
      <w:r>
        <w:lastRenderedPageBreak/>
        <w:t>Orientamenti per rispondere al QVC nella RAE del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QVC</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Documento</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Rilevanza per la RAE del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w:t>
            </w:r>
            <w:r w:rsidR="00BD4B8D">
              <w:t xml:space="preserve"> </w:t>
            </w:r>
            <w:r>
              <w:t>-</w:t>
            </w:r>
            <w:r w:rsidR="00BD4B8D">
              <w:t xml:space="preserve"> </w:t>
            </w:r>
            <w:r>
              <w:t>21</w:t>
            </w:r>
          </w:p>
        </w:tc>
        <w:tc>
          <w:tcPr>
            <w:tcW w:w="2410" w:type="dxa"/>
          </w:tcPr>
          <w:p w:rsidR="009F7952" w:rsidRPr="00571D58" w:rsidRDefault="00CE0CD6" w:rsidP="00BD4B8D">
            <w:pPr>
              <w:pStyle w:val="HStandard"/>
              <w:jc w:val="left"/>
            </w:pPr>
            <w:hyperlink r:id="rId19">
              <w:r w:rsidR="006F62E2">
                <w:rPr>
                  <w:rStyle w:val="Hyperlink"/>
                </w:rPr>
                <w:t>Schede degli indicatori di obiettivo per il secondo pilastro (priorità</w:t>
              </w:r>
              <w:r w:rsidR="00BD4B8D">
                <w:rPr>
                  <w:rStyle w:val="Hyperlink"/>
                </w:rPr>
                <w:t> </w:t>
              </w:r>
              <w:r w:rsidR="006F62E2">
                <w:rPr>
                  <w:rStyle w:val="Hyperlink"/>
                </w:rPr>
                <w:t>I e II)</w:t>
              </w:r>
            </w:hyperlink>
          </w:p>
        </w:tc>
        <w:tc>
          <w:tcPr>
            <w:tcW w:w="5477" w:type="dxa"/>
          </w:tcPr>
          <w:p w:rsidR="009F7952" w:rsidRPr="00FB6C06" w:rsidRDefault="009F7952" w:rsidP="005A56B7">
            <w:pPr>
              <w:pStyle w:val="HStandard"/>
            </w:pPr>
            <w:r>
              <w:t>Mostrano per ciascun indicatore i rispettivi link alla priorità e all</w:t>
            </w:r>
            <w:r w:rsidR="00C36C9E">
              <w:t>'</w:t>
            </w:r>
            <w:r>
              <w:t>aspetto specifico, la definizione e l</w:t>
            </w:r>
            <w:r w:rsidR="00C36C9E">
              <w:t>'</w:t>
            </w:r>
            <w:r>
              <w:t>unità di misura, il metodo di calcolo, i dati richiesti e le fonti dei dati, la frequenza della raccolta e le modalità di trasmissione alla Commissione europea.</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CE0CD6" w:rsidP="004B567F">
            <w:pPr>
              <w:pStyle w:val="HStandard"/>
              <w:spacing w:after="80"/>
              <w:jc w:val="left"/>
            </w:pPr>
            <w:hyperlink r:id="rId20">
              <w:r w:rsidR="006F62E2">
                <w:rPr>
                  <w:rStyle w:val="Hyperlink"/>
                </w:rPr>
                <w:t>Schede degli indicatori complementari di risultato per il secondo pilastro</w:t>
              </w:r>
            </w:hyperlink>
          </w:p>
        </w:tc>
        <w:tc>
          <w:tcPr>
            <w:tcW w:w="5477" w:type="dxa"/>
          </w:tcPr>
          <w:p w:rsidR="009F7952" w:rsidRPr="00336531" w:rsidRDefault="009F7952" w:rsidP="005A56B7">
            <w:pPr>
              <w:pStyle w:val="HStandard"/>
            </w:pPr>
            <w:r>
              <w:t>Contengono orientamenti simili per ciascuno degli indicatori complementari di risultato.</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CE0CD6" w:rsidP="004B567F">
            <w:pPr>
              <w:pStyle w:val="HStandard"/>
              <w:spacing w:after="80"/>
              <w:jc w:val="left"/>
            </w:pPr>
            <w:hyperlink r:id="rId21">
              <w:r w:rsidR="006F62E2">
                <w:rPr>
                  <w:rStyle w:val="Hyperlink"/>
                </w:rPr>
                <w:t>Linee guida Valutazione dei risultati del PSR: come prepararsi per la rendicontazione in merito alla valutazione nel 2017</w:t>
              </w:r>
            </w:hyperlink>
            <w:r w:rsidR="006F62E2">
              <w:rPr>
                <w:rStyle w:val="Hyperlink"/>
              </w:rPr>
              <w:t xml:space="preserve"> (allegato 11 separato)</w:t>
            </w:r>
          </w:p>
        </w:tc>
        <w:tc>
          <w:tcPr>
            <w:tcW w:w="5477" w:type="dxa"/>
          </w:tcPr>
          <w:p w:rsidR="009F7952" w:rsidRPr="001C6ACF" w:rsidRDefault="00116A79" w:rsidP="00593F3E">
            <w:pPr>
              <w:pStyle w:val="HStandard"/>
            </w:pPr>
            <w:r>
              <w:t>Suggeriscono come rendicontare in merito alle valutazioni nella RAE presentata nel 2017, come svolgere le attività di valutazione e quali metodi applicare per rispondere alle domande nn. 1-21 del QVC.</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CE0CD6" w:rsidP="004B567F">
            <w:pPr>
              <w:pStyle w:val="HStandard"/>
              <w:spacing w:after="80"/>
              <w:jc w:val="left"/>
            </w:pPr>
            <w:hyperlink r:id="rId22">
              <w:r w:rsidR="006F62E2">
                <w:rPr>
                  <w:rStyle w:val="Hyperlink"/>
                </w:rPr>
                <w:t>Linee guida Valutazione di LEADER/CLLD</w:t>
              </w:r>
            </w:hyperlink>
          </w:p>
        </w:tc>
        <w:tc>
          <w:tcPr>
            <w:tcW w:w="5477" w:type="dxa"/>
          </w:tcPr>
          <w:p w:rsidR="009F7952" w:rsidRPr="007645B4" w:rsidRDefault="00116A79" w:rsidP="005A56B7">
            <w:pPr>
              <w:pStyle w:val="HStandard"/>
            </w:pPr>
            <w:r>
              <w:t xml:space="preserve">Spiegano come valutare i contributi primari e secondari di LEADER/CLLD agli aspetti specifici dello sviluppo rurale.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CE0CD6" w:rsidP="00DF22D0">
            <w:pPr>
              <w:pStyle w:val="HStandard"/>
              <w:jc w:val="left"/>
            </w:pPr>
            <w:hyperlink r:id="rId23">
              <w:r w:rsidR="006F62E2">
                <w:rPr>
                  <w:rStyle w:val="Hyperlink"/>
                </w:rPr>
                <w:t>Linee guida Valutazione dell</w:t>
              </w:r>
              <w:r w:rsidR="00C36C9E">
                <w:rPr>
                  <w:rStyle w:val="Hyperlink"/>
                </w:rPr>
                <w:t>'</w:t>
              </w:r>
              <w:r w:rsidR="006F62E2">
                <w:rPr>
                  <w:rStyle w:val="Hyperlink"/>
                </w:rPr>
                <w:t>innovazione nei PSR 2014-2020</w:t>
              </w:r>
            </w:hyperlink>
          </w:p>
        </w:tc>
        <w:tc>
          <w:tcPr>
            <w:tcW w:w="5477" w:type="dxa"/>
          </w:tcPr>
          <w:p w:rsidR="009F7952" w:rsidRPr="00863E73" w:rsidRDefault="009F7952" w:rsidP="005A56B7">
            <w:pPr>
              <w:pStyle w:val="HStandard"/>
            </w:pPr>
            <w:r>
              <w:t>Forniscono informazioni sulla valutazione dell</w:t>
            </w:r>
            <w:r w:rsidR="00C36C9E">
              <w:t>'</w:t>
            </w:r>
            <w:r>
              <w:t>innovazione in relazione agli aspetti specifici 1A e 1B e sul sostegno all</w:t>
            </w:r>
            <w:r w:rsidR="00C36C9E">
              <w:t>'</w:t>
            </w:r>
            <w:r>
              <w:t>innovazione mediante le attività delle reti rurali nazionali. Inoltre, offrono supporto per rispondere alle domande nn. 1, 2 e 21 del QVC dal punto di vista dell</w:t>
            </w:r>
            <w:r w:rsidR="00C36C9E">
              <w:t>'</w:t>
            </w:r>
            <w:r>
              <w:t xml:space="preserve">innovazione. </w:t>
            </w:r>
          </w:p>
        </w:tc>
      </w:tr>
      <w:tr w:rsidR="002C57D4" w:rsidRPr="001C6ACF" w:rsidTr="00A746BC">
        <w:tc>
          <w:tcPr>
            <w:tcW w:w="1129" w:type="dxa"/>
            <w:vMerge w:val="restart"/>
          </w:tcPr>
          <w:p w:rsidR="002C57D4" w:rsidRPr="001C6ACF" w:rsidRDefault="002C57D4" w:rsidP="00A746BC">
            <w:pPr>
              <w:pStyle w:val="HStandard"/>
              <w:jc w:val="center"/>
            </w:pPr>
            <w:r>
              <w:t>22</w:t>
            </w:r>
            <w:r w:rsidR="004B567F">
              <w:t xml:space="preserve"> </w:t>
            </w:r>
            <w:r>
              <w:t>-</w:t>
            </w:r>
            <w:r w:rsidR="004B567F">
              <w:t xml:space="preserve"> </w:t>
            </w:r>
            <w:r>
              <w:t>30</w:t>
            </w:r>
          </w:p>
        </w:tc>
        <w:tc>
          <w:tcPr>
            <w:tcW w:w="2410" w:type="dxa"/>
          </w:tcPr>
          <w:p w:rsidR="002C57D4" w:rsidRPr="00571D58" w:rsidRDefault="00CE0CD6" w:rsidP="00DF22D0">
            <w:pPr>
              <w:pStyle w:val="HStandard"/>
              <w:jc w:val="left"/>
            </w:pPr>
            <w:hyperlink r:id="rId24">
              <w:r w:rsidR="006F62E2">
                <w:rPr>
                  <w:rStyle w:val="Hyperlink"/>
                </w:rPr>
                <w:t>Schede per gli indicatori di impatto</w:t>
              </w:r>
            </w:hyperlink>
          </w:p>
        </w:tc>
        <w:tc>
          <w:tcPr>
            <w:tcW w:w="5477" w:type="dxa"/>
          </w:tcPr>
          <w:p w:rsidR="002C57D4" w:rsidRPr="001C6ACF" w:rsidRDefault="002C57D4" w:rsidP="005A56B7">
            <w:pPr>
              <w:pStyle w:val="HStandard"/>
            </w:pPr>
            <w:r>
              <w:t>Forniscono informazioni riguardanti i nessi tra l</w:t>
            </w:r>
            <w:r w:rsidR="00C36C9E">
              <w:t>'</w:t>
            </w:r>
            <w:r>
              <w:t>indicatore e gli obiettivi complessivi della PAC, la definizione degli indicatori, l</w:t>
            </w:r>
            <w:r w:rsidR="00C36C9E">
              <w:t>'</w:t>
            </w:r>
            <w:r>
              <w:t>unità di misura, il metodo/la formula di calcolo, i requisiti per i dati nonché le fonti, la frequenza/il ritardo della raccolta e la collocazione dei dati.</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CE0CD6" w:rsidP="004B567F">
            <w:pPr>
              <w:pStyle w:val="HStandard"/>
              <w:spacing w:after="80"/>
              <w:jc w:val="left"/>
            </w:pPr>
            <w:hyperlink r:id="rId25">
              <w:r w:rsidR="006F62E2">
                <w:rPr>
                  <w:rStyle w:val="Hyperlink"/>
                </w:rPr>
                <w:t>Dati più recenti sugli indicatori di contesto comunicati dagli Stati membri</w:t>
              </w:r>
            </w:hyperlink>
          </w:p>
        </w:tc>
        <w:tc>
          <w:tcPr>
            <w:tcW w:w="5477" w:type="dxa"/>
          </w:tcPr>
          <w:p w:rsidR="00A75E50" w:rsidRPr="00336531" w:rsidRDefault="00A75E50" w:rsidP="00FF4127">
            <w:pPr>
              <w:pStyle w:val="HStandard"/>
            </w:pPr>
            <w:r>
              <w:t>La Commissione europea fornisce annualmente un aggiornamento dei dati (laddove disponibili) per gli indicatori comuni di contesto sulla base dei dati inviati dagli Stati membri.</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336531" w:rsidRDefault="00CE0CD6" w:rsidP="004B567F">
            <w:pPr>
              <w:pStyle w:val="HStandard"/>
              <w:spacing w:after="80"/>
              <w:jc w:val="left"/>
            </w:pPr>
            <w:hyperlink r:id="rId26">
              <w:r w:rsidR="006F62E2">
                <w:rPr>
                  <w:rStyle w:val="Hyperlink"/>
                </w:rPr>
                <w:t>Linee guida Valutazione dell</w:t>
              </w:r>
              <w:r w:rsidR="00C36C9E">
                <w:rPr>
                  <w:rStyle w:val="Hyperlink"/>
                </w:rPr>
                <w:t>'</w:t>
              </w:r>
              <w:r w:rsidR="006F62E2">
                <w:rPr>
                  <w:rStyle w:val="Hyperlink"/>
                </w:rPr>
                <w:t>innovazione nei PSR 2014-2020</w:t>
              </w:r>
            </w:hyperlink>
          </w:p>
        </w:tc>
        <w:tc>
          <w:tcPr>
            <w:tcW w:w="5477" w:type="dxa"/>
          </w:tcPr>
          <w:p w:rsidR="00A75E50" w:rsidRPr="001C6ACF" w:rsidRDefault="00A75E50" w:rsidP="00FF4127">
            <w:pPr>
              <w:pStyle w:val="HStandard"/>
            </w:pPr>
            <w:r>
              <w:t>Forniscono informazioni sulla valutazione dei contributi del PSR al conseguimento dell</w:t>
            </w:r>
            <w:r w:rsidR="00C36C9E">
              <w:t>'</w:t>
            </w:r>
            <w:r>
              <w:t>obiettivo principale della strategia Europa 2020 consistente nell</w:t>
            </w:r>
            <w:r w:rsidR="00C36C9E">
              <w:t>'</w:t>
            </w:r>
            <w:r>
              <w:t>investire il 3</w:t>
            </w:r>
            <w:r w:rsidR="00C36C9E">
              <w:t> </w:t>
            </w:r>
            <w:r>
              <w:t>% del PIL dell</w:t>
            </w:r>
            <w:r w:rsidR="00C36C9E">
              <w:t>'</w:t>
            </w:r>
            <w:r>
              <w:t>UE nella ricerca e sviluppo e nell</w:t>
            </w:r>
            <w:r w:rsidR="00C36C9E">
              <w:t>'</w:t>
            </w:r>
            <w:r>
              <w:t>innovazione, sulla valutazione del contributo del PSR all</w:t>
            </w:r>
            <w:r w:rsidR="00C36C9E">
              <w:t>'</w:t>
            </w:r>
            <w:r>
              <w:t>innovazione e su come rispondere alle domande nn. 23 e 30 del QVC.</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CE0CD6" w:rsidP="00DF22D0">
            <w:pPr>
              <w:pStyle w:val="HStandard"/>
              <w:jc w:val="left"/>
            </w:pPr>
            <w:hyperlink r:id="rId27">
              <w:r w:rsidR="006F62E2">
                <w:rPr>
                  <w:rStyle w:val="Hyperlink"/>
                </w:rPr>
                <w:t>Informazioni sulla strategia Europa 2020</w:t>
              </w:r>
            </w:hyperlink>
          </w:p>
        </w:tc>
        <w:tc>
          <w:tcPr>
            <w:tcW w:w="5477" w:type="dxa"/>
          </w:tcPr>
          <w:p w:rsidR="00A75E50" w:rsidRPr="001C6ACF" w:rsidRDefault="00A75E50" w:rsidP="00EE407C">
            <w:pPr>
              <w:pStyle w:val="HStandard"/>
            </w:pPr>
            <w:r>
              <w:t>La strategia Europa 2020 serve da quadro di riferimento per le attività a livello dell</w:t>
            </w:r>
            <w:r w:rsidR="00C36C9E">
              <w:t>'</w:t>
            </w:r>
            <w:r>
              <w:t>UE, nazionale e regionale. I governi dell</w:t>
            </w:r>
            <w:r w:rsidR="00C36C9E">
              <w:t>'</w:t>
            </w:r>
            <w:r>
              <w:t>UE hanno stabilito obiettivi nazionali per contribuire al conseguimento degli obiettivi principali complessivi dell</w:t>
            </w:r>
            <w:r w:rsidR="00C36C9E">
              <w:t>'</w:t>
            </w:r>
            <w:r>
              <w:t xml:space="preserve">UE e rendicontano in proposito nel contesto dei rispettivi programmi annuali nazionali di </w:t>
            </w:r>
            <w:r>
              <w:lastRenderedPageBreak/>
              <w:t>riforma. L</w:t>
            </w:r>
            <w:r w:rsidR="00C36C9E">
              <w:t>'</w:t>
            </w:r>
            <w:r>
              <w:t>ufficio statistico dell</w:t>
            </w:r>
            <w:r w:rsidR="00C36C9E">
              <w:t>'</w:t>
            </w:r>
            <w:r>
              <w:t>UE Eurostat pubblica periodicamente relazioni generali sui progressi compiuti per quanto riguarda gli obiettivi (</w:t>
            </w:r>
            <w:hyperlink r:id="rId28">
              <w:r>
                <w:rPr>
                  <w:rStyle w:val="Hyperlink"/>
                </w:rPr>
                <w:t xml:space="preserve">pubblicazione </w:t>
              </w:r>
              <w:r w:rsidR="00C36C9E">
                <w:rPr>
                  <w:rStyle w:val="Hyperlink"/>
                </w:rPr>
                <w:t>"</w:t>
              </w:r>
              <w:r>
                <w:rPr>
                  <w:rStyle w:val="Hyperlink"/>
                </w:rPr>
                <w:t>Smarter, greener, more inclusive? Indicators to support the Europe 2020 strategy</w:t>
              </w:r>
            </w:hyperlink>
            <w:r>
              <w:t xml:space="preserve">, </w:t>
            </w:r>
            <w:r w:rsidR="00C36C9E">
              <w:t>"</w:t>
            </w:r>
            <w:r>
              <w:t>Più intelligente, più verde, più inclusivo? Indicatori a supporto della strategia Europa 2020</w:t>
            </w:r>
            <w:r w:rsidR="00C36C9E">
              <w:t>"</w:t>
            </w:r>
            <w:r>
              <w:t xml:space="preserve">); tali relazioni </w:t>
            </w:r>
            <w:r>
              <w:rPr>
                <w:color w:val="333333"/>
              </w:rPr>
              <w:t>illustrano la situazione negli Stati membri e</w:t>
            </w:r>
            <w:r>
              <w:t xml:space="preserve"> monitorano i progressi compiuti verso il conseguimento degli obiettivi dell</w:t>
            </w:r>
            <w:r w:rsidR="00C36C9E">
              <w:t>'</w:t>
            </w:r>
            <w:r>
              <w:t xml:space="preserve">UE </w:t>
            </w:r>
            <w:r>
              <w:rPr>
                <w:color w:val="333333"/>
              </w:rPr>
              <w:t>e di quelli definiti nell</w:t>
            </w:r>
            <w:r w:rsidR="00C36C9E">
              <w:rPr>
                <w:color w:val="333333"/>
              </w:rPr>
              <w:t>'</w:t>
            </w:r>
            <w:r>
              <w:rPr>
                <w:color w:val="333333"/>
              </w:rPr>
              <w:t>ambito delle tre priorità che si rafforzano a vicenda della crescita intelligente, sostenibile e inclusiva</w:t>
            </w:r>
            <w:r>
              <w:t>.</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e 30</w:t>
            </w:r>
          </w:p>
        </w:tc>
        <w:tc>
          <w:tcPr>
            <w:tcW w:w="2410" w:type="dxa"/>
          </w:tcPr>
          <w:p w:rsidR="00A75E50" w:rsidRPr="00571D58" w:rsidRDefault="00CE0CD6" w:rsidP="004B567F">
            <w:pPr>
              <w:pStyle w:val="HStandard"/>
              <w:spacing w:after="80"/>
              <w:jc w:val="left"/>
              <w:rPr>
                <w:rFonts w:cs="Arial"/>
                <w:color w:val="F07E31" w:themeColor="accent1"/>
              </w:rPr>
            </w:pPr>
            <w:hyperlink r:id="rId29">
              <w:r w:rsidR="006F62E2">
                <w:rPr>
                  <w:rStyle w:val="Hyperlink"/>
                </w:rPr>
                <w:t>Informazioni sugli obiettivi della strategia Europa 2020 comunicate dagli Stati membri</w:t>
              </w:r>
            </w:hyperlink>
          </w:p>
        </w:tc>
        <w:tc>
          <w:tcPr>
            <w:tcW w:w="5477" w:type="dxa"/>
          </w:tcPr>
          <w:p w:rsidR="00A75E50" w:rsidRPr="001C6ACF" w:rsidRDefault="00A75E50" w:rsidP="00823352">
            <w:pPr>
              <w:pStyle w:val="HStandard"/>
            </w:pPr>
            <w:r>
              <w:t>Eurostat aggiorna periodicamente le informazioni sugli obiettivi nazionali per conseguire gli obiettivi principali della strategia Europa 2020 per ciascuno Stato membro.</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CE0CD6">
            <w:pPr>
              <w:pStyle w:val="HStandard"/>
              <w:jc w:val="left"/>
              <w:rPr>
                <w:rFonts w:cs="Arial"/>
              </w:rPr>
            </w:pPr>
            <w:hyperlink r:id="rId30">
              <w:r w:rsidR="006F62E2">
                <w:rPr>
                  <w:rStyle w:val="Hyperlink"/>
                </w:rPr>
                <w:t>Schede per gli indicatori di contesto</w:t>
              </w:r>
            </w:hyperlink>
            <w:r w:rsidR="006F62E2">
              <w:t xml:space="preserve"> </w:t>
            </w:r>
          </w:p>
        </w:tc>
        <w:tc>
          <w:tcPr>
            <w:tcW w:w="5477" w:type="dxa"/>
          </w:tcPr>
          <w:p w:rsidR="00A75E50" w:rsidRPr="007645B4" w:rsidRDefault="00A75E50" w:rsidP="00FF4127">
            <w:pPr>
              <w:pStyle w:val="HStandard"/>
            </w:pPr>
            <w:r>
              <w:t>45 indicatori comuni di contesto della PAC (suddivisi in tre gruppi: socio-economici, settoriali e ambientali) rispecchiano aspetti rilevanti delle tendenze contestuali generali nell</w:t>
            </w:r>
            <w:r w:rsidR="00C36C9E">
              <w:t>'</w:t>
            </w:r>
            <w:r>
              <w:t>economia, nell</w:t>
            </w:r>
            <w:r w:rsidR="00C36C9E">
              <w:t>'</w:t>
            </w:r>
            <w:r>
              <w:t>ambiente e nella società. È probabile che tali tendenze influenzino l</w:t>
            </w:r>
            <w:r w:rsidR="00C36C9E">
              <w:t>'</w:t>
            </w:r>
            <w:r>
              <w:t>attuazione, le realizzazioni e le prestazioni della PAC. Le schede informative degli indicatori contengono una descrizione delle definizioni, del metodo e delle fonti dei dati.</w:t>
            </w:r>
          </w:p>
        </w:tc>
      </w:tr>
      <w:tr w:rsidR="00A75E50" w:rsidRPr="001C6ACF" w:rsidTr="00A746BC">
        <w:trPr>
          <w:trHeight w:val="1800"/>
        </w:trPr>
        <w:tc>
          <w:tcPr>
            <w:tcW w:w="1129" w:type="dxa"/>
          </w:tcPr>
          <w:p w:rsidR="00A75E50" w:rsidRPr="001C6ACF" w:rsidRDefault="00A75E50" w:rsidP="00A746BC">
            <w:pPr>
              <w:pStyle w:val="HStandard"/>
              <w:jc w:val="center"/>
            </w:pPr>
            <w:r>
              <w:t>Tutte le domande del QVC</w:t>
            </w:r>
          </w:p>
        </w:tc>
        <w:tc>
          <w:tcPr>
            <w:tcW w:w="2410" w:type="dxa"/>
          </w:tcPr>
          <w:p w:rsidR="00A75E50" w:rsidRPr="00571D58" w:rsidRDefault="00CE0CD6" w:rsidP="004B567F">
            <w:pPr>
              <w:pStyle w:val="HStandard"/>
              <w:spacing w:after="80"/>
              <w:jc w:val="left"/>
            </w:pPr>
            <w:hyperlink r:id="rId31">
              <w:r w:rsidR="006F62E2">
                <w:rPr>
                  <w:rStyle w:val="Hyperlink"/>
                </w:rPr>
                <w:t>Documento di lavoro Common Evaluation Questions for RDPs 2014-2020 (Questionario valutativo comune per i programmi di sviluppo rurale 2</w:t>
              </w:r>
              <w:r w:rsidR="004B567F">
                <w:rPr>
                  <w:rStyle w:val="Hyperlink"/>
                </w:rPr>
                <w:t>014</w:t>
              </w:r>
              <w:r w:rsidR="004B567F">
                <w:rPr>
                  <w:rStyle w:val="Hyperlink"/>
                </w:rPr>
                <w:noBreakHyphen/>
              </w:r>
              <w:r w:rsidR="006F62E2">
                <w:rPr>
                  <w:rStyle w:val="Hyperlink"/>
                </w:rPr>
                <w:t>2020)</w:t>
              </w:r>
            </w:hyperlink>
          </w:p>
        </w:tc>
        <w:tc>
          <w:tcPr>
            <w:tcW w:w="5477" w:type="dxa"/>
          </w:tcPr>
          <w:p w:rsidR="00A75E50" w:rsidRPr="00863E73" w:rsidRDefault="00A75E50" w:rsidP="00E95159">
            <w:pPr>
              <w:pStyle w:val="HStandard"/>
            </w:pPr>
            <w:r>
              <w:t>Spiega le finalità e l</w:t>
            </w:r>
            <w:r w:rsidR="00C36C9E">
              <w:t>'</w:t>
            </w:r>
            <w:r>
              <w:t>utilizzo del QVC nell</w:t>
            </w:r>
            <w:r w:rsidR="00C36C9E">
              <w:t>'</w:t>
            </w:r>
            <w:r>
              <w:t>SCMV.</w:t>
            </w:r>
            <w:r w:rsidR="00C36C9E">
              <w:t xml:space="preserve"> </w:t>
            </w:r>
            <w:r>
              <w:t>Descrive i diversi tipi di domande di valutazione ed elenca i criteri di giudizio e gli indicatori comuni e aggiuntivi per le domande nn. 1-21 del QVC.</w:t>
            </w:r>
          </w:p>
        </w:tc>
      </w:tr>
    </w:tbl>
    <w:p w:rsidR="001C2076" w:rsidRPr="001C6ACF" w:rsidRDefault="001C2076" w:rsidP="00E35440">
      <w:pPr>
        <w:pStyle w:val="HHeading2"/>
      </w:pPr>
      <w:r>
        <w:t xml:space="preserve">Prepararsi per la RAE nel 2019 </w:t>
      </w:r>
    </w:p>
    <w:p w:rsidR="009B016B" w:rsidRPr="001C6ACF" w:rsidRDefault="00806A70" w:rsidP="00217482">
      <w:pPr>
        <w:pStyle w:val="HStandard"/>
      </w:pPr>
      <w:r>
        <w:t>Quando preparano la valutazione delle realizzazioni e degli impatti del PSR nel 2019, le diverse parti interessate alla valutazione negli Stati membri possono compiere varie azioni</w:t>
      </w:r>
      <w:r>
        <w:rPr>
          <w:rStyle w:val="FootnoteReference"/>
          <w:sz w:val="20"/>
          <w:vertAlign w:val="superscript"/>
        </w:rPr>
        <w:footnoteReference w:id="24"/>
      </w:r>
      <w:r>
        <w:t xml:space="preserve"> per contribuire a garantire che i risultati della valutazione siano di alta qualità e rilevanti per i rispettivi responsabili politici.</w:t>
      </w:r>
    </w:p>
    <w:p w:rsidR="00932C3E" w:rsidRPr="001C6ACF" w:rsidRDefault="003146E6" w:rsidP="00217482">
      <w:pPr>
        <w:pStyle w:val="HStandard"/>
      </w:pPr>
      <w:r>
        <w:t>La tabella 2 suggerisce un elenco di controllo e indica le fasi necessarie per la valutazione nel 2019. Inoltre, comprende alcune fasi preparatorie che, se non già realizzate, possono ancora essere attuate prima dell</w:t>
      </w:r>
      <w:r w:rsidR="00C36C9E">
        <w:t>'</w:t>
      </w:r>
      <w:r>
        <w:t xml:space="preserve">inizio delle attività di valutazione nel 2019. Questa tabella illustra inoltre le responsabilità dei diversi soggetti che possono essere coinvolti nelle attività di valutazione a livello di Stato membro: autorità di gestione (AG), comitato di sorveglianza (CS), organismo pagatore (OP), unità di </w:t>
      </w:r>
      <w:r>
        <w:lastRenderedPageBreak/>
        <w:t xml:space="preserve">valutazione (UVa) (laddove esistente), gruppo direttivo di valutazione (GDV) (laddove esistente), valutatori (Va), fornitori di dati (FD) e altre parti interessate alla valutazione rilevanti (A). </w:t>
      </w:r>
    </w:p>
    <w:p w:rsidR="004773BB" w:rsidRPr="001C6ACF" w:rsidRDefault="00A75E50" w:rsidP="006B44E5">
      <w:pPr>
        <w:pStyle w:val="HHeadingtables"/>
      </w:pPr>
      <w:r>
        <w:br w:type="column"/>
      </w:r>
      <w:r>
        <w:lastRenderedPageBreak/>
        <w:t>Lista di controllo delle fasi raccomandate per la valutazione nel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1C6ACF"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Stadio</w:t>
            </w:r>
          </w:p>
        </w:tc>
        <w:tc>
          <w:tcPr>
            <w:tcW w:w="3402"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Fase</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Tempistica indicativa</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Responsabilità (x) e coinvolgimento (y)</w:t>
            </w:r>
            <w:r>
              <w:rPr>
                <w:rStyle w:val="FootnoteReference"/>
                <w:color w:val="FFFFFF" w:themeColor="background1"/>
                <w:sz w:val="10"/>
              </w:rPr>
              <w:footnoteReference w:id="25"/>
            </w:r>
          </w:p>
        </w:tc>
      </w:tr>
      <w:tr w:rsidR="00BA1544" w:rsidRPr="001C6ACF"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AG</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OP</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FD</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UVa</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GDV</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Va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CS</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A</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Pianificazione</w:t>
            </w: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Aggiornare i valori di base degli indicatori comuni di contesto (nel PSR).</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Non appena i dati sono disponibili</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Pianificare le attività di valutazione, i temi, gli studi e le disposizioni per la raccolta dei dati collegati agli indicatori comuni di impatto nel piano di valutazione del PSR.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Dal 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Elaborare/aggiornare la pianificazione della valutazione interna (il relativo documento) per specificare ulteriormente i temi e le attività della valutazione (comprendenti le disposizioni sui dati per lo scorporo degli indicatori di impatto e per la raccolta di altre prove, nonché i relativi studi).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Dal 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Preparazione</w:t>
            </w:r>
          </w:p>
        </w:tc>
        <w:tc>
          <w:tcPr>
            <w:tcW w:w="3402"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Istituire un gruppo direttivo di valutazione volontario con il compito di guidare il processo di valutazione (riunioni periodiche).</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Inizio periodo di progr.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Riesaminare la logica di intervento del programma (obiettivi, priorità e aspetti specifici dello SR, misure). </w:t>
            </w:r>
          </w:p>
        </w:tc>
        <w:tc>
          <w:tcPr>
            <w:tcW w:w="1061"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Inizio periodo di progr. e prima di ogni valutaz.</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Creare una comprensione comune del QVC, elaborare criteri di giudizio e collegarli con gli indicatori comuni (e aggiuntivi). Garantire la coerenza nel collegare gli elementi di valutazione con la logica di intervento del PSR. </w:t>
            </w:r>
          </w:p>
        </w:tc>
        <w:tc>
          <w:tcPr>
            <w:tcW w:w="1061"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Inizio periodo di progr. e prima di ogni valutaz.</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Elaborare domande di valutazione specifiche del programma, se necessario. Integrarle con criteri di giudizio e indicatori specifici del programma. Garantire la coerenza nel collegare gli elementi di valutazione con la logica di intervento del PSR.</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Inizio periodo di progr. e prima di ogni valutaz.</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Analizzare i dati esistenti per il calcolo degli indicatori comuni (e aggiuntivi) allo scopo di raccogliere le prove necessarie per rispondere alle domande del QVC relative alla strategia Europa 2020. Individuare eventuali lacune nei dati in relazione agli indicatori selezionati. </w:t>
            </w:r>
          </w:p>
        </w:tc>
        <w:tc>
          <w:tcPr>
            <w:tcW w:w="1061"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Inizio periodo di progr. e prima della valutaz.</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Discutere possibili approcci valutativi per valutare/individuare gli indicatori di impatto in linea con i dati esistenti.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Inizio periodo di progr. e prima della </w:t>
            </w:r>
            <w:r>
              <w:rPr>
                <w:color w:val="373737"/>
                <w:sz w:val="16"/>
              </w:rPr>
              <w:lastRenderedPageBreak/>
              <w:t>valutaz.</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Redigere i termini di riferimento e appaltare la valutazione (mediante contratti di valutazione continua o di valutazione singola per il 2017 e 2019).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Inizio periodo di progr. o nel 2016 e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Strutturazione</w:t>
            </w:r>
          </w:p>
        </w:tc>
        <w:tc>
          <w:tcPr>
            <w:tcW w:w="340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Discutere con i valutatori le fonti di dati esistenti e le lacune nei dati. Concordare le modalità per colmare le lacune nei dati.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e 2</w:t>
            </w:r>
            <w:r>
              <w:rPr>
                <w:color w:val="373737"/>
                <w:sz w:val="16"/>
                <w:vertAlign w:val="superscript"/>
              </w:rPr>
              <w:t>o</w:t>
            </w:r>
            <w:r>
              <w:rPr>
                <w:color w:val="373737"/>
                <w:sz w:val="16"/>
              </w:rPr>
              <w:t>-3</w:t>
            </w:r>
            <w:r>
              <w:rPr>
                <w:color w:val="373737"/>
                <w:sz w:val="16"/>
                <w:vertAlign w:val="superscript"/>
              </w:rPr>
              <w:t>o</w:t>
            </w:r>
            <w:r>
              <w:rPr>
                <w:color w:val="373737"/>
                <w:sz w:val="16"/>
              </w:rPr>
              <w:t xml:space="preserve"> trimestre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Discutere con i valutatori gli approcci metodologici per valutare gli impatti del PSR e scorporare gli indicatori comuni (e aggiuntivi) di impatto. </w:t>
            </w:r>
          </w:p>
        </w:tc>
        <w:tc>
          <w:tcPr>
            <w:tcW w:w="1061"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e 2</w:t>
            </w:r>
            <w:r>
              <w:rPr>
                <w:color w:val="373737"/>
                <w:sz w:val="16"/>
                <w:vertAlign w:val="superscript"/>
              </w:rPr>
              <w:t>o</w:t>
            </w:r>
            <w:r>
              <w:rPr>
                <w:color w:val="373737"/>
                <w:sz w:val="16"/>
              </w:rPr>
              <w:t>-3</w:t>
            </w:r>
            <w:r>
              <w:rPr>
                <w:color w:val="373737"/>
                <w:sz w:val="16"/>
                <w:vertAlign w:val="superscript"/>
              </w:rPr>
              <w:t>o</w:t>
            </w:r>
            <w:r>
              <w:rPr>
                <w:color w:val="373737"/>
                <w:sz w:val="16"/>
              </w:rPr>
              <w:t xml:space="preserve"> trimestre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Osservazione</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Raccogliere dati e informazioni sui beneficiari collegati agli indicatori comuni (e aggiuntivi) di impatto e in linea con i metodi proposti. </w:t>
            </w:r>
          </w:p>
        </w:tc>
        <w:tc>
          <w:tcPr>
            <w:tcW w:w="1061"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Dall</w:t>
            </w:r>
            <w:r w:rsidR="00C36C9E">
              <w:rPr>
                <w:color w:val="373737"/>
                <w:sz w:val="16"/>
              </w:rPr>
              <w:t>'</w:t>
            </w:r>
            <w:r>
              <w:rPr>
                <w:color w:val="373737"/>
                <w:sz w:val="16"/>
              </w:rPr>
              <w:t>inizio del PSR fino alla fine del 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Raccogliere dati e informazioni sui non beneficiari collegati agli indicatori comuni (e aggiuntivi) di impatto e in linea con i metodi proposti.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Dall</w:t>
            </w:r>
            <w:r w:rsidR="00C36C9E">
              <w:rPr>
                <w:color w:val="373737"/>
                <w:sz w:val="16"/>
              </w:rPr>
              <w:t>'</w:t>
            </w:r>
            <w:r>
              <w:rPr>
                <w:color w:val="373737"/>
                <w:sz w:val="16"/>
              </w:rPr>
              <w:t>inizio del PSR fino alla fine del 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Garantire la qualità dei dati raccolti provenienti sia dalla banca dati delle operazioni sia da altre fonti (ad esempio RICA, ufficio statistico, monitoraggio ambientale ecc.). </w:t>
            </w:r>
          </w:p>
        </w:tc>
        <w:tc>
          <w:tcPr>
            <w:tcW w:w="1061"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Continuo</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Analisi</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Eseguire la valutazione e lo scorporo degli indicatori di impatto in linea con l</w:t>
            </w:r>
            <w:r w:rsidR="00C36C9E">
              <w:rPr>
                <w:color w:val="373737"/>
                <w:sz w:val="16"/>
              </w:rPr>
              <w:t>'</w:t>
            </w:r>
            <w:r>
              <w:rPr>
                <w:color w:val="373737"/>
                <w:sz w:val="16"/>
              </w:rPr>
              <w:t xml:space="preserve">approccio valutativo proposto e i metodi di valutazione selezionati. </w:t>
            </w:r>
          </w:p>
        </w:tc>
        <w:tc>
          <w:tcPr>
            <w:tcW w:w="1061"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w:t>
            </w:r>
            <w:r>
              <w:rPr>
                <w:color w:val="373737"/>
                <w:sz w:val="16"/>
                <w:vertAlign w:val="superscript"/>
              </w:rPr>
              <w:t>o</w:t>
            </w:r>
            <w:r>
              <w:rPr>
                <w:color w:val="373737"/>
                <w:sz w:val="16"/>
              </w:rPr>
              <w:t xml:space="preserve"> trimestre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Garantire la qualità dell</w:t>
            </w:r>
            <w:r w:rsidR="00C36C9E">
              <w:rPr>
                <w:color w:val="373737"/>
                <w:sz w:val="16"/>
              </w:rPr>
              <w:t>'</w:t>
            </w:r>
            <w:r>
              <w:rPr>
                <w:color w:val="373737"/>
                <w:sz w:val="16"/>
              </w:rPr>
              <w:t xml:space="preserve">analisi. </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w:t>
            </w:r>
            <w:r>
              <w:rPr>
                <w:color w:val="373737"/>
                <w:sz w:val="16"/>
                <w:vertAlign w:val="superscript"/>
              </w:rPr>
              <w:t>o</w:t>
            </w:r>
            <w:r>
              <w:rPr>
                <w:color w:val="373737"/>
                <w:sz w:val="16"/>
              </w:rPr>
              <w:t xml:space="preserve"> trimestre 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Giudizio</w:t>
            </w: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Interpretare i risultati della valutazione ricavati dall</w:t>
            </w:r>
            <w:r w:rsidR="00C36C9E">
              <w:rPr>
                <w:color w:val="373737"/>
                <w:sz w:val="16"/>
              </w:rPr>
              <w:t>'</w:t>
            </w:r>
            <w:r>
              <w:rPr>
                <w:color w:val="373737"/>
                <w:sz w:val="16"/>
              </w:rPr>
              <w:t xml:space="preserve">analisi, elaborare giudizi sulla base dei criteri di giudizio e rispondere al questionario valutativo.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w:t>
            </w:r>
            <w:r>
              <w:rPr>
                <w:color w:val="373737"/>
                <w:sz w:val="16"/>
                <w:vertAlign w:val="superscript"/>
              </w:rPr>
              <w:t>o</w:t>
            </w:r>
            <w:r>
              <w:rPr>
                <w:color w:val="373737"/>
                <w:sz w:val="16"/>
              </w:rPr>
              <w:t xml:space="preserve"> trimestre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Formulare conclusioni collegate ai giudizi e formulare raccomandazioni, se necessario.</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w:t>
            </w:r>
            <w:r>
              <w:rPr>
                <w:color w:val="373737"/>
                <w:sz w:val="16"/>
                <w:vertAlign w:val="superscript"/>
              </w:rPr>
              <w:t>o</w:t>
            </w:r>
            <w:r>
              <w:rPr>
                <w:color w:val="373737"/>
                <w:sz w:val="16"/>
              </w:rPr>
              <w:t xml:space="preserve"> e 2</w:t>
            </w:r>
            <w:r>
              <w:rPr>
                <w:color w:val="373737"/>
                <w:sz w:val="16"/>
                <w:vertAlign w:val="superscript"/>
              </w:rPr>
              <w:t>o</w:t>
            </w:r>
            <w:r>
              <w:rPr>
                <w:color w:val="373737"/>
                <w:sz w:val="16"/>
              </w:rPr>
              <w:t xml:space="preserve"> trimestre 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Garantire la qualità dei giudizi.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w:t>
            </w:r>
            <w:r>
              <w:rPr>
                <w:color w:val="373737"/>
                <w:sz w:val="16"/>
                <w:vertAlign w:val="superscript"/>
              </w:rPr>
              <w:t>o</w:t>
            </w:r>
            <w:r>
              <w:rPr>
                <w:color w:val="373737"/>
                <w:sz w:val="16"/>
              </w:rPr>
              <w:t xml:space="preserve"> e 2</w:t>
            </w:r>
            <w:r>
              <w:rPr>
                <w:color w:val="373737"/>
                <w:sz w:val="16"/>
                <w:vertAlign w:val="superscript"/>
              </w:rPr>
              <w:t>o</w:t>
            </w:r>
            <w:r>
              <w:rPr>
                <w:color w:val="373737"/>
                <w:sz w:val="16"/>
              </w:rPr>
              <w:t xml:space="preserve"> trimestre 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Rendicontazione</w:t>
            </w:r>
          </w:p>
        </w:tc>
        <w:tc>
          <w:tcPr>
            <w:tcW w:w="340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Stilare la relazione di valutazione.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w:t>
            </w:r>
            <w:r>
              <w:rPr>
                <w:color w:val="373737"/>
                <w:sz w:val="16"/>
                <w:vertAlign w:val="superscript"/>
              </w:rPr>
              <w:t>o</w:t>
            </w:r>
            <w:r>
              <w:rPr>
                <w:color w:val="373737"/>
                <w:sz w:val="16"/>
              </w:rPr>
              <w:t xml:space="preserve"> trimestre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Presentare i risultati della valutazione al comitato di sorveglianza.</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w:t>
            </w:r>
            <w:r>
              <w:rPr>
                <w:color w:val="373737"/>
                <w:sz w:val="16"/>
                <w:vertAlign w:val="superscript"/>
              </w:rPr>
              <w:t>o</w:t>
            </w:r>
            <w:r>
              <w:rPr>
                <w:color w:val="373737"/>
                <w:sz w:val="16"/>
              </w:rPr>
              <w:t xml:space="preserve"> trimestre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Compilare il modulo SFC della RAE (compresi i capitoli 2 e 7) e presentarlo alla CE.</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w:t>
            </w:r>
            <w:r>
              <w:rPr>
                <w:color w:val="373737"/>
                <w:sz w:val="16"/>
                <w:vertAlign w:val="superscript"/>
              </w:rPr>
              <w:t>o</w:t>
            </w:r>
            <w:r>
              <w:rPr>
                <w:color w:val="373737"/>
                <w:sz w:val="16"/>
              </w:rPr>
              <w:t xml:space="preserve"> trimestre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Pubblicare la RAE e le relazioni di valutazione (non soltanto il capitolo 7 della RAE) sul sito web pubblico.</w:t>
            </w:r>
          </w:p>
        </w:tc>
        <w:tc>
          <w:tcPr>
            <w:tcW w:w="1061" w:type="dxa"/>
          </w:tcPr>
          <w:p w:rsidR="00055507" w:rsidRPr="00082107"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lang w:val="pt-PT"/>
              </w:rPr>
            </w:pPr>
            <w:r w:rsidRPr="00082107">
              <w:rPr>
                <w:color w:val="373737"/>
                <w:sz w:val="16"/>
                <w:lang w:val="pt-PT"/>
              </w:rPr>
              <w:t>2</w:t>
            </w:r>
            <w:r w:rsidRPr="00082107">
              <w:rPr>
                <w:color w:val="373737"/>
                <w:sz w:val="16"/>
                <w:vertAlign w:val="superscript"/>
                <w:lang w:val="pt-PT"/>
              </w:rPr>
              <w:t>o</w:t>
            </w:r>
            <w:r w:rsidRPr="00082107">
              <w:rPr>
                <w:color w:val="373737"/>
                <w:sz w:val="16"/>
                <w:lang w:val="pt-PT"/>
              </w:rPr>
              <w:t>, 3</w:t>
            </w:r>
            <w:r w:rsidRPr="00082107">
              <w:rPr>
                <w:color w:val="373737"/>
                <w:sz w:val="16"/>
                <w:vertAlign w:val="superscript"/>
                <w:lang w:val="pt-PT"/>
              </w:rPr>
              <w:t>o</w:t>
            </w:r>
            <w:r w:rsidRPr="00082107">
              <w:rPr>
                <w:color w:val="373737"/>
                <w:sz w:val="16"/>
                <w:lang w:val="pt-PT"/>
              </w:rPr>
              <w:t xml:space="preserve"> e 4</w:t>
            </w:r>
            <w:r w:rsidRPr="00082107">
              <w:rPr>
                <w:color w:val="373737"/>
                <w:sz w:val="16"/>
                <w:vertAlign w:val="superscript"/>
                <w:lang w:val="pt-PT"/>
              </w:rPr>
              <w:t>o</w:t>
            </w:r>
            <w:r w:rsidRPr="00082107">
              <w:rPr>
                <w:color w:val="373737"/>
                <w:sz w:val="16"/>
                <w:lang w:val="pt-PT"/>
              </w:rPr>
              <w:t xml:space="preserve"> trimestre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Preparare i risultati della valutazione in altri formati adeguati (ad esempio sintesi per i cittadini) per i differenti gruppi di destinatari.</w:t>
            </w:r>
          </w:p>
        </w:tc>
        <w:tc>
          <w:tcPr>
            <w:tcW w:w="1061"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3</w:t>
            </w:r>
            <w:r>
              <w:rPr>
                <w:color w:val="373737"/>
                <w:sz w:val="16"/>
                <w:vertAlign w:val="superscript"/>
              </w:rPr>
              <w:t>o</w:t>
            </w:r>
            <w:r>
              <w:rPr>
                <w:color w:val="373737"/>
                <w:sz w:val="16"/>
              </w:rPr>
              <w:t xml:space="preserve"> e 4</w:t>
            </w:r>
            <w:r>
              <w:rPr>
                <w:color w:val="373737"/>
                <w:sz w:val="16"/>
                <w:vertAlign w:val="superscript"/>
              </w:rPr>
              <w:t>o</w:t>
            </w:r>
            <w:r>
              <w:rPr>
                <w:color w:val="373737"/>
                <w:sz w:val="16"/>
              </w:rPr>
              <w:t xml:space="preserve"> trimestre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402"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Comunicare i risultati della valutazione ai gruppi di destinatari. </w:t>
            </w:r>
          </w:p>
        </w:tc>
        <w:tc>
          <w:tcPr>
            <w:tcW w:w="1061"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3</w:t>
            </w:r>
            <w:r>
              <w:rPr>
                <w:color w:val="373737"/>
                <w:sz w:val="16"/>
                <w:vertAlign w:val="superscript"/>
              </w:rPr>
              <w:t>o</w:t>
            </w:r>
            <w:r>
              <w:rPr>
                <w:color w:val="373737"/>
                <w:sz w:val="16"/>
              </w:rPr>
              <w:t xml:space="preserve"> e 4</w:t>
            </w:r>
            <w:r>
              <w:rPr>
                <w:color w:val="373737"/>
                <w:sz w:val="16"/>
                <w:vertAlign w:val="superscript"/>
              </w:rPr>
              <w:t>o</w:t>
            </w:r>
            <w:r>
              <w:rPr>
                <w:color w:val="373737"/>
                <w:sz w:val="16"/>
              </w:rPr>
              <w:t xml:space="preserve"> trimestre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Seguito</w:t>
            </w:r>
          </w:p>
        </w:tc>
        <w:tc>
          <w:tcPr>
            <w:tcW w:w="3402"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Esaminare le conclusioni e le raccomandazioni della valutazione e darvi seguito per migliorare la progettazione e l</w:t>
            </w:r>
            <w:r w:rsidR="00C36C9E">
              <w:rPr>
                <w:color w:val="373737"/>
                <w:sz w:val="16"/>
              </w:rPr>
              <w:t>'</w:t>
            </w:r>
            <w:r>
              <w:rPr>
                <w:color w:val="373737"/>
                <w:sz w:val="16"/>
              </w:rPr>
              <w:t xml:space="preserve">attuazione del programma di sviluppo rurale. </w:t>
            </w:r>
          </w:p>
        </w:tc>
        <w:tc>
          <w:tcPr>
            <w:tcW w:w="1061"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 partire dal 2</w:t>
            </w:r>
            <w:r>
              <w:rPr>
                <w:color w:val="373737"/>
                <w:sz w:val="16"/>
                <w:vertAlign w:val="superscript"/>
              </w:rPr>
              <w:t>o</w:t>
            </w:r>
            <w:r>
              <w:rPr>
                <w:color w:val="373737"/>
                <w:sz w:val="16"/>
              </w:rPr>
              <w:t xml:space="preserve"> trimestre 2019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1C6ACF" w:rsidRDefault="00425D88" w:rsidP="00E93BEA">
      <w:pPr>
        <w:pStyle w:val="HHeading1"/>
        <w:tabs>
          <w:tab w:val="clear" w:pos="474"/>
          <w:tab w:val="clear" w:pos="567"/>
        </w:tabs>
        <w:rPr>
          <w:sz w:val="28"/>
        </w:rPr>
      </w:pPr>
      <w:r>
        <w:rPr>
          <w:sz w:val="28"/>
        </w:rPr>
        <w:lastRenderedPageBreak/>
        <w:t>Approcci alla valuta</w:t>
      </w:r>
      <w:r w:rsidR="004B567F">
        <w:rPr>
          <w:sz w:val="28"/>
        </w:rPr>
        <w:t>zione degli impatti del PSR nel </w:t>
      </w:r>
      <w:r>
        <w:rPr>
          <w:sz w:val="28"/>
        </w:rPr>
        <w:t>2019 (PARTE II)</w:t>
      </w:r>
    </w:p>
    <w:p w:rsidR="00BB6B80" w:rsidRPr="00571D58" w:rsidRDefault="00CE0CD6" w:rsidP="00B86C6A">
      <w:pPr>
        <w:pStyle w:val="HStandard"/>
      </w:pPr>
      <w:r>
        <w:rPr>
          <w:b/>
          <w:noProof/>
          <w:lang w:bidi="ar-SA"/>
        </w:rPr>
      </w:r>
      <w:r>
        <w:rPr>
          <w:b/>
          <w:noProof/>
          <w:lang w:bidi="ar-SA"/>
        </w:rPr>
        <w:pict>
          <v:shape id="Rectangle: Diagonal Corners Rounded 48" o:spid="_x0000_s1054" style="width:448.5pt;height:127.6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adj="-11796480,,5400" path="m254411,l5695950,r,1209908c5695950,1350415,5582046,1464319,5441539,1464319l,1464319,,254411c,113904,113904,,254411,xe" filled="f" strokecolor="#8bab80" strokeweight="2pt">
            <v:stroke joinstyle="miter"/>
            <v:formulas/>
            <v:path arrowok="t" o:connecttype="custom" o:connectlocs="254411,0;5695950,0;5695950,0;5695950,1209901;5441539,1464310;0,1464310;0,1464310;0,254409;254411,0" o:connectangles="0,0,0,0,0,0,0,0,0" textboxrect="0,0,5695950,1464319"/>
            <v:textbox>
              <w:txbxContent>
                <w:p w:rsidR="00B03F62" w:rsidRPr="00B86C6A" w:rsidRDefault="00B03F62" w:rsidP="00BB6B80">
                  <w:pPr>
                    <w:pStyle w:val="Normal12PTcouleurgris"/>
                    <w:rPr>
                      <w:rStyle w:val="HStandardCar"/>
                      <w:color w:val="292929" w:themeColor="text1" w:themeShade="BF"/>
                    </w:rPr>
                  </w:pPr>
                  <w:r>
                    <w:t xml:space="preserve">La </w:t>
                  </w:r>
                  <w:r>
                    <w:rPr>
                      <w:rStyle w:val="HStandardCar"/>
                      <w:b/>
                      <w:color w:val="F07E31"/>
                      <w:sz w:val="20"/>
                    </w:rPr>
                    <w:t>PARTE II</w:t>
                  </w:r>
                  <w:r>
                    <w:rPr>
                      <w:rStyle w:val="HStandardCar"/>
                      <w:color w:val="F07E31"/>
                      <w:sz w:val="20"/>
                    </w:rPr>
                    <w:t xml:space="preserve"> </w:t>
                  </w:r>
                  <w:r>
                    <w:rPr>
                      <w:rStyle w:val="HStandardCar"/>
                      <w:color w:val="292929" w:themeColor="text1" w:themeShade="BF"/>
                      <w:sz w:val="20"/>
                    </w:rPr>
                    <w:t xml:space="preserve">delle linee guida non vincolanti "Valutazione delle realizzazioni e degli impatti del PSR nel 2019" va letta nel contesto della </w:t>
                  </w:r>
                  <w:r>
                    <w:rPr>
                      <w:rStyle w:val="HStandardCar"/>
                      <w:b/>
                      <w:color w:val="F07E31"/>
                      <w:sz w:val="20"/>
                    </w:rPr>
                    <w:t>PARTE III</w:t>
                  </w:r>
                  <w:r>
                    <w:rPr>
                      <w:rStyle w:val="HStandardCar"/>
                      <w:color w:val="F07E31"/>
                      <w:sz w:val="20"/>
                    </w:rPr>
                    <w:t xml:space="preserve"> </w:t>
                  </w:r>
                  <w:r>
                    <w:rPr>
                      <w:rStyle w:val="HStandardCar"/>
                      <w:color w:val="292929" w:themeColor="text1" w:themeShade="BF"/>
                      <w:sz w:val="20"/>
                    </w:rPr>
                    <w:t xml:space="preserve">(Schede per rispondere alle domande nn. 22-30 del QVC) e della </w:t>
                  </w:r>
                  <w:r>
                    <w:rPr>
                      <w:rStyle w:val="HStandardCar"/>
                      <w:b/>
                      <w:color w:val="F07E31"/>
                      <w:sz w:val="20"/>
                    </w:rPr>
                    <w:t xml:space="preserve">PARTE IV </w:t>
                  </w:r>
                  <w:r>
                    <w:rPr>
                      <w:rStyle w:val="HStandardCar"/>
                      <w:color w:val="292929" w:themeColor="text1" w:themeShade="BF"/>
                      <w:sz w:val="20"/>
                    </w:rPr>
                    <w:t>(Allegato tecnico), contenente informazioni complementari per gli approcci valutativi proposti, esempi di indicatori aggiuntivi, una descrizione dettagliata delle fasi operative, l'indicazione dell'adeguatezza degli approcci valutativi proposti, le cose da fare e da non fare, il glossario).</w:t>
                  </w:r>
                </w:p>
              </w:txbxContent>
            </v:textbox>
            <w10:anchorlock/>
          </v:shape>
        </w:pict>
      </w:r>
    </w:p>
    <w:p w:rsidR="00425D88" w:rsidRPr="007645B4" w:rsidRDefault="00425D88" w:rsidP="00002482">
      <w:pPr>
        <w:pStyle w:val="HHeading2"/>
        <w:tabs>
          <w:tab w:val="clear" w:pos="360"/>
          <w:tab w:val="clear" w:pos="567"/>
        </w:tabs>
      </w:pPr>
      <w:r>
        <w:t>Scegliere approcci valutativi adeguati per la valutazione degli impatti del PSR</w:t>
      </w:r>
    </w:p>
    <w:p w:rsidR="00E93BEA" w:rsidRPr="001C6ACF" w:rsidRDefault="00E93BEA" w:rsidP="00E93BEA">
      <w:pPr>
        <w:pStyle w:val="HStandard"/>
        <w:rPr>
          <w:rFonts w:cs="Arial"/>
        </w:rPr>
      </w:pPr>
      <w:r>
        <w:t xml:space="preserve">La valutazione e lo scorporo degli indicatori comuni di impatto del secondo pilastro della PAC nel 2019 costituisce un compito complesso che solleva </w:t>
      </w:r>
      <w:r>
        <w:rPr>
          <w:b/>
        </w:rPr>
        <w:t>numerosi interrogativi</w:t>
      </w:r>
      <w:r>
        <w:t xml:space="preserve">: </w:t>
      </w:r>
    </w:p>
    <w:p w:rsidR="00E93BEA" w:rsidRPr="001C6ACF" w:rsidRDefault="00E93BEA" w:rsidP="00E93BEA">
      <w:pPr>
        <w:pStyle w:val="Hlistbullet"/>
      </w:pPr>
      <w:r>
        <w:t xml:space="preserve">come è possibile ricondurre agli interventi del PSR i cambiamenti osservati nelle aree rurali e quali approcci valutativi si dovrebbero utilizzare a questo scopo? </w:t>
      </w:r>
    </w:p>
    <w:p w:rsidR="00E93BEA" w:rsidRPr="001C6ACF" w:rsidRDefault="00E93BEA" w:rsidP="00E93BEA">
      <w:pPr>
        <w:pStyle w:val="Hlistbullet"/>
      </w:pPr>
      <w:r>
        <w:t>Quali dati ottenuti dalle fonti esistenti (ad esempio monitoraggio e banche dati dell</w:t>
      </w:r>
      <w:r w:rsidR="00C36C9E">
        <w:t>'</w:t>
      </w:r>
      <w:r>
        <w:t>UE, nazionali e regionali) si dovrebbero utilizzare per informare l</w:t>
      </w:r>
      <w:r w:rsidR="00C36C9E">
        <w:t>'</w:t>
      </w:r>
      <w:r>
        <w:t xml:space="preserve">approccio valutativo proposto? </w:t>
      </w:r>
    </w:p>
    <w:p w:rsidR="00E93BEA" w:rsidRPr="001C6ACF" w:rsidRDefault="00E93BEA" w:rsidP="00E93BEA">
      <w:pPr>
        <w:pStyle w:val="Hlistbullet"/>
      </w:pPr>
      <w:r>
        <w:t xml:space="preserve">Come ci si può coordinare con i diversi fornitori di dati? </w:t>
      </w:r>
    </w:p>
    <w:p w:rsidR="00E93BEA" w:rsidRPr="001C6ACF" w:rsidRDefault="00E93BEA" w:rsidP="00E93BEA">
      <w:pPr>
        <w:pStyle w:val="Hlistbullet"/>
      </w:pPr>
      <w:r>
        <w:t xml:space="preserve">Come si può garantire la qualità dei dati e colmare le loro lacune? </w:t>
      </w:r>
    </w:p>
    <w:p w:rsidR="009B0B1E" w:rsidRPr="001C6ACF" w:rsidRDefault="009B0B1E" w:rsidP="00B63445">
      <w:pPr>
        <w:pStyle w:val="HHeading3"/>
      </w:pPr>
      <w:r>
        <w:t>Come si possono utilizzare i modelli logici per stabilire quali approcci valutativi sono adeguati?</w:t>
      </w:r>
    </w:p>
    <w:p w:rsidR="009B37D9" w:rsidRPr="001C6ACF" w:rsidRDefault="00CE0CD6" w:rsidP="009B37D9">
      <w:pPr>
        <w:pStyle w:val="HStandard"/>
      </w:pPr>
      <w:r>
        <w:rPr>
          <w:b/>
          <w:i/>
          <w:noProof/>
          <w:color w:val="F07E31" w:themeColor="accent1"/>
          <w:lang w:bidi="ar-SA"/>
        </w:rPr>
        <w:pict>
          <v:shape id="_x0000_s1030" style="position:absolute;left:0;text-align:left;margin-left:-46.15pt;margin-top:2.8pt;width:192.75pt;height:158.45pt;z-index:-251588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page;mso-height-relative:page;v-text-anchor:middle" coordsize="2447925,1943100" o:spt="100" wrapcoords="104775 -9525 47625 19050 -19050 95250 -19050 1943100 2343150 1943100 2362200 1943100 2466975 1838325 2466975 -9525 104775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" adj="-11796480,,5400" path="m169691,l2447925,r,l2447925,1773409v,93718,-75973,169691,-169691,169691l,1943100r,l,169691c,75973,75973,,169691,xe" filled="f" strokecolor="#be4a35" strokeweight="2pt">
            <v:stroke joinstyle="miter"/>
            <v:formulas/>
            <v:path arrowok="t" o:connecttype="custom" o:connectlocs="169691,0;2447925,0;2447925,0;2447925,1773409;2278234,1943100;0,1943100;0,1943100;0,169691;169691,0" o:connectangles="0,0,0,0,0,0,0,0,0" textboxrect="0,0,2447925,1943100"/>
            <v:textbox>
              <w:txbxContent>
                <w:p w:rsidR="00B03F62" w:rsidRPr="00C545E7" w:rsidRDefault="00B03F62" w:rsidP="005166F3">
                  <w:pPr>
                    <w:pStyle w:val="HHeading4"/>
                    <w:spacing w:before="0"/>
                    <w:jc w:val="both"/>
                    <w:rPr>
                      <w:i/>
                      <w:color w:val="F07E31" w:themeColor="accent1"/>
                      <w:sz w:val="18"/>
                    </w:rPr>
                  </w:pPr>
                  <w:r>
                    <w:rPr>
                      <w:noProof/>
                      <w:color w:val="373737"/>
                      <w:lang w:val="en-GB" w:eastAsia="en-GB" w:bidi="ar-SA"/>
                    </w:rPr>
                    <w:drawing>
                      <wp:inline distT="0" distB="0" distL="0" distR="0" wp14:anchorId="739611D0" wp14:editId="5F3646B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I </w:t>
                  </w:r>
                  <w:r>
                    <w:rPr>
                      <w:color w:val="373737" w:themeColor="text1"/>
                    </w:rPr>
                    <w:t>modelli logici</w:t>
                  </w:r>
                  <w:r>
                    <w:rPr>
                      <w:b w:val="0"/>
                      <w:color w:val="373737" w:themeColor="text1"/>
                    </w:rPr>
                    <w:t xml:space="preserve"> sono strutturati come diagrammi decisionali che possono aiutare le parti interessate a progettare un approccio valutativo (controfattuale) e a scegliere i metodi più appropriati a seconda dei dati e delle informazioni disponibili.</w:t>
                  </w:r>
                </w:p>
              </w:txbxContent>
            </v:textbox>
            <w10:wrap type="tight" anchorx="margin"/>
          </v:shape>
        </w:pict>
      </w:r>
      <w:r w:rsidR="000B213F">
        <w:t>I modelli logici possono orientare i valutatori verso nuovi approcci e una migliore pianificazione della raccolta dei dati, nonché aiutarli ad avviare un processo di analisi dei metodi che sono meno dipendenti dalla disponibilità di dati (ad esempio metodi qualitativi). Inoltre, i modelli logici possono aiutare le autorità di gestione a pianificare e prevedere meglio i risultati della valutazione all</w:t>
      </w:r>
      <w:r w:rsidR="00C36C9E">
        <w:t>'</w:t>
      </w:r>
      <w:r w:rsidR="000B213F">
        <w:t xml:space="preserve">interno del contesto dato (dati, bilancio disponibile per la valutazione e tempistica). </w:t>
      </w:r>
    </w:p>
    <w:p w:rsidR="00FF13C7" w:rsidRPr="001C6ACF" w:rsidRDefault="00FF13C7" w:rsidP="00FF13C7">
      <w:pPr>
        <w:pStyle w:val="HStandard"/>
        <w:spacing w:after="0"/>
        <w:rPr>
          <w:rFonts w:cs="Arial"/>
          <w:color w:val="373737"/>
          <w:szCs w:val="18"/>
        </w:rPr>
      </w:pPr>
      <w:r>
        <w:rPr>
          <w:color w:val="373737"/>
        </w:rPr>
        <w:t>I modelli logici offrono una guida graduale per la progettazione degli approcci valutativi al fine di consentire una migliore comprensione:</w:t>
      </w:r>
    </w:p>
    <w:p w:rsidR="00FF13C7" w:rsidRPr="001C6ACF" w:rsidRDefault="00FF13C7" w:rsidP="00FF13C7">
      <w:pPr>
        <w:pStyle w:val="Hlistbullet"/>
        <w:spacing w:before="0" w:after="0" w:line="280" w:lineRule="atLeast"/>
        <w:ind w:left="502"/>
        <w:rPr>
          <w:rFonts w:cs="Arial"/>
          <w:color w:val="373737"/>
          <w:szCs w:val="18"/>
        </w:rPr>
      </w:pPr>
      <w:r>
        <w:t xml:space="preserve">delle </w:t>
      </w:r>
      <w:r>
        <w:rPr>
          <w:b/>
        </w:rPr>
        <w:t>POSSIBILITÀ</w:t>
      </w:r>
      <w:r>
        <w:t>: quali combinazioni di dati/indicatori/metodi sono disponibili e idonee a rispondere al questionario valutativo;</w:t>
      </w:r>
      <w:r>
        <w:rPr>
          <w:color w:val="373737"/>
        </w:rPr>
        <w:t xml:space="preserve"> </w:t>
      </w:r>
    </w:p>
    <w:p w:rsidR="00FF13C7" w:rsidRPr="001C6ACF" w:rsidRDefault="00FF13C7" w:rsidP="00FF13C7">
      <w:pPr>
        <w:pStyle w:val="Hlistbullet"/>
        <w:spacing w:before="0" w:after="0" w:line="280" w:lineRule="atLeast"/>
        <w:ind w:left="502"/>
        <w:rPr>
          <w:color w:val="373737"/>
          <w:sz w:val="22"/>
        </w:rPr>
      </w:pPr>
      <w:r>
        <w:t xml:space="preserve">dei </w:t>
      </w:r>
      <w:r>
        <w:rPr>
          <w:b/>
        </w:rPr>
        <w:t>REQUISITI</w:t>
      </w:r>
      <w:r>
        <w:t>: quali dati/indicatori/metodi/approcci sono necessari per valutare gli impatti netti e rispondere al questionario valutativo;</w:t>
      </w:r>
    </w:p>
    <w:p w:rsidR="00FF13C7" w:rsidRPr="001C6ACF" w:rsidRDefault="00FF13C7" w:rsidP="00FF13C7">
      <w:pPr>
        <w:pStyle w:val="Hlistbullet"/>
        <w:spacing w:before="0" w:after="0" w:line="280" w:lineRule="atLeast"/>
        <w:ind w:left="502"/>
        <w:rPr>
          <w:color w:val="373737"/>
          <w:sz w:val="22"/>
        </w:rPr>
      </w:pPr>
      <w:r>
        <w:t xml:space="preserve">delle </w:t>
      </w:r>
      <w:r>
        <w:rPr>
          <w:b/>
        </w:rPr>
        <w:t>CONSEGUENZE</w:t>
      </w:r>
      <w:r>
        <w:t>: quali implicazioni derivano dalle decisioni nelle diverse fasi per i costi e l</w:t>
      </w:r>
      <w:r w:rsidR="00C36C9E">
        <w:t>'</w:t>
      </w:r>
      <w:r>
        <w:t>efficacia della valutazione.</w:t>
      </w:r>
    </w:p>
    <w:p w:rsidR="00E93BEA" w:rsidRPr="00571D58" w:rsidRDefault="009B37D9" w:rsidP="009B37D9">
      <w:pPr>
        <w:pStyle w:val="HStandard"/>
      </w:pPr>
      <w:r>
        <w:lastRenderedPageBreak/>
        <w:t>I modelli logici presentati in queste linee guida seguono l</w:t>
      </w:r>
      <w:r w:rsidR="00C36C9E">
        <w:t>'</w:t>
      </w:r>
      <w:r>
        <w:t xml:space="preserve">approccio elaborato da </w:t>
      </w:r>
      <w:hyperlink r:id="rId35">
        <w:r>
          <w:rPr>
            <w:rStyle w:val="Hyperlink"/>
            <w:u w:val="none"/>
          </w:rPr>
          <w:t>ENVIEVAL</w:t>
        </w:r>
      </w:hyperlink>
      <w:r>
        <w:rPr>
          <w:rStyle w:val="FootnoteReference"/>
        </w:rPr>
        <w:footnoteReference w:id="26"/>
      </w:r>
      <w:r>
        <w:t xml:space="preserve"> nel </w:t>
      </w:r>
      <w:hyperlink r:id="rId36">
        <w:r>
          <w:rPr>
            <w:rStyle w:val="Hyperlink"/>
            <w:i/>
            <w:u w:val="none"/>
          </w:rPr>
          <w:t>Methodological Handbook for the evaluation of environmental impacts of RDPs (Manuale metodologico per la valutazione degli impatti ambientali dei PSR).</w:t>
        </w:r>
        <w:r>
          <w:rPr>
            <w:rStyle w:val="Hyperlink"/>
            <w:u w:val="none"/>
          </w:rPr>
          <w:t xml:space="preserve"> </w:t>
        </w:r>
      </w:hyperlink>
      <w:r>
        <w:t>ENVIEVAL ha elaborato e sperimentato questi strumenti migliorati per la valutazione degli impatti ambientali delle misure e dei programmi di sviluppo rurale negli Stati membri dell</w:t>
      </w:r>
      <w:r w:rsidR="00C36C9E">
        <w:t>'</w:t>
      </w:r>
      <w:r>
        <w:t>UE</w:t>
      </w:r>
      <w:r>
        <w:rPr>
          <w:rStyle w:val="FootnoteReference"/>
        </w:rPr>
        <w:footnoteReference w:id="27"/>
      </w:r>
      <w:r>
        <w:t xml:space="preserve">. </w:t>
      </w:r>
    </w:p>
    <w:p w:rsidR="00AE216A" w:rsidRPr="00FB6C06" w:rsidRDefault="00AE216A" w:rsidP="00AE216A">
      <w:pPr>
        <w:pStyle w:val="HHeading4"/>
      </w:pPr>
      <w:r>
        <w:t>I livelli del modello logico</w:t>
      </w:r>
    </w:p>
    <w:p w:rsidR="00AE216A" w:rsidRPr="001C6ACF" w:rsidRDefault="00AE216A" w:rsidP="00AE216A">
      <w:pPr>
        <w:pStyle w:val="HStandard"/>
        <w:rPr>
          <w:rFonts w:cs="Arial"/>
        </w:rPr>
      </w:pPr>
      <w:r>
        <w:t xml:space="preserve">La figura 2 presenta una panoramica dei </w:t>
      </w:r>
      <w:r>
        <w:rPr>
          <w:b/>
        </w:rPr>
        <w:t>quattro livelli del modello logico</w:t>
      </w:r>
      <w:r>
        <w:t xml:space="preserve">. La figura mostra nel </w:t>
      </w:r>
      <w:r>
        <w:rPr>
          <w:b/>
        </w:rPr>
        <w:t>1</w:t>
      </w:r>
      <w:r>
        <w:rPr>
          <w:b/>
          <w:vertAlign w:val="superscript"/>
        </w:rPr>
        <w:t>o</w:t>
      </w:r>
      <w:r>
        <w:rPr>
          <w:b/>
        </w:rPr>
        <w:t xml:space="preserve"> livello</w:t>
      </w:r>
      <w:r>
        <w:t xml:space="preserve"> come istituire il quadro per la valutazione. A tal fine è necessario comprendere la collocazione degli impatti nella logica di intervento, gli indicatori disponibili e l</w:t>
      </w:r>
      <w:r w:rsidR="00C36C9E">
        <w:t>'</w:t>
      </w:r>
      <w:r>
        <w:t xml:space="preserve">unità di valutazione. Il </w:t>
      </w:r>
      <w:r>
        <w:rPr>
          <w:b/>
        </w:rPr>
        <w:t>2</w:t>
      </w:r>
      <w:r>
        <w:rPr>
          <w:b/>
          <w:vertAlign w:val="superscript"/>
        </w:rPr>
        <w:t>o</w:t>
      </w:r>
      <w:r>
        <w:rPr>
          <w:b/>
        </w:rPr>
        <w:t xml:space="preserve"> livello</w:t>
      </w:r>
      <w:r>
        <w:t xml:space="preserve"> individua le opzioni per l</w:t>
      </w:r>
      <w:r w:rsidR="00C36C9E">
        <w:t>'</w:t>
      </w:r>
      <w:r>
        <w:t xml:space="preserve">analisi controfattuale, tenendo conto dei fattori di costrizione. Il </w:t>
      </w:r>
      <w:r>
        <w:rPr>
          <w:b/>
        </w:rPr>
        <w:t>3</w:t>
      </w:r>
      <w:r>
        <w:rPr>
          <w:b/>
          <w:vertAlign w:val="superscript"/>
        </w:rPr>
        <w:t>o</w:t>
      </w:r>
      <w:r>
        <w:rPr>
          <w:b/>
        </w:rPr>
        <w:t xml:space="preserve"> livello</w:t>
      </w:r>
      <w:r>
        <w:t xml:space="preserve"> affina le opzioni ai livelli micro e macro per valutare gli impatti netti. Il </w:t>
      </w:r>
      <w:r>
        <w:rPr>
          <w:b/>
        </w:rPr>
        <w:t>4</w:t>
      </w:r>
      <w:r>
        <w:rPr>
          <w:b/>
          <w:vertAlign w:val="superscript"/>
        </w:rPr>
        <w:t>o</w:t>
      </w:r>
      <w:r>
        <w:rPr>
          <w:b/>
        </w:rPr>
        <w:t xml:space="preserve"> livello</w:t>
      </w:r>
      <w:r>
        <w:t xml:space="preserve"> verifica, infine, la coerenza dell</w:t>
      </w:r>
      <w:r w:rsidR="00C36C9E">
        <w:t>'</w:t>
      </w:r>
      <w:r>
        <w:t xml:space="preserve">analisi ai livelli micro e macro allo scopo di convalidare i risultati. </w:t>
      </w:r>
    </w:p>
    <w:p w:rsidR="00E93BEA" w:rsidRPr="001C6ACF" w:rsidRDefault="00E93BEA" w:rsidP="00E52947">
      <w:pPr>
        <w:pStyle w:val="HHeadingfigures"/>
      </w:pPr>
      <w:r>
        <w:t>Diagramma di flusso semplificato dei livelli del modello logico</w:t>
      </w:r>
    </w:p>
    <w:p w:rsidR="00E93BEA" w:rsidRPr="00571D58" w:rsidRDefault="009E1A8F" w:rsidP="00E93BEA">
      <w:pPr>
        <w:pStyle w:val="HStandard"/>
        <w:jc w:val="center"/>
      </w:pPr>
      <w:r>
        <w:rPr>
          <w:noProof/>
          <w:lang w:val="en-GB" w:eastAsia="en-GB" w:bidi="ar-SA"/>
        </w:rPr>
        <w:drawing>
          <wp:inline distT="0" distB="0" distL="0" distR="0" wp14:anchorId="42A136D0" wp14:editId="3DC09C6F">
            <wp:extent cx="5113346" cy="3002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2877" cy="3002005"/>
                    </a:xfrm>
                    <a:prstGeom prst="rect">
                      <a:avLst/>
                    </a:prstGeom>
                    <a:noFill/>
                  </pic:spPr>
                </pic:pic>
              </a:graphicData>
            </a:graphic>
          </wp:inline>
        </w:drawing>
      </w:r>
    </w:p>
    <w:p w:rsidR="004F365B" w:rsidRPr="001C6ACF" w:rsidRDefault="004F365B" w:rsidP="004F365B">
      <w:pPr>
        <w:pStyle w:val="HSource"/>
        <w:rPr>
          <w:i w:val="0"/>
        </w:rPr>
      </w:pPr>
      <w:r>
        <w:t>Fonte: Helpdesk europeo di valutazione per lo sviluppo rurale (2018), adattato da ENVIEVAL (2015): Methodological Handbook for the evaluation of environmental impacts of RDPs (Manuale metodologico per la valutazione dell</w:t>
      </w:r>
      <w:r w:rsidR="00C36C9E">
        <w:t>'</w:t>
      </w:r>
      <w:r>
        <w:t xml:space="preserve">impatto ambientale dei PSR): relazione D9.5. Bruxelles: Commissione europea.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I livelli del modello logico sono utilizzati come punto di riferimento per descrivere gli approcci valutativi proposti per gli indicatori di impatto della PAC (cfr. capitoli 2.2-2.9).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E93BEA" w:rsidP="00E93BEA">
      <w:pPr>
        <w:pStyle w:val="HHeading4"/>
      </w:pPr>
      <w:r>
        <w:lastRenderedPageBreak/>
        <w:t>Impostazione del quadro per la valutazione (1</w:t>
      </w:r>
      <w:r>
        <w:rPr>
          <w:vertAlign w:val="superscript"/>
        </w:rPr>
        <w:t>o</w:t>
      </w:r>
      <w:r>
        <w:t xml:space="preserve"> livello)</w:t>
      </w:r>
    </w:p>
    <w:p w:rsidR="00E93BEA" w:rsidRPr="007645B4" w:rsidRDefault="00CE0CD6" w:rsidP="00E93BEA">
      <w:pPr>
        <w:pStyle w:val="HStandard"/>
        <w:rPr>
          <w:rFonts w:cs="Arial"/>
        </w:rPr>
      </w:pPr>
      <w:r>
        <w:rPr>
          <w:b/>
          <w:i/>
          <w:noProof/>
          <w:color w:val="F07E31" w:themeColor="accent1"/>
          <w:lang w:bidi="ar-SA"/>
        </w:rPr>
        <w:pict>
          <v:shape id="_x0000_s1031" style="position:absolute;left:0;text-align:left;margin-left:-3pt;margin-top:7pt;width:180pt;height:198.75pt;z-index:251729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page;v-text-anchor:middle" coordsize="2286000,2438400" o:spt="100" wrapcoords="123825 -9525 66675 19050 -19050 104775 -19050 2438400 2152650 2438400 2200275 2428875 2305050 2305050 2305050 -9525 123825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" adj="-11796480,,5400" path="m199636,l2286000,r,l2286000,2238764v,110256,-89380,199636,-199636,199636l,2438400r,l,199636c,89380,89380,,199636,xe" filled="f" strokecolor="#be4a35" strokeweight="2pt">
            <v:stroke joinstyle="miter"/>
            <v:formulas/>
            <v:path arrowok="t" o:connecttype="custom" o:connectlocs="199636,0;2286000,0;2286000,0;2286000,2238764;2086364,2438400;0,2438400;0,2438400;0,199636;199636,0" o:connectangles="0,0,0,0,0,0,0,0,0" textboxrect="0,0,2286000,2438400"/>
            <v:textbox>
              <w:txbxContent>
                <w:p w:rsidR="00B03F62" w:rsidRPr="00044269" w:rsidRDefault="00B03F62"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664A968F" wp14:editId="567EE2DC">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La </w:t>
                  </w:r>
                  <w:r>
                    <w:rPr>
                      <w:color w:val="373737" w:themeColor="text1"/>
                    </w:rPr>
                    <w:t>valutazione di un dato impatto</w:t>
                  </w:r>
                  <w:r>
                    <w:rPr>
                      <w:b w:val="0"/>
                      <w:color w:val="373737" w:themeColor="text1"/>
                    </w:rPr>
                    <w:t xml:space="preserve"> (settoriale, ambientale o socio-economico) inizia con l'impostazione di un quadro di valutazione coerente, che aiuta a stabilire dove si colloca l'impatto all'interno della logica di intervento e mostra gli indicatori e le unità di analisi disponibili per la sua misurazione.</w:t>
                  </w:r>
                </w:p>
              </w:txbxContent>
            </v:textbox>
            <w10:wrap type="through" anchorx="margin"/>
          </v:shape>
        </w:pict>
      </w:r>
      <w:r w:rsidR="000B213F">
        <w:t>Per preparare il quadro per la valutazione si possono seguire le fasi illustrate di seguito.</w:t>
      </w:r>
    </w:p>
    <w:p w:rsidR="00E93BEA" w:rsidRPr="001C6ACF" w:rsidRDefault="0084519A" w:rsidP="00E93BEA">
      <w:pPr>
        <w:pStyle w:val="HStandard"/>
        <w:rPr>
          <w:rFonts w:cs="Arial"/>
        </w:rPr>
      </w:pPr>
      <w:r>
        <w:rPr>
          <w:b/>
          <w:color w:val="F07E31" w:themeColor="accent1"/>
        </w:rPr>
        <w:t>Fase 1 – Spiegare la logica di intervento dell</w:t>
      </w:r>
      <w:r w:rsidR="00C36C9E">
        <w:rPr>
          <w:b/>
          <w:color w:val="F07E31" w:themeColor="accent1"/>
        </w:rPr>
        <w:t>'</w:t>
      </w:r>
      <w:r>
        <w:rPr>
          <w:b/>
          <w:color w:val="F07E31" w:themeColor="accent1"/>
        </w:rPr>
        <w:t>SCMV:</w:t>
      </w:r>
      <w:r>
        <w:t xml:space="preserve"> la logica di intervento mostra la gerarchia degli obiettivi strategici in riferimento alle domande di valutazione, alle misure e agli aspetti specifici rilevanti, nonché </w:t>
      </w:r>
      <w:r>
        <w:rPr>
          <w:b/>
        </w:rPr>
        <w:t>ai relativi indicatori di prodotto, di risultato e di impatto dell</w:t>
      </w:r>
      <w:r w:rsidR="00C36C9E">
        <w:rPr>
          <w:b/>
        </w:rPr>
        <w:t>'</w:t>
      </w:r>
      <w:r>
        <w:rPr>
          <w:b/>
        </w:rPr>
        <w:t>SCMV</w:t>
      </w:r>
      <w:r>
        <w:t>. Gli indicatori sono riesaminati nel contesto dei dati disponibili.</w:t>
      </w:r>
    </w:p>
    <w:p w:rsidR="000C2540" w:rsidRPr="001C6ACF" w:rsidRDefault="0084519A" w:rsidP="000C2540">
      <w:pPr>
        <w:pStyle w:val="HStandard"/>
        <w:rPr>
          <w:rFonts w:cs="Arial"/>
          <w:bCs/>
        </w:rPr>
      </w:pPr>
      <w:r>
        <w:rPr>
          <w:b/>
          <w:color w:val="F07E31" w:themeColor="accent1"/>
        </w:rPr>
        <w:t xml:space="preserve">Fase 2 – Selezionare gli indicatori aggiuntivi (di risultato e/o impatto): </w:t>
      </w:r>
      <w:r>
        <w:t>questi indicatori possono integrare gli indicatori obbligatori dell</w:t>
      </w:r>
      <w:r w:rsidR="00C36C9E">
        <w:t>'</w:t>
      </w:r>
      <w:r>
        <w:t xml:space="preserve">SCMV. Il </w:t>
      </w:r>
      <w:r>
        <w:rPr>
          <w:b/>
        </w:rPr>
        <w:t>ricorso a indicatori aggiuntivi è volontario</w:t>
      </w:r>
      <w:r>
        <w:t xml:space="preserve"> e dovrebbe essere preso in considerazione con grande attenzione, tenendo conto dei costi, della disponibilità di dati, dell</w:t>
      </w:r>
      <w:r w:rsidR="00C36C9E">
        <w:t>'</w:t>
      </w:r>
      <w:r>
        <w:t xml:space="preserve">idoneità e del valore aggiunto per la valutazione. Gli indicatori aggiuntivi possono essere utili per quantificare i risultati e gli impatti netti nei casi in cui i dati per gli indicatori comuni non siano sufficienti o qualora si debbano colmare lacune negli indicatori comuni di risultato e di impatto. Si possono utilizzare anche indicatori aggiuntivi di natura qualitativa (ad esempio il livello di cambiamento percepito dalle parti interessate in base a una scala Likert) per integrare le prove quantitative o in mancanza di prove quantificabili alternativi. </w:t>
      </w:r>
    </w:p>
    <w:p w:rsidR="00560A1E" w:rsidRPr="001C6ACF" w:rsidRDefault="0084519A" w:rsidP="00E93BEA">
      <w:pPr>
        <w:pStyle w:val="HStandard"/>
        <w:rPr>
          <w:rFonts w:cs="Arial"/>
        </w:rPr>
      </w:pPr>
      <w:r>
        <w:rPr>
          <w:b/>
          <w:color w:val="F07E31" w:themeColor="accent1"/>
        </w:rPr>
        <w:t>Fase 3 – Definire l</w:t>
      </w:r>
      <w:r w:rsidR="00C36C9E">
        <w:rPr>
          <w:b/>
          <w:color w:val="F07E31" w:themeColor="accent1"/>
        </w:rPr>
        <w:t>'</w:t>
      </w:r>
      <w:r>
        <w:rPr>
          <w:b/>
          <w:color w:val="F07E31" w:themeColor="accent1"/>
        </w:rPr>
        <w:t xml:space="preserve">unità di analisi (= la </w:t>
      </w:r>
      <w:r w:rsidR="00C36C9E">
        <w:rPr>
          <w:b/>
          <w:color w:val="F07E31" w:themeColor="accent1"/>
        </w:rPr>
        <w:t>"</w:t>
      </w:r>
      <w:r>
        <w:rPr>
          <w:b/>
          <w:color w:val="F07E31" w:themeColor="accent1"/>
        </w:rPr>
        <w:t>parte più piccola di un sistema organizzato</w:t>
      </w:r>
      <w:r w:rsidR="00C36C9E">
        <w:rPr>
          <w:b/>
          <w:color w:val="F07E31" w:themeColor="accent1"/>
        </w:rPr>
        <w:t>"</w:t>
      </w:r>
      <w:r>
        <w:rPr>
          <w:b/>
          <w:color w:val="F07E31" w:themeColor="accent1"/>
        </w:rPr>
        <w:t xml:space="preserve">) per la valutazione ai livelli micro e macro (se applicabile): </w:t>
      </w:r>
      <w:r>
        <w:t>l</w:t>
      </w:r>
      <w:r w:rsidR="00C36C9E">
        <w:t>'</w:t>
      </w:r>
      <w:r>
        <w:t>unità di analisi al livello micro potrebbe consistere in aziende agricole, parcelle, comunità o regioni, mentre al livello macro potrebbe essere un bacino, un</w:t>
      </w:r>
      <w:r w:rsidR="00C36C9E">
        <w:t>'</w:t>
      </w:r>
      <w:r>
        <w:t>unità regionale o l</w:t>
      </w:r>
      <w:r w:rsidR="00C36C9E">
        <w:t>'</w:t>
      </w:r>
      <w:r>
        <w:t>intero territorio del PSR. Una volta definita l</w:t>
      </w:r>
      <w:r w:rsidR="00C36C9E">
        <w:t>'</w:t>
      </w:r>
      <w:r>
        <w:t>unità di analisi, l</w:t>
      </w:r>
      <w:r w:rsidR="00C36C9E">
        <w:t>'</w:t>
      </w:r>
      <w:r>
        <w:t>indicatore può misurare i cambiamenti nella gestione del territorio e quelli di tipo ambientale, settoriale o socio-economico conseguenti agli interventi del PSR. I relativi dati dovrebbero essere raccolti per la stessa categoria di unità e comprendere i beneficiari e i non beneficiari del programma.</w:t>
      </w:r>
    </w:p>
    <w:p w:rsidR="00E93BEA" w:rsidRPr="001C6ACF" w:rsidRDefault="00E93BEA" w:rsidP="00E93BEA">
      <w:pPr>
        <w:pStyle w:val="HHeading4"/>
      </w:pPr>
      <w:r>
        <w:t>Impostazione dell</w:t>
      </w:r>
      <w:r w:rsidR="00C36C9E">
        <w:t>'</w:t>
      </w:r>
      <w:r>
        <w:t>analisi controfattuale (2</w:t>
      </w:r>
      <w:r>
        <w:rPr>
          <w:vertAlign w:val="superscript"/>
        </w:rPr>
        <w:t>o</w:t>
      </w:r>
      <w:r>
        <w:t xml:space="preserve"> livello)</w:t>
      </w:r>
    </w:p>
    <w:p w:rsidR="00391ECD" w:rsidRPr="001C6ACF" w:rsidRDefault="00CE0CD6" w:rsidP="002D4AB7">
      <w:pPr>
        <w:pStyle w:val="HStandard"/>
        <w:rPr>
          <w:rFonts w:cs="Arial"/>
        </w:rPr>
      </w:pPr>
      <w:r>
        <w:rPr>
          <w:b/>
          <w:i/>
          <w:noProof/>
          <w:color w:val="F07E31" w:themeColor="accent1"/>
          <w:lang w:bidi="ar-SA"/>
        </w:rPr>
        <w:pict>
          <v:shape id="_x0000_s1032" style="position:absolute;left:0;text-align:left;margin-left:255pt;margin-top:3.25pt;width:192.75pt;height:137.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middle" coordsize="2447925,1581150" o:spt="100" wrapcoords="76200 -9525 19050 19050 -19050 76200 -19050 1581150 2362200 1581150 2381250 1581150 2447925 1514475 2466975 1362075 2466975 -9525 76200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" adj="-11796480,,5400" path="m138082,l2447925,r,l2447925,1443068v,76261,-61821,138082,-138082,138082l,1581150r,l,138082c,61821,61821,,138082,xe" filled="f" strokecolor="#be4a35" strokeweight="2pt">
            <v:stroke joinstyle="miter"/>
            <v:formulas/>
            <v:path arrowok="t" o:connecttype="custom" o:connectlocs="138082,0;2447925,0;2447925,0;2447925,1443068;2309843,1581150;0,1581150;0,1581150;0,138082;138082,0" o:connectangles="0,0,0,0,0,0,0,0,0" textboxrect="0,0,2447925,1581150"/>
            <v:textbox>
              <w:txbxContent>
                <w:p w:rsidR="00B03F62" w:rsidRPr="00044269" w:rsidRDefault="00B03F62"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5FB6B835" wp14:editId="7FC5B24D">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Gli </w:t>
                  </w:r>
                  <w:r>
                    <w:rPr>
                      <w:color w:val="373737" w:themeColor="text1"/>
                    </w:rPr>
                    <w:t>effetti del programma</w:t>
                  </w:r>
                  <w:r>
                    <w:rPr>
                      <w:b w:val="0"/>
                      <w:color w:val="373737" w:themeColor="text1"/>
                    </w:rPr>
                    <w:t xml:space="preserve"> non possono mai essere osservati direttamente a causa dell'intervento di altri fattori; pertanto, per la loro valutazione è necessario eseguire un'analisi controfattuale.</w:t>
                  </w:r>
                </w:p>
              </w:txbxContent>
            </v:textbox>
            <w10:wrap type="through"/>
          </v:shape>
        </w:pict>
      </w:r>
      <w:r w:rsidR="000B213F">
        <w:t>L</w:t>
      </w:r>
      <w:r w:rsidR="00C36C9E">
        <w:t>'</w:t>
      </w:r>
      <w:r w:rsidR="000B213F">
        <w:t>effetto del programma è dato dalla differenza di valore del risultato specifico (ad esempio il valore aggiunto lordo o la produttività del lavoro) per la stessa unità con e senza il programma. Questa definizione è valida per qualsiasi unità di analisi (ad esempio persona, azienda agricola, impresa, superficie di terreno, comunità, villaggio, regione, area o paese interessati dalla programmazione) e per qualsiasi risultato (espresso in termini di indicatori settoriali, ambientali o socio-economici) che possono plausibilmente essere associati al programma.</w:t>
      </w:r>
    </w:p>
    <w:p w:rsidR="002D4AB7" w:rsidRPr="001C6ACF" w:rsidRDefault="002D4AB7" w:rsidP="002D4AB7">
      <w:pPr>
        <w:pStyle w:val="HStandard"/>
        <w:rPr>
          <w:rFonts w:cs="Arial"/>
        </w:rPr>
      </w:pPr>
      <w:r>
        <w:t>Il 2</w:t>
      </w:r>
      <w:r>
        <w:rPr>
          <w:vertAlign w:val="superscript"/>
        </w:rPr>
        <w:t>o</w:t>
      </w:r>
      <w:r>
        <w:t xml:space="preserve"> livello aiuta il valutatore a individuare il o i tipi di analisi controfattuali che si possono predisporre con i dati disponibili. Questa analisi prende in considerazione vari fattori di costrizione (come la scarsa disponibilità di dati, contratti di valutazione a breve termine, una limitata capacità di valutazione) e aiuta anche a individuare soluzioni di ripiego fattibili (ad esempio per la valutazione degli impatti ambientali). È importante eseguire un</w:t>
      </w:r>
      <w:r w:rsidR="00C36C9E">
        <w:t>'</w:t>
      </w:r>
      <w:r>
        <w:t xml:space="preserve">indagine sistematica delle possibili opzioni di </w:t>
      </w:r>
      <w:r>
        <w:lastRenderedPageBreak/>
        <w:t>progettazione dell</w:t>
      </w:r>
      <w:r w:rsidR="00C36C9E">
        <w:t>'</w:t>
      </w:r>
      <w:r>
        <w:t xml:space="preserve">analisi controfattuale, anche in assenza di dati, perché tale indagine fornisce utili informazioni sulle condizioni da soddisfare per effettuare una solida analisi controfattuale e indica soluzioni alternative (ad esempio confronti tra gruppi </w:t>
      </w:r>
      <w:r w:rsidR="00C36C9E">
        <w:t>"</w:t>
      </w:r>
      <w:r>
        <w:t>naive</w:t>
      </w:r>
      <w:r w:rsidR="00C36C9E">
        <w:t>"</w:t>
      </w:r>
      <w:r>
        <w:t xml:space="preserve">, valutazioni qualitative). </w:t>
      </w:r>
    </w:p>
    <w:p w:rsidR="00A41C7D" w:rsidRPr="001C6ACF" w:rsidRDefault="00E93BEA" w:rsidP="000B6372">
      <w:pPr>
        <w:pStyle w:val="HStandard"/>
      </w:pPr>
      <w:r>
        <w:t>Nel modello logico, il livello controfattuale è applicabile alle valutazioni sia a livello micro che a livello macro ed è collegato alla scelta dell</w:t>
      </w:r>
      <w:r w:rsidR="00C36C9E">
        <w:t>'</w:t>
      </w:r>
      <w:r>
        <w:t xml:space="preserve">approccio e dei metodi valutativi. </w:t>
      </w:r>
      <w:r>
        <w:rPr>
          <w:b/>
        </w:rPr>
        <w:t>Spetta al valutatore del programma decidere a quale livello (micro o macro) eseguire l</w:t>
      </w:r>
      <w:r w:rsidR="00C36C9E">
        <w:rPr>
          <w:b/>
        </w:rPr>
        <w:t>'</w:t>
      </w:r>
      <w:r>
        <w:rPr>
          <w:b/>
        </w:rPr>
        <w:t>analisi degli effetti del programma.</w:t>
      </w:r>
      <w:r>
        <w:t xml:space="preserve"> Questa decisione dipende dai dati disponibili e precede la scelta dell</w:t>
      </w:r>
      <w:r w:rsidR="00C36C9E">
        <w:t>'</w:t>
      </w:r>
      <w:r>
        <w:t xml:space="preserve">unità di analisi per la quale sono raccolti i dati (di tipo economico, ambientale o socio-economico). </w:t>
      </w:r>
    </w:p>
    <w:p w:rsidR="00A41C7D" w:rsidRPr="00571D58" w:rsidRDefault="00CE0CD6">
      <w:pPr>
        <w:spacing w:before="0" w:after="0" w:line="240" w:lineRule="auto"/>
        <w:jc w:val="left"/>
        <w:rPr>
          <w:color w:val="373737" w:themeColor="text1"/>
          <w:sz w:val="20"/>
          <w:szCs w:val="20"/>
        </w:rPr>
      </w:pPr>
      <w:r>
        <w:rPr>
          <w:noProof/>
          <w:lang w:bidi="ar-SA"/>
        </w:rPr>
        <w:pict>
          <v:shape id="_x0000_s1033" style="position:absolute;margin-left:4012.2pt;margin-top:6.8pt;width:451.3pt;height:136.1pt;z-index:251732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page;mso-height-relative:page;v-text-anchor:middle" coordsize="573151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" adj="-11796480,,5400" path="m139745,l5731510,r,l5731510,1460455v,77179,-62566,139745,-139745,139745l,1600200r,l,139745c,62566,62566,,139745,xe" filled="f" strokecolor="#be4a35" strokeweight="2pt">
            <v:stroke joinstyle="miter"/>
            <v:formulas/>
            <v:path arrowok="t" o:connecttype="custom" o:connectlocs="139745,0;5731510,0;5731510,0;5731510,1460455;5591765,1600200;0,1600200;0,1600200;0,139745;139745,0" o:connectangles="0,0,0,0,0,0,0,0,0" textboxrect="0,0,5731510,1600200"/>
            <v:textbox>
              <w:txbxContent>
                <w:p w:rsidR="00B03F62" w:rsidRPr="009B4B57" w:rsidRDefault="00B03F62"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73098FA1" wp14:editId="50D808D3">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Gli </w:t>
                  </w:r>
                  <w:r>
                    <w:rPr>
                      <w:color w:val="373737" w:themeColor="text1"/>
                    </w:rPr>
                    <w:t>Stati membri con molti PSR</w:t>
                  </w:r>
                  <w:r>
                    <w:rPr>
                      <w:b w:val="0"/>
                      <w:color w:val="373737" w:themeColor="text1"/>
                    </w:rPr>
                    <w:t xml:space="preserve"> possono trovarsi di fronte al problema che le fonti di dati dell'UE (ad esempio Eurostat) non forniscono valori per gli indicatori comuni di impatto della PAC al livello di ogni singolo PSR regionale. In questi casi, il valore regionale dell'indicatore (NUTS 2) può essere stimato sulla scorta dei dati nazionali o, se possibile, sommando i dati basati sulle unità raccolti in ciascuna regione (I.01, I.02, I.03).</w:t>
                  </w:r>
                </w:p>
              </w:txbxContent>
            </v:textbox>
            <w10:wrap anchorx="margin"/>
          </v:shape>
        </w:pict>
      </w:r>
      <w:r w:rsidR="00C87859">
        <w:br w:type="page"/>
      </w:r>
    </w:p>
    <w:p w:rsidR="00A41C7D" w:rsidRPr="00571D58" w:rsidRDefault="00CE0CD6" w:rsidP="000B6372">
      <w:pPr>
        <w:pStyle w:val="HStandard"/>
        <w:rPr>
          <w:rFonts w:cs="Arial"/>
        </w:rPr>
      </w:pPr>
      <w:r>
        <w:rPr>
          <w:b/>
          <w:i/>
          <w:noProof/>
          <w:color w:val="F07E31" w:themeColor="accent1"/>
          <w:lang w:bidi="ar-SA"/>
        </w:rPr>
        <w:lastRenderedPageBreak/>
        <w:pict>
          <v:roundrect id="Rectangle: Rounded Corners 946" o:spid="_x0000_s1045" style="position:absolute;left:0;text-align:left;margin-left:-9pt;margin-top:-8.25pt;width:490.5pt;height:683.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" filled="f" strokecolor="#be4a35 [3205]" strokeweight="2pt">
            <v:path arrowok="t"/>
          </v:roundrect>
        </w:pict>
      </w:r>
      <w:r>
        <w:rPr>
          <w:b/>
          <w:i/>
          <w:noProof/>
          <w:color w:val="F07E31" w:themeColor="accent1"/>
          <w:lang w:bidi="ar-SA"/>
        </w:rPr>
      </w:r>
      <w:r>
        <w:rPr>
          <w:b/>
          <w:i/>
          <w:noProof/>
          <w:color w:val="F07E31" w:themeColor="accent1"/>
          <w:lang w:bidi="ar-SA"/>
        </w:rPr>
        <w:pict>
          <v:shape id="Rectangle: Diagonal Corners Rounded 90" o:spid="_x0000_s1053"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B03F62" w:rsidRDefault="00B03F62" w:rsidP="005166F3">
                  <w:pPr>
                    <w:pStyle w:val="HHeading4"/>
                    <w:spacing w:before="0"/>
                    <w:jc w:val="both"/>
                    <w:rPr>
                      <w:rFonts w:cs="Arial"/>
                      <w:color w:val="373737"/>
                      <w:sz w:val="18"/>
                      <w:szCs w:val="18"/>
                    </w:rPr>
                  </w:pPr>
                  <w:r>
                    <w:rPr>
                      <w:noProof/>
                      <w:color w:val="373737"/>
                      <w:lang w:val="en-GB" w:eastAsia="en-GB" w:bidi="ar-SA"/>
                    </w:rPr>
                    <w:drawing>
                      <wp:inline distT="0" distB="0" distL="0" distR="0" wp14:anchorId="23F6F78C" wp14:editId="54836FEE">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GUIDA RAPIDA #1: come applicare il modello logico per individuare differenti opzioni di impostazione della progettazione controfattuale e decidere in merito all'approccio valutativo?</w:t>
                  </w:r>
                </w:p>
                <w:p w:rsidR="00B03F62" w:rsidRPr="005D575A" w:rsidRDefault="00B03F62" w:rsidP="005166F3">
                  <w:pPr>
                    <w:pStyle w:val="HStandard"/>
                    <w:spacing w:after="0"/>
                    <w:rPr>
                      <w:rFonts w:cs="Arial"/>
                      <w:sz w:val="18"/>
                    </w:rPr>
                  </w:pPr>
                  <w:r>
                    <w:rPr>
                      <w:sz w:val="18"/>
                    </w:rPr>
                    <w:t xml:space="preserve">L'attuazione delle fasi previste dal diagramma decisionale nel livello dell'analisi controfattuale fornisce orientamenti su come rispondere alle seguenti domande fondamentali per la progettazione di tale analisi: </w:t>
                  </w:r>
                </w:p>
                <w:p w:rsidR="00B03F62" w:rsidRPr="005D575A" w:rsidRDefault="00B03F62" w:rsidP="005166F3">
                  <w:pPr>
                    <w:pStyle w:val="Hlistbullet"/>
                    <w:rPr>
                      <w:sz w:val="18"/>
                    </w:rPr>
                  </w:pPr>
                  <w:r>
                    <w:rPr>
                      <w:sz w:val="18"/>
                    </w:rPr>
                    <w:t>quali opzioni sono disponibili per predisporre un'analisi controfattuale?</w:t>
                  </w:r>
                </w:p>
                <w:p w:rsidR="00B03F62" w:rsidRPr="005D575A" w:rsidRDefault="00B03F62" w:rsidP="005166F3">
                  <w:pPr>
                    <w:pStyle w:val="Hlistbullet"/>
                    <w:rPr>
                      <w:sz w:val="18"/>
                    </w:rPr>
                  </w:pPr>
                  <w:r>
                    <w:rPr>
                      <w:sz w:val="18"/>
                    </w:rPr>
                    <w:t>L'attuazione e la diffusione delle misure permette di istituire un gruppo di controllo?</w:t>
                  </w:r>
                </w:p>
                <w:p w:rsidR="00B03F62" w:rsidRPr="005D575A" w:rsidRDefault="00B03F62" w:rsidP="005166F3">
                  <w:pPr>
                    <w:pStyle w:val="Hlistbullet"/>
                    <w:rPr>
                      <w:sz w:val="18"/>
                    </w:rPr>
                  </w:pPr>
                  <w:r>
                    <w:rPr>
                      <w:sz w:val="18"/>
                    </w:rPr>
                    <w:t>In quale misura sono disponibili dati su altri fattori che influiscono sugli indicatori selezionati?</w:t>
                  </w:r>
                </w:p>
                <w:p w:rsidR="00B03F62" w:rsidRPr="005D575A" w:rsidRDefault="00B03F62" w:rsidP="005166F3">
                  <w:pPr>
                    <w:pStyle w:val="Hlistbullet"/>
                    <w:rPr>
                      <w:sz w:val="18"/>
                    </w:rPr>
                  </w:pPr>
                  <w:r>
                    <w:rPr>
                      <w:sz w:val="18"/>
                    </w:rPr>
                    <w:t>Per quanto riguarda gli indicatori selezionati, sono disponibili dati riferiti a momenti diversi (prima e dopo) sui beneficiari e sui non beneficiari?</w:t>
                  </w:r>
                </w:p>
                <w:p w:rsidR="00B03F62" w:rsidRPr="00A41C7D" w:rsidRDefault="00B03F62" w:rsidP="005166F3">
                  <w:pPr>
                    <w:pStyle w:val="Hlistbullet"/>
                    <w:rPr>
                      <w:sz w:val="18"/>
                    </w:rPr>
                  </w:pPr>
                  <w:r>
                    <w:rPr>
                      <w:sz w:val="18"/>
                    </w:rPr>
                    <w:t>È possibile applicare solidi metodi a base statistica per quantificare gli effetti netti delle misure valutate in modo efficiente in termini di costi?</w:t>
                  </w:r>
                </w:p>
                <w:p w:rsidR="00B03F62" w:rsidRPr="00C545E7" w:rsidRDefault="00B03F62" w:rsidP="00010B08">
                  <w:pPr>
                    <w:pStyle w:val="Hlistbullet"/>
                    <w:numPr>
                      <w:ilvl w:val="0"/>
                      <w:numId w:val="0"/>
                    </w:numPr>
                    <w:spacing w:before="0" w:after="0" w:line="280" w:lineRule="atLeast"/>
                    <w:jc w:val="right"/>
                    <w:rPr>
                      <w:i/>
                      <w:color w:val="F07E31" w:themeColor="accent1"/>
                      <w:sz w:val="18"/>
                    </w:rPr>
                  </w:pPr>
                </w:p>
              </w:txbxContent>
            </v:textbox>
            <w10:anchorlock/>
          </v:shape>
        </w:pict>
      </w:r>
    </w:p>
    <w:p w:rsidR="00EB120C" w:rsidRPr="005934AE" w:rsidRDefault="00EC01C3" w:rsidP="00EB120C">
      <w:pPr>
        <w:pStyle w:val="HHeadingfigures"/>
      </w:pPr>
      <w:r>
        <w:t>Modello logico per individuare le opzioni di impostazione dell</w:t>
      </w:r>
      <w:r w:rsidR="00C36C9E">
        <w:t>'</w:t>
      </w:r>
      <w:r>
        <w:t>analisi controfattuale</w:t>
      </w:r>
    </w:p>
    <w:p w:rsidR="00727DDF" w:rsidRPr="00E6687C" w:rsidRDefault="00EC01C3" w:rsidP="00E6687C">
      <w:pPr>
        <w:pStyle w:val="HStandard"/>
        <w:jc w:val="right"/>
      </w:pPr>
      <w:r>
        <w:rPr>
          <w:noProof/>
          <w:color w:val="auto"/>
          <w:sz w:val="18"/>
        </w:rPr>
        <w:t xml:space="preserve"> </w:t>
      </w:r>
      <w:r w:rsidR="00E6687C">
        <w:rPr>
          <w:noProof/>
          <w:color w:val="auto"/>
          <w:sz w:val="18"/>
          <w:lang w:val="en-GB" w:eastAsia="en-GB" w:bidi="ar-SA"/>
        </w:rPr>
        <w:drawing>
          <wp:inline distT="0" distB="0" distL="0" distR="0" wp14:anchorId="1B3E557B" wp14:editId="41620F00">
            <wp:extent cx="5120640" cy="37245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3637" cy="3726717"/>
                    </a:xfrm>
                    <a:prstGeom prst="rect">
                      <a:avLst/>
                    </a:prstGeom>
                    <a:noFill/>
                  </pic:spPr>
                </pic:pic>
              </a:graphicData>
            </a:graphic>
          </wp:inline>
        </w:drawing>
      </w:r>
    </w:p>
    <w:p w:rsidR="00EB120C" w:rsidRPr="00AC6A80" w:rsidRDefault="00EB120C" w:rsidP="00E6687C">
      <w:pPr>
        <w:pStyle w:val="HSource"/>
        <w:spacing w:before="240"/>
      </w:pPr>
      <w:r>
        <w:t>Fon</w:t>
      </w:r>
      <w:r w:rsidR="00E6687C">
        <w:t>te: adattato da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Il modello logico inizia con la descrizione della diffusione del PSR e della situazione dei dati sotto il profilo degli indicatori di impatto (e risultato) dell</w:t>
      </w:r>
      <w:r w:rsidR="00C36C9E">
        <w:rPr>
          <w:sz w:val="18"/>
        </w:rPr>
        <w:t>'</w:t>
      </w:r>
      <w:r>
        <w:rPr>
          <w:sz w:val="18"/>
        </w:rPr>
        <w:t>SCMV disponibili, oltre che degli indicatori aggiuntivi, laddove selezionati (riquadri di colore grigio scuro compilati). Una serie di domande decisionali (riquadri rossi) conduce alle possibili opzioni per impostare l</w:t>
      </w:r>
      <w:r w:rsidR="00C36C9E">
        <w:rPr>
          <w:sz w:val="18"/>
        </w:rPr>
        <w:t>'</w:t>
      </w:r>
      <w:r>
        <w:rPr>
          <w:sz w:val="18"/>
        </w:rPr>
        <w:t xml:space="preserve">analisi controfattuale (riquadri rossi compilati).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Per sapere di più sull</w:t>
      </w:r>
      <w:r w:rsidR="00C36C9E">
        <w:rPr>
          <w:i/>
          <w:color w:val="F07E31" w:themeColor="accent1"/>
          <w:sz w:val="18"/>
        </w:rPr>
        <w:t>'</w:t>
      </w:r>
      <w:r>
        <w:rPr>
          <w:i/>
          <w:color w:val="F07E31" w:themeColor="accent1"/>
          <w:sz w:val="18"/>
        </w:rPr>
        <w:t xml:space="preserve">utilizzo dei modelli logici cfr. il </w:t>
      </w:r>
      <w:hyperlink r:id="rId39">
        <w:r>
          <w:rPr>
            <w:rStyle w:val="Hyperlink"/>
            <w:i/>
            <w:sz w:val="18"/>
          </w:rPr>
          <w:t>progetto di ricerca ENVIEVAL del Settimo programma quadro</w:t>
        </w:r>
      </w:hyperlink>
      <w:r>
        <w:rPr>
          <w:rStyle w:val="Hyperlink"/>
          <w:i/>
          <w:sz w:val="18"/>
        </w:rPr>
        <w:t xml:space="preserve"> e il relativo</w:t>
      </w:r>
      <w:r>
        <w:rPr>
          <w:i/>
          <w:color w:val="F07E31" w:themeColor="accent1"/>
          <w:sz w:val="18"/>
        </w:rPr>
        <w:t xml:space="preserve"> </w:t>
      </w:r>
      <w:hyperlink r:id="rId40">
        <w:r>
          <w:rPr>
            <w:rStyle w:val="Hyperlink"/>
            <w:i/>
            <w:sz w:val="18"/>
          </w:rPr>
          <w:t>Manuale metodologico per la valutazione dell</w:t>
        </w:r>
        <w:r w:rsidR="00C36C9E">
          <w:rPr>
            <w:rStyle w:val="Hyperlink"/>
            <w:i/>
            <w:sz w:val="18"/>
          </w:rPr>
          <w:t>'</w:t>
        </w:r>
        <w:r>
          <w:rPr>
            <w:rStyle w:val="Hyperlink"/>
            <w:i/>
            <w:sz w:val="18"/>
          </w:rPr>
          <w:t>impatto ambientale dei PSR</w:t>
        </w:r>
      </w:hyperlink>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sidR="00CE0CD6">
              <w:rPr>
                <w:b/>
                <w:i/>
                <w:noProof/>
                <w:color w:val="F07E31" w:themeColor="accent1"/>
                <w:lang w:bidi="ar-SA"/>
              </w:rPr>
            </w:r>
            <w:r w:rsidR="00CE0CD6">
              <w:rPr>
                <w:b/>
                <w:i/>
                <w:noProof/>
                <w:color w:val="F07E31" w:themeColor="accent1"/>
                <w:lang w:bidi="ar-SA"/>
              </w:rPr>
              <w:pict>
                <v:shape id="AutoShape 67" o:spid="_x0000_s1052" style="width:438.35pt;height:690.3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adj="-11796480,,5400" path="m276626,l5567045,r,8124424c5567045,8277200,5443195,8401050,5290419,8401050l,8401050,,276626c,123850,123850,,276626,xe" filled="f" strokecolor="#be4a35" strokeweight="2pt">
                  <v:stroke joinstyle="miter"/>
                  <v:formulas/>
                  <v:path arrowok="t" o:connecttype="custom" o:connectlocs="276626,0;5567045,0;5567045,0;5567045,8124424;5290419,8401050;0,8401050;0,8401050;0,276626;276626,0" o:connectangles="0,0,0,0,0,0,0,0,0" textboxrect="0,0,5567045,8401050"/>
                  <v:textbox style="mso-next-textbox:#AutoShape 67">
                    <w:txbxContent>
                      <w:p w:rsidR="00B03F62" w:rsidRPr="00391ECD" w:rsidRDefault="00B03F62" w:rsidP="005C7C25">
                        <w:pPr>
                          <w:pStyle w:val="HHeading4"/>
                        </w:pPr>
                        <w:r>
                          <w:rPr>
                            <w:noProof/>
                            <w:color w:val="373737"/>
                            <w:lang w:val="en-GB" w:eastAsia="en-GB" w:bidi="ar-SA"/>
                          </w:rPr>
                          <w:drawing>
                            <wp:inline distT="0" distB="0" distL="0" distR="0" wp14:anchorId="4991E803" wp14:editId="7D7E8950">
                              <wp:extent cx="664845" cy="487680"/>
                              <wp:effectExtent l="0" t="0" r="0" b="7620"/>
                              <wp:docPr id="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GUIDA RAPIDA #2: come istituire un gruppo di controllo a livello micro? (relativo al 2</w:t>
                        </w:r>
                        <w:r>
                          <w:rPr>
                            <w:vertAlign w:val="superscript"/>
                          </w:rPr>
                          <w:t>o</w:t>
                        </w:r>
                        <w:r>
                          <w:t xml:space="preserve"> livello)</w:t>
                        </w:r>
                      </w:p>
                      <w:p w:rsidR="00B03F62" w:rsidRPr="007008C0" w:rsidRDefault="00B03F62" w:rsidP="005C7C25">
                        <w:pPr>
                          <w:pStyle w:val="HStandard"/>
                          <w:spacing w:after="0"/>
                          <w:rPr>
                            <w:rFonts w:cs="Arial"/>
                            <w:color w:val="373737"/>
                            <w:sz w:val="18"/>
                            <w:szCs w:val="18"/>
                          </w:rPr>
                        </w:pPr>
                        <w:r>
                          <w:rPr>
                            <w:color w:val="373737"/>
                            <w:sz w:val="18"/>
                          </w:rPr>
                          <w:t>L'analisi controfattuale al livello micro dovrebbe basarsi su confronti tra gruppi di controllo formati da beneficiari e non beneficiari del programma che siano quanto più simili possibile (in termini di dimensioni osservabili e non osservabili). Se i due gruppi sono sufficientemente simili sotto il profilo statistico (hanno caratteristiche simili), si può presumere che eventuali differenze dei risultati siano riconducibili al programma. L'analisi controfattuale consente di stabilire nessi di causalità, attribuendo al programma i cambiamenti osservati nei risultati ed escludendo i fattori di confondimento.</w:t>
                        </w:r>
                      </w:p>
                      <w:p w:rsidR="00B03F62" w:rsidRPr="007008C0" w:rsidRDefault="00B03F62" w:rsidP="005C7C25">
                        <w:pPr>
                          <w:pStyle w:val="HStandard"/>
                          <w:spacing w:after="0"/>
                          <w:rPr>
                            <w:rFonts w:cs="Arial"/>
                            <w:color w:val="373737"/>
                            <w:sz w:val="18"/>
                            <w:szCs w:val="18"/>
                          </w:rPr>
                        </w:pPr>
                      </w:p>
                      <w:p w:rsidR="00B03F62" w:rsidRPr="007008C0" w:rsidRDefault="00B03F62" w:rsidP="005C7C25">
                        <w:pPr>
                          <w:pStyle w:val="HStandard"/>
                          <w:spacing w:after="0"/>
                          <w:rPr>
                            <w:rFonts w:cs="Arial"/>
                            <w:color w:val="373737"/>
                            <w:sz w:val="18"/>
                            <w:szCs w:val="18"/>
                          </w:rPr>
                        </w:pPr>
                        <w:r>
                          <w:rPr>
                            <w:color w:val="373737"/>
                            <w:sz w:val="18"/>
                          </w:rPr>
                          <w:t xml:space="preserve">La costituzione di un gruppo di controllo adeguato può essere un compito difficile a causa di una forte autoselezione per il programma e di severe condizioni di ammissibilità allo stesso. I beneficiari del programma oggetto della valutazione che hanno ricevuto sostegno tramite il programma stesso possono essere molto diversi dai non beneficiari, sia per le rispettive caratteristiche strutturali sia in termini di prestazioni economiche, ambientali e socio-economiche. </w:t>
                        </w:r>
                      </w:p>
                      <w:p w:rsidR="00B03F62" w:rsidRPr="007008C0" w:rsidRDefault="00B03F62" w:rsidP="005C7C25">
                        <w:pPr>
                          <w:pStyle w:val="HStandard"/>
                          <w:spacing w:after="0"/>
                          <w:rPr>
                            <w:rFonts w:cs="Arial"/>
                            <w:color w:val="373737"/>
                            <w:sz w:val="18"/>
                            <w:szCs w:val="18"/>
                          </w:rPr>
                        </w:pPr>
                      </w:p>
                      <w:p w:rsidR="00B03F62" w:rsidRPr="007008C0" w:rsidRDefault="00B03F62" w:rsidP="005C7C25">
                        <w:pPr>
                          <w:pStyle w:val="HStandard"/>
                          <w:spacing w:after="0"/>
                          <w:rPr>
                            <w:rFonts w:cs="Arial"/>
                            <w:color w:val="373737"/>
                            <w:sz w:val="18"/>
                            <w:szCs w:val="18"/>
                          </w:rPr>
                        </w:pPr>
                        <w:r>
                          <w:rPr>
                            <w:color w:val="373737"/>
                            <w:sz w:val="18"/>
                          </w:rPr>
                          <w:t>Di seguito sono indicate le fasi per la costituzione di un gruppo di controllo adeguato.</w:t>
                        </w:r>
                      </w:p>
                      <w:p w:rsidR="00B03F62" w:rsidRPr="007008C0" w:rsidRDefault="00B03F62" w:rsidP="005C7C25">
                        <w:pPr>
                          <w:pStyle w:val="Hlistbullet"/>
                          <w:spacing w:before="0" w:after="0" w:line="280" w:lineRule="atLeast"/>
                          <w:ind w:left="604" w:hanging="604"/>
                          <w:rPr>
                            <w:color w:val="373737"/>
                            <w:sz w:val="18"/>
                            <w:szCs w:val="18"/>
                          </w:rPr>
                        </w:pPr>
                        <w:r>
                          <w:rPr>
                            <w:b/>
                            <w:color w:val="F07E31" w:themeColor="accent1"/>
                            <w:sz w:val="18"/>
                          </w:rPr>
                          <w:t>Fase 1:</w:t>
                        </w:r>
                        <w:r>
                          <w:rPr>
                            <w:color w:val="373737"/>
                            <w:sz w:val="18"/>
                          </w:rPr>
                          <w:t xml:space="preserve"> trovare un campione di beneficiari del PSR (ad esempio aziende agricole/agricoltori/imprese non agricole/comunità/aree/regioni) in una banca dati disponibile (ad esempio RICA) e utilizzare il sistema di monitoraggio del PSR come punto di riferimento (ad esempio la banca dati dell'organismo pagatore). </w:t>
                        </w:r>
                      </w:p>
                      <w:p w:rsidR="00B03F62" w:rsidRPr="00AF5661" w:rsidRDefault="00B03F62" w:rsidP="005C7C25">
                        <w:pPr>
                          <w:pStyle w:val="Hlistbullet"/>
                          <w:spacing w:before="0" w:after="0" w:line="280" w:lineRule="atLeast"/>
                          <w:ind w:left="604" w:hanging="604"/>
                          <w:rPr>
                            <w:color w:val="373737"/>
                            <w:sz w:val="18"/>
                            <w:szCs w:val="18"/>
                          </w:rPr>
                        </w:pPr>
                        <w:r>
                          <w:rPr>
                            <w:b/>
                            <w:color w:val="F07E31" w:themeColor="accent1"/>
                            <w:sz w:val="18"/>
                          </w:rPr>
                          <w:t>Fase 2:</w:t>
                        </w:r>
                        <w:r>
                          <w:rPr>
                            <w:color w:val="373737"/>
                            <w:sz w:val="18"/>
                          </w:rPr>
                          <w:t xml:space="preserve"> selezionare da tutte le unità rilevanti incluse nella banca dati quelle che, nello stesso periodo di tempo, non hanno ricevuto sostegno tramite le misure del PSR ("non beneficiari").</w:t>
                        </w:r>
                      </w:p>
                      <w:p w:rsidR="00B03F62" w:rsidRPr="00AF5661" w:rsidRDefault="00B03F62" w:rsidP="005C7C25">
                        <w:pPr>
                          <w:pStyle w:val="Hlistbullet"/>
                          <w:spacing w:before="0" w:after="0" w:line="280" w:lineRule="atLeast"/>
                          <w:ind w:left="604" w:hanging="604"/>
                          <w:rPr>
                            <w:color w:val="373737"/>
                            <w:sz w:val="18"/>
                            <w:szCs w:val="18"/>
                          </w:rPr>
                        </w:pPr>
                        <w:r>
                          <w:rPr>
                            <w:b/>
                            <w:color w:val="F07E31" w:themeColor="accent1"/>
                            <w:sz w:val="18"/>
                          </w:rPr>
                          <w:t>Fase 3:</w:t>
                        </w:r>
                        <w:r>
                          <w:rPr>
                            <w:color w:val="373737"/>
                            <w:sz w:val="18"/>
                          </w:rPr>
                          <w:t xml:space="preserve"> preselezionare dal gruppo di non beneficiari le unità che NON hanno soddisfatto le condizioni di ammissibilità al programma (a causa di reddito elevato, dimensioni, ubicazione ecc.) ed escluderle dall'analisi. </w:t>
                        </w:r>
                      </w:p>
                      <w:p w:rsidR="00B03F62" w:rsidRPr="007008C0" w:rsidRDefault="00B03F62" w:rsidP="005C7C25">
                        <w:pPr>
                          <w:pStyle w:val="Hlistbullet"/>
                          <w:spacing w:before="0" w:after="0" w:line="280" w:lineRule="atLeast"/>
                          <w:ind w:left="604" w:hanging="604"/>
                          <w:rPr>
                            <w:color w:val="373737"/>
                            <w:sz w:val="18"/>
                            <w:szCs w:val="18"/>
                          </w:rPr>
                        </w:pPr>
                        <w:r>
                          <w:rPr>
                            <w:b/>
                            <w:color w:val="F07E31" w:themeColor="accent1"/>
                            <w:sz w:val="18"/>
                          </w:rPr>
                          <w:t>Fase 4:</w:t>
                        </w:r>
                        <w:r>
                          <w:rPr>
                            <w:color w:val="373737"/>
                            <w:sz w:val="18"/>
                          </w:rPr>
                          <w:t xml:space="preserve"> raccogliere per tutte le unità in entrambi i gruppi (beneficiari e non beneficiari) dati riguardanti le loro principali caratteristiche (variabili) per l'anno 2013 (ossia prima del programma). Si fa presente che le variabili comprese nell'analisi dovrebbero riguardare sia la selezione di un'unità sia gli indicatori calcolati al livello micro (indicatori comuni e aggiuntivi di impatto). Una delle variabili proposte (utilizzata come un'importante variabile di controllo) può essere: i) il livello di sostegno ricevuto da una data unità ("beneficiario" e "non beneficiario" nel precedente periodo di programmazione 2007-2013) e/o ii) il livello di sostegno che una data unità ("beneficiario" e "non beneficiario") ha ricevuto da altre fonti pubbliche (ad esempio Fondi strutturali dell'UE, primo pilastro) nel periodo analizzato.</w:t>
                        </w:r>
                      </w:p>
                      <w:p w:rsidR="00B03F62" w:rsidRPr="00AF5661" w:rsidRDefault="00B03F62" w:rsidP="005C7C25">
                        <w:pPr>
                          <w:pStyle w:val="Hlistbullet"/>
                          <w:spacing w:before="0" w:after="0" w:line="280" w:lineRule="atLeast"/>
                          <w:ind w:left="604" w:hanging="604"/>
                          <w:rPr>
                            <w:color w:val="373737"/>
                            <w:sz w:val="18"/>
                            <w:szCs w:val="18"/>
                          </w:rPr>
                        </w:pPr>
                        <w:r>
                          <w:rPr>
                            <w:b/>
                            <w:color w:val="F07E31" w:themeColor="accent1"/>
                            <w:sz w:val="18"/>
                          </w:rPr>
                          <w:t>Fase 5:</w:t>
                        </w:r>
                        <w:r>
                          <w:rPr>
                            <w:color w:val="373737"/>
                            <w:sz w:val="18"/>
                          </w:rPr>
                          <w:t xml:space="preserve"> applicare tecniche appropriate (ad esempio di abbinamento) che consentono di selezionare dal campione di "non beneficiari" (cfr. fasi 2 e 3) un "gruppo di controllo" idoneo (alcuni dei "non beneficiari" e/o dei "beneficiari" saranno esclusi dall'analisi per mancanza di unità di controllo adeguate).</w:t>
                        </w:r>
                      </w:p>
                      <w:p w:rsidR="00B03F62" w:rsidRPr="0025164E" w:rsidRDefault="00B03F62" w:rsidP="005C7C25">
                        <w:pPr>
                          <w:pStyle w:val="Hlistbullet"/>
                          <w:spacing w:before="0" w:after="0" w:line="280" w:lineRule="atLeast"/>
                          <w:ind w:left="604" w:hanging="604"/>
                        </w:pPr>
                        <w:r>
                          <w:rPr>
                            <w:b/>
                            <w:color w:val="F07E31" w:themeColor="accent1"/>
                            <w:sz w:val="18"/>
                          </w:rPr>
                          <w:t>Fase 6:</w:t>
                        </w:r>
                        <w:r>
                          <w:rPr>
                            <w:color w:val="373737"/>
                            <w:sz w:val="18"/>
                          </w:rPr>
                          <w:t xml:space="preserve"> verificare sotto il profilo statistico la "similarità" tra i due gruppi prima che ricevessero sostegno dal programma (ad esempio mediante prove statistiche su covariate incluse nell'analisi). Il valore medio di un'unità nel gruppo dei "beneficiari" non dovrebbe essere sostanzialmente diverso dalla corrispondente unità nel "gruppo di controllo".</w:t>
                        </w:r>
                      </w:p>
                      <w:p w:rsidR="00B03F62" w:rsidRPr="0025164E" w:rsidRDefault="00B03F62" w:rsidP="00735F08">
                        <w:pPr>
                          <w:pStyle w:val="Hlistbullet"/>
                          <w:numPr>
                            <w:ilvl w:val="0"/>
                            <w:numId w:val="0"/>
                          </w:numPr>
                          <w:jc w:val="center"/>
                          <w:rPr>
                            <w:i/>
                            <w:color w:val="F07E31" w:themeColor="accent1"/>
                            <w:sz w:val="18"/>
                            <w:szCs w:val="18"/>
                          </w:rPr>
                        </w:pPr>
                        <w:r>
                          <w:rPr>
                            <w:i/>
                            <w:color w:val="F07E31" w:themeColor="accent1"/>
                            <w:sz w:val="18"/>
                          </w:rPr>
                          <w:t>Per sapere di più sulla progettazione dei gruppi di controllo, sull'abbinamento ecc. cfr.</w:t>
                        </w:r>
                        <w:r>
                          <w:rPr>
                            <w:i/>
                            <w:color w:val="F07E31" w:themeColor="accent1"/>
                            <w:sz w:val="18"/>
                            <w:szCs w:val="18"/>
                          </w:rPr>
                          <w:br/>
                        </w:r>
                        <w:r>
                          <w:rPr>
                            <w:i/>
                            <w:color w:val="F07E31" w:themeColor="accent1"/>
                            <w:sz w:val="18"/>
                          </w:rPr>
                          <w:t xml:space="preserve"> </w:t>
                        </w:r>
                        <w:hyperlink r:id="rId41" w:history="1">
                          <w:r>
                            <w:rPr>
                              <w:rStyle w:val="Hyperlink"/>
                              <w:i/>
                              <w:color w:val="F07E31" w:themeColor="accent1"/>
                              <w:sz w:val="18"/>
                            </w:rPr>
                            <w:t>Guidelines for ex post evaluation of 2007-2013 RDPs (Linee guida per la valutazione ex post dei PSR 2007-2013)</w:t>
                          </w:r>
                        </w:hyperlink>
                        <w:r>
                          <w:rPr>
                            <w:rStyle w:val="Hyperlink"/>
                            <w:i/>
                            <w:color w:val="F07E31" w:themeColor="accent1"/>
                            <w:sz w:val="18"/>
                          </w:rPr>
                          <w:t>, capitolo 4</w:t>
                        </w:r>
                      </w:p>
                    </w:txbxContent>
                  </v:textbox>
                  <w10:wrap type="none"/>
                  <w10:anchorlock/>
                </v:shape>
              </w:pict>
            </w:r>
          </w:p>
        </w:tc>
      </w:tr>
    </w:tbl>
    <w:p w:rsidR="00560A1E" w:rsidRPr="00571D58" w:rsidRDefault="00CE0CD6" w:rsidP="00560A1E">
      <w:pPr>
        <w:pStyle w:val="HStandard"/>
      </w:pPr>
      <w:r>
        <w:rPr>
          <w:b/>
          <w:i/>
          <w:noProof/>
          <w:color w:val="F07E31" w:themeColor="accent1"/>
          <w:lang w:bidi="ar-SA"/>
        </w:rPr>
      </w:r>
      <w:r>
        <w:rPr>
          <w:b/>
          <w:i/>
          <w:noProof/>
          <w:color w:val="F07E31" w:themeColor="accent1"/>
          <w:lang w:bidi="ar-SA"/>
        </w:rPr>
        <w:pict>
          <v:shape id="AutoShape 66" o:spid="_x0000_s1051" style="width:451.3pt;height:673.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rsidR="00B03F62" w:rsidRPr="00DD36A9" w:rsidRDefault="00B03F62" w:rsidP="006D4194">
                  <w:pPr>
                    <w:pStyle w:val="HHeading4"/>
                  </w:pPr>
                  <w:r>
                    <w:rPr>
                      <w:noProof/>
                      <w:lang w:val="en-GB" w:eastAsia="en-GB" w:bidi="ar-SA"/>
                    </w:rPr>
                    <w:drawing>
                      <wp:inline distT="0" distB="0" distL="0" distR="0" wp14:anchorId="3A66A5B4" wp14:editId="0EEFB326">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GUIDA RAPIDA #3: compromessi nella scelta dei metodi di valutazione</w:t>
                  </w:r>
                </w:p>
                <w:p w:rsidR="00B03F62" w:rsidRDefault="00B03F62" w:rsidP="006D4194">
                  <w:pPr>
                    <w:pStyle w:val="HStandard"/>
                    <w:spacing w:after="0"/>
                    <w:rPr>
                      <w:rFonts w:cs="Arial"/>
                      <w:color w:val="373737"/>
                      <w:sz w:val="18"/>
                      <w:szCs w:val="18"/>
                    </w:rPr>
                  </w:pPr>
                  <w:r>
                    <w:rPr>
                      <w:color w:val="373737"/>
                      <w:sz w:val="18"/>
                    </w:rPr>
                    <w:t>Nelle valutazioni, i dati non disponibili sono spesso considerati la principale restrizione che limita la scelta dei metodi di valutazione. Tuttavia, il ricorso in questi casi a tecniche di valutazione "naive" (senza analisi controfattuale) inficia gravemente il rigore metodologico, la credibilità, la solidità e la validità dell'analisi. Pertanto si invitano le parti interessate a considerare i compromessi tra la domanda di dati e i potenziali errori nei risultati causati da metodi meno solidi. I metodi di valutazione che garantiscono risultati di più alta qualità tendono a essere più esigenti in termini di dati.</w:t>
                  </w:r>
                </w:p>
                <w:p w:rsidR="00B03F62" w:rsidRPr="006D4194" w:rsidRDefault="00B03F62" w:rsidP="006D4194">
                  <w:pPr>
                    <w:pStyle w:val="HStandard"/>
                    <w:spacing w:after="0"/>
                    <w:rPr>
                      <w:rFonts w:cs="Arial"/>
                      <w:color w:val="373737"/>
                      <w:sz w:val="18"/>
                      <w:szCs w:val="18"/>
                    </w:rPr>
                  </w:pPr>
                </w:p>
                <w:p w:rsidR="00B03F62" w:rsidRPr="009866F7" w:rsidRDefault="00B03F62" w:rsidP="006D4194">
                  <w:pPr>
                    <w:spacing w:before="0" w:after="0" w:line="240" w:lineRule="auto"/>
                    <w:rPr>
                      <w:rFonts w:cs="Arial"/>
                      <w:color w:val="373737"/>
                      <w:szCs w:val="18"/>
                      <w:highlight w:val="yellow"/>
                    </w:rPr>
                  </w:pPr>
                  <w:r>
                    <w:rPr>
                      <w:b/>
                    </w:rPr>
                    <w:t>C</w:t>
                  </w:r>
                  <w:r>
                    <w:rPr>
                      <w:b/>
                      <w:color w:val="373737"/>
                    </w:rPr>
                    <w:t>onfronto tra metodi</w:t>
                  </w:r>
                  <w:r>
                    <w:rPr>
                      <w:color w:val="373737"/>
                    </w:rPr>
                    <w:t xml:space="preserve"> (legenda: +++++ = punteggio massimo; + = punteggio minimo):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B03F62" w:rsidTr="00D1167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B03F62" w:rsidRPr="0025164E" w:rsidRDefault="00B03F62" w:rsidP="009811C2">
                        <w:pPr>
                          <w:jc w:val="center"/>
                          <w:rPr>
                            <w:rFonts w:cs="Arial"/>
                            <w:szCs w:val="18"/>
                          </w:rPr>
                        </w:pPr>
                        <w:r>
                          <w:t>Metodo</w:t>
                        </w:r>
                      </w:p>
                    </w:tc>
                    <w:tc>
                      <w:tcPr>
                        <w:tcW w:w="1701" w:type="dxa"/>
                      </w:tcPr>
                      <w:p w:rsidR="00B03F62" w:rsidRPr="0025164E" w:rsidRDefault="00B03F62" w:rsidP="00546311">
                        <w:pPr>
                          <w:ind w:right="-6"/>
                          <w:jc w:val="center"/>
                          <w:cnfStyle w:val="100000000000" w:firstRow="1" w:lastRow="0" w:firstColumn="0" w:lastColumn="0" w:oddVBand="0" w:evenVBand="0" w:oddHBand="0" w:evenHBand="0" w:firstRowFirstColumn="0" w:firstRowLastColumn="0" w:lastRowFirstColumn="0" w:lastRowLastColumn="0"/>
                          <w:rPr>
                            <w:rFonts w:cs="Arial"/>
                            <w:szCs w:val="18"/>
                          </w:rPr>
                        </w:pPr>
                        <w:r>
                          <w:t>Credibilità/rigore, affidabilità ecc.</w:t>
                        </w:r>
                      </w:p>
                    </w:tc>
                    <w:tc>
                      <w:tcPr>
                        <w:tcW w:w="1701" w:type="dxa"/>
                      </w:tcPr>
                      <w:p w:rsidR="00B03F62" w:rsidRPr="0025164E" w:rsidRDefault="00B03F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Capacità di ridurre errori di selezione e d'altro tipo</w:t>
                        </w:r>
                      </w:p>
                    </w:tc>
                    <w:tc>
                      <w:tcPr>
                        <w:tcW w:w="1417" w:type="dxa"/>
                      </w:tcPr>
                      <w:p w:rsidR="00B03F62" w:rsidRPr="0025164E" w:rsidRDefault="00B03F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Qualità della valutazione</w:t>
                        </w:r>
                      </w:p>
                    </w:tc>
                    <w:tc>
                      <w:tcPr>
                        <w:tcW w:w="1418" w:type="dxa"/>
                      </w:tcPr>
                      <w:p w:rsidR="00B03F62" w:rsidRPr="0025164E" w:rsidRDefault="00B03F62"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Domanda di dati</w:t>
                        </w:r>
                      </w:p>
                    </w:tc>
                  </w:tr>
                  <w:tr w:rsidR="00B03F62" w:rsidTr="00D1167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Approccio sperimentale</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Approcci quasi sperimentali</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Approcci all'abbinamento (combinati con il metodo DnD)</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DRD</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Metodo delle variabili strumentali</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Metodo DnD</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Confronti con non beneficiari in un determinato periodo di tempo</w:t>
                        </w:r>
                        <w:r>
                          <w:br/>
                          <w:t>(approccio naive)</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Confronto prima-dopo dei beneficiari dei programmi (approccio naive)</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B03F62" w:rsidTr="00D116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03F62" w:rsidRPr="009811C2" w:rsidRDefault="00B03F62" w:rsidP="00365997">
                        <w:pPr>
                          <w:jc w:val="left"/>
                          <w:rPr>
                            <w:rFonts w:cs="Arial"/>
                            <w:szCs w:val="18"/>
                          </w:rPr>
                        </w:pPr>
                        <w:r>
                          <w:t>Approcci qualitativi applicati alla stima dei risultati/degli impatti del programma</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B03F62" w:rsidRPr="00B9614C" w:rsidRDefault="00B03F62"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B03F62" w:rsidRPr="00742E07" w:rsidRDefault="00B03F62" w:rsidP="00735F08">
                  <w:pPr>
                    <w:pStyle w:val="HStandard"/>
                    <w:jc w:val="center"/>
                    <w:rPr>
                      <w:i/>
                      <w:color w:val="F07E31" w:themeColor="accent1"/>
                    </w:rPr>
                  </w:pPr>
                  <w:r>
                    <w:rPr>
                      <w:i/>
                      <w:color w:val="F07E31" w:themeColor="accent1"/>
                      <w:sz w:val="18"/>
                    </w:rPr>
                    <w:t>Per sapere di più sui criteri di scelta degli approcci valutativi cfr.</w:t>
                  </w:r>
                  <w:r>
                    <w:rPr>
                      <w:i/>
                      <w:color w:val="F07E31" w:themeColor="accent1"/>
                      <w:sz w:val="18"/>
                      <w:szCs w:val="18"/>
                    </w:rPr>
                    <w:br/>
                  </w:r>
                  <w:hyperlink r:id="rId42">
                    <w:r>
                      <w:rPr>
                        <w:rStyle w:val="Hyperlink"/>
                        <w:i/>
                        <w:color w:val="F07E31" w:themeColor="accent1"/>
                        <w:sz w:val="18"/>
                      </w:rPr>
                      <w:t>Guidelines for ex post evaluation of 2007-2013 RDPs (Linee guida per la valutazione ex post dei</w:t>
                    </w:r>
                    <w:r>
                      <w:rPr>
                        <w:rStyle w:val="Hyperlink"/>
                        <w:i/>
                        <w:color w:val="F07E31" w:themeColor="accent1"/>
                        <w:sz w:val="18"/>
                      </w:rPr>
                      <w:br/>
                      <w:t>PSR 2007-2013)</w:t>
                    </w:r>
                  </w:hyperlink>
                  <w:r>
                    <w:rPr>
                      <w:rStyle w:val="Hyperlink"/>
                      <w:i/>
                      <w:color w:val="F07E31" w:themeColor="accent1"/>
                      <w:sz w:val="18"/>
                    </w:rPr>
                    <w:t xml:space="preserve">, </w:t>
                  </w:r>
                  <w:r>
                    <w:rPr>
                      <w:i/>
                      <w:color w:val="F07E31" w:themeColor="accent1"/>
                      <w:sz w:val="18"/>
                    </w:rPr>
                    <w:t>capitolo 4.3.4.2.</w:t>
                  </w:r>
                </w:p>
              </w:txbxContent>
            </v:textbox>
            <w10:anchorlock/>
          </v:shape>
        </w:pict>
      </w:r>
    </w:p>
    <w:p w:rsidR="00820050" w:rsidRPr="001C6ACF" w:rsidRDefault="004A3547" w:rsidP="00820050">
      <w:pPr>
        <w:pStyle w:val="HHeading4"/>
      </w:pPr>
      <w:r>
        <w:br w:type="column"/>
      </w:r>
      <w:r>
        <w:lastRenderedPageBreak/>
        <w:t>Valutazione ai livelli micro e macro e scorporo degli impatti (3</w:t>
      </w:r>
      <w:r>
        <w:rPr>
          <w:vertAlign w:val="superscript"/>
        </w:rPr>
        <w:t>o</w:t>
      </w:r>
      <w:r>
        <w:t xml:space="preserve"> livello)</w:t>
      </w:r>
    </w:p>
    <w:p w:rsidR="00820050" w:rsidRPr="00863E73" w:rsidRDefault="00820050" w:rsidP="00820050">
      <w:pPr>
        <w:pStyle w:val="HStandard"/>
        <w:rPr>
          <w:rFonts w:cs="Arial"/>
        </w:rPr>
      </w:pPr>
      <w:r>
        <w:t>Nel modello logico si effettua un</w:t>
      </w:r>
      <w:r w:rsidR="00C36C9E">
        <w:t>'</w:t>
      </w:r>
      <w:r>
        <w:t xml:space="preserve">analisi a </w:t>
      </w:r>
      <w:r>
        <w:rPr>
          <w:b/>
        </w:rPr>
        <w:t>livello micro o macro</w:t>
      </w:r>
      <w:r>
        <w:t xml:space="preserve"> per affinare le opzioni di valutazione. Il flusso di lavoro per i livelli micro e macro porta il valutatore ad applicare metodi che contribuiscono a una valutazione coerente degli </w:t>
      </w:r>
      <w:r>
        <w:rPr>
          <w:b/>
        </w:rPr>
        <w:t>impatti netti ai livelli micro e macro</w:t>
      </w:r>
      <w:r>
        <w:rPr>
          <w:rStyle w:val="FootnoteReference"/>
          <w:b/>
        </w:rPr>
        <w:footnoteReference w:id="28"/>
      </w:r>
      <w:r>
        <w:t>. Per ciascuna delle possibili progettazioni dell</w:t>
      </w:r>
      <w:r w:rsidR="00C36C9E">
        <w:t>'</w:t>
      </w:r>
      <w:r>
        <w:t>analisi controfattuale viene creato un modello logico individuale a livello micro. In alcune progettazioni della valutazione, l</w:t>
      </w:r>
      <w:r w:rsidR="00C36C9E">
        <w:t>'</w:t>
      </w:r>
      <w:r>
        <w:t xml:space="preserve">upscaling dei risultati ottenuti a livello micro costituisce la base per la valutazione a livello macro. In altre progettazioni della valutazione, le valutazioni ai livelli micro e macro si integrano a vicenda; in questi casi è necessario effettuare una verifica di coerenza. </w:t>
      </w:r>
    </w:p>
    <w:p w:rsidR="00C545E7" w:rsidRPr="00571D58" w:rsidRDefault="00CE0CD6" w:rsidP="00820050">
      <w:pPr>
        <w:pStyle w:val="HStandard"/>
        <w:spacing w:after="0"/>
        <w:rPr>
          <w:rFonts w:cs="Arial"/>
        </w:rPr>
      </w:pPr>
      <w:r>
        <w:rPr>
          <w:b/>
          <w:i/>
          <w:noProof/>
          <w:color w:val="F07E31" w:themeColor="accent1"/>
          <w:lang w:bidi="ar-SA"/>
        </w:rPr>
      </w:r>
      <w:r>
        <w:rPr>
          <w:b/>
          <w:i/>
          <w:noProof/>
          <w:color w:val="F07E31" w:themeColor="accent1"/>
          <w:lang w:bidi="ar-SA"/>
        </w:rPr>
        <w:pict>
          <v:shape id="AutoShape 65" o:spid="_x0000_s1050" style="width:451.3pt;height:113.9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adj="-11796480,,5400" path="m126364,l5731510,r,1320607c5731510,1390396,5674935,1446971,5605146,1446971l,1446971,,126364c,56575,56575,,126364,xe" filled="f" strokecolor="#be4a35" strokeweight="2pt">
            <v:stroke joinstyle="miter"/>
            <v:formulas/>
            <v:path arrowok="t" o:connecttype="custom" o:connectlocs="126364,0;5731510,0;5731510,0;5731510,1320784;5605146,1447165;0,1447165;0,1447165;0,126381;126364,0" o:connectangles="0,0,0,0,0,0,0,0,0" textboxrect="0,0,5731510,1446971"/>
            <v:textbox>
              <w:txbxContent>
                <w:p w:rsidR="00B03F62" w:rsidRPr="00044269" w:rsidRDefault="00B03F62"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02D3BA87" wp14:editId="0FA76FBD">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Le prove quantitative dovrebbero essere interpretate criticamente</w:t>
                  </w:r>
                  <w:r>
                    <w:rPr>
                      <w:rStyle w:val="CommentReference"/>
                      <w:color w:val="373737" w:themeColor="text1"/>
                    </w:rPr>
                    <w:t xml:space="preserve"> </w:t>
                  </w:r>
                  <w:r>
                    <w:rPr>
                      <w:color w:val="373737" w:themeColor="text1"/>
                    </w:rPr>
                    <w:t>mediante una valutazione qualitativa.</w:t>
                  </w:r>
                  <w:r>
                    <w:rPr>
                      <w:b w:val="0"/>
                      <w:color w:val="373737" w:themeColor="text1"/>
                    </w:rPr>
                    <w:t xml:space="preserve"> Inoltre, la valutazione qualitativa può aiutare anche a integrare la valutazione quantitativa allo scopo di: a) valutare la rappresentatività dei dati disponibili; b) eseguire una convalida incrociata dei risultati; c) cogliere dimensioni diverse del medesimo fenomeno.</w:t>
                  </w:r>
                </w:p>
              </w:txbxContent>
            </v:textbox>
            <w10:anchorlock/>
          </v:shape>
        </w:pict>
      </w:r>
    </w:p>
    <w:p w:rsidR="00820050" w:rsidRPr="007645B4" w:rsidRDefault="00820050" w:rsidP="00820050">
      <w:pPr>
        <w:pStyle w:val="HStandard"/>
        <w:spacing w:after="0"/>
        <w:rPr>
          <w:rFonts w:cs="Arial"/>
        </w:rPr>
      </w:pPr>
      <w:r>
        <w:t>L</w:t>
      </w:r>
      <w:r w:rsidR="00C36C9E">
        <w:t>'</w:t>
      </w:r>
      <w:r>
        <w:t>esecuzione delle fasi del diagramma decisionale ai livelli micro e macro aiuta a rispondere alle seguenti domande in sede di progettazione dell</w:t>
      </w:r>
      <w:r w:rsidR="00C36C9E">
        <w:t>'</w:t>
      </w:r>
      <w:r>
        <w:t>approccio valutativo:</w:t>
      </w:r>
    </w:p>
    <w:p w:rsidR="00820050" w:rsidRPr="001C6ACF" w:rsidRDefault="00820050" w:rsidP="00C42303">
      <w:pPr>
        <w:pStyle w:val="Hlistbullet"/>
      </w:pPr>
      <w:r>
        <w:t>quando si applicano i metodi controfattuali, si deve applicare uno specifico metodo ambientale, settoriale (agro-economico) o socio-economico per quantificare i cambiamenti dei valori dell</w:t>
      </w:r>
      <w:r w:rsidR="00C36C9E">
        <w:t>'</w:t>
      </w:r>
      <w:r>
        <w:t>indicatore o si possono utilizzare direttamente i valori dell</w:t>
      </w:r>
      <w:r w:rsidR="00C36C9E">
        <w:t>'</w:t>
      </w:r>
      <w:r>
        <w:t>indicatore?</w:t>
      </w:r>
    </w:p>
    <w:p w:rsidR="00820050" w:rsidRPr="001C6ACF" w:rsidRDefault="00820050" w:rsidP="00C42303">
      <w:pPr>
        <w:pStyle w:val="Hlistbullet"/>
      </w:pPr>
      <w:r>
        <w:t>Nel caso in cui si debba applicare un metodo specifico, i dati sono appropriati per implementare uno dei metodi disponibili per una valutazione dell</w:t>
      </w:r>
      <w:r w:rsidR="00C36C9E">
        <w:t>'</w:t>
      </w:r>
      <w:r>
        <w:t>impatto sotto il profilo ambientale, settoriale o socio-economico?</w:t>
      </w:r>
    </w:p>
    <w:p w:rsidR="00820050" w:rsidRPr="001C6ACF" w:rsidRDefault="00820050" w:rsidP="00C42303">
      <w:pPr>
        <w:pStyle w:val="Hlistbullet"/>
      </w:pPr>
      <w:r>
        <w:t>È necessario raccogliere nuovi dati primari mediante un campionamento statistico, e quanto verrebbe a costare tale operazione?</w:t>
      </w:r>
    </w:p>
    <w:p w:rsidR="00820050" w:rsidRPr="001C6ACF" w:rsidRDefault="00820050" w:rsidP="00C42303">
      <w:pPr>
        <w:pStyle w:val="Hlistbullet"/>
      </w:pPr>
      <w:r>
        <w:t>È necessario trattare compiti specifici per migliorare la qualità dei dati dell</w:t>
      </w:r>
      <w:r w:rsidR="00C36C9E">
        <w:t>'</w:t>
      </w:r>
      <w:r>
        <w:t>indagine/del monitoraggio?</w:t>
      </w:r>
    </w:p>
    <w:p w:rsidR="00820050" w:rsidRPr="001C6ACF" w:rsidRDefault="00820050" w:rsidP="00C42303">
      <w:pPr>
        <w:pStyle w:val="Hlistbullet"/>
      </w:pPr>
      <w:r>
        <w:t>Se non è possibile quantificare i cambiamenti nei valori dell</w:t>
      </w:r>
      <w:r w:rsidR="00C36C9E">
        <w:t>'</w:t>
      </w:r>
      <w:r>
        <w:t>indicatore o se il costo di questa operazione è molto elevato, quali metodi (qualitativi) alternativi si possono applicare per valutare i cambiamenti dei valori dell</w:t>
      </w:r>
      <w:r w:rsidR="00C36C9E">
        <w:t>'</w:t>
      </w:r>
      <w:r>
        <w:t>indicatore?</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sidR="00CE0CD6">
        <w:rPr>
          <w:b/>
          <w:i/>
          <w:noProof/>
          <w:color w:val="F07E31" w:themeColor="accent1"/>
          <w:lang w:bidi="ar-SA"/>
        </w:rPr>
      </w:r>
      <w:r w:rsidR="00CE0CD6">
        <w:rPr>
          <w:b/>
          <w:i/>
          <w:noProof/>
          <w:color w:val="F07E31" w:themeColor="accent1"/>
          <w:lang w:bidi="ar-SA"/>
        </w:rPr>
        <w:pict>
          <v:shape id="AutoShape 64" o:spid="_x0000_s1049" style="width:467.05pt;height:696.7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adj="-11796480,,5400" path="m518013,l5931673,r,8152801c5931673,8438892,5699751,8670814,5413660,8670814l,8670814,,518013c,231922,231922,,518013,xe" filled="f" strokecolor="#be4a35" strokeweight="2pt">
            <v:stroke joinstyle="miter"/>
            <v:formulas/>
            <v:path arrowok="t" o:connecttype="custom" o:connectlocs="518001,0;5931535,0;5931535,0;5931535,8227355;5413534,8750105;0,8750105;0,8750105;0,522750;518001,0" o:connectangles="0,0,0,0,0,0,0,0,0" textboxrect="0,0,5931673,8670814"/>
            <v:textbox>
              <w:txbxContent>
                <w:p w:rsidR="00B03F62" w:rsidRPr="00DD36A9" w:rsidRDefault="00B03F62" w:rsidP="006D6205">
                  <w:pPr>
                    <w:pStyle w:val="HHeading4"/>
                  </w:pPr>
                  <w:r>
                    <w:rPr>
                      <w:noProof/>
                      <w:lang w:val="en-GB" w:eastAsia="en-GB" w:bidi="ar-SA"/>
                    </w:rPr>
                    <w:drawing>
                      <wp:inline distT="0" distB="0" distL="0" distR="0" wp14:anchorId="08474608" wp14:editId="31565ECC">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GUIDA RAPIDA #4: come valutare gli effetti netti del PSR? (relativo al 3</w:t>
                  </w:r>
                  <w:r>
                    <w:rPr>
                      <w:vertAlign w:val="superscript"/>
                    </w:rPr>
                    <w:t>o</w:t>
                  </w:r>
                  <w:r>
                    <w:t xml:space="preserve"> livello)</w:t>
                  </w:r>
                </w:p>
                <w:p w:rsidR="00B03F62" w:rsidRPr="00553149" w:rsidRDefault="00B03F62" w:rsidP="00AC0E3D">
                  <w:pPr>
                    <w:pStyle w:val="HStandard"/>
                    <w:spacing w:after="0"/>
                    <w:rPr>
                      <w:rFonts w:cs="Arial"/>
                      <w:szCs w:val="16"/>
                    </w:rPr>
                  </w:pPr>
                  <w:r>
                    <w:t xml:space="preserve">Quando si applica l'analisi controfattuale, la valutazione degli effetti netti del programma </w:t>
                  </w:r>
                  <w:r>
                    <w:rPr>
                      <w:b/>
                    </w:rPr>
                    <w:t>al livello macro o al livello dell'area interessata dal programma</w:t>
                  </w:r>
                  <w:r>
                    <w:t xml:space="preserve"> può essere eseguita secondo due approcci principali: il </w:t>
                  </w:r>
                  <w:r>
                    <w:rPr>
                      <w:b/>
                    </w:rPr>
                    <w:t>primo approccio</w:t>
                  </w:r>
                  <w:r>
                    <w:t xml:space="preserve"> si basa su un'analisi a livello micro e un'estrapolazione dei suoi risultati verso il livello macro (upscaling); il </w:t>
                  </w:r>
                  <w:r>
                    <w:rPr>
                      <w:b/>
                    </w:rPr>
                    <w:t>secondo approccio</w:t>
                  </w:r>
                  <w:r>
                    <w:t xml:space="preserve"> utilizza strumenti analitici come l'</w:t>
                  </w:r>
                  <w:hyperlink r:id="rId43">
                    <w:r>
                      <w:rPr>
                        <w:rStyle w:val="Hyperlink"/>
                      </w:rPr>
                      <w:t>equilibrio generale calcolabile</w:t>
                    </w:r>
                  </w:hyperlink>
                  <w:r>
                    <w:t xml:space="preserve">, l'equilibrio parziale e modelli econometrici spaziali o altre tecniche di modellizzazione – nei casi in cui i corrispondenti parametri del modello (ad esempio i coefficienti di produttività o emissione) sono stimati sotto il profilo econometrico in maniera tale da </w:t>
                  </w:r>
                  <w:r>
                    <w:rPr>
                      <w:b/>
                    </w:rPr>
                    <w:t>prendere in considerazione</w:t>
                  </w:r>
                  <w:r>
                    <w:t xml:space="preserve"> solidi nessi causali, eventuali errori di selezione, l'endogeneità e le dipendenze spaziali. Questo approccio comprende anche la combinazione di un approccio a livello macro "dall'alto verso il basso" (ad esempio modelli con copertura nazionale o regionale) per valutare gli impatti del programma con un approccio a livello micro "dal basso verso l'alto" per valutare gli effetti netti di differenti misure o combinazioni di misure.</w:t>
                  </w:r>
                </w:p>
                <w:p w:rsidR="00B03F62" w:rsidRPr="00553149" w:rsidRDefault="00B03F62" w:rsidP="00AC0E3D">
                  <w:pPr>
                    <w:pStyle w:val="HStandard"/>
                    <w:spacing w:after="0"/>
                    <w:rPr>
                      <w:rFonts w:cs="Arial"/>
                      <w:szCs w:val="16"/>
                    </w:rPr>
                  </w:pPr>
                </w:p>
                <w:p w:rsidR="00B03F62" w:rsidRPr="00553149" w:rsidRDefault="00B03F62" w:rsidP="00AC0E3D">
                  <w:pPr>
                    <w:pStyle w:val="HStandard"/>
                    <w:spacing w:after="0"/>
                    <w:rPr>
                      <w:rFonts w:cs="Arial"/>
                      <w:szCs w:val="16"/>
                    </w:rPr>
                  </w:pPr>
                  <w:r>
                    <w:t xml:space="preserve">È importante rilevare che, indipendentemente dall'approccio scelto, l'analisi degli effetti netti di un PSR è possibile soltanto se sono disponibili dati quantitativi in misura sufficiente e se si applicano tecniche metodologiche avanzate. L'eventuale ricorso a opzioni di valutazione quantitativa naive (ad esempio prima-dopo, utilizzo di controlli non appropriati ecc.) può gravemente compromettere i risultati ottenuti dagli "impatti netti" in entrambe le direzioni (in senso positivo o negativo). </w:t>
                  </w:r>
                </w:p>
                <w:p w:rsidR="00B03F62" w:rsidRPr="00553149" w:rsidRDefault="00B03F62" w:rsidP="00AC0E3D">
                  <w:pPr>
                    <w:pStyle w:val="HStandard"/>
                    <w:spacing w:after="0"/>
                    <w:rPr>
                      <w:rFonts w:cs="Arial"/>
                      <w:szCs w:val="16"/>
                    </w:rPr>
                  </w:pPr>
                </w:p>
                <w:p w:rsidR="00B03F62" w:rsidRPr="00502017" w:rsidRDefault="00B03F62" w:rsidP="00AC0E3D">
                  <w:pPr>
                    <w:pStyle w:val="HStandard"/>
                    <w:spacing w:after="0"/>
                    <w:rPr>
                      <w:rFonts w:cs="Arial"/>
                      <w:szCs w:val="16"/>
                    </w:rPr>
                  </w:pPr>
                  <w:r>
                    <w:t xml:space="preserve">Il </w:t>
                  </w:r>
                  <w:r>
                    <w:rPr>
                      <w:b/>
                    </w:rPr>
                    <w:t>primo approccio</w:t>
                  </w:r>
                  <w:r>
                    <w:t xml:space="preserve"> (estrapolazione dell'analisi al livello micro verso un livello macro dell'area interessata dal programma) costituisce l'approccio più semplice e più promettente; di seguito sono descritte le sue fasi più importanti. Questo approccio è formato da cinque fasi principali applicabili sia agli indicatori di impatto settoriali sia a quelli ambientali e socio-economici. La differenza di base tra l'analisi dell'impatto netto del PSR eseguita nei tre ambiti citati consiste nella definizione delle unità su cui si fonda l'analisi: ad esempio aziende agricole (imprese) o regioni amministrative (ad esempio NUTS 4, NUTS 5 ecc.) per gli indicatori settoriali; appezzamenti di terreno o piccole regioni geografiche (dati spaziali regionali) per gli indicatori ambientali; regioni amministrative (ad esempio NUTS 3, NUTS 4 o NUTS 5) per gli indicatori socio-economici. Le fasi sono illustrate di seguito.</w:t>
                  </w:r>
                </w:p>
                <w:p w:rsidR="00B03F62" w:rsidRPr="00502017" w:rsidRDefault="00B03F62" w:rsidP="00AC0E3D">
                  <w:pPr>
                    <w:pStyle w:val="HStandard"/>
                    <w:spacing w:after="0"/>
                    <w:rPr>
                      <w:rFonts w:cs="Arial"/>
                      <w:szCs w:val="16"/>
                    </w:rPr>
                  </w:pPr>
                </w:p>
                <w:p w:rsidR="00B03F62" w:rsidRPr="00735F08" w:rsidRDefault="00B03F62" w:rsidP="00AC0E3D">
                  <w:pPr>
                    <w:pStyle w:val="Hlistbullet"/>
                    <w:numPr>
                      <w:ilvl w:val="0"/>
                      <w:numId w:val="0"/>
                    </w:numPr>
                    <w:jc w:val="left"/>
                    <w:rPr>
                      <w:szCs w:val="16"/>
                    </w:rPr>
                  </w:pPr>
                  <w:r>
                    <w:rPr>
                      <w:b/>
                      <w:color w:val="F07E31" w:themeColor="accent1"/>
                    </w:rPr>
                    <w:t>Fase 1:</w:t>
                  </w:r>
                  <w:r>
                    <w:t xml:space="preserve"> stimare gli </w:t>
                  </w:r>
                  <w:r>
                    <w:rPr>
                      <w:b/>
                    </w:rPr>
                    <w:t>effetti diretti</w:t>
                  </w:r>
                  <w:r>
                    <w:t xml:space="preserve"> del PSR </w:t>
                  </w:r>
                  <w:r>
                    <w:rPr>
                      <w:b/>
                    </w:rPr>
                    <w:t>sui beneficiari al livello micro</w:t>
                  </w:r>
                  <w:r>
                    <w:t>:</w:t>
                  </w:r>
                </w:p>
                <w:p w:rsidR="00B03F62" w:rsidRPr="00553149" w:rsidRDefault="00B03F62" w:rsidP="00EC01C3">
                  <w:pPr>
                    <w:pStyle w:val="HStandard"/>
                    <w:numPr>
                      <w:ilvl w:val="1"/>
                      <w:numId w:val="13"/>
                    </w:numPr>
                    <w:spacing w:after="0"/>
                    <w:ind w:left="924" w:hanging="357"/>
                    <w:rPr>
                      <w:rFonts w:cs="Arial"/>
                      <w:szCs w:val="16"/>
                    </w:rPr>
                  </w:pPr>
                  <w:r>
                    <w:t>calcolare al livello micro per il gruppo dei beneficiari e il gruppo di controllo il valore medio degli indicatori comuni o aggiuntivi di impatto prima del sostegno (ad esempio nel 2013) e dopo il sostegno (ad esempio nel 2018 o 2019);</w:t>
                  </w:r>
                </w:p>
                <w:p w:rsidR="00B03F62" w:rsidRPr="00553149" w:rsidRDefault="00B03F62" w:rsidP="00EC01C3">
                  <w:pPr>
                    <w:pStyle w:val="HStandard"/>
                    <w:numPr>
                      <w:ilvl w:val="1"/>
                      <w:numId w:val="13"/>
                    </w:numPr>
                    <w:spacing w:after="0"/>
                    <w:ind w:left="924" w:hanging="357"/>
                    <w:rPr>
                      <w:rFonts w:cs="Arial"/>
                      <w:szCs w:val="16"/>
                    </w:rPr>
                  </w:pPr>
                  <w:r>
                    <w:t xml:space="preserve">calcolare gli indicatori politici specifici [ad esempio gli effetti medi del trattamento sui trattati (EMTT)] usando come risultato i pertinenti indicatori comuni o aggiuntivi di impatto; calcolare gli </w:t>
                  </w:r>
                  <w:r>
                    <w:rPr>
                      <w:b/>
                    </w:rPr>
                    <w:t>effetti diretti netti</w:t>
                  </w:r>
                  <w:r>
                    <w:t xml:space="preserve"> del PSR </w:t>
                  </w:r>
                  <w:r>
                    <w:rPr>
                      <w:b/>
                    </w:rPr>
                    <w:t>sugli indicatori summenzionati</w:t>
                  </w:r>
                  <w:r>
                    <w:t xml:space="preserve"> combinando gli EMTT calcolati con il metodo della differenza nelle differenze;</w:t>
                  </w:r>
                </w:p>
                <w:p w:rsidR="00B03F62" w:rsidRPr="00553149" w:rsidRDefault="00B03F62" w:rsidP="00EC01C3">
                  <w:pPr>
                    <w:pStyle w:val="HStandard"/>
                    <w:numPr>
                      <w:ilvl w:val="1"/>
                      <w:numId w:val="13"/>
                    </w:numPr>
                    <w:spacing w:after="0"/>
                    <w:ind w:left="924" w:hanging="357"/>
                    <w:rPr>
                      <w:rFonts w:cs="Arial"/>
                      <w:szCs w:val="16"/>
                    </w:rPr>
                  </w:pPr>
                  <w:r>
                    <w:t>eseguire un'analisi di sensitività dei risultati ottenuti.</w:t>
                  </w:r>
                </w:p>
                <w:p w:rsidR="00B03F62" w:rsidRDefault="00B03F62" w:rsidP="00AC0E3D">
                  <w:pPr>
                    <w:pStyle w:val="Hlistbullet"/>
                    <w:numPr>
                      <w:ilvl w:val="0"/>
                      <w:numId w:val="0"/>
                    </w:numPr>
                    <w:spacing w:before="0" w:after="120" w:line="280" w:lineRule="atLeast"/>
                    <w:rPr>
                      <w:rFonts w:cs="Arial"/>
                      <w:szCs w:val="16"/>
                    </w:rPr>
                  </w:pPr>
                  <w:r>
                    <w:rPr>
                      <w:b/>
                      <w:color w:val="F07E31" w:themeColor="accent1"/>
                    </w:rPr>
                    <w:t xml:space="preserve">Fase 2: </w:t>
                  </w:r>
                  <w:r>
                    <w:t xml:space="preserve">stimare gli </w:t>
                  </w:r>
                  <w:r>
                    <w:rPr>
                      <w:b/>
                    </w:rPr>
                    <w:t>effetti indiretti</w:t>
                  </w:r>
                  <w:r>
                    <w:t xml:space="preserve"> del PSR </w:t>
                  </w:r>
                  <w:r>
                    <w:rPr>
                      <w:b/>
                    </w:rPr>
                    <w:t>sui beneficiari al livello micro</w:t>
                  </w:r>
                  <w:r>
                    <w:t>. Anche in questo caso, il cambiamento osservato nel valore degli indicatori dovrebbe essere suddiviso in cambiamenti dovuti al programma (effetto complessivo dei contributi primari e secondari) e cambiamenti dovuti ad altri fattori.</w:t>
                  </w:r>
                  <w:r>
                    <w:rPr>
                      <w:color w:val="auto"/>
                    </w:rPr>
                    <w:t xml:space="preserve"> </w:t>
                  </w:r>
                  <w:r>
                    <w:t xml:space="preserve">Gli effetti indiretti del programma (ad esempio sostituzione, trasferimento, moltiplicatore) riconducibili al PSR dovrebbero essere calcolati e mostrati separatamente. </w:t>
                  </w:r>
                </w:p>
                <w:p w:rsidR="00B03F62" w:rsidRPr="00027601" w:rsidRDefault="00B03F62" w:rsidP="00027601">
                  <w:pPr>
                    <w:pStyle w:val="Hlistbullet"/>
                    <w:numPr>
                      <w:ilvl w:val="0"/>
                      <w:numId w:val="0"/>
                    </w:numPr>
                    <w:spacing w:before="0" w:after="120" w:line="280" w:lineRule="atLeast"/>
                    <w:rPr>
                      <w:i/>
                      <w:color w:val="F07E31" w:themeColor="accent1"/>
                      <w:sz w:val="16"/>
                      <w:szCs w:val="16"/>
                    </w:rPr>
                  </w:pPr>
                </w:p>
              </w:txbxContent>
            </v:textbox>
            <w10:anchorlock/>
          </v:shape>
        </w:pict>
      </w:r>
    </w:p>
    <w:p w:rsidR="00AC0E3D" w:rsidRPr="00571D58" w:rsidRDefault="00AC0E3D" w:rsidP="000B6372">
      <w:pPr>
        <w:pStyle w:val="HStandard"/>
      </w:pPr>
    </w:p>
    <w:p w:rsidR="00FC012D" w:rsidRPr="00336531" w:rsidRDefault="00CE0CD6" w:rsidP="00FC012D">
      <w:pPr>
        <w:pStyle w:val="HHeading4"/>
      </w:pPr>
      <w:r>
        <w:rPr>
          <w:b w:val="0"/>
          <w:i/>
          <w:noProof/>
          <w:color w:val="F07E31" w:themeColor="accent1"/>
          <w:lang w:bidi="ar-SA"/>
        </w:rPr>
      </w:r>
      <w:r>
        <w:rPr>
          <w:b w:val="0"/>
          <w:i/>
          <w:noProof/>
          <w:color w:val="F07E31" w:themeColor="accent1"/>
          <w:lang w:bidi="ar-SA"/>
        </w:rPr>
        <w:pict>
          <v:shape id="AutoShape 63" o:spid="_x0000_s1048" style="width:457.5pt;height:389pt;visibility:visible;mso-left-percent:-10001;mso-top-percent:-10001;mso-position-horizontal:absolute;mso-position-horizontal-relative:char;mso-position-vertical:absolute;mso-position-vertical-relative:line;mso-left-percent:-10001;mso-top-percent:-10001;v-text-anchor:top" coordsize="5731510,4712335" o:spt="100" adj="-11796480,,5400" path="m335330,l5731510,r,4377005c5731510,4562203,5581378,4712335,5396180,4712335l,4712335,,335330c,150132,150132,,335330,xe" filled="f" strokecolor="#be4a35" strokeweight="2pt">
            <v:stroke joinstyle="miter"/>
            <v:formulas/>
            <v:path arrowok="t" o:connecttype="custom" o:connectlocs="335330,0;5731510,0;5731510,0;5731510,4027246;5396180,4335780;0,4335780;0,4335780;0,308534;335330,0" o:connectangles="0,0,0,0,0,0,0,0,0" textboxrect="0,0,5731510,4712335"/>
            <v:textbox style="mso-next-textbox:#AutoShape 63">
              <w:txbxContent>
                <w:p w:rsidR="00B03F62" w:rsidRPr="005945BB" w:rsidRDefault="00B03F62" w:rsidP="00AC0E3D">
                  <w:pPr>
                    <w:pStyle w:val="Hlistbullet"/>
                    <w:numPr>
                      <w:ilvl w:val="0"/>
                      <w:numId w:val="0"/>
                    </w:numPr>
                    <w:spacing w:before="0" w:after="120" w:line="280" w:lineRule="atLeast"/>
                    <w:rPr>
                      <w:rFonts w:cs="Arial"/>
                      <w:szCs w:val="16"/>
                    </w:rPr>
                  </w:pPr>
                  <w:r>
                    <w:rPr>
                      <w:b/>
                      <w:color w:val="F07E31" w:themeColor="accent1"/>
                    </w:rPr>
                    <w:t xml:space="preserve">Fase 3: </w:t>
                  </w:r>
                  <w:r>
                    <w:t xml:space="preserve">calcolare gli </w:t>
                  </w:r>
                  <w:r>
                    <w:rPr>
                      <w:b/>
                    </w:rPr>
                    <w:t>effetti indiretti</w:t>
                  </w:r>
                  <w:r>
                    <w:t xml:space="preserve"> </w:t>
                  </w:r>
                  <w:r>
                    <w:rPr>
                      <w:b/>
                    </w:rPr>
                    <w:t>sui non beneficiari al livello micro</w:t>
                  </w:r>
                  <w:r>
                    <w:t xml:space="preserve">. Anche in questo caso, il cambiamento osservato nel valore degli indicatori dovrebbe essere suddiviso in due componenti: i cambiamenti dovuti al programma (effetto complessivo dei contributi primari e secondari) e i cambiamenti dovuti ad altri fattori. Questa fase si riferisce all'aspettativa che il sostegno ottenuto dai beneficiari delle misure del PSR possa avere effetti di equilibrio generale "attesi/inattesi" (ad esempio effetti negativi sui non beneficiari stabiliti nelle immediate vicinanze dei beneficiari del programma). </w:t>
                  </w:r>
                </w:p>
                <w:p w:rsidR="00B03F62" w:rsidRPr="005945BB" w:rsidRDefault="00B03F62" w:rsidP="00AC0E3D">
                  <w:pPr>
                    <w:pStyle w:val="HStandard"/>
                    <w:rPr>
                      <w:rFonts w:cs="Arial"/>
                      <w:szCs w:val="16"/>
                    </w:rPr>
                  </w:pPr>
                  <w:r>
                    <w:t>In questa fase della valutazione è essenziale eseguire una valutazione qualitativa preliminare, perché essa può fornire utili prospettive dal punto di vista degli interessati e portare alla formulazione di importanti domande di valutazione specifiche del programma (DVSP) incentrate sulle prestazioni del programma, in particolare per quanto riguarda i suoi effetti positivi, negativi, voluti e non voluti sui non beneficiari. Il ricorso alle DVSP è volontario; tuttavia, se sono state formulate, è opportuno rispondere. Per un'analisi preliminare delle sinergie o di potenziali effetti trasversali negativi, i valutatori possono utilizzare anche strumenti di valutazione qualitativa.</w:t>
                  </w:r>
                </w:p>
                <w:p w:rsidR="00B03F62" w:rsidRPr="005945BB" w:rsidRDefault="00B03F62" w:rsidP="00AC0E3D">
                  <w:pPr>
                    <w:pStyle w:val="Hlistbullet"/>
                    <w:numPr>
                      <w:ilvl w:val="0"/>
                      <w:numId w:val="0"/>
                    </w:numPr>
                    <w:spacing w:before="0" w:after="120" w:line="280" w:lineRule="atLeast"/>
                    <w:rPr>
                      <w:rFonts w:cs="Arial"/>
                      <w:szCs w:val="16"/>
                    </w:rPr>
                  </w:pPr>
                  <w:r>
                    <w:rPr>
                      <w:b/>
                      <w:color w:val="F07E31" w:themeColor="accent1"/>
                    </w:rPr>
                    <w:t xml:space="preserve">Fase 4: </w:t>
                  </w:r>
                  <w:r>
                    <w:rPr>
                      <w:b/>
                    </w:rPr>
                    <w:t>aggregare i risultati e calcolare gli effetti del PSR sugli indicatori di impatto analizzati al livello macro e al livello dell'area interessata dalla programmazione.</w:t>
                  </w:r>
                  <w:r>
                    <w:t xml:space="preserve"> In questa fase il valutatore dovrebbe calcolare gli effetti diretti netti del PSR sugli indicatori di impatto al livello dell'area interessata dal programma applicando tecniche di estrapolazione (ossia moltiplicando i risultati medi al livello micro calcolati a un livello micro per il numero di beneficiari/non beneficiari).</w:t>
                  </w:r>
                </w:p>
                <w:p w:rsidR="00B03F62" w:rsidRPr="005945BB" w:rsidRDefault="00B03F62" w:rsidP="00AC0E3D">
                  <w:pPr>
                    <w:pStyle w:val="HStandard"/>
                    <w:rPr>
                      <w:color w:val="auto"/>
                      <w:szCs w:val="16"/>
                    </w:rPr>
                  </w:pPr>
                  <w:r>
                    <w:rPr>
                      <w:b/>
                      <w:color w:val="F07E31" w:themeColor="accent1"/>
                    </w:rPr>
                    <w:t xml:space="preserve">Fase 5: </w:t>
                  </w:r>
                  <w:r>
                    <w:rPr>
                      <w:b/>
                    </w:rPr>
                    <w:t>applicare metodi qualitativi</w:t>
                  </w:r>
                  <w:r>
                    <w:t xml:space="preserve"> per controllare e verificare i risultati ottenuti (triangolazione).</w:t>
                  </w:r>
                </w:p>
                <w:p w:rsidR="00B03F62" w:rsidRPr="005945BB" w:rsidRDefault="00B03F62" w:rsidP="00735F08">
                  <w:pPr>
                    <w:pStyle w:val="Hlistbullet"/>
                    <w:numPr>
                      <w:ilvl w:val="0"/>
                      <w:numId w:val="0"/>
                    </w:numPr>
                    <w:jc w:val="center"/>
                    <w:rPr>
                      <w:i/>
                      <w:color w:val="F07E31" w:themeColor="accent1"/>
                      <w:szCs w:val="18"/>
                    </w:rPr>
                  </w:pPr>
                  <w:r>
                    <w:rPr>
                      <w:i/>
                      <w:color w:val="F07E31" w:themeColor="accent1"/>
                    </w:rPr>
                    <w:t>Per sapere di più sullo scorporo degli effetti del programma cfr. le</w:t>
                  </w:r>
                  <w:r>
                    <w:rPr>
                      <w:i/>
                      <w:color w:val="F07E31" w:themeColor="accent1"/>
                      <w:szCs w:val="18"/>
                    </w:rPr>
                    <w:br/>
                  </w:r>
                  <w:hyperlink r:id="rId44" w:history="1">
                    <w:r>
                      <w:rPr>
                        <w:rStyle w:val="Hyperlink"/>
                        <w:i/>
                        <w:color w:val="F07E31" w:themeColor="accent1"/>
                      </w:rPr>
                      <w:t>Guidelines for ex post evaluation of 2007-2013 RDPs (Linee guida per la valutazione ex post dei PSR 2007-2013)</w:t>
                    </w:r>
                  </w:hyperlink>
                  <w:r>
                    <w:rPr>
                      <w:rStyle w:val="Hyperlink"/>
                      <w:i/>
                      <w:color w:val="F07E31" w:themeColor="accent1"/>
                    </w:rPr>
                    <w:t>, capitolo 4.2, e sull'EGC capitolo 4.3.3</w:t>
                  </w:r>
                </w:p>
              </w:txbxContent>
            </v:textbox>
            <w10:anchorlock/>
          </v:shape>
        </w:pict>
      </w:r>
      <w:r w:rsidR="000B213F">
        <w:br w:type="column"/>
      </w:r>
      <w:r w:rsidR="000B213F">
        <w:lastRenderedPageBreak/>
        <w:t>Verifica di coerenza micro-macro e convalida (4</w:t>
      </w:r>
      <w:r w:rsidR="000B213F">
        <w:rPr>
          <w:vertAlign w:val="superscript"/>
        </w:rPr>
        <w:t>o</w:t>
      </w:r>
      <w:r w:rsidR="000B213F">
        <w:t xml:space="preserve"> livello)</w:t>
      </w:r>
    </w:p>
    <w:p w:rsidR="00FC012D" w:rsidRPr="00336531" w:rsidRDefault="00CE0CD6" w:rsidP="00FC012D">
      <w:pPr>
        <w:pStyle w:val="HStandard"/>
        <w:rPr>
          <w:rFonts w:cs="Arial"/>
        </w:rPr>
      </w:pPr>
      <w:r>
        <w:rPr>
          <w:b/>
          <w:i/>
          <w:noProof/>
          <w:color w:val="F07E31" w:themeColor="accent1"/>
          <w:lang w:bidi="ar-SA"/>
        </w:rPr>
      </w:r>
      <w:r>
        <w:rPr>
          <w:b/>
          <w:i/>
          <w:noProof/>
          <w:color w:val="F07E31" w:themeColor="accent1"/>
          <w:lang w:bidi="ar-SA"/>
        </w:rPr>
        <w:pict>
          <v:shape id="AutoShape 62" o:spid="_x0000_s1047" style="width:451.3pt;height:110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adj="-11796480,,5400" path="m106671,l5731510,r,1114798c5731510,1173711,5683752,1221469,5624839,1221469l,1221469,,106671c,47758,47758,,106671,xe" filled="f" strokecolor="#be4a35" strokeweight="2pt">
            <v:stroke joinstyle="miter"/>
            <v:formulas/>
            <v:path arrowok="t" o:connecttype="custom" o:connectlocs="106671,0;5731510,0;5731510,0;5731510,1115045;5624839,1221740;0,1221740;0,1221740;0,106695;106671,0" o:connectangles="0,0,0,0,0,0,0,0,0" textboxrect="0,0,5731510,1221469"/>
            <v:textbox>
              <w:txbxContent>
                <w:p w:rsidR="00B03F62" w:rsidRPr="00044269" w:rsidRDefault="00B03F62"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3B6DBE9C" wp14:editId="7C3640E2">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Nella valutazione dell'impatto netto</w:t>
                  </w:r>
                  <w:r>
                    <w:rPr>
                      <w:b w:val="0"/>
                      <w:color w:val="373737" w:themeColor="text1"/>
                    </w:rPr>
                    <w:t>, per poter convalidare i risultati ottenuti dalla valutazione a livello micro e a livello macro è importante verificarne la coerenza. La coerenza è accertata quando i risultati di entrambi i livelli non si contraddicono a vicenda.</w:t>
                  </w:r>
                </w:p>
              </w:txbxContent>
            </v:textbox>
            <w10:anchorlock/>
          </v:shape>
        </w:pict>
      </w:r>
      <w:r w:rsidR="000B213F">
        <w:t>Nel caso di una valutazione quantitativa dal basso verso l</w:t>
      </w:r>
      <w:r w:rsidR="00C36C9E">
        <w:t>'</w:t>
      </w:r>
      <w:r w:rsidR="000B213F">
        <w:t>alto, la coerenza è garantita dall</w:t>
      </w:r>
      <w:r w:rsidR="00C36C9E">
        <w:t>'</w:t>
      </w:r>
      <w:r w:rsidR="000B213F">
        <w:t xml:space="preserve">upscaling dei dati dal livello micro al livello macro.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Per quanto riguarda gli effetti </w:t>
      </w:r>
      <w:r>
        <w:rPr>
          <w:i/>
          <w:color w:val="373737" w:themeColor="text1"/>
          <w:sz w:val="20"/>
        </w:rPr>
        <w:t>diretti</w:t>
      </w:r>
      <w:r>
        <w:rPr>
          <w:color w:val="373737" w:themeColor="text1"/>
          <w:sz w:val="20"/>
        </w:rPr>
        <w:t xml:space="preserve"> del programma sulle unità beneficiarie del sostegno, gli effetti diretti netti del programma calcolati mediante </w:t>
      </w:r>
      <w:r>
        <w:rPr>
          <w:b/>
          <w:color w:val="373737" w:themeColor="text1"/>
          <w:sz w:val="20"/>
        </w:rPr>
        <w:t>indicatori di risultato</w:t>
      </w:r>
      <w:r>
        <w:rPr>
          <w:color w:val="373737" w:themeColor="text1"/>
          <w:sz w:val="20"/>
        </w:rPr>
        <w:t xml:space="preserve"> dovrebbero, in linea di principio, essere coerenti e seguire la stessa tendenza degli effetti netti del programma calcolati mediante indicatori di </w:t>
      </w:r>
      <w:r>
        <w:rPr>
          <w:b/>
          <w:color w:val="373737" w:themeColor="text1"/>
          <w:sz w:val="20"/>
        </w:rPr>
        <w:t>impatto</w:t>
      </w:r>
      <w:r>
        <w:rPr>
          <w:color w:val="373737" w:themeColor="text1"/>
          <w:sz w:val="20"/>
        </w:rPr>
        <w:t>. Tuttavia, a seconda delle dimensioni e della direzione degli effetti indiretti, i risultati a livello macro possono seguire, in linea in principio, anche una direzione d</w:t>
      </w:r>
      <w:r w:rsidR="00C36C9E">
        <w:rPr>
          <w:color w:val="373737" w:themeColor="text1"/>
          <w:sz w:val="20"/>
        </w:rPr>
        <w:t>'</w:t>
      </w:r>
      <w:r>
        <w:rPr>
          <w:color w:val="373737" w:themeColor="text1"/>
          <w:sz w:val="20"/>
        </w:rPr>
        <w:t>impatto contraria a quella degli effetti a livello micro. In questi casi, però, le direzioni opposte degli effetti devono essere spiegate con prove causali e/o quantificate degli effetti indiretti. Una verifica di coerenza dei risultati ai livelli micro e macro richiede una buona comprensione dei fattori chiave che incidono su ciascun indicatore.</w:t>
      </w:r>
    </w:p>
    <w:p w:rsidR="00FC012D" w:rsidRPr="001C6ACF" w:rsidRDefault="00FC012D" w:rsidP="00FC012D">
      <w:pPr>
        <w:pStyle w:val="HStandard"/>
        <w:rPr>
          <w:rFonts w:cs="Arial"/>
        </w:rPr>
      </w:pPr>
      <w:r>
        <w:t xml:space="preserve">Per quanto riguarda gli effetti </w:t>
      </w:r>
      <w:r>
        <w:rPr>
          <w:i/>
        </w:rPr>
        <w:t>indiretti</w:t>
      </w:r>
      <w:r>
        <w:t xml:space="preserve"> del programma sulle aziende agricole beneficiarie e non beneficiarie del sostegno, i risultati micro-economici dopo l</w:t>
      </w:r>
      <w:r w:rsidR="00C36C9E">
        <w:t>'</w:t>
      </w:r>
      <w:r>
        <w:t xml:space="preserve">aggregazione possono soltanto essere approssimativamente simili alla scala di tutti i possibili effetti indiretti del PSR (compresi quelli calcolati mediante modelli settoriali). Il motivo principale di questa approssimazione è dovuto alla difficoltà di modellare </w:t>
      </w:r>
      <w:r>
        <w:rPr>
          <w:b/>
        </w:rPr>
        <w:t>tutti</w:t>
      </w:r>
      <w:r>
        <w:t xml:space="preserve"> i potenziali effetti indiretti che le unità beneficiare e non beneficiarie del sostegno potrebbero </w:t>
      </w:r>
      <w:r w:rsidR="00C36C9E">
        <w:t>"</w:t>
      </w:r>
      <w:r>
        <w:t>almeno teoricamente</w:t>
      </w:r>
      <w:r w:rsidR="00C36C9E">
        <w:t>"</w:t>
      </w:r>
      <w:r>
        <w:t xml:space="preserve"> aver incontrato. </w:t>
      </w:r>
    </w:p>
    <w:p w:rsidR="00FC012D" w:rsidRPr="00571D58" w:rsidRDefault="00FC012D" w:rsidP="00FC012D">
      <w:pPr>
        <w:pStyle w:val="HStandard"/>
        <w:rPr>
          <w:rFonts w:cs="Arial"/>
        </w:rPr>
      </w:pPr>
      <w:r>
        <w:t>La valutazione dal basso verso l</w:t>
      </w:r>
      <w:r w:rsidR="00C36C9E">
        <w:t>'</w:t>
      </w:r>
      <w:r>
        <w:t>alto basata sull</w:t>
      </w:r>
      <w:r w:rsidR="00C36C9E">
        <w:t>'</w:t>
      </w:r>
      <w:r>
        <w:t>aggregazione di fonti di dati differenti che hanno metodi di misura e terminologia differenti può essere causa di ambiguità. Una delle sfide principali della verifica di coerenza per i livelli macro e micro consiste nel determinare il nesso di causalità tra i cambiamenti e gli impatti misurati a livello di azienda agricola o di parcella e i cambiamenti e gli impatti esterni al cambiamento del confine dell</w:t>
      </w:r>
      <w:r w:rsidR="00C36C9E">
        <w:t>'</w:t>
      </w:r>
      <w:r>
        <w:t>azienda agricola (ad esempio al livello NUTS 3 e del programma).</w:t>
      </w:r>
      <w:r>
        <w:rPr>
          <w:color w:val="373737"/>
        </w:rPr>
        <w:t xml:space="preserve"> In tale contesto, è importante che le unità di analisi e le scale applicate tengano conto della scala e del livello in cui è probabile che si verifichino gli effetti. La mera applicazione di rigidi confini amministrativi può distorcere i risultati. </w:t>
      </w:r>
      <w:r>
        <w:t>Con qualche piccolo sforzo è possibile utilizzare coerentemente metodi di raccolta a scala di campo, azienda agricola e paesaggio per tenere conto dei diversi tipi di tassonomie studiati, nonché delle interazioni tra le variabili che descrivono il clima, la topografia, l</w:t>
      </w:r>
      <w:r w:rsidR="00C36C9E">
        <w:t>'</w:t>
      </w:r>
      <w:r>
        <w:t>utilizzo del territorio e le condizioni socio-economiche e del terreno</w:t>
      </w:r>
      <w:r>
        <w:rPr>
          <w:rStyle w:val="FootnoteReference"/>
        </w:rPr>
        <w:footnoteReference w:id="29"/>
      </w:r>
      <w:r>
        <w:t>. L</w:t>
      </w:r>
      <w:r w:rsidR="00C36C9E">
        <w:t>'"</w:t>
      </w:r>
      <w:r>
        <w:t>approccio dal basso verso l</w:t>
      </w:r>
      <w:r w:rsidR="00C36C9E">
        <w:t>'</w:t>
      </w:r>
      <w:r>
        <w:t>alto</w:t>
      </w:r>
      <w:r w:rsidR="00C36C9E">
        <w:t>"</w:t>
      </w:r>
      <w:r>
        <w:t>, con un</w:t>
      </w:r>
      <w:r w:rsidR="00C36C9E">
        <w:t>'</w:t>
      </w:r>
      <w:r>
        <w:t>area di studio a livello di appezzamento o di campo, permette di ottenere risultati mediante la raccolta di dati ricavati da indagini specifiche del luogo eseguite secondo protocolli sperimentali, e di estrapolarli dal livello micro al livello macro per mezzo del sistema di informazione geografica (SIG), di immagini satellitari o di un</w:t>
      </w:r>
      <w:r w:rsidR="00C36C9E">
        <w:t>'</w:t>
      </w:r>
      <w:r>
        <w:t>analisi spaziale</w:t>
      </w:r>
      <w:r>
        <w:rPr>
          <w:rStyle w:val="FootnoteReference"/>
        </w:rPr>
        <w:footnoteReference w:id="30"/>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535279" w:rsidP="00EC01C3">
            <w:pPr>
              <w:pStyle w:val="HHeading4"/>
              <w:jc w:val="both"/>
              <w:rPr>
                <w:rFonts w:cs="Arial"/>
              </w:rPr>
            </w:pPr>
            <w:r>
              <w:lastRenderedPageBreak/>
              <w:br w:type="column"/>
            </w:r>
            <w:r w:rsidR="00FC012D">
              <w:rPr>
                <w:noProof/>
                <w:color w:val="373737"/>
                <w:lang w:val="en-GB" w:eastAsia="en-GB" w:bidi="ar-SA"/>
              </w:rPr>
              <w:drawing>
                <wp:inline distT="0" distB="0" distL="0" distR="0" wp14:anchorId="4F633FF5" wp14:editId="2D996F46">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GUIDA RAPIDA #5: come utilizzare al meglio gli approcci qualitativi?</w:t>
            </w:r>
          </w:p>
        </w:tc>
      </w:tr>
    </w:tbl>
    <w:p w:rsidR="00696B10" w:rsidRDefault="00CE0CD6" w:rsidP="00EC01C3">
      <w:pPr>
        <w:pStyle w:val="HStandard"/>
        <w:spacing w:after="0"/>
        <w:ind w:left="709" w:hanging="709"/>
        <w:rPr>
          <w:rFonts w:cs="Arial"/>
          <w:sz w:val="18"/>
          <w:szCs w:val="18"/>
        </w:rPr>
      </w:pPr>
      <w:r>
        <w:rPr>
          <w:noProof/>
          <w:lang w:bidi="ar-SA"/>
        </w:rPr>
        <w:pict>
          <v:shape id="Rectangle: Diagonal Corners Rounded 15" o:spid="_x0000_s1037" style="position:absolute;left:0;text-align:left;margin-left:-9.75pt;margin-top:-69.45pt;width:486.25pt;height:371.85pt;z-index:25167308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coordsize="6038850,429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" path="m351962,l6038850,r,l6038850,3938684v,194383,-157579,351962,-351962,351962l,4290646r,l,351962c,157579,157579,,351962,xe" filled="f" strokecolor="#be4a35 [3205]" strokeweight="2pt">
            <v:path arrowok="t" o:connecttype="custom" o:connectlocs="351962,0;6038850,0;6038850,0;6038850,3938684;5686888,4290646;0,4290646;0,4290646;0,351962;351962,0" o:connectangles="0,0,0,0,0,0,0,0,0"/>
          </v:shape>
        </w:pict>
      </w:r>
      <w:r w:rsidR="00696B10">
        <w:t xml:space="preserve">Gli </w:t>
      </w:r>
      <w:r w:rsidR="00696B10">
        <w:rPr>
          <w:b/>
        </w:rPr>
        <w:t>approcci qualitativi</w:t>
      </w:r>
      <w:r w:rsidR="00696B10">
        <w:t xml:space="preserve"> possono essere utilizzati con un triplice obiettivo:</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come alternativa ai metodi quantitativi</w:t>
      </w:r>
      <w:r>
        <w:rPr>
          <w:rFonts w:ascii="Arial" w:hAnsi="Arial"/>
          <w:color w:val="373737" w:themeColor="text1"/>
          <w:sz w:val="18"/>
        </w:rPr>
        <w:t xml:space="preserve"> quando non ci sono dati disponibili. Ad esempio, la valutazione qualitativa basata sulla teoria (VBT) può essere utilizzata per mostrare come e perché il programma funzionerà e produrrà prevedibilmente i risultati voluti. La VBT segue ciascuna fase della logica di intervento del programma individuando i nessi causali e i meccanismi del cambiamento, producendo risultati e impatti. I vari collegamenti nella logica di intervento possono essere analizzati con diversi metodi. In queste linee guida proponiamo di utilizzare gruppi specifici (in particolare il metodo MVIPP) o interviste con parti interessate/esperti;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come integrazione della valutazione quantitativa controfattuale</w:t>
      </w:r>
      <w:r>
        <w:rPr>
          <w:rFonts w:ascii="Arial" w:hAnsi="Arial"/>
          <w:color w:val="373737" w:themeColor="text1"/>
          <w:sz w:val="18"/>
        </w:rPr>
        <w:t xml:space="preserve"> per individuare meglio come e perché sono stati prodotti gli impatti. Va rilevato che la VBT non può esaminare l</w:t>
      </w:r>
      <w:r w:rsidR="00C36C9E">
        <w:rPr>
          <w:rFonts w:ascii="Arial" w:hAnsi="Arial"/>
          <w:color w:val="373737" w:themeColor="text1"/>
          <w:sz w:val="18"/>
        </w:rPr>
        <w:t>'"</w:t>
      </w:r>
      <w:r>
        <w:rPr>
          <w:rFonts w:ascii="Arial" w:hAnsi="Arial"/>
          <w:color w:val="373737" w:themeColor="text1"/>
          <w:sz w:val="18"/>
        </w:rPr>
        <w:t>impatto netto</w:t>
      </w:r>
      <w:r w:rsidR="00C36C9E">
        <w:rPr>
          <w:rFonts w:ascii="Arial" w:hAnsi="Arial"/>
          <w:color w:val="373737" w:themeColor="text1"/>
          <w:sz w:val="18"/>
        </w:rPr>
        <w:t>"</w:t>
      </w:r>
      <w:r>
        <w:rPr>
          <w:rFonts w:ascii="Arial" w:hAnsi="Arial"/>
          <w:color w:val="373737" w:themeColor="text1"/>
          <w:sz w:val="18"/>
        </w:rPr>
        <w:t xml:space="preserve"> (ossia la misura i cui il cambiamento osservato nell</w:t>
      </w:r>
      <w:r w:rsidR="00C36C9E">
        <w:rPr>
          <w:rFonts w:ascii="Arial" w:hAnsi="Arial"/>
          <w:color w:val="373737" w:themeColor="text1"/>
          <w:sz w:val="18"/>
        </w:rPr>
        <w:t>'</w:t>
      </w:r>
      <w:r>
        <w:rPr>
          <w:rFonts w:ascii="Arial" w:hAnsi="Arial"/>
          <w:color w:val="373737" w:themeColor="text1"/>
          <w:sz w:val="18"/>
        </w:rPr>
        <w:t>area interessata dal programma può essere attribuito al programma) né distinguere gli effetti del programma dal contributo di altri fattori;</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come parte della triangolazione</w:t>
      </w:r>
      <w:r>
        <w:rPr>
          <w:rFonts w:ascii="Arial" w:hAnsi="Arial"/>
          <w:color w:val="373737" w:themeColor="text1"/>
          <w:sz w:val="18"/>
        </w:rPr>
        <w:t xml:space="preserve"> per convalidare i risultati dei metodi quantitativi.</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 xml:space="preserve">Per sapere di più sulla valutazione basata sulla teoria cfr. </w:t>
      </w:r>
      <w:r w:rsidR="00C36C9E">
        <w:rPr>
          <w:i/>
          <w:color w:val="F07E31" w:themeColor="accent1"/>
          <w:sz w:val="18"/>
        </w:rPr>
        <w:t>"</w:t>
      </w:r>
      <w:hyperlink r:id="rId45">
        <w:r>
          <w:rPr>
            <w:rStyle w:val="Hyperlink"/>
            <w:i/>
            <w:sz w:val="18"/>
          </w:rPr>
          <w:t>Investment Support under Rural Development Policy</w:t>
        </w:r>
        <w:r w:rsidR="00C36C9E">
          <w:rPr>
            <w:rStyle w:val="Hyperlink"/>
            <w:i/>
            <w:sz w:val="18"/>
          </w:rPr>
          <w:t>"</w:t>
        </w:r>
        <w:r>
          <w:rPr>
            <w:rStyle w:val="Hyperlink"/>
            <w:i/>
            <w:sz w:val="18"/>
          </w:rPr>
          <w:t xml:space="preserve"> (Sostegno agli investimenti nel contesto della politica per lo sviluppo rurale)</w:t>
        </w:r>
      </w:hyperlink>
      <w:r>
        <w:rPr>
          <w:i/>
          <w:color w:val="F07E31" w:themeColor="accent1"/>
          <w:sz w:val="18"/>
        </w:rPr>
        <w:t>, capitolo 3.3.4 (CE, 2014), e sull</w:t>
      </w:r>
      <w:r w:rsidR="00C36C9E">
        <w:rPr>
          <w:i/>
          <w:color w:val="F07E31" w:themeColor="accent1"/>
          <w:sz w:val="18"/>
        </w:rPr>
        <w:t>'</w:t>
      </w:r>
      <w:r>
        <w:rPr>
          <w:i/>
          <w:color w:val="F07E31" w:themeColor="accent1"/>
          <w:sz w:val="18"/>
        </w:rPr>
        <w:t xml:space="preserve">uso dei metodi qualitativi per raccogliere dati quantitativi cfr. </w:t>
      </w:r>
      <w:hyperlink r:id="rId46" w:anchor="v=onepage&amp;amp;q=distinguishing%20between%20types%20of%20data%20and%20methods%20of%20collecting%20them%2C&amp;amp;f=false">
        <w:r w:rsidR="00C36C9E">
          <w:rPr>
            <w:rStyle w:val="Hyperlink"/>
            <w:i/>
            <w:sz w:val="18"/>
          </w:rPr>
          <w:t>'"</w:t>
        </w:r>
        <w:r>
          <w:rPr>
            <w:rStyle w:val="Hyperlink"/>
            <w:i/>
            <w:sz w:val="18"/>
          </w:rPr>
          <w:t>Distinguishing Between Types of Data and Methods of Collecting Them</w:t>
        </w:r>
        <w:r w:rsidR="00C36C9E">
          <w:rPr>
            <w:rStyle w:val="Hyperlink"/>
            <w:i/>
            <w:sz w:val="18"/>
          </w:rPr>
          <w:t>"</w:t>
        </w:r>
        <w:r>
          <w:rPr>
            <w:rStyle w:val="Hyperlink"/>
            <w:i/>
            <w:sz w:val="18"/>
          </w:rPr>
          <w:t xml:space="preserve"> (Distinguere tra tipi di dati e metodi per la loro raccolta)</w:t>
        </w:r>
      </w:hyperlink>
      <w:r>
        <w:rPr>
          <w:i/>
          <w:color w:val="F07E31" w:themeColor="accent1"/>
          <w:sz w:val="18"/>
        </w:rPr>
        <w:t xml:space="preserve"> (Hentschel, 1998). </w:t>
      </w:r>
    </w:p>
    <w:p w:rsidR="00A24D39" w:rsidRPr="001C6ACF" w:rsidRDefault="0095652F" w:rsidP="003B5E6A">
      <w:pPr>
        <w:pStyle w:val="HHeading3"/>
        <w:spacing w:before="360"/>
      </w:pPr>
      <w:r>
        <w:t>Panoramica degli approcci valutativi raccomandati per la valutazione degli indicatori di impatto della PAC</w:t>
      </w:r>
    </w:p>
    <w:p w:rsidR="00186FCF" w:rsidRPr="00336531" w:rsidRDefault="00186FCF" w:rsidP="00186FCF">
      <w:pPr>
        <w:pStyle w:val="HStandard"/>
        <w:rPr>
          <w:rFonts w:cs="Arial"/>
        </w:rPr>
      </w:pPr>
      <w:r>
        <w:t>Nel periodo di programmazione 2014-2020 la valutazione degli impatti del PSR sarà eseguita per la prima volta nel 2019, in un momento in cui le lacune nei dati possono ancora costituire un problema per vari PSR a causa della scarsa/tardiva diffusione di determinate misure o a causa della mancanza di dati statistici utili per la valutazione. Poiché le lacune nei dati ostacolano l</w:t>
      </w:r>
      <w:r w:rsidR="00C36C9E">
        <w:t>'</w:t>
      </w:r>
      <w:r>
        <w:t>osservazione degli impatti del PSR, queste linee guida propongono almeno due approcci diversi per calcolare ciascuno degli indicatori comuni di impatto per il secondo pilastro della PAC:</w:t>
      </w:r>
    </w:p>
    <w:p w:rsidR="00186FCF" w:rsidRPr="00FB6C06" w:rsidRDefault="00186FCF" w:rsidP="00C42303">
      <w:pPr>
        <w:pStyle w:val="Hlistbullet"/>
      </w:pPr>
      <w:r>
        <w:t>l</w:t>
      </w:r>
      <w:r w:rsidR="00C36C9E">
        <w:t>'</w:t>
      </w:r>
      <w:r>
        <w:rPr>
          <w:b/>
        </w:rPr>
        <w:t>approccio A</w:t>
      </w:r>
      <w:r>
        <w:t xml:space="preserve"> è un esempio di un </w:t>
      </w:r>
      <w:r>
        <w:rPr>
          <w:b/>
        </w:rPr>
        <w:t>approccio valutativo in una situazione di dati ottimale</w:t>
      </w:r>
      <w:r>
        <w:t>.</w:t>
      </w:r>
      <w:r>
        <w:rPr>
          <w:b/>
        </w:rPr>
        <w:t xml:space="preserve"> </w:t>
      </w:r>
      <w:r>
        <w:t>Può essere applicato nel 2019 e/o può essere posto come obiettivo per la valutazione ex post. L</w:t>
      </w:r>
      <w:r w:rsidR="00C36C9E">
        <w:t>'</w:t>
      </w:r>
      <w:r>
        <w:t>approccio A è più avanzato rispetto all</w:t>
      </w:r>
      <w:r w:rsidR="00C36C9E">
        <w:t>'</w:t>
      </w:r>
      <w:r>
        <w:t xml:space="preserve">approccio B ed è anche più rigoroso; </w:t>
      </w:r>
    </w:p>
    <w:p w:rsidR="00186FCF" w:rsidRPr="001C6ACF" w:rsidRDefault="00186FCF" w:rsidP="00C42303">
      <w:pPr>
        <w:pStyle w:val="Hlistbullet"/>
      </w:pPr>
      <w:r>
        <w:t>l</w:t>
      </w:r>
      <w:r w:rsidR="00C36C9E">
        <w:t>'</w:t>
      </w:r>
      <w:r>
        <w:rPr>
          <w:b/>
        </w:rPr>
        <w:t>approccio B</w:t>
      </w:r>
      <w:r>
        <w:t xml:space="preserve"> è un esempio di un </w:t>
      </w:r>
      <w:r>
        <w:rPr>
          <w:b/>
        </w:rPr>
        <w:t xml:space="preserve">approccio valutativo alternativo da applicare se i dati presentano lacune </w:t>
      </w:r>
      <w:r>
        <w:t>(ad esempio a causa di una diffusione lenta del programma, che non consente di osservare gli impatti del PSR) o se altri fattori (risorse, tempo, abilità) ostacolano l</w:t>
      </w:r>
      <w:r w:rsidR="00C36C9E">
        <w:t>'</w:t>
      </w:r>
      <w:r>
        <w:t>applicazione di un approccio più avanzato. In molti casi l</w:t>
      </w:r>
      <w:r w:rsidR="00C36C9E">
        <w:t>'</w:t>
      </w:r>
      <w:r>
        <w:t xml:space="preserve">approccio B ha una componente qualitativa. </w:t>
      </w:r>
    </w:p>
    <w:p w:rsidR="00186FCF" w:rsidRPr="00336531" w:rsidRDefault="00CB3881" w:rsidP="00186FCF">
      <w:pPr>
        <w:pStyle w:val="HStandard"/>
        <w:rPr>
          <w:rFonts w:cs="Arial"/>
        </w:rPr>
      </w:pPr>
      <w:r>
        <w:rPr>
          <w:b/>
        </w:rPr>
        <w:t>Sia l</w:t>
      </w:r>
      <w:r w:rsidR="00C36C9E">
        <w:rPr>
          <w:b/>
        </w:rPr>
        <w:t>'</w:t>
      </w:r>
      <w:r>
        <w:rPr>
          <w:b/>
        </w:rPr>
        <w:t>approccio A sia l</w:t>
      </w:r>
      <w:r w:rsidR="00C36C9E">
        <w:rPr>
          <w:b/>
        </w:rPr>
        <w:t>'</w:t>
      </w:r>
      <w:r>
        <w:rPr>
          <w:b/>
        </w:rPr>
        <w:t>approccio B sono conformi alle norme di valutazione</w:t>
      </w:r>
      <w:r>
        <w:t>. L</w:t>
      </w:r>
      <w:r w:rsidR="00C36C9E">
        <w:t>'</w:t>
      </w:r>
      <w:r>
        <w:t>approccio A è definito come l</w:t>
      </w:r>
      <w:r w:rsidR="00C36C9E">
        <w:t>'</w:t>
      </w:r>
      <w:r>
        <w:t>approccio che fornisce i risultati di valutazione più solidi in una situazione di dati ideale. Alla luce della situazione dei dati nel 2019, va riconosciuto che per molti PSR l</w:t>
      </w:r>
      <w:r w:rsidR="00C36C9E">
        <w:t>'</w:t>
      </w:r>
      <w:r>
        <w:t>approccio A può non essere ancora il più appropriato (cfr. le tabelle sull</w:t>
      </w:r>
      <w:r w:rsidR="00C36C9E">
        <w:t>'</w:t>
      </w:r>
      <w:r>
        <w:t>adeguatezza degli approcci valutativi proposti nei capitoli 4.1-4.7 dell</w:t>
      </w:r>
      <w:r w:rsidR="00C36C9E">
        <w:t>'</w:t>
      </w:r>
      <w:r>
        <w:t xml:space="preserve">allegato tecnico). Altri esempi di metodi di valutazione sono elencati nelle rispettive figure del modello logico per ciascun indicatore di impatto. </w:t>
      </w:r>
    </w:p>
    <w:p w:rsidR="0095652F" w:rsidRPr="001C6ACF" w:rsidRDefault="008F39E9" w:rsidP="00E35440">
      <w:pPr>
        <w:pStyle w:val="HHeadingtables"/>
      </w:pPr>
      <w:r>
        <w:br w:type="column"/>
      </w:r>
      <w:r>
        <w:lastRenderedPageBreak/>
        <w:t xml:space="preserve">Esempi di approcci valutativi raccomandati per la valutazione degli indicatori di impatto della PAC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Codice</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Indicatore</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D4934">
            <w:pPr>
              <w:pStyle w:val="HStandard"/>
              <w:spacing w:line="240" w:lineRule="atLeast"/>
              <w:jc w:val="center"/>
              <w:rPr>
                <w:color w:val="FFFFFF" w:themeColor="background1"/>
                <w:sz w:val="16"/>
              </w:rPr>
            </w:pPr>
            <w:r>
              <w:rPr>
                <w:b/>
                <w:color w:val="FFFFFF" w:themeColor="background1"/>
              </w:rPr>
              <w:t>Approccio A</w:t>
            </w:r>
            <w:r>
              <w:rPr>
                <w:color w:val="FFFFFF" w:themeColor="background1"/>
              </w:rPr>
              <w:t xml:space="preserve"> </w:t>
            </w:r>
            <w:r>
              <w:rPr>
                <w:color w:val="FFFFFF" w:themeColor="background1"/>
                <w:sz w:val="16"/>
              </w:rPr>
              <w:br/>
              <w:t>Esempio di</w:t>
            </w:r>
            <w:r w:rsidR="00AF46BD">
              <w:rPr>
                <w:color w:val="FFFFFF" w:themeColor="background1"/>
                <w:sz w:val="16"/>
              </w:rPr>
              <w:t xml:space="preserve"> approccio in una situazione di </w:t>
            </w:r>
            <w:r>
              <w:rPr>
                <w:color w:val="FFFFFF" w:themeColor="background1"/>
                <w:sz w:val="16"/>
              </w:rPr>
              <w:t>dati ottimale</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2D74F7" w:rsidP="0089010B">
            <w:pPr>
              <w:pStyle w:val="HStandard"/>
              <w:spacing w:line="240" w:lineRule="atLeast"/>
              <w:jc w:val="center"/>
              <w:rPr>
                <w:color w:val="FFFFFF" w:themeColor="background1"/>
                <w:sz w:val="16"/>
              </w:rPr>
            </w:pPr>
            <w:r>
              <w:rPr>
                <w:b/>
                <w:color w:val="FFFFFF" w:themeColor="background1"/>
              </w:rPr>
              <w:t>Approccio B</w:t>
            </w:r>
            <w:r>
              <w:rPr>
                <w:color w:val="FFFFFF" w:themeColor="background1"/>
              </w:rPr>
              <w:t xml:space="preserve"> </w:t>
            </w:r>
            <w:r>
              <w:rPr>
                <w:color w:val="FFFFFF" w:themeColor="background1"/>
              </w:rPr>
              <w:br/>
            </w:r>
            <w:r>
              <w:rPr>
                <w:color w:val="FFFFFF" w:themeColor="background1"/>
                <w:sz w:val="16"/>
              </w:rPr>
              <w:t>Esempio di a</w:t>
            </w:r>
            <w:r w:rsidR="00AF46BD">
              <w:rPr>
                <w:color w:val="FFFFFF" w:themeColor="background1"/>
                <w:sz w:val="16"/>
              </w:rPr>
              <w:t>pproccio alternativo in caso di </w:t>
            </w:r>
            <w:r>
              <w:rPr>
                <w:color w:val="FFFFFF" w:themeColor="background1"/>
                <w:sz w:val="16"/>
              </w:rPr>
              <w:t>lacune nei dati</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Livello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Livello macro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Livello micro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Livello macro</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Impatti relativi al settore</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3024" behindDoc="1" locked="0" layoutInCell="1" allowOverlap="1" wp14:anchorId="7D87B90E" wp14:editId="5AD34B11">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Reddito da impresa agricola</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Combinazione dei metodi di Propensity Score Matching con il metodo della d</w:t>
            </w:r>
            <w:r w:rsidR="00AF46BD">
              <w:rPr>
                <w:sz w:val="16"/>
              </w:rPr>
              <w:t>ifferenza nelle differenze (PSM</w:t>
            </w:r>
            <w:r w:rsidR="00AF46BD">
              <w:rPr>
                <w:sz w:val="16"/>
              </w:rPr>
              <w:noBreakHyphen/>
            </w:r>
            <w:r>
              <w:rPr>
                <w:sz w:val="16"/>
              </w:rPr>
              <w:t>DnD)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Approcci dal basso verso l</w:t>
            </w:r>
            <w:r w:rsidR="00C36C9E">
              <w:rPr>
                <w:sz w:val="16"/>
              </w:rPr>
              <w:t>'</w:t>
            </w:r>
            <w:r>
              <w:rPr>
                <w:sz w:val="16"/>
              </w:rPr>
              <w:t>alto per l</w:t>
            </w:r>
            <w:r w:rsidR="00C36C9E">
              <w:rPr>
                <w:sz w:val="16"/>
              </w:rPr>
              <w:t>'</w:t>
            </w:r>
            <w:r>
              <w:rPr>
                <w:sz w:val="16"/>
              </w:rPr>
              <w:t>upscaling dei risultati a livello micro</w:t>
            </w:r>
            <w:r>
              <w:rPr>
                <w:sz w:val="16"/>
                <w:szCs w:val="18"/>
              </w:rPr>
              <w:br/>
            </w:r>
            <w:r>
              <w:rPr>
                <w:sz w:val="16"/>
                <w:szCs w:val="18"/>
              </w:rPr>
              <w:br/>
            </w:r>
            <w:r>
              <w:rPr>
                <w:sz w:val="16"/>
              </w:rPr>
              <w:t>Applicazione di un modello settoriale</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Disegno con regressione discontinua (DRD)</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Approcci dal basso verso l</w:t>
            </w:r>
            <w:r w:rsidR="00C36C9E">
              <w:rPr>
                <w:sz w:val="16"/>
              </w:rPr>
              <w:t>'</w:t>
            </w:r>
            <w:r>
              <w:rPr>
                <w:sz w:val="16"/>
              </w:rPr>
              <w:t>alto per l</w:t>
            </w:r>
            <w:r w:rsidR="00C36C9E">
              <w:rPr>
                <w:sz w:val="16"/>
              </w:rPr>
              <w:t>'</w:t>
            </w:r>
            <w:r>
              <w:rPr>
                <w:sz w:val="16"/>
              </w:rPr>
              <w:t>upscaling dei risultati a livello micro</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27360" behindDoc="0" locked="0" layoutInCell="1" allowOverlap="1" wp14:anchorId="76F3A41D" wp14:editId="7BEBDDAC">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Reddito dei fattori in agricoltura</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val="en-GB" w:eastAsia="en-GB" w:bidi="ar-SA"/>
              </w:rPr>
              <w:drawing>
                <wp:anchor distT="0" distB="0" distL="114300" distR="114300" simplePos="0" relativeHeight="251712000" behindDoc="1" locked="0" layoutInCell="1" allowOverlap="1" wp14:anchorId="22A41A54" wp14:editId="0C92D253">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Produttività totale dei fattori in agricoltura</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Impatti ambientali</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4048" behindDoc="1" locked="0" layoutInCell="1" allowOverlap="1" wp14:anchorId="779B6A67" wp14:editId="204DF0B9">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Emissioni agricole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Tecniche di regressione e abbinamento</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General Propensity Score Matching (GPSM) utilizzando NUTS 3 o altri dati spaziali</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Nessuna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Confronti dei valori di</w:t>
            </w:r>
            <w:r>
              <w:rPr>
                <w:rFonts w:cs="Arial"/>
                <w:sz w:val="16"/>
                <w:szCs w:val="18"/>
              </w:rPr>
              <w:br/>
            </w:r>
            <w:r>
              <w:rPr>
                <w:sz w:val="16"/>
              </w:rPr>
              <w:t>base naive (compresi metodi qualitativi)</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0976" behindDoc="1" locked="0" layoutInCell="1" allowOverlap="1" wp14:anchorId="6918B40F" wp14:editId="73C08EE5">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Indice dell</w:t>
            </w:r>
            <w:r w:rsidR="00C36C9E">
              <w:rPr>
                <w:b/>
                <w:color w:val="57825E" w:themeColor="accent4"/>
                <w:sz w:val="16"/>
              </w:rPr>
              <w:t>'</w:t>
            </w:r>
            <w:r>
              <w:rPr>
                <w:b/>
                <w:color w:val="57825E" w:themeColor="accent4"/>
                <w:sz w:val="16"/>
              </w:rPr>
              <w:t>avifauna nelle aree agricole</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Propensity Score Matching (PSM) e differenza nelle differenze (DnD)</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Propensity Score Matching (PSM) e differenza nelle differenze (DnD)</w:t>
            </w:r>
          </w:p>
          <w:p w:rsidR="00515FD4" w:rsidRPr="001C6ACF" w:rsidRDefault="00515FD4" w:rsidP="007008C0">
            <w:pPr>
              <w:pStyle w:val="HStandard"/>
              <w:spacing w:line="240" w:lineRule="auto"/>
              <w:jc w:val="center"/>
              <w:rPr>
                <w:rFonts w:cs="Arial"/>
                <w:sz w:val="16"/>
                <w:szCs w:val="18"/>
              </w:rPr>
            </w:pPr>
            <w:r>
              <w:rPr>
                <w:sz w:val="16"/>
              </w:rPr>
              <w:t>Modelli econometrici spaziali nelle aree biogeografiche</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Analisi statistica di confronti a coppie ad hoc o gruppi di confronto multipli mediante DnD, accompagnata da valutazioni qualitative</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Approcci dal basso verso l</w:t>
            </w:r>
            <w:r w:rsidR="00C36C9E">
              <w:rPr>
                <w:sz w:val="16"/>
              </w:rPr>
              <w:t>'</w:t>
            </w:r>
            <w:r>
              <w:rPr>
                <w:sz w:val="16"/>
              </w:rPr>
              <w:t>alto per l</w:t>
            </w:r>
            <w:r w:rsidR="00C36C9E">
              <w:rPr>
                <w:sz w:val="16"/>
              </w:rPr>
              <w:t>'</w:t>
            </w:r>
            <w:r>
              <w:rPr>
                <w:sz w:val="16"/>
              </w:rPr>
              <w:t>upscaling dei risultati a livello micro, accompagnati da valutazioni qualitative</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09952" behindDoc="1" locked="0" layoutInCell="1" allowOverlap="1" wp14:anchorId="3D36D32A" wp14:editId="7B4FC25A">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Agricoltura ad alto valore naturalistico (AVN)</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2240" behindDoc="1" locked="0" layoutInCell="1" allowOverlap="1" wp14:anchorId="3DDFFD91" wp14:editId="550F7BB7">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Estrazione di acqua in agricoltura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Tecniche di regressione e di abbinamento per I.10, I.11-1 e, a seconda dei dati disponibili, per I.11-2</w:t>
            </w:r>
            <w:r>
              <w:rPr>
                <w:rFonts w:cs="Arial"/>
                <w:sz w:val="16"/>
                <w:szCs w:val="18"/>
              </w:rPr>
              <w:br/>
            </w:r>
            <w:r>
              <w:rPr>
                <w:sz w:val="16"/>
              </w:rPr>
              <w:t xml:space="preserve">Simulazione di uno </w:t>
            </w:r>
            <w:r w:rsidR="00C36C9E">
              <w:rPr>
                <w:sz w:val="16"/>
              </w:rPr>
              <w:t>"</w:t>
            </w:r>
            <w:r>
              <w:rPr>
                <w:sz w:val="16"/>
              </w:rPr>
              <w:t>studio di caso</w:t>
            </w:r>
            <w:r w:rsidR="00C36C9E">
              <w:rPr>
                <w:sz w:val="16"/>
              </w:rPr>
              <w:t>"</w:t>
            </w:r>
            <w:r>
              <w:rPr>
                <w:sz w:val="16"/>
              </w:rPr>
              <w:t xml:space="preserve"> Distretto idrografico (DI) o della sua sottounità soltanto per I.11-2</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Generalised Propensity Score Matching (GPSM) </w:t>
            </w:r>
            <w:r>
              <w:rPr>
                <w:rFonts w:cs="Arial"/>
                <w:sz w:val="16"/>
                <w:szCs w:val="18"/>
              </w:rPr>
              <w:br/>
            </w:r>
            <w:r>
              <w:rPr>
                <w:rFonts w:cs="Arial"/>
                <w:sz w:val="16"/>
                <w:szCs w:val="18"/>
              </w:rPr>
              <w:br/>
            </w:r>
            <w:r>
              <w:rPr>
                <w:sz w:val="16"/>
              </w:rPr>
              <w:t>Metodi econometrici spaziali</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Metodi qualitativi</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Confronti di gruppi naive sostenuti da metodi qualitativi</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21216" behindDoc="1" locked="0" layoutInCell="1" allowOverlap="1" wp14:anchorId="0977EFE1" wp14:editId="593A42EF">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Qualità dell</w:t>
            </w:r>
            <w:r w:rsidR="00C36C9E">
              <w:rPr>
                <w:b/>
                <w:color w:val="57825E" w:themeColor="accent4"/>
                <w:sz w:val="16"/>
              </w:rPr>
              <w:t>'</w:t>
            </w:r>
            <w:r>
              <w:rPr>
                <w:b/>
                <w:color w:val="57825E" w:themeColor="accent4"/>
                <w:sz w:val="16"/>
              </w:rPr>
              <w:t xml:space="preserve">acqua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drawing>
                <wp:anchor distT="0" distB="0" distL="114300" distR="114300" simplePos="0" relativeHeight="251715072" behindDoc="1" locked="0" layoutInCell="1" allowOverlap="1" wp14:anchorId="6558D9DF" wp14:editId="1CAB3487">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Materia organica del suolo nei seminativi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Valutazione della materia organica del suolo (MOS) basata su una profondità del suolo di 0-60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Nessuna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Valutazione MOS sulla base</w:t>
            </w:r>
            <w:r>
              <w:rPr>
                <w:rFonts w:cs="Arial"/>
                <w:sz w:val="16"/>
                <w:szCs w:val="18"/>
              </w:rPr>
              <w:br/>
            </w:r>
            <w:r>
              <w:rPr>
                <w:sz w:val="16"/>
              </w:rPr>
              <w:t>di programmi di monitoraggio del suolo semplificati</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Valutazione MOS sulla base </w:t>
            </w:r>
            <w:r>
              <w:rPr>
                <w:rFonts w:cs="Arial"/>
                <w:sz w:val="16"/>
                <w:szCs w:val="18"/>
              </w:rPr>
              <w:br/>
            </w:r>
            <w:r>
              <w:rPr>
                <w:sz w:val="16"/>
              </w:rPr>
              <w:t>della banca dati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val="en-GB" w:eastAsia="en-GB" w:bidi="ar-SA"/>
              </w:rPr>
              <w:lastRenderedPageBreak/>
              <w:drawing>
                <wp:anchor distT="0" distB="0" distL="114300" distR="114300" simplePos="0" relativeHeight="251716096" behindDoc="1" locked="0" layoutInCell="1" allowOverlap="1" wp14:anchorId="6F0AE3D3" wp14:editId="0FD30C1E">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Erosione del suolo per azione dell</w:t>
            </w:r>
            <w:r w:rsidR="00C36C9E">
              <w:rPr>
                <w:b/>
                <w:color w:val="57825E" w:themeColor="accent4"/>
                <w:sz w:val="16"/>
              </w:rPr>
              <w:t>'</w:t>
            </w:r>
            <w:r>
              <w:rPr>
                <w:b/>
                <w:color w:val="57825E" w:themeColor="accent4"/>
                <w:sz w:val="16"/>
              </w:rPr>
              <w:t>acqua</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Tecniche di valutazione su base statistica</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Econometria spaziale GPSM sostenuta da DnD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Confronti dei valori di base naive o di gruppi dinamici</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Valutazione quantitativa naive tra unità spaziali e una media nazionale</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Impatti socio-economici</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7120" behindDoc="1" locked="0" layoutInCell="1" allowOverlap="1" wp14:anchorId="78392AC0" wp14:editId="442A0721">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Tasso di occupazione in agricoltura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Nessuna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Modello ricorsivo-dinamico dell</w:t>
            </w:r>
            <w:r w:rsidR="00C36C9E">
              <w:rPr>
                <w:sz w:val="16"/>
              </w:rPr>
              <w:t>'</w:t>
            </w:r>
            <w:r>
              <w:rPr>
                <w:sz w:val="16"/>
              </w:rPr>
              <w:t>equilibrio generale calcolabile (EGC)</w:t>
            </w:r>
            <w:r>
              <w:rPr>
                <w:sz w:val="16"/>
                <w:szCs w:val="18"/>
              </w:rPr>
              <w:br/>
            </w:r>
            <w:r>
              <w:rPr>
                <w:sz w:val="16"/>
                <w:szCs w:val="18"/>
              </w:rPr>
              <w:br/>
            </w:r>
            <w:r>
              <w:rPr>
                <w:sz w:val="16"/>
              </w:rPr>
              <w:t>Propensity Score Matching (PSM) e Generalised Propensity Score Matching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Nessuna</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Analisi input-output (IO)</w:t>
            </w:r>
          </w:p>
          <w:p w:rsidR="00186FCF" w:rsidRPr="001C6ACF" w:rsidRDefault="00186FCF" w:rsidP="007008C0">
            <w:pPr>
              <w:pStyle w:val="HStandard"/>
              <w:spacing w:line="240" w:lineRule="auto"/>
              <w:jc w:val="center"/>
              <w:rPr>
                <w:sz w:val="16"/>
                <w:szCs w:val="18"/>
              </w:rPr>
            </w:pPr>
            <w:r>
              <w:rPr>
                <w:sz w:val="16"/>
              </w:rPr>
              <w:t>(sostenuta da un</w:t>
            </w:r>
            <w:r w:rsidR="00C36C9E">
              <w:rPr>
                <w:sz w:val="16"/>
              </w:rPr>
              <w:t>'</w:t>
            </w:r>
            <w:r>
              <w:rPr>
                <w:sz w:val="16"/>
              </w:rPr>
              <w:t>analisi qualitativa)</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val="en-GB" w:eastAsia="en-GB" w:bidi="ar-SA"/>
              </w:rPr>
              <w:drawing>
                <wp:inline distT="0" distB="0" distL="0" distR="0" wp14:anchorId="290042B6" wp14:editId="0A0C0461">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Grado di povertà in agricoltura</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val="en-GB" w:eastAsia="en-GB" w:bidi="ar-SA"/>
              </w:rPr>
              <w:drawing>
                <wp:anchor distT="0" distB="0" distL="114300" distR="114300" simplePos="0" relativeHeight="251719168" behindDoc="1" locked="0" layoutInCell="1" allowOverlap="1" wp14:anchorId="0A10C2ED" wp14:editId="4012AEBA">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PIL agricolo pro capite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La precedente tabella mostra per ciascuno degli indicatori di impatto del secondo pilastro della PAC una panoramica degli approcci valutativi raccomandati per la valutazione ai livelli micro e macro che sono più ampiamente descritti nei capitoli 2.2-2.9 delle linee guida e nell</w:t>
      </w:r>
      <w:r w:rsidR="00C36C9E">
        <w:t>'</w:t>
      </w:r>
      <w:r>
        <w:t xml:space="preserve">allegato tecnico. </w:t>
      </w:r>
    </w:p>
    <w:p w:rsidR="00186FCF" w:rsidRPr="001C6ACF" w:rsidRDefault="00186FCF"/>
    <w:p w:rsidR="008D4934" w:rsidRPr="00571D58" w:rsidRDefault="00CE0CD6" w:rsidP="00B34DDC">
      <w:pPr>
        <w:pStyle w:val="HStandard"/>
        <w:jc w:val="center"/>
      </w:pPr>
      <w:r>
        <w:rPr>
          <w:b/>
          <w:i/>
          <w:noProof/>
          <w:color w:val="F07E31" w:themeColor="accent1"/>
          <w:lang w:bidi="ar-SA"/>
        </w:rPr>
      </w:r>
      <w:r>
        <w:rPr>
          <w:b/>
          <w:i/>
          <w:noProof/>
          <w:color w:val="F07E31" w:themeColor="accent1"/>
          <w:lang w:bidi="ar-SA"/>
        </w:rPr>
        <w:pict>
          <v:shape id="AutoShape 61" o:spid="_x0000_s1046" style="width:458.25pt;height:210.6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adj="-11796480,,5400" path="m157545,l5819775,r,1646471c5819775,1733481,5749240,1804016,5662230,1804016l,1804016,,157545c,70535,70535,,157545,xe" filled="f" strokecolor="#be4a35" strokeweight="2pt">
            <v:stroke joinstyle="miter"/>
            <v:formulas/>
            <v:path arrowok="t" o:connecttype="custom" o:connectlocs="157545,0;5819775,0;5819775,0;5819775,2344445;5662230,2568777;0,2568777;0,2568777;0,224332;157545,0" o:connectangles="0,0,0,0,0,0,0,0,0" textboxrect="0,0,5819775,1804016"/>
            <v:textbox>
              <w:txbxContent>
                <w:p w:rsidR="00B03F62" w:rsidRPr="00D43E45" w:rsidRDefault="00B03F62"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val="0"/>
                      <w:color w:val="373737" w:themeColor="text1"/>
                    </w:rPr>
                    <w:t xml:space="preserve">Gli </w:t>
                  </w:r>
                  <w:r>
                    <w:rPr>
                      <w:color w:val="373737" w:themeColor="text1"/>
                    </w:rPr>
                    <w:t>approcci valutativi</w:t>
                  </w:r>
                  <w:r>
                    <w:rPr>
                      <w:b w:val="0"/>
                      <w:color w:val="373737" w:themeColor="text1"/>
                    </w:rPr>
                    <w:t xml:space="preserve"> descritti nelle linee guida costituiscono esempi di opzioni possibili, che, tuttavia, non sono le uniche esistenti. I valutatori possono scegliere anche altri approcci per valutare gli impatti del PSR, tenendo conto sia dell'opzione migliore per raccogliere prove solide sia, a seconda della </w:t>
                  </w:r>
                  <w:r>
                    <w:rPr>
                      <w:color w:val="373737" w:themeColor="text1"/>
                    </w:rPr>
                    <w:t>situazione specifica del PSR</w:t>
                  </w:r>
                  <w:r>
                    <w:rPr>
                      <w:b w:val="0"/>
                      <w:color w:val="373737" w:themeColor="text1"/>
                    </w:rPr>
                    <w:t>:</w:t>
                  </w:r>
                </w:p>
                <w:p w:rsidR="00B03F62" w:rsidRPr="00D43E45" w:rsidRDefault="00B03F62" w:rsidP="00EC01C3">
                  <w:pPr>
                    <w:pStyle w:val="Hlistbullet"/>
                    <w:rPr>
                      <w:i/>
                      <w:sz w:val="18"/>
                    </w:rPr>
                  </w:pPr>
                  <w:r>
                    <w:t xml:space="preserve">delle dimensioni del PSR; </w:t>
                  </w:r>
                </w:p>
                <w:p w:rsidR="00B03F62" w:rsidRPr="00D43E45" w:rsidRDefault="00B03F62" w:rsidP="00EC01C3">
                  <w:pPr>
                    <w:pStyle w:val="Hlistbullet"/>
                    <w:rPr>
                      <w:i/>
                      <w:sz w:val="18"/>
                    </w:rPr>
                  </w:pPr>
                  <w:r>
                    <w:t xml:space="preserve">della diffusione del PRR; </w:t>
                  </w:r>
                </w:p>
                <w:p w:rsidR="00B03F62" w:rsidRPr="00D43E45" w:rsidRDefault="00B03F62" w:rsidP="00EC01C3">
                  <w:pPr>
                    <w:pStyle w:val="Hlistbullet"/>
                    <w:rPr>
                      <w:i/>
                      <w:sz w:val="18"/>
                    </w:rPr>
                  </w:pPr>
                  <w:r>
                    <w:t>della disponibilità e della qualità dei dati disponibili per la valutazione.</w:t>
                  </w:r>
                </w:p>
                <w:p w:rsidR="00B03F62" w:rsidRPr="00E53246" w:rsidRDefault="00B03F62" w:rsidP="00EC01C3">
                  <w:pPr>
                    <w:pStyle w:val="HHeading4"/>
                    <w:spacing w:before="0"/>
                    <w:jc w:val="both"/>
                    <w:rPr>
                      <w:b w:val="0"/>
                      <w:color w:val="373737" w:themeColor="text1"/>
                    </w:rPr>
                  </w:pPr>
                  <w:r>
                    <w:rPr>
                      <w:b w:val="0"/>
                      <w:color w:val="373737" w:themeColor="text1"/>
                    </w:rPr>
                    <w:t>I modelli logici presentati in queste linee guida vogliono essere un utile strumento che aiuta i valutatori a individuare le opzioni di valutazione possibili in un determinato contesto reale.</w:t>
                  </w:r>
                </w:p>
              </w:txbxContent>
            </v:textbox>
            <w10:anchorlock/>
          </v:shape>
        </w:pict>
      </w:r>
    </w:p>
    <w:p w:rsidR="003F30B5" w:rsidRDefault="003F30B5">
      <w:pPr>
        <w:spacing w:before="0" w:after="0" w:line="240" w:lineRule="auto"/>
        <w:jc w:val="left"/>
        <w:rPr>
          <w:color w:val="373737" w:themeColor="text1"/>
          <w:sz w:val="20"/>
          <w:szCs w:val="20"/>
        </w:rPr>
      </w:pPr>
    </w:p>
    <w:sectPr w:rsidR="003F30B5" w:rsidSect="005F79DE">
      <w:headerReference w:type="default" r:id="rId60"/>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CD6" w:rsidRDefault="00CE0CD6">
      <w:pPr>
        <w:spacing w:before="0" w:after="0" w:line="240" w:lineRule="auto"/>
      </w:pPr>
      <w:r>
        <w:separator/>
      </w:r>
    </w:p>
  </w:endnote>
  <w:endnote w:type="continuationSeparator" w:id="0">
    <w:p w:rsidR="00CE0CD6" w:rsidRDefault="00CE0CD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B03F62" w:rsidRDefault="00B03F62">
        <w:pPr>
          <w:pStyle w:val="Footer"/>
        </w:pPr>
        <w:r>
          <w:fldChar w:fldCharType="begin"/>
        </w:r>
        <w:r>
          <w:instrText xml:space="preserve"> PAGE   \* MERGEFORMAT </w:instrText>
        </w:r>
        <w:r>
          <w:fldChar w:fldCharType="separate"/>
        </w:r>
        <w:r>
          <w:rPr>
            <w:noProof/>
          </w:rPr>
          <w:t>1</w:t>
        </w:r>
        <w:r>
          <w:rPr>
            <w:noProof/>
          </w:rPr>
          <w:fldChar w:fldCharType="end"/>
        </w:r>
      </w:p>
    </w:sdtContent>
  </w:sdt>
  <w:p w:rsidR="00B03F62" w:rsidRDefault="00B03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F62" w:rsidRDefault="00B03F62">
    <w:pPr>
      <w:pStyle w:val="Footer"/>
    </w:pPr>
  </w:p>
  <w:p w:rsidR="00B03F62" w:rsidRDefault="00B03F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B03F62" w:rsidRDefault="00B03F62" w:rsidP="00895E83">
        <w:pPr>
          <w:pStyle w:val="Footer"/>
          <w:spacing w:before="240"/>
        </w:pPr>
        <w:r>
          <w:fldChar w:fldCharType="begin"/>
        </w:r>
        <w:r>
          <w:instrText xml:space="preserve"> PAGE   \* MERGEFORMAT </w:instrText>
        </w:r>
        <w:r>
          <w:fldChar w:fldCharType="separate"/>
        </w:r>
        <w:r>
          <w:rPr>
            <w:noProof/>
          </w:rPr>
          <w:t>27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B03F62" w:rsidRDefault="00B03F62">
        <w:pPr>
          <w:pStyle w:val="Footer"/>
        </w:pPr>
        <w:r>
          <w:fldChar w:fldCharType="begin"/>
        </w:r>
        <w:r>
          <w:instrText xml:space="preserve"> PAGE   \* MERGEFORMAT </w:instrText>
        </w:r>
        <w:r>
          <w:fldChar w:fldCharType="separate"/>
        </w:r>
        <w:r>
          <w:rPr>
            <w:noProof/>
          </w:rPr>
          <w:t>1</w:t>
        </w:r>
        <w:r>
          <w:rPr>
            <w:noProof/>
          </w:rPr>
          <w:fldChar w:fldCharType="end"/>
        </w:r>
      </w:p>
    </w:sdtContent>
  </w:sdt>
  <w:p w:rsidR="00B03F62" w:rsidRDefault="00B03F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CD6" w:rsidRPr="005B2AAC" w:rsidRDefault="00CE0CD6">
      <w:pPr>
        <w:spacing w:before="0" w:after="0" w:line="240" w:lineRule="auto"/>
        <w:rPr>
          <w:color w:val="F07E31" w:themeColor="accent1"/>
        </w:rPr>
      </w:pPr>
      <w:r>
        <w:rPr>
          <w:color w:val="F07E31" w:themeColor="accent1"/>
        </w:rPr>
        <w:separator/>
      </w:r>
    </w:p>
  </w:footnote>
  <w:footnote w:type="continuationSeparator" w:id="0">
    <w:p w:rsidR="00CE0CD6" w:rsidRDefault="00CE0CD6">
      <w:pPr>
        <w:spacing w:before="0" w:after="0" w:line="240" w:lineRule="auto"/>
      </w:pPr>
      <w:r>
        <w:continuationSeparator/>
      </w:r>
    </w:p>
  </w:footnote>
  <w:footnote w:id="1">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Articolo 54 e articolo 56, paragrafo 3, del regolamento (UE) n. 1303/2013.</w:t>
      </w:r>
    </w:p>
  </w:footnote>
  <w:footnote w:id="2">
    <w:p w:rsidR="00B03F62" w:rsidRPr="00E53246" w:rsidRDefault="00B03F62" w:rsidP="00C36C9E">
      <w:pPr>
        <w:pStyle w:val="FootnoteText"/>
        <w:spacing w:line="200" w:lineRule="atLeast"/>
      </w:pPr>
      <w:r>
        <w:rPr>
          <w:rStyle w:val="FootnoteReference"/>
          <w:color w:val="878787" w:themeColor="text2" w:themeTint="99"/>
        </w:rPr>
        <w:footnoteRef/>
      </w:r>
      <w:r>
        <w:rPr>
          <w:color w:val="878787" w:themeColor="text2" w:themeTint="99"/>
        </w:rPr>
        <w:t xml:space="preserve"> Allegato VII del regolamento (UE) n. 808/2014.</w:t>
      </w:r>
    </w:p>
  </w:footnote>
  <w:footnote w:id="3">
    <w:p w:rsidR="00B03F62" w:rsidRPr="003563F4" w:rsidRDefault="00B03F62" w:rsidP="00C36C9E">
      <w:pPr>
        <w:pStyle w:val="FootnoteText"/>
        <w:spacing w:line="200" w:lineRule="atLeast"/>
        <w:rPr>
          <w:color w:val="878787" w:themeColor="text2" w:themeTint="99"/>
        </w:rPr>
      </w:pPr>
      <w:r>
        <w:rPr>
          <w:color w:val="878787" w:themeColor="text2" w:themeTint="99"/>
          <w:vertAlign w:val="superscript"/>
        </w:rPr>
        <w:footnoteRef/>
      </w:r>
      <w:r>
        <w:rPr>
          <w:color w:val="878787" w:themeColor="text2" w:themeTint="99"/>
        </w:rPr>
        <w:t xml:space="preserve"> Articolo 75 del </w:t>
      </w:r>
      <w:hyperlink r:id="rId1">
        <w:r>
          <w:rPr>
            <w:color w:val="878787" w:themeColor="text2" w:themeTint="99"/>
          </w:rPr>
          <w:t>regolamento (UE) n. 1305/2013</w:t>
        </w:r>
      </w:hyperlink>
      <w:r>
        <w:rPr>
          <w:color w:val="878787" w:themeColor="text2" w:themeTint="99"/>
        </w:rPr>
        <w:t>.</w:t>
      </w:r>
    </w:p>
  </w:footnote>
  <w:footnote w:id="4">
    <w:p w:rsidR="00B03F62" w:rsidRPr="003563F4" w:rsidRDefault="00B03F62" w:rsidP="00C36C9E">
      <w:pPr>
        <w:pStyle w:val="FootnoteText"/>
        <w:spacing w:line="200" w:lineRule="atLeas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Linee guida "Definizione e attuazione del piano di valutazione dei PSR 2014-2020". </w:t>
        </w:r>
      </w:hyperlink>
    </w:p>
  </w:footnote>
  <w:footnote w:id="5">
    <w:p w:rsidR="00B03F62" w:rsidRPr="003563F4" w:rsidRDefault="00B03F62" w:rsidP="00C36C9E">
      <w:pPr>
        <w:pStyle w:val="FootnoteText"/>
        <w:spacing w:line="200" w:lineRule="atLeas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Regolamento di esecuzione (UE) n. 808/2014 della Commissione, allegato I, punto 9, e allegato VII, punto 7</w:t>
        </w:r>
      </w:hyperlink>
      <w:r>
        <w:rPr>
          <w:rStyle w:val="Hyperlink"/>
          <w:color w:val="878787" w:themeColor="text2" w:themeTint="99"/>
          <w:sz w:val="16"/>
          <w:u w:val="none"/>
        </w:rPr>
        <w:t>.</w:t>
      </w:r>
    </w:p>
  </w:footnote>
  <w:footnote w:id="6">
    <w:p w:rsidR="00B03F62" w:rsidRPr="003563F4" w:rsidRDefault="00B03F62" w:rsidP="00C36C9E">
      <w:pPr>
        <w:pStyle w:val="FootnoteText"/>
        <w:spacing w:line="200" w:lineRule="atLeas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t xml:space="preserve">L'Helpdesk di valutazione riassume i risultati delle RAE presentate nel 2017 nella </w:t>
      </w:r>
      <w:hyperlink r:id="rId4">
        <w:r>
          <w:rPr>
            <w:color w:val="878787" w:themeColor="text2" w:themeTint="99"/>
          </w:rPr>
          <w:t>"Summary Report Synthesis of the Evaluation Components of the 2017 Enhanced AIR" (Relazione di sintesi dei componenti della valutazione della RAE ampliata per il 2017): capitolo 7</w:t>
        </w:r>
      </w:hyperlink>
      <w:r>
        <w:rPr>
          <w:color w:val="878787" w:themeColor="text2" w:themeTint="99"/>
        </w:rPr>
        <w:t>.</w:t>
      </w:r>
    </w:p>
  </w:footnote>
  <w:footnote w:id="7">
    <w:p w:rsidR="00B03F62" w:rsidRPr="00E53246" w:rsidRDefault="00B03F62" w:rsidP="00C36C9E">
      <w:pPr>
        <w:pStyle w:val="FootnoteText"/>
        <w:spacing w:line="200" w:lineRule="atLeas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Allegato VII del regolamento (UE) n. 808/2014.</w:t>
      </w:r>
    </w:p>
  </w:footnote>
  <w:footnote w:id="8">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Articoli 67-79 del regolamento (UE) n. 1305/2014</w:t>
        </w:r>
      </w:hyperlink>
      <w:r>
        <w:rPr>
          <w:color w:val="878787" w:themeColor="text2" w:themeTint="99"/>
        </w:rPr>
        <w:t xml:space="preserve">, </w:t>
      </w:r>
      <w:hyperlink r:id="rId6">
        <w:r>
          <w:rPr>
            <w:color w:val="878787" w:themeColor="text2" w:themeTint="99"/>
          </w:rPr>
          <w:t>articolo 110 del regolamento (UE) n. 1306/2013,</w:t>
        </w:r>
      </w:hyperlink>
      <w:r>
        <w:rPr>
          <w:color w:val="878787" w:themeColor="text2" w:themeTint="99"/>
        </w:rPr>
        <w:t xml:space="preserve"> </w:t>
      </w:r>
      <w:hyperlink r:id="rId7">
        <w:r>
          <w:rPr>
            <w:color w:val="878787" w:themeColor="text2" w:themeTint="99"/>
          </w:rPr>
          <w:t>articolo 1, lettera a), e allegato I del regolamento (UE) n. 834/2014</w:t>
        </w:r>
      </w:hyperlink>
      <w:r>
        <w:rPr>
          <w:color w:val="878787" w:themeColor="text2" w:themeTint="99"/>
        </w:rPr>
        <w:t xml:space="preserve">, </w:t>
      </w:r>
      <w:hyperlink r:id="rId8">
        <w:r>
          <w:rPr>
            <w:color w:val="878787" w:themeColor="text2" w:themeTint="99"/>
          </w:rPr>
          <w:t>articolo 14 e allegati IV, V, VI e VII del regolamento (UE) n. 808/2014</w:t>
        </w:r>
      </w:hyperlink>
      <w:r>
        <w:rPr>
          <w:color w:val="878787" w:themeColor="text2" w:themeTint="99"/>
        </w:rPr>
        <w:t>.</w:t>
      </w:r>
    </w:p>
  </w:footnote>
  <w:footnote w:id="9">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Articolo 54 del regolamento (UE) n. 1303/2013.</w:t>
      </w:r>
    </w:p>
  </w:footnote>
  <w:footnote w:id="10">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Articolo 56 del regolamento (UE) n. 1303/2013.</w:t>
      </w:r>
    </w:p>
  </w:footnote>
  <w:footnote w:id="11">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Articolo 110 del regolamento (UE) n. 1306/2013.</w:t>
      </w:r>
    </w:p>
  </w:footnote>
  <w:footnote w:id="12">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Articolo 110, paragrafi 3 e 4, del regolamento (UE) n. 1306/2013.</w:t>
      </w:r>
    </w:p>
  </w:footnote>
  <w:footnote w:id="13">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Articoli 67 e 68 del regolamento (UE) n. 1305/2013.</w:t>
      </w:r>
    </w:p>
  </w:footnote>
  <w:footnote w:id="14">
    <w:p w:rsidR="00B03F62" w:rsidRPr="00E53246" w:rsidRDefault="00B03F62" w:rsidP="00C36C9E">
      <w:pPr>
        <w:pStyle w:val="FootnoteText"/>
        <w:spacing w:line="200" w:lineRule="atLeast"/>
      </w:pPr>
      <w:r>
        <w:rPr>
          <w:rStyle w:val="FootnoteReference"/>
          <w:color w:val="878787" w:themeColor="text2" w:themeTint="99"/>
        </w:rPr>
        <w:footnoteRef/>
      </w:r>
      <w:r>
        <w:rPr>
          <w:color w:val="878787" w:themeColor="text2" w:themeTint="99"/>
        </w:rPr>
        <w:t xml:space="preserve"> Articolo 69 del regolamento (UE) n. 1305/2013.</w:t>
      </w:r>
    </w:p>
  </w:footnote>
  <w:footnote w:id="15">
    <w:p w:rsidR="00B03F62" w:rsidRPr="003563F4" w:rsidRDefault="00B03F62" w:rsidP="00C36C9E">
      <w:pPr>
        <w:pStyle w:val="FootnoteText"/>
        <w:spacing w:line="200" w:lineRule="atLeas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Technical Handbook on the Monitoring and Evaluation of the Common Agriculture Policy 2014-2020 (Manuale tecnico sul monitoraggio e la valutazione della politica agricola comune 2014-2020), Commissione europea, giugno 2017</w:t>
        </w:r>
      </w:hyperlink>
      <w:r>
        <w:rPr>
          <w:rStyle w:val="Hyperlink"/>
          <w:color w:val="878787" w:themeColor="text2" w:themeTint="99"/>
          <w:sz w:val="16"/>
          <w:u w:val="none"/>
        </w:rPr>
        <w:t>.</w:t>
      </w:r>
    </w:p>
  </w:footnote>
  <w:footnote w:id="16">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Articolo 14 del regolamento (UE) n. 808/2014.</w:t>
      </w:r>
    </w:p>
  </w:footnote>
  <w:footnote w:id="17">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Allegato IV del regolamento (UE) n. 808/2014.</w:t>
      </w:r>
    </w:p>
  </w:footnote>
  <w:footnote w:id="18">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Allegato V del regolamento (UE) n. 808/2014.</w:t>
      </w:r>
    </w:p>
  </w:footnote>
  <w:footnote w:id="19">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Allegato VII, punto 2, del regolamento (UE) n. 808/2014.</w:t>
      </w:r>
    </w:p>
  </w:footnote>
  <w:footnote w:id="20">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Allegato I, PARTE I, punto 9, del regolamento (UE) n. 808/2014.</w:t>
      </w:r>
    </w:p>
  </w:footnote>
  <w:footnote w:id="21">
    <w:p w:rsidR="00B03F62" w:rsidRPr="003563F4" w:rsidRDefault="00B03F62" w:rsidP="00C36C9E">
      <w:pPr>
        <w:pStyle w:val="FootnoteText"/>
        <w:spacing w:line="200" w:lineRule="atLeast"/>
        <w:rPr>
          <w:color w:val="878787" w:themeColor="text2" w:themeTint="99"/>
        </w:rPr>
      </w:pPr>
      <w:r>
        <w:rPr>
          <w:rStyle w:val="FootnoteReference"/>
          <w:color w:val="878787" w:themeColor="text2" w:themeTint="99"/>
        </w:rPr>
        <w:footnoteRef/>
      </w:r>
      <w:r>
        <w:rPr>
          <w:color w:val="878787" w:themeColor="text2" w:themeTint="99"/>
        </w:rPr>
        <w:t xml:space="preserve"> Allegato VII, punto 7, del regolamento (UE) n. 808/2014.</w:t>
      </w:r>
    </w:p>
  </w:footnote>
  <w:footnote w:id="22">
    <w:p w:rsidR="00B03F62" w:rsidRPr="00E53246" w:rsidRDefault="00B03F62" w:rsidP="00C36C9E">
      <w:pPr>
        <w:pStyle w:val="FootnoteText"/>
        <w:spacing w:line="200" w:lineRule="atLeast"/>
      </w:pPr>
      <w:r>
        <w:rPr>
          <w:rStyle w:val="FootnoteReference"/>
          <w:color w:val="878787" w:themeColor="text2" w:themeTint="99"/>
        </w:rPr>
        <w:footnoteRef/>
      </w:r>
      <w:r>
        <w:rPr>
          <w:color w:val="878787" w:themeColor="text2" w:themeTint="99"/>
        </w:rPr>
        <w:t xml:space="preserve"> Allegato VI del regolamento (UE) n. 808/2014.</w:t>
      </w:r>
    </w:p>
  </w:footnote>
  <w:footnote w:id="23">
    <w:p w:rsidR="00B03F62" w:rsidRPr="00E53246" w:rsidRDefault="00B03F62" w:rsidP="00C36C9E">
      <w:pPr>
        <w:pStyle w:val="FootnoteText"/>
        <w:spacing w:line="200" w:lineRule="atLeast"/>
      </w:pPr>
      <w:r>
        <w:rPr>
          <w:rStyle w:val="FootnoteReference"/>
          <w:color w:val="878787" w:themeColor="text2" w:themeTint="99"/>
        </w:rPr>
        <w:footnoteRef/>
      </w:r>
      <w:hyperlink r:id="rId10">
        <w:r>
          <w:rPr>
            <w:color w:val="878787" w:themeColor="text2" w:themeTint="99"/>
          </w:rPr>
          <w:t xml:space="preserve"> Technical Handbook on the Monitoring and Evaluation of the Common Agriculture Policy 2014-2020 (Manuale tecnico sul monitoraggio e la valutazione della politica agricola comune 2014-2020), Commissione europea, giugno 2017</w:t>
        </w:r>
      </w:hyperlink>
      <w:r>
        <w:rPr>
          <w:rStyle w:val="Hyperlink"/>
          <w:color w:val="878787" w:themeColor="text2" w:themeTint="99"/>
          <w:sz w:val="16"/>
          <w:u w:val="none"/>
        </w:rPr>
        <w:t>.</w:t>
      </w:r>
    </w:p>
  </w:footnote>
  <w:footnote w:id="24">
    <w:p w:rsidR="00B03F62" w:rsidRPr="000D3DB8" w:rsidRDefault="00B03F62" w:rsidP="00C36C9E">
      <w:pPr>
        <w:pStyle w:val="FootnoteText"/>
        <w:spacing w:line="200" w:lineRule="atLeast"/>
        <w:rPr>
          <w:rStyle w:val="Hyperlink"/>
          <w:sz w:val="16"/>
          <w:szCs w:val="16"/>
        </w:rPr>
      </w:pPr>
      <w:r>
        <w:rPr>
          <w:rStyle w:val="FootnoteReference"/>
          <w:color w:val="878787" w:themeColor="text2" w:themeTint="99"/>
        </w:rPr>
        <w:footnoteRef/>
      </w:r>
      <w:r>
        <w:rPr>
          <w:color w:val="878787" w:themeColor="text2" w:themeTint="99"/>
        </w:rPr>
        <w:t xml:space="preserve"> Per maggiori informazioni sul ciclo di valutazione si rimanda alle linee guida </w:t>
      </w:r>
      <w:hyperlink r:id="rId11">
        <w:r>
          <w:rPr>
            <w:rStyle w:val="Hyperlink"/>
            <w:sz w:val="16"/>
          </w:rPr>
          <w:t>Valutazione dei risultati del PSR: come prepararsi per la rendicontazione in merito alla valutazione nel 2017</w:t>
        </w:r>
      </w:hyperlink>
      <w:r>
        <w:rPr>
          <w:rStyle w:val="Hyperlink"/>
          <w:sz w:val="16"/>
        </w:rPr>
        <w:t>.</w:t>
      </w:r>
    </w:p>
  </w:footnote>
  <w:footnote w:id="25">
    <w:p w:rsidR="00B03F62" w:rsidRPr="00E53246" w:rsidRDefault="00B03F62" w:rsidP="00C36C9E">
      <w:pPr>
        <w:pStyle w:val="FootnoteText"/>
        <w:spacing w:line="200" w:lineRule="atLeast"/>
      </w:pPr>
      <w:r>
        <w:rPr>
          <w:rStyle w:val="FootnoteReference"/>
          <w:color w:val="878787" w:themeColor="text2" w:themeTint="99"/>
        </w:rPr>
        <w:footnoteRef/>
      </w:r>
      <w:r>
        <w:t xml:space="preserve"> AG – Autorità di gestione, CS – comitato di sorveglianza, OP – Organismo pagatore, UVa – Unità di valutazione, GDV – Gruppo direttivo di valutazione, Va – Valutatori, FD – Fornitori di dati, A – Altri.</w:t>
      </w:r>
    </w:p>
  </w:footnote>
  <w:footnote w:id="26">
    <w:p w:rsidR="00B03F62" w:rsidRPr="00274AB7" w:rsidRDefault="00B03F62" w:rsidP="00C36C9E">
      <w:pPr>
        <w:pStyle w:val="FootnoteText"/>
        <w:spacing w:line="200" w:lineRule="atLeast"/>
      </w:pPr>
      <w:r>
        <w:rPr>
          <w:rStyle w:val="FootnoteReference"/>
          <w:color w:val="878787" w:themeColor="text2" w:themeTint="99"/>
        </w:rPr>
        <w:footnoteRef/>
      </w:r>
      <w:r>
        <w:rPr>
          <w:color w:val="878787" w:themeColor="text2" w:themeTint="99"/>
        </w:rPr>
        <w:t xml:space="preserve"> ENVIEVAL è stato un progetto collaborativo dell'UE (convenzione di sovvenzione n. 312071) che ha ricevuto finanziamenti dal gennaio 2013 al dicembre 2015 dal Settimo programma quadro dell'UE di ricerca, sviluppo tecnologico e dimostrazione.</w:t>
      </w:r>
    </w:p>
  </w:footnote>
  <w:footnote w:id="27">
    <w:p w:rsidR="00B03F62" w:rsidRPr="00E53246" w:rsidRDefault="00B03F62" w:rsidP="00C36C9E">
      <w:pPr>
        <w:pStyle w:val="FootnoteText"/>
        <w:spacing w:line="200" w:lineRule="atLeast"/>
      </w:pPr>
      <w:r>
        <w:rPr>
          <w:rStyle w:val="FootnoteReference"/>
          <w:color w:val="878787" w:themeColor="text2" w:themeTint="99"/>
        </w:rPr>
        <w:footnoteRef/>
      </w:r>
      <w:r>
        <w:t xml:space="preserve"> Methodological Handbook for the evaluation of environmental impacts of RDPs (Manuale metodologico per la valutazione degli impatti ambientali dei PSR): relazione D9.5, progetto ENVIEVAL (convenzione di sovvenzione n. 312071). Bruxelles: Commissione europea, Morkvenas Z., Navickas K., Gulbinas J., Jefanovas A., Schwarz G., Wolff A., Offermann F., Osterburg B., Aalders I., Miller D., Morrice J., Vlahos G., Smyrniotopoulou A., Artell J., Aakkula J., Toikkanen H., Povellato A., Longhitano D., Lasorella V., Balazs K. et al. (2015), pag. 152.</w:t>
      </w:r>
    </w:p>
  </w:footnote>
  <w:footnote w:id="28">
    <w:p w:rsidR="00B03F62" w:rsidRPr="00E53246" w:rsidRDefault="00B03F62" w:rsidP="00C36C9E">
      <w:pPr>
        <w:pStyle w:val="FootnoteText"/>
        <w:spacing w:line="200" w:lineRule="atLeast"/>
      </w:pPr>
      <w:r>
        <w:rPr>
          <w:rStyle w:val="FootnoteReference"/>
          <w:color w:val="878787" w:themeColor="text2" w:themeTint="99"/>
        </w:rPr>
        <w:footnoteRef/>
      </w:r>
      <w:r>
        <w:rPr>
          <w:color w:val="878787" w:themeColor="text2" w:themeTint="99"/>
        </w:rPr>
        <w:t xml:space="preserve"> </w:t>
      </w:r>
      <w:r>
        <w:t xml:space="preserve">Le azioni da compiere nella valutazione netta degli impatti del PSR sono ulteriormente descritte nelle </w:t>
      </w:r>
      <w:hyperlink r:id="rId12">
        <w:r>
          <w:rPr>
            <w:rStyle w:val="Hyperlink"/>
            <w:sz w:val="16"/>
          </w:rPr>
          <w:t>Guidelines for the ex post evaluation of 2007-2013 RDPs (Linee guida per la valutazione ex post dei PSR 2007-2013)</w:t>
        </w:r>
      </w:hyperlink>
      <w:r>
        <w:t>, più precisamente nei capitoli 4.2.3 e 4.2.4.</w:t>
      </w:r>
    </w:p>
  </w:footnote>
  <w:footnote w:id="29">
    <w:p w:rsidR="00B03F62" w:rsidRPr="00B1661D" w:rsidRDefault="00B03F62" w:rsidP="00C36C9E">
      <w:pPr>
        <w:pStyle w:val="FootnoteText"/>
        <w:spacing w:line="200" w:lineRule="atLeast"/>
        <w:rPr>
          <w:lang w:val="en-GB"/>
        </w:rPr>
      </w:pPr>
      <w:r>
        <w:rPr>
          <w:rStyle w:val="FootnoteReference"/>
          <w:color w:val="878787" w:themeColor="text2" w:themeTint="99"/>
        </w:rPr>
        <w:footnoteRef/>
      </w:r>
      <w:r>
        <w:t xml:space="preserve"> Per maggiori informazioni cfr. "Landscape-moderated biodiversity effects of agri-environmental management: a meta-analysis" (Effetti in termini di biodiversità moderati dal paesaggio della gestione agro-ambientale: una meta analisi), Proceedings. </w:t>
      </w:r>
      <w:r w:rsidRPr="00B1661D">
        <w:rPr>
          <w:lang w:val="en-GB"/>
        </w:rPr>
        <w:t xml:space="preserve">Biological sciences/The Royal Society, 278(1713): 1894–1902, Batáry P., </w:t>
      </w:r>
      <w:r>
        <w:rPr>
          <w:lang w:val="en-GB"/>
        </w:rPr>
        <w:t>Báldi A., Kleijn D., Tscharntke </w:t>
      </w:r>
      <w:r w:rsidRPr="00B1661D">
        <w:rPr>
          <w:lang w:val="en-GB"/>
        </w:rPr>
        <w:t xml:space="preserve">T., (2011). </w:t>
      </w:r>
    </w:p>
  </w:footnote>
  <w:footnote w:id="30">
    <w:p w:rsidR="00B03F62" w:rsidRPr="00B1661D" w:rsidRDefault="00B03F62" w:rsidP="00C36C9E">
      <w:pPr>
        <w:pStyle w:val="FootnoteText"/>
        <w:spacing w:line="200" w:lineRule="atLeast"/>
        <w:rPr>
          <w:lang w:val="en-GB"/>
        </w:rPr>
      </w:pPr>
      <w:r>
        <w:rPr>
          <w:rStyle w:val="FootnoteReference"/>
          <w:color w:val="878787" w:themeColor="text2" w:themeTint="99"/>
        </w:rPr>
        <w:footnoteRef/>
      </w:r>
      <w:r w:rsidRPr="00B1661D">
        <w:rPr>
          <w:color w:val="878787" w:themeColor="text2" w:themeTint="99"/>
          <w:lang w:val="en-GB"/>
        </w:rPr>
        <w:t xml:space="preserve"> </w:t>
      </w:r>
      <w:r w:rsidRPr="00B1661D">
        <w:rPr>
          <w:lang w:val="en-GB"/>
        </w:rPr>
        <w:t>Per maggiori informazioni cfr. "Organic farming at local and landscape scales benefits plant diversity" (L</w:t>
      </w:r>
      <w:r>
        <w:rPr>
          <w:lang w:val="en-GB"/>
        </w:rPr>
        <w:t>'</w:t>
      </w:r>
      <w:r w:rsidRPr="00B1661D">
        <w:rPr>
          <w:lang w:val="en-GB"/>
        </w:rPr>
        <w:t xml:space="preserve">agricoltura organica a livello locale e di paesaggio giova alla diversità vegetale),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F62" w:rsidRPr="00E4509B" w:rsidRDefault="00B03F62" w:rsidP="008D52EA">
    <w:pPr>
      <w:pStyle w:val="Header"/>
    </w:pPr>
    <w:r>
      <w:tab/>
      <w:t>Parte I – Cosa deve essere comunicato in merito alla valutazione nella RAE del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F62" w:rsidRDefault="00B03F62" w:rsidP="000412E5">
    <w:pPr>
      <w:pStyle w:val="Header"/>
      <w:tabs>
        <w:tab w:val="clear" w:pos="9072"/>
        <w:tab w:val="right" w:pos="14175"/>
      </w:tabs>
    </w:pPr>
    <w:r>
      <w:tab/>
      <w:t>Parte III – Schede per rispondere al QVC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277416E6"/>
    <w:lvl w:ilvl="0" w:tplc="DD908992">
      <w:start w:val="1"/>
      <w:numFmt w:val="decimal"/>
      <w:pStyle w:val="HHeadingfigures"/>
      <w:lvlText w:val="Figura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98D6CB9A"/>
    <w:lvl w:ilvl="0" w:tplc="DAA44BDC">
      <w:start w:val="1"/>
      <w:numFmt w:val="decimal"/>
      <w:pStyle w:val="HHeadingtables"/>
      <w:lvlText w:val="Tabella %1."/>
      <w:lvlJc w:val="left"/>
      <w:pPr>
        <w:ind w:left="480" w:hanging="360"/>
      </w:pPr>
      <w:rPr>
        <w:rFonts w:hint="default"/>
        <w:specVanish w:val="0"/>
      </w:rPr>
    </w:lvl>
    <w:lvl w:ilvl="1" w:tplc="04070019" w:tentative="1">
      <w:start w:val="1"/>
      <w:numFmt w:val="lowerLetter"/>
      <w:lvlText w:val="%2."/>
      <w:lvlJc w:val="left"/>
      <w:pPr>
        <w:ind w:left="-709" w:hanging="360"/>
      </w:pPr>
    </w:lvl>
    <w:lvl w:ilvl="2" w:tplc="0407001B" w:tentative="1">
      <w:start w:val="1"/>
      <w:numFmt w:val="lowerRoman"/>
      <w:lvlText w:val="%3."/>
      <w:lvlJc w:val="right"/>
      <w:pPr>
        <w:ind w:left="11" w:hanging="180"/>
      </w:pPr>
    </w:lvl>
    <w:lvl w:ilvl="3" w:tplc="0407000F" w:tentative="1">
      <w:start w:val="1"/>
      <w:numFmt w:val="decimal"/>
      <w:lvlText w:val="%4."/>
      <w:lvlJc w:val="left"/>
      <w:pPr>
        <w:ind w:left="731" w:hanging="360"/>
      </w:pPr>
    </w:lvl>
    <w:lvl w:ilvl="4" w:tplc="04070019" w:tentative="1">
      <w:start w:val="1"/>
      <w:numFmt w:val="lowerLetter"/>
      <w:lvlText w:val="%5."/>
      <w:lvlJc w:val="left"/>
      <w:pPr>
        <w:ind w:left="1451" w:hanging="360"/>
      </w:pPr>
    </w:lvl>
    <w:lvl w:ilvl="5" w:tplc="0407001B" w:tentative="1">
      <w:start w:val="1"/>
      <w:numFmt w:val="lowerRoman"/>
      <w:lvlText w:val="%6."/>
      <w:lvlJc w:val="right"/>
      <w:pPr>
        <w:ind w:left="2171" w:hanging="180"/>
      </w:pPr>
    </w:lvl>
    <w:lvl w:ilvl="6" w:tplc="0407000F" w:tentative="1">
      <w:start w:val="1"/>
      <w:numFmt w:val="decimal"/>
      <w:lvlText w:val="%7."/>
      <w:lvlJc w:val="left"/>
      <w:pPr>
        <w:ind w:left="2891" w:hanging="360"/>
      </w:pPr>
    </w:lvl>
    <w:lvl w:ilvl="7" w:tplc="04070019" w:tentative="1">
      <w:start w:val="1"/>
      <w:numFmt w:val="lowerLetter"/>
      <w:lvlText w:val="%8."/>
      <w:lvlJc w:val="left"/>
      <w:pPr>
        <w:ind w:left="3611" w:hanging="360"/>
      </w:pPr>
    </w:lvl>
    <w:lvl w:ilvl="8" w:tplc="0407001B" w:tentative="1">
      <w:start w:val="1"/>
      <w:numFmt w:val="lowerRoman"/>
      <w:lvlText w:val="%9."/>
      <w:lvlJc w:val="right"/>
      <w:pPr>
        <w:ind w:left="433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3D9"/>
    <w:rsid w:val="00010901"/>
    <w:rsid w:val="00010981"/>
    <w:rsid w:val="00010A66"/>
    <w:rsid w:val="00010B08"/>
    <w:rsid w:val="00011CD6"/>
    <w:rsid w:val="00011DC7"/>
    <w:rsid w:val="0001214D"/>
    <w:rsid w:val="000128D8"/>
    <w:rsid w:val="00012BA4"/>
    <w:rsid w:val="00012F22"/>
    <w:rsid w:val="00013C3D"/>
    <w:rsid w:val="0001428E"/>
    <w:rsid w:val="000142AB"/>
    <w:rsid w:val="000142D0"/>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403A"/>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4"/>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2107"/>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1678"/>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4D3D"/>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38B"/>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5ADF"/>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68B9"/>
    <w:rsid w:val="002A72C5"/>
    <w:rsid w:val="002B13CC"/>
    <w:rsid w:val="002B2700"/>
    <w:rsid w:val="002B2AAB"/>
    <w:rsid w:val="002B2E53"/>
    <w:rsid w:val="002B3E82"/>
    <w:rsid w:val="002B4474"/>
    <w:rsid w:val="002B4A4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1D2F"/>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0BB3"/>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0C1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5E6A"/>
    <w:rsid w:val="003B6354"/>
    <w:rsid w:val="003B6B53"/>
    <w:rsid w:val="003B6E52"/>
    <w:rsid w:val="003B7B0F"/>
    <w:rsid w:val="003B7F5F"/>
    <w:rsid w:val="003C0D75"/>
    <w:rsid w:val="003C0F40"/>
    <w:rsid w:val="003C1C67"/>
    <w:rsid w:val="003C228A"/>
    <w:rsid w:val="003C2430"/>
    <w:rsid w:val="003C28C3"/>
    <w:rsid w:val="003C33F0"/>
    <w:rsid w:val="003C40B7"/>
    <w:rsid w:val="003C4407"/>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1FA1"/>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122"/>
    <w:rsid w:val="004B348E"/>
    <w:rsid w:val="004B4061"/>
    <w:rsid w:val="004B42AD"/>
    <w:rsid w:val="004B44AA"/>
    <w:rsid w:val="004B567F"/>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311"/>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5BD3"/>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522A"/>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DD5"/>
    <w:rsid w:val="00605FBB"/>
    <w:rsid w:val="006062B3"/>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A7F1E"/>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367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1A2"/>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688"/>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5E83"/>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4B89"/>
    <w:rsid w:val="008F55BD"/>
    <w:rsid w:val="008F63FC"/>
    <w:rsid w:val="008F664A"/>
    <w:rsid w:val="008F76E5"/>
    <w:rsid w:val="00901829"/>
    <w:rsid w:val="00901C55"/>
    <w:rsid w:val="00902B4C"/>
    <w:rsid w:val="00902F20"/>
    <w:rsid w:val="00903793"/>
    <w:rsid w:val="00903D92"/>
    <w:rsid w:val="009042D7"/>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37FB1"/>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2E32"/>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1EF4"/>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8F"/>
    <w:rsid w:val="009E1AE9"/>
    <w:rsid w:val="009E209A"/>
    <w:rsid w:val="009E4FFA"/>
    <w:rsid w:val="009E68C2"/>
    <w:rsid w:val="009E7958"/>
    <w:rsid w:val="009F252A"/>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534"/>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BD6"/>
    <w:rsid w:val="00A72C66"/>
    <w:rsid w:val="00A72DBD"/>
    <w:rsid w:val="00A73007"/>
    <w:rsid w:val="00A735AE"/>
    <w:rsid w:val="00A7389C"/>
    <w:rsid w:val="00A743E3"/>
    <w:rsid w:val="00A746BC"/>
    <w:rsid w:val="00A749E9"/>
    <w:rsid w:val="00A7573B"/>
    <w:rsid w:val="00A75E50"/>
    <w:rsid w:val="00A77FC8"/>
    <w:rsid w:val="00A80806"/>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46BD"/>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3F62"/>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61D"/>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788"/>
    <w:rsid w:val="00B437C1"/>
    <w:rsid w:val="00B43BC8"/>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239"/>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4B8D"/>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6C9E"/>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5E1E"/>
    <w:rsid w:val="00C76126"/>
    <w:rsid w:val="00C774F1"/>
    <w:rsid w:val="00C77C51"/>
    <w:rsid w:val="00C77F74"/>
    <w:rsid w:val="00C81B31"/>
    <w:rsid w:val="00C8205A"/>
    <w:rsid w:val="00C825E0"/>
    <w:rsid w:val="00C83559"/>
    <w:rsid w:val="00C83E26"/>
    <w:rsid w:val="00C85DA9"/>
    <w:rsid w:val="00C87083"/>
    <w:rsid w:val="00C87859"/>
    <w:rsid w:val="00C87D0C"/>
    <w:rsid w:val="00C90916"/>
    <w:rsid w:val="00C9096C"/>
    <w:rsid w:val="00C90F3B"/>
    <w:rsid w:val="00C91303"/>
    <w:rsid w:val="00C915FE"/>
    <w:rsid w:val="00C91D15"/>
    <w:rsid w:val="00C927E7"/>
    <w:rsid w:val="00C92983"/>
    <w:rsid w:val="00C9311D"/>
    <w:rsid w:val="00C93310"/>
    <w:rsid w:val="00C941A8"/>
    <w:rsid w:val="00C944CF"/>
    <w:rsid w:val="00C9469B"/>
    <w:rsid w:val="00CA0528"/>
    <w:rsid w:val="00CA0CC0"/>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CD6"/>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67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0A8E"/>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011"/>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687C"/>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1FA5"/>
    <w:rsid w:val="00F43283"/>
    <w:rsid w:val="00F43A9F"/>
    <w:rsid w:val="00F43BB1"/>
    <w:rsid w:val="00F44E29"/>
    <w:rsid w:val="00F453D0"/>
    <w:rsid w:val="00F477D1"/>
    <w:rsid w:val="00F504B5"/>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5E"/>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it-IT"/>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it-IT"/>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it-IT"/>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it-IT"/>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spacing w:before="240"/>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it-IT"/>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it-IT"/>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it-IT"/>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
    <w:basedOn w:val="DefaultParagraphFont"/>
    <w:link w:val="FootnoteText"/>
    <w:uiPriority w:val="99"/>
    <w:rsid w:val="000D3DB8"/>
    <w:rPr>
      <w:rFonts w:ascii="Arial" w:hAnsi="Arial"/>
      <w:color w:val="808080"/>
      <w:sz w:val="16"/>
      <w:lang w:val="it-IT"/>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it-IT" w:eastAsia="it-IT"/>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it-IT"/>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it-IT" w:eastAsia="it-IT"/>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it-IT"/>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it-IT"/>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it-IT"/>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pdf" TargetMode="External"/><Relationship Id="rId26" Type="http://schemas.openxmlformats.org/officeDocument/2006/relationships/hyperlink" Target="https://enrd.ec.europa.eu/evaluation/publications/evaluation-innovation-rural-development-programmes-2014-2020_it" TargetMode="External"/><Relationship Id="rId39" Type="http://schemas.openxmlformats.org/officeDocument/2006/relationships/hyperlink" Target="https://www.envieval.eu/" TargetMode="External"/><Relationship Id="rId21" Type="http://schemas.openxmlformats.org/officeDocument/2006/relationships/hyperlink" Target="https://enrd.ec.europa.eu/evaluation/publications/guidelines-assessment-rdp-results-how-prepare-reporting-evaluation-2017_it" TargetMode="External"/><Relationship Id="rId34" Type="http://schemas.openxmlformats.org/officeDocument/2006/relationships/image" Target="media/image5.png"/><Relationship Id="rId42" Type="http://schemas.openxmlformats.org/officeDocument/2006/relationships/hyperlink" Target="https://enrd.ec.europa.eu/news-events/news/ex-post-evaluation-rdps-2007-2013_it"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0" Type="http://schemas.openxmlformats.org/officeDocument/2006/relationships/hyperlink" Target="https://ec.europa.eu/agriculture/sites/agriculture/files/cap-indicators/result/complementary-result-indicator-fiches-pillar-ii_en.pdf" TargetMode="External"/><Relationship Id="rId29" Type="http://schemas.openxmlformats.org/officeDocument/2006/relationships/hyperlink" Target="http://ec.europa.eu/eurostat/documents/4411192/4411431/Europe_2020_Targets.pdf" TargetMode="External"/><Relationship Id="rId41" Type="http://schemas.openxmlformats.org/officeDocument/2006/relationships/hyperlink" Target="https://ec.europa.eu/agriculture/sites/agriculture/files/evaluation/guidelines/2007-2013-ex-post_en.pdf" TargetMode="External"/><Relationship Id="rId54" Type="http://schemas.openxmlformats.org/officeDocument/2006/relationships/image" Target="media/image1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png"/><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s://ec.europa.eu/agriculture/sites/agriculture/files/evaluation/rural-development-reports/2014/investment-support-rdp/fulltext_en.pdf" TargetMode="Externa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nrd.ec.europa.eu/evaluation/publications/evaluation-innovation-rural-development-programmes-2014-2020_it"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c.europa.eu/agriculture/sites/agriculture/files/evaluation/guidelines/2007-2013-ex-post_en.pdf" TargetMode="External"/><Relationship Id="rId52" Type="http://schemas.openxmlformats.org/officeDocument/2006/relationships/image" Target="media/image13.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terurale.it/flex/cm/pages/ServeBLOB.php/L/IT/IDPagina/16700" TargetMode="External"/><Relationship Id="rId22" Type="http://schemas.openxmlformats.org/officeDocument/2006/relationships/hyperlink" Target="https://enrd.ec.europa.eu/evaluation/publications/evaluation-leaderclld_it"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enrd.ec.europa.eu/enrd-static/app_templates/enrd_assets/pdf/evaluation/epe_master.pdf" TargetMode="External"/><Relationship Id="rId48" Type="http://schemas.openxmlformats.org/officeDocument/2006/relationships/image" Target="media/image9.png"/><Relationship Id="rId56"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evaluation/publications/guidelines-assessment-rdp-results-how-prepare-reporting-evaluation-2017_it" TargetMode="External"/><Relationship Id="rId25" Type="http://schemas.openxmlformats.org/officeDocument/2006/relationships/hyperlink" Target="https://ec.europa.eu/agriculture/cap-indicators/context_it" TargetMode="External"/><Relationship Id="rId33" Type="http://schemas.openxmlformats.org/officeDocument/2006/relationships/footer" Target="footer4.xml"/><Relationship Id="rId38" Type="http://schemas.openxmlformats.org/officeDocument/2006/relationships/image" Target="media/image7.png"/><Relationship Id="rId46"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9"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it/ALL/?uri=CELEX:32014R0808" TargetMode="External"/><Relationship Id="rId3" Type="http://schemas.openxmlformats.org/officeDocument/2006/relationships/hyperlink" Target="https://eur-lex.europa.eu/legal-content/it/ALL/?uri=CELEX:32014R0808" TargetMode="External"/><Relationship Id="rId7" Type="http://schemas.openxmlformats.org/officeDocument/2006/relationships/hyperlink" Target="https://eur-lex.europa.eu/legal-content/IT/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www.reterurale.it/flex/cm/pages/ServeAttachment.php/L/IT/D/u%252Fn%252Fi%252FD.9ff3fd10669036e0dd62/P/BLOB%3AID%3D14113/E/pdf" TargetMode="External"/><Relationship Id="rId1" Type="http://schemas.openxmlformats.org/officeDocument/2006/relationships/hyperlink" Target="https://eur-lex.europa.eu/legal-content/IT/ALL/?uri=CELEX%3A32013R1305" TargetMode="External"/><Relationship Id="rId6" Type="http://schemas.openxmlformats.org/officeDocument/2006/relationships/hyperlink" Target="https://eur-lex.europa.eu/legal-content/IT/TXT/?uri=celex:32013R1306" TargetMode="External"/><Relationship Id="rId11" Type="http://schemas.openxmlformats.org/officeDocument/2006/relationships/hyperlink" Target="https://enrd.ec.europa.eu/evaluation/publications/guidelines-assessment-rdp-results-how-prepare-reporting-evaluation-2017_it" TargetMode="External"/><Relationship Id="rId5" Type="http://schemas.openxmlformats.org/officeDocument/2006/relationships/hyperlink" Target="file:///\\\https:\\eur-lex.europa.eu\legal-content\IT\TXT\?qid=1539337650625&amp;uri=CELEX:32014R1305"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it"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A6B48-48E2-4804-B68C-FA156FD6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8196</Words>
  <Characters>46721</Characters>
  <Application>Microsoft Office Word</Application>
  <DocSecurity>0</DocSecurity>
  <Lines>389</Lines>
  <Paragraphs>109</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54808</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2018-11-14T15:18:00Z</dcterms:created>
  <dcterms:modified xsi:type="dcterms:W3CDTF">2018-11-16T14:44:00Z</dcterms:modified>
</cp:coreProperties>
</file>