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061" w:rsidRPr="00571D58" w:rsidRDefault="000B213F" w:rsidP="00471D4A">
      <w:pPr>
        <w:pStyle w:val="HHeadingboxes"/>
        <w:numPr>
          <w:ilvl w:val="0"/>
          <w:numId w:val="0"/>
        </w:numPr>
      </w:pPr>
      <w:r>
        <w:rPr>
          <w:noProof/>
          <w:szCs w:val="24"/>
          <w:lang w:val="en-GB" w:eastAsia="en-GB" w:bidi="ar-SA"/>
        </w:rPr>
        <mc:AlternateContent>
          <mc:Choice Requires="wps">
            <w:drawing>
              <wp:anchor distT="0" distB="0" distL="114300" distR="114300" simplePos="0" relativeHeight="251654656" behindDoc="1" locked="0" layoutInCell="1" allowOverlap="1" wp14:anchorId="59E4466D" wp14:editId="256EB497">
                <wp:simplePos x="0" y="0"/>
                <wp:positionH relativeFrom="page">
                  <wp:posOffset>2053590</wp:posOffset>
                </wp:positionH>
                <wp:positionV relativeFrom="page">
                  <wp:posOffset>5022215</wp:posOffset>
                </wp:positionV>
                <wp:extent cx="4775835" cy="3150870"/>
                <wp:effectExtent l="0" t="0" r="5715" b="11430"/>
                <wp:wrapTight wrapText="bothSides">
                  <wp:wrapPolygon edited="0">
                    <wp:start x="0" y="0"/>
                    <wp:lineTo x="0" y="21548"/>
                    <wp:lineTo x="21540" y="21548"/>
                    <wp:lineTo x="21540" y="0"/>
                    <wp:lineTo x="0" y="0"/>
                  </wp:wrapPolygon>
                </wp:wrapTight>
                <wp:docPr id="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315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4A" w:rsidRPr="00E76949" w:rsidRDefault="00471D4A" w:rsidP="00E76949">
                            <w:pPr>
                              <w:pStyle w:val="HTitle1"/>
                            </w:pPr>
                            <w:r>
                              <w:t>LIGNES DIRECTRICES</w:t>
                            </w:r>
                          </w:p>
                          <w:p w:rsidR="00471D4A" w:rsidRPr="00196DF6" w:rsidRDefault="00471D4A" w:rsidP="00196DF6">
                            <w:pPr>
                              <w:pStyle w:val="HTitle2"/>
                            </w:pPr>
                            <w:r>
                              <w:t>Évaluation des réalisations et des incidences du PDR en 2019</w:t>
                            </w:r>
                          </w:p>
                          <w:p w:rsidR="00471D4A" w:rsidRPr="00F15219" w:rsidRDefault="00471D4A" w:rsidP="00196DF6">
                            <w:pPr>
                              <w:pStyle w:val="HTitle2"/>
                            </w:pPr>
                          </w:p>
                          <w:p w:rsidR="00471D4A" w:rsidRPr="00435F02" w:rsidRDefault="00471D4A" w:rsidP="00196DF6">
                            <w:pPr>
                              <w:pStyle w:val="HTitle3"/>
                              <w:rPr>
                                <w:color w:val="auto"/>
                              </w:rPr>
                            </w:pPr>
                            <w:r>
                              <w:rPr>
                                <w:color w:val="auto"/>
                              </w:rPr>
                              <w:t>Août 2018</w:t>
                            </w:r>
                          </w:p>
                          <w:p w:rsidR="00471D4A" w:rsidRDefault="00471D4A" w:rsidP="00196DF6">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4466D" id="_x0000_t202" coordsize="21600,21600" o:spt="202" path="m,l,21600r21600,l21600,xe">
                <v:stroke joinstyle="miter"/>
                <v:path gradientshapeok="t" o:connecttype="rect"/>
              </v:shapetype>
              <v:shape id="Text Box 5" o:spid="_x0000_s1026" type="#_x0000_t202" style="position:absolute;margin-left:161.7pt;margin-top:395.45pt;width:376.05pt;height:248.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tFsgIAAKw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" filled="f" stroked="f">
                <v:textbox inset="0,0,0,0">
                  <w:txbxContent>
                    <w:p w:rsidR="00471D4A" w:rsidRPr="00E76949" w:rsidRDefault="00471D4A" w:rsidP="00E76949">
                      <w:pPr>
                        <w:pStyle w:val="HTitle1"/>
                      </w:pPr>
                      <w:r>
                        <w:t>LIGNES DIRECTRICES</w:t>
                      </w:r>
                    </w:p>
                    <w:p w:rsidR="00471D4A" w:rsidRPr="00196DF6" w:rsidRDefault="00471D4A" w:rsidP="00196DF6">
                      <w:pPr>
                        <w:pStyle w:val="HTitle2"/>
                      </w:pPr>
                      <w:r>
                        <w:t>Évaluation des réalisations et des incidences du PDR en 2019</w:t>
                      </w:r>
                    </w:p>
                    <w:p w:rsidR="00471D4A" w:rsidRPr="00F15219" w:rsidRDefault="00471D4A" w:rsidP="00196DF6">
                      <w:pPr>
                        <w:pStyle w:val="HTitle2"/>
                      </w:pPr>
                    </w:p>
                    <w:p w:rsidR="00471D4A" w:rsidRPr="00435F02" w:rsidRDefault="00471D4A" w:rsidP="00196DF6">
                      <w:pPr>
                        <w:pStyle w:val="HTitle3"/>
                        <w:rPr>
                          <w:color w:val="auto"/>
                        </w:rPr>
                      </w:pPr>
                      <w:r>
                        <w:rPr>
                          <w:color w:val="auto"/>
                        </w:rPr>
                        <w:t>Août 2018</w:t>
                      </w:r>
                    </w:p>
                    <w:p w:rsidR="00471D4A" w:rsidRDefault="00471D4A" w:rsidP="00196DF6">
                      <w:pPr>
                        <w:pStyle w:val="HTitle3"/>
                      </w:pPr>
                    </w:p>
                  </w:txbxContent>
                </v:textbox>
                <w10:wrap type="tight" anchorx="page" anchory="page"/>
              </v:shape>
            </w:pict>
          </mc:Fallback>
        </mc:AlternateContent>
      </w:r>
      <w:r>
        <w:rPr>
          <w:noProof/>
          <w:lang w:val="en-GB" w:eastAsia="en-GB" w:bidi="ar-SA"/>
        </w:rPr>
        <w:drawing>
          <wp:anchor distT="0" distB="0" distL="114300" distR="114300" simplePos="0" relativeHeight="251653631" behindDoc="1" locked="0" layoutInCell="1" allowOverlap="1" wp14:anchorId="2312DB66" wp14:editId="2577AA07">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t xml:space="preserve"> </w:t>
      </w:r>
      <w:r>
        <w:br w:type="page"/>
      </w:r>
    </w:p>
    <w:p w:rsidR="00016061" w:rsidRPr="00571D58" w:rsidRDefault="000B213F" w:rsidP="007C6797">
      <w:pPr>
        <w:pStyle w:val="HStandard"/>
      </w:pPr>
      <w:r>
        <w:rPr>
          <w:noProof/>
          <w:lang w:val="en-GB" w:eastAsia="en-GB" w:bidi="ar-SA"/>
        </w:rPr>
        <w:lastRenderedPageBreak/>
        <mc:AlternateContent>
          <mc:Choice Requires="wps">
            <w:drawing>
              <wp:anchor distT="0" distB="0" distL="114300" distR="114300" simplePos="0" relativeHeight="251664896" behindDoc="0" locked="0" layoutInCell="1" allowOverlap="1" wp14:anchorId="7AC29D70" wp14:editId="171EDC28">
                <wp:simplePos x="0" y="0"/>
                <wp:positionH relativeFrom="margin">
                  <wp:posOffset>-426720</wp:posOffset>
                </wp:positionH>
                <wp:positionV relativeFrom="paragraph">
                  <wp:posOffset>4091940</wp:posOffset>
                </wp:positionV>
                <wp:extent cx="6583680" cy="5463540"/>
                <wp:effectExtent l="0" t="0" r="0" b="0"/>
                <wp:wrapNone/>
                <wp:docPr id="9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463540"/>
                        </a:xfrm>
                        <a:prstGeom prst="rect">
                          <a:avLst/>
                        </a:prstGeom>
                        <a:solidFill>
                          <a:srgbClr val="FFFFFF">
                            <a:alpha val="0"/>
                          </a:srgbClr>
                        </a:solidFill>
                        <a:ln>
                          <a:noFill/>
                        </a:ln>
                        <a:extLst/>
                      </wps:spPr>
                      <wps:txbx>
                        <w:txbxContent>
                          <w:p w:rsidR="00471D4A" w:rsidRPr="00811EF1" w:rsidRDefault="00471D4A" w:rsidP="00811EF1">
                            <w:pPr>
                              <w:pStyle w:val="Hdisclaimer"/>
                            </w:pPr>
                            <w:r>
                              <w:t>Droits d’auteur</w:t>
                            </w:r>
                          </w:p>
                          <w:p w:rsidR="00471D4A" w:rsidRPr="00811EF1" w:rsidRDefault="00471D4A" w:rsidP="00811EF1">
                            <w:pPr>
                              <w:pStyle w:val="Hdisclaimer"/>
                            </w:pPr>
                            <w:r>
                              <w:t>© Union européenne, 2018.</w:t>
                            </w:r>
                          </w:p>
                          <w:p w:rsidR="00471D4A" w:rsidRPr="00811EF1" w:rsidRDefault="00471D4A" w:rsidP="00811EF1">
                            <w:pPr>
                              <w:pStyle w:val="Hdisclaimer"/>
                            </w:pPr>
                            <w:r>
                              <w:t>Reproduction autorisée, moyennant mention de la source.</w:t>
                            </w:r>
                          </w:p>
                          <w:p w:rsidR="00471D4A" w:rsidRPr="00811EF1" w:rsidRDefault="00471D4A" w:rsidP="00811EF1">
                            <w:pPr>
                              <w:pStyle w:val="Hdisclaimer"/>
                            </w:pPr>
                            <w:r>
                              <w:t xml:space="preserve">Citation recommandée: </w:t>
                            </w:r>
                          </w:p>
                          <w:p w:rsidR="00471D4A" w:rsidRDefault="00471D4A" w:rsidP="00435F02">
                            <w:pPr>
                              <w:pStyle w:val="Hdisclaimer"/>
                            </w:pPr>
                            <w:r>
                              <w:t xml:space="preserve">COMMISSION EUROPÉENNE – Direction générale de l’agriculture et du développement rural – Unité C.4 (2018): Lignes directrices. Évaluation des réalisations et des incidences du PDR en 2019. Bruxelles, août 2018. </w:t>
                            </w:r>
                          </w:p>
                          <w:p w:rsidR="00471D4A" w:rsidRPr="00811EF1" w:rsidRDefault="00471D4A" w:rsidP="00811EF1">
                            <w:pPr>
                              <w:pStyle w:val="Hdisclaimer"/>
                            </w:pPr>
                            <w:r>
                              <w:t>Clause de non-responsabilité:</w:t>
                            </w:r>
                          </w:p>
                          <w:p w:rsidR="00471D4A" w:rsidRPr="00811EF1" w:rsidRDefault="00471D4A" w:rsidP="00811EF1">
                            <w:pPr>
                              <w:pStyle w:val="Hdisclaimer"/>
                            </w:pPr>
                            <w:r>
                              <w:t>Les renseignements et avis contenus dans les présentes lignes directrices sont ceux de l’auteur ou des auteurs et ne reflètent pas nécessairement la position officielle de la Commission européenne. La Commission ne garantit pas l’exactitude des données figurant dans les présentes lignes directrices. Ni la Commission ni quiconque agissant en son nom ne saurait être tenu responsable de l’usage qui pourrait être fait des informations contenues dans le présent document.</w:t>
                            </w:r>
                          </w:p>
                          <w:p w:rsidR="00471D4A" w:rsidRPr="00811EF1" w:rsidRDefault="00471D4A" w:rsidP="005B24FC">
                            <w:pPr>
                              <w:pStyle w:val="Hdisclaimer"/>
                              <w:tabs>
                                <w:tab w:val="right" w:pos="10065"/>
                              </w:tabs>
                            </w:pPr>
                            <w:r>
                              <w:rPr>
                                <w:noProof/>
                                <w:color w:val="auto"/>
                                <w:lang w:val="en-GB" w:eastAsia="en-GB" w:bidi="ar-SA"/>
                              </w:rPr>
                              <w:drawing>
                                <wp:inline distT="0" distB="0" distL="0" distR="0" wp14:anchorId="6C00EE35" wp14:editId="7ABF5206">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18BAAA3E" wp14:editId="4C21BBF4">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471D4A" w:rsidRPr="00811EF1" w:rsidRDefault="00471D4A" w:rsidP="00811EF1">
                            <w:pPr>
                              <w:pStyle w:val="Hdisclaimer"/>
                            </w:pPr>
                            <w:r>
                              <w:t>Le Helpdesk Évaluation est responsable de l’«évaluation» au sein du Réseau européen de développement rural (REDR) et fournit dans ce cadre une orientation sur l’évaluation des programmes de développement rural (PDR) et des politiques relevant de la compétence et de la supervision de l’unité C4 «Suivi et évaluation» de la DG AGRI de la Commission européenne (CE). Afin d’améliorer l’évaluation de la politique européenne de développement rural, le Helpdesk Évaluation assiste toutes les parties intervenant dans l’évaluation, en particulier la DG AGRI, les autorités nationales, les autorités de gestion des PDR et les évaluateurs, en favorisant l’élaboration et la diffusion de méthodes et d’outils appropriés, la collecte et l’échange de bonnes pratiques, ainsi que le renforcement des capacités et la communication avec les membres du réseau sur des questions liées à l’évaluation.</w:t>
                            </w:r>
                          </w:p>
                          <w:p w:rsidR="00471D4A" w:rsidRPr="00811EF1" w:rsidRDefault="00471D4A" w:rsidP="00811EF1">
                            <w:pPr>
                              <w:pStyle w:val="Hdisclaimer"/>
                            </w:pPr>
                            <w:r>
                              <w:t>Des informations supplémentaires sur les activités menées par le Helpdesk Évaluation européen pour le développement rural sont disponibles en ligne sur le serveur Europa (https://enrd.ec.europa.eu/home-page_fr).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29D70" id="Text Box 7" o:spid="_x0000_s1027" type="#_x0000_t202" style="position:absolute;left:0;text-align:left;margin-left:-33.6pt;margin-top:322.2pt;width:518.4pt;height:430.2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" stroked="f">
                <v:fill opacity="0"/>
                <v:textbox>
                  <w:txbxContent>
                    <w:p w:rsidR="00471D4A" w:rsidRPr="00811EF1" w:rsidRDefault="00471D4A" w:rsidP="00811EF1">
                      <w:pPr>
                        <w:pStyle w:val="Hdisclaimer"/>
                      </w:pPr>
                      <w:r>
                        <w:t>Droits d’auteur</w:t>
                      </w:r>
                    </w:p>
                    <w:p w:rsidR="00471D4A" w:rsidRPr="00811EF1" w:rsidRDefault="00471D4A" w:rsidP="00811EF1">
                      <w:pPr>
                        <w:pStyle w:val="Hdisclaimer"/>
                      </w:pPr>
                      <w:r>
                        <w:t>© Union européenne, 2018.</w:t>
                      </w:r>
                    </w:p>
                    <w:p w:rsidR="00471D4A" w:rsidRPr="00811EF1" w:rsidRDefault="00471D4A" w:rsidP="00811EF1">
                      <w:pPr>
                        <w:pStyle w:val="Hdisclaimer"/>
                      </w:pPr>
                      <w:r>
                        <w:t>Reproduction autorisée, moyennant mention de la source.</w:t>
                      </w:r>
                    </w:p>
                    <w:p w:rsidR="00471D4A" w:rsidRPr="00811EF1" w:rsidRDefault="00471D4A" w:rsidP="00811EF1">
                      <w:pPr>
                        <w:pStyle w:val="Hdisclaimer"/>
                      </w:pPr>
                      <w:r>
                        <w:t xml:space="preserve">Citation recommandée: </w:t>
                      </w:r>
                    </w:p>
                    <w:p w:rsidR="00471D4A" w:rsidRDefault="00471D4A" w:rsidP="00435F02">
                      <w:pPr>
                        <w:pStyle w:val="Hdisclaimer"/>
                      </w:pPr>
                      <w:r>
                        <w:t xml:space="preserve">COMMISSION EUROPÉENNE – Direction générale de l’agriculture et du développement rural – Unité C.4 (2018): Lignes directrices. Évaluation des réalisations et des incidences du PDR en 2019. Bruxelles, août 2018. </w:t>
                      </w:r>
                    </w:p>
                    <w:p w:rsidR="00471D4A" w:rsidRPr="00811EF1" w:rsidRDefault="00471D4A" w:rsidP="00811EF1">
                      <w:pPr>
                        <w:pStyle w:val="Hdisclaimer"/>
                      </w:pPr>
                      <w:r>
                        <w:t>Clause de non-responsabilité:</w:t>
                      </w:r>
                    </w:p>
                    <w:p w:rsidR="00471D4A" w:rsidRPr="00811EF1" w:rsidRDefault="00471D4A" w:rsidP="00811EF1">
                      <w:pPr>
                        <w:pStyle w:val="Hdisclaimer"/>
                      </w:pPr>
                      <w:r>
                        <w:t>Les renseignements et avis contenus dans les présentes lignes directrices sont ceux de l’auteur ou des auteurs et ne reflètent pas nécessairement la position officielle de la Commission européenne. La Commission ne garantit pas l’exactitude des données figurant dans les présentes lignes directrices. Ni la Commission ni quiconque agissant en son nom ne saurait être tenu responsable de l’usage qui pourrait être fait des informations contenues dans le présent document.</w:t>
                      </w:r>
                    </w:p>
                    <w:p w:rsidR="00471D4A" w:rsidRPr="00811EF1" w:rsidRDefault="00471D4A" w:rsidP="005B24FC">
                      <w:pPr>
                        <w:pStyle w:val="Hdisclaimer"/>
                        <w:tabs>
                          <w:tab w:val="right" w:pos="10065"/>
                        </w:tabs>
                      </w:pPr>
                      <w:r>
                        <w:rPr>
                          <w:noProof/>
                          <w:color w:val="auto"/>
                          <w:lang w:val="en-GB" w:eastAsia="en-GB" w:bidi="ar-SA"/>
                        </w:rPr>
                        <w:drawing>
                          <wp:inline distT="0" distB="0" distL="0" distR="0" wp14:anchorId="6C00EE35" wp14:editId="7ABF5206">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18BAAA3E" wp14:editId="4C21BBF4">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471D4A" w:rsidRPr="00811EF1" w:rsidRDefault="00471D4A" w:rsidP="00811EF1">
                      <w:pPr>
                        <w:pStyle w:val="Hdisclaimer"/>
                      </w:pPr>
                      <w:r>
                        <w:t>Le Helpdesk Évaluation est responsable de l’«évaluation» au sein du Réseau européen de développement rural (REDR) et fournit dans ce cadre une orientation sur l’évaluation des programmes de développement rural (PDR) et des politiques relevant de la compétence et de la supervision de l’unité C4 «Suivi et évaluation» de la DG AGRI de la Commission européenne (CE). Afin d’améliorer l’évaluation de la politique européenne de développement rural, le Helpdesk Évaluation assiste toutes les parties intervenant dans l’évaluation, en particulier la DG AGRI, les autorités nationales, les autorités de gestion des PDR et les évaluateurs, en favorisant l’élaboration et la diffusion de méthodes et d’outils appropriés, la collecte et l’échange de bonnes pratiques, ainsi que le renforcement des capacités et la communication avec les membres du réseau sur des questions liées à l’évaluation.</w:t>
                      </w:r>
                    </w:p>
                    <w:p w:rsidR="00471D4A" w:rsidRPr="00811EF1" w:rsidRDefault="00471D4A" w:rsidP="00811EF1">
                      <w:pPr>
                        <w:pStyle w:val="Hdisclaimer"/>
                      </w:pPr>
                      <w:r>
                        <w:t>Des informations supplémentaires sur les activités menées par le Helpdesk Évaluation européen pour le développement rural sont disponibles en ligne sur le serveur Europa (https://enrd.ec.europa.eu/home-page_fr).</w:t>
                      </w:r>
                    </w:p>
                  </w:txbxContent>
                </v:textbox>
                <w10:wrap anchorx="margin"/>
              </v:shape>
            </w:pict>
          </mc:Fallback>
        </mc:AlternateContent>
      </w:r>
      <w:r>
        <w:br w:type="page"/>
      </w:r>
    </w:p>
    <w:p w:rsidR="00016061" w:rsidRPr="00571D58" w:rsidRDefault="00016061" w:rsidP="007C6797">
      <w:pPr>
        <w:pStyle w:val="HStandard"/>
      </w:pPr>
    </w:p>
    <w:p w:rsidR="00016061" w:rsidRPr="00571D58" w:rsidRDefault="00016061" w:rsidP="007C6797">
      <w:pPr>
        <w:pStyle w:val="HStandard"/>
      </w:pPr>
    </w:p>
    <w:p w:rsidR="00016061" w:rsidRPr="00571D58" w:rsidRDefault="00016061" w:rsidP="007C6797">
      <w:pPr>
        <w:pStyle w:val="HStandard"/>
      </w:pPr>
    </w:p>
    <w:p w:rsidR="00016061" w:rsidRPr="00571D58" w:rsidRDefault="000B213F" w:rsidP="007C6797">
      <w:pPr>
        <w:pStyle w:val="HStandard"/>
      </w:pPr>
      <w:r>
        <w:rPr>
          <w:noProof/>
          <w:lang w:val="en-GB" w:eastAsia="en-GB" w:bidi="ar-SA"/>
        </w:rPr>
        <mc:AlternateContent>
          <mc:Choice Requires="wps">
            <w:drawing>
              <wp:anchor distT="0" distB="0" distL="114300" distR="114300" simplePos="0" relativeHeight="251665920" behindDoc="1" locked="0" layoutInCell="1" allowOverlap="1" wp14:anchorId="15F0B7C9" wp14:editId="4EC757E9">
                <wp:simplePos x="0" y="0"/>
                <wp:positionH relativeFrom="page">
                  <wp:posOffset>2204720</wp:posOffset>
                </wp:positionH>
                <wp:positionV relativeFrom="page">
                  <wp:posOffset>5175250</wp:posOffset>
                </wp:positionV>
                <wp:extent cx="4958080" cy="3855720"/>
                <wp:effectExtent l="0" t="0" r="13970" b="11430"/>
                <wp:wrapTight wrapText="bothSides">
                  <wp:wrapPolygon edited="0">
                    <wp:start x="0" y="0"/>
                    <wp:lineTo x="0" y="21557"/>
                    <wp:lineTo x="21578" y="21557"/>
                    <wp:lineTo x="21578" y="0"/>
                    <wp:lineTo x="0" y="0"/>
                  </wp:wrapPolygon>
                </wp:wrapTight>
                <wp:docPr id="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4A" w:rsidRPr="00F15219" w:rsidRDefault="00471D4A" w:rsidP="00E76949">
                            <w:pPr>
                              <w:pStyle w:val="HTitle1"/>
                            </w:pPr>
                            <w:r>
                              <w:t>Lignes directrices</w:t>
                            </w:r>
                          </w:p>
                          <w:p w:rsidR="00471D4A" w:rsidRPr="00F15219" w:rsidRDefault="00471D4A" w:rsidP="00BE49CF">
                            <w:pPr>
                              <w:pStyle w:val="HTitle2"/>
                            </w:pPr>
                            <w:r>
                              <w:t>ÉVALUATION DES RÉALISATIONS ET DES INCIDENCES DU PDR EN 2019</w:t>
                            </w:r>
                          </w:p>
                          <w:p w:rsidR="00471D4A" w:rsidRPr="00F15219" w:rsidRDefault="00471D4A" w:rsidP="00196DF6">
                            <w:pPr>
                              <w:pStyle w:val="HTitle2"/>
                            </w:pPr>
                          </w:p>
                          <w:p w:rsidR="00471D4A" w:rsidRPr="00D46054" w:rsidRDefault="00471D4A" w:rsidP="00BE49CF">
                            <w:pPr>
                              <w:pStyle w:val="HTitle3"/>
                              <w:rPr>
                                <w:color w:val="auto"/>
                              </w:rPr>
                            </w:pPr>
                            <w:r>
                              <w:rPr>
                                <w:color w:val="auto"/>
                              </w:rPr>
                              <w:t>Août 2018</w:t>
                            </w:r>
                          </w:p>
                          <w:p w:rsidR="00471D4A" w:rsidRPr="00D46054" w:rsidRDefault="00471D4A" w:rsidP="00196DF6">
                            <w:pPr>
                              <w:pStyle w:val="HTitle3"/>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0B7C9" id="Text Box 16" o:spid="_x0000_s1028" type="#_x0000_t202" style="position:absolute;left:0;text-align:left;margin-left:173.6pt;margin-top:407.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rsidR="00471D4A" w:rsidRPr="00F15219" w:rsidRDefault="00471D4A" w:rsidP="00E76949">
                      <w:pPr>
                        <w:pStyle w:val="HTitle1"/>
                      </w:pPr>
                      <w:r>
                        <w:t>Lignes directrices</w:t>
                      </w:r>
                    </w:p>
                    <w:p w:rsidR="00471D4A" w:rsidRPr="00F15219" w:rsidRDefault="00471D4A" w:rsidP="00BE49CF">
                      <w:pPr>
                        <w:pStyle w:val="HTitle2"/>
                      </w:pPr>
                      <w:r>
                        <w:t>ÉVALUATION DES RÉALISATIONS ET DES INCIDENCES DU PDR EN 2019</w:t>
                      </w:r>
                    </w:p>
                    <w:p w:rsidR="00471D4A" w:rsidRPr="00F15219" w:rsidRDefault="00471D4A" w:rsidP="00196DF6">
                      <w:pPr>
                        <w:pStyle w:val="HTitle2"/>
                      </w:pPr>
                    </w:p>
                    <w:p w:rsidR="00471D4A" w:rsidRPr="00D46054" w:rsidRDefault="00471D4A" w:rsidP="00BE49CF">
                      <w:pPr>
                        <w:pStyle w:val="HTitle3"/>
                        <w:rPr>
                          <w:color w:val="auto"/>
                        </w:rPr>
                      </w:pPr>
                      <w:r>
                        <w:rPr>
                          <w:color w:val="auto"/>
                        </w:rPr>
                        <w:t>Août 2018</w:t>
                      </w:r>
                    </w:p>
                    <w:p w:rsidR="00471D4A" w:rsidRPr="00D46054" w:rsidRDefault="00471D4A" w:rsidP="00196DF6">
                      <w:pPr>
                        <w:pStyle w:val="HTitle3"/>
                        <w:rPr>
                          <w:color w:val="auto"/>
                        </w:rPr>
                      </w:pPr>
                    </w:p>
                  </w:txbxContent>
                </v:textbox>
                <w10:wrap type="tight" anchorx="page" anchory="page"/>
              </v:shape>
            </w:pict>
          </mc:Fallback>
        </mc:AlternateContent>
      </w:r>
    </w:p>
    <w:p w:rsidR="00016061" w:rsidRPr="00571D58" w:rsidRDefault="00016061" w:rsidP="007C6797">
      <w:pPr>
        <w:pStyle w:val="HStandard"/>
        <w:sectPr w:rsidR="00016061" w:rsidRPr="00571D58" w:rsidSect="00FA7E7B">
          <w:footerReference w:type="first" r:id="rId11"/>
          <w:pgSz w:w="11906" w:h="16838" w:code="9"/>
          <w:pgMar w:top="1440" w:right="1440" w:bottom="1134" w:left="1440" w:header="284" w:footer="709" w:gutter="0"/>
          <w:cols w:space="708"/>
          <w:titlePg/>
          <w:docGrid w:linePitch="360"/>
        </w:sectPr>
      </w:pPr>
    </w:p>
    <w:p w:rsidR="008B6E5C" w:rsidRPr="00571D58" w:rsidRDefault="008B6E5C">
      <w:pPr>
        <w:spacing w:before="0" w:after="0" w:line="240" w:lineRule="auto"/>
        <w:jc w:val="left"/>
        <w:rPr>
          <w:rFonts w:cs="Arial"/>
          <w:b/>
          <w:bCs/>
          <w:caps/>
          <w:color w:val="F07E31" w:themeColor="accent1"/>
          <w:kern w:val="32"/>
          <w:sz w:val="20"/>
          <w:szCs w:val="32"/>
        </w:rPr>
      </w:pPr>
      <w:r>
        <w:lastRenderedPageBreak/>
        <w:br w:type="page"/>
      </w:r>
    </w:p>
    <w:p w:rsidR="000B62C2" w:rsidRPr="00571D58" w:rsidRDefault="000B62C2" w:rsidP="000B62C2">
      <w:pPr>
        <w:pStyle w:val="HContent"/>
      </w:pPr>
      <w:r>
        <w:lastRenderedPageBreak/>
        <w:t>Table des matières</w:t>
      </w:r>
    </w:p>
    <w:p w:rsidR="00FB5A40" w:rsidRDefault="00FB5A40" w:rsidP="00FB5A40">
      <w:r>
        <w:t>Remerciements</w:t>
      </w:r>
      <w:r>
        <w:tab/>
      </w:r>
      <w:r w:rsidRPr="00C44B54">
        <w:t>1</w:t>
      </w:r>
    </w:p>
    <w:p w:rsidR="00FB5A40" w:rsidRDefault="00FB5A40" w:rsidP="00FB5A40">
      <w:r>
        <w:t>INTRODUCTION</w:t>
      </w:r>
      <w:r>
        <w:tab/>
      </w:r>
      <w:r w:rsidRPr="00C44B54">
        <w:t>2</w:t>
      </w:r>
    </w:p>
    <w:p w:rsidR="00FB5A40" w:rsidRDefault="00FB5A40" w:rsidP="00FB5A40">
      <w:r w:rsidRPr="00C44B54">
        <w:t>1</w:t>
      </w:r>
      <w:r>
        <w:tab/>
        <w:t>Que faut-il communiquer concernant l’évaluation dans le RAM présenté en </w:t>
      </w:r>
      <w:r w:rsidRPr="00C44B54">
        <w:t>2019</w:t>
      </w:r>
      <w:r>
        <w:t>? (Partie I)</w:t>
      </w:r>
      <w:r>
        <w:tab/>
      </w:r>
      <w:r w:rsidRPr="00C44B54">
        <w:t>3</w:t>
      </w:r>
    </w:p>
    <w:p w:rsidR="00FB5A40" w:rsidRDefault="00FB5A40" w:rsidP="00FB5A40">
      <w:r w:rsidRPr="00C44B54">
        <w:t>1</w:t>
      </w:r>
      <w:r>
        <w:t>.</w:t>
      </w:r>
      <w:r w:rsidRPr="00C44B54">
        <w:t>1</w:t>
      </w:r>
      <w:r>
        <w:tab/>
        <w:t>Cadre juridique et objectif principal de l’évaluation en </w:t>
      </w:r>
      <w:r w:rsidRPr="00C44B54">
        <w:t>2019</w:t>
      </w:r>
      <w:r>
        <w:tab/>
      </w:r>
      <w:r w:rsidR="003750F8">
        <w:tab/>
      </w:r>
      <w:r w:rsidRPr="00C44B54">
        <w:t>3</w:t>
      </w:r>
    </w:p>
    <w:p w:rsidR="00FB5A40" w:rsidRDefault="00FB5A40" w:rsidP="00FB5A40">
      <w:r w:rsidRPr="00C44B54">
        <w:t>1</w:t>
      </w:r>
      <w:r>
        <w:t>.</w:t>
      </w:r>
      <w:r w:rsidRPr="00C44B54">
        <w:t>2</w:t>
      </w:r>
      <w:r>
        <w:tab/>
        <w:t>Comment établir des rapports sur les QEC en </w:t>
      </w:r>
      <w:r w:rsidRPr="00C44B54">
        <w:t>2019</w:t>
      </w:r>
      <w:r>
        <w:t>?</w:t>
      </w:r>
      <w:r>
        <w:tab/>
      </w:r>
      <w:r w:rsidRPr="00C44B54">
        <w:t>6</w:t>
      </w:r>
    </w:p>
    <w:p w:rsidR="00FB5A40" w:rsidRDefault="00FB5A40" w:rsidP="00FB5A40">
      <w:r w:rsidRPr="00C44B54">
        <w:t>1</w:t>
      </w:r>
      <w:r>
        <w:t>.</w:t>
      </w:r>
      <w:r w:rsidRPr="00C44B54">
        <w:t>3</w:t>
      </w:r>
      <w:r>
        <w:tab/>
        <w:t>Se préparer au RAM pour </w:t>
      </w:r>
      <w:r w:rsidRPr="00C44B54">
        <w:t>2019</w:t>
      </w:r>
      <w:r>
        <w:tab/>
      </w:r>
      <w:r w:rsidRPr="00C44B54">
        <w:t>8</w:t>
      </w:r>
    </w:p>
    <w:p w:rsidR="00FB5A40" w:rsidRDefault="00FB5A40" w:rsidP="00FB5A40">
      <w:r w:rsidRPr="00C44B54">
        <w:t>2</w:t>
      </w:r>
      <w:r>
        <w:tab/>
        <w:t>Méthodes d’évaluation des incidences du PDR (PARTIE II)</w:t>
      </w:r>
      <w:r>
        <w:tab/>
      </w:r>
      <w:r w:rsidRPr="00C44B54">
        <w:t>12</w:t>
      </w:r>
    </w:p>
    <w:p w:rsidR="00FB5A40" w:rsidRDefault="00FB5A40" w:rsidP="00FB5A40">
      <w:r w:rsidRPr="00C44B54">
        <w:t>2</w:t>
      </w:r>
      <w:r>
        <w:t>.</w:t>
      </w:r>
      <w:r w:rsidRPr="00C44B54">
        <w:t>1</w:t>
      </w:r>
      <w:r>
        <w:tab/>
        <w:t>Choisir les approches d’évaluation appropriées pour évaluer les incidences du PDR</w:t>
      </w:r>
      <w:r>
        <w:tab/>
      </w:r>
      <w:r w:rsidRPr="00C44B54">
        <w:t>12</w:t>
      </w:r>
    </w:p>
    <w:p w:rsidR="00FB5A40" w:rsidRDefault="00FB5A40" w:rsidP="00FB5A40">
      <w:r w:rsidRPr="00C44B54">
        <w:t>2</w:t>
      </w:r>
      <w:r>
        <w:t>.</w:t>
      </w:r>
      <w:r w:rsidRPr="00C44B54">
        <w:t>1</w:t>
      </w:r>
      <w:r>
        <w:t>.</w:t>
      </w:r>
      <w:r w:rsidRPr="00C44B54">
        <w:t>1</w:t>
      </w:r>
      <w:r>
        <w:t>.</w:t>
      </w:r>
      <w:r>
        <w:tab/>
        <w:t>Comment utiliser les modèles logiques pour déterminer les approches d’évaluation appropriées?</w:t>
      </w:r>
      <w:r>
        <w:tab/>
      </w:r>
      <w:r w:rsidRPr="00C44B54">
        <w:t>12</w:t>
      </w:r>
    </w:p>
    <w:p w:rsidR="00FB5A40" w:rsidRDefault="00FB5A40" w:rsidP="00FB5A40">
      <w:r w:rsidRPr="00C44B54">
        <w:t>2</w:t>
      </w:r>
      <w:r>
        <w:t>.</w:t>
      </w:r>
      <w:r w:rsidRPr="00C44B54">
        <w:t>1</w:t>
      </w:r>
      <w:r>
        <w:t>.</w:t>
      </w:r>
      <w:r w:rsidRPr="00C44B54">
        <w:t>2</w:t>
      </w:r>
      <w:r>
        <w:t>.</w:t>
      </w:r>
      <w:r>
        <w:tab/>
        <w:t>Aperçu des approches recommandées pour évaluer les indicateurs d’impact de la PAC</w:t>
      </w:r>
      <w:r>
        <w:tab/>
      </w:r>
      <w:r w:rsidRPr="00C44B54">
        <w:t>23</w:t>
      </w:r>
    </w:p>
    <w:p w:rsidR="00016061" w:rsidRPr="001C6ACF" w:rsidRDefault="00542440" w:rsidP="000B62C2">
      <w:pPr>
        <w:pStyle w:val="HContent"/>
      </w:pPr>
      <w:r>
        <w:lastRenderedPageBreak/>
        <w:t xml:space="preserve">Tableaux et schémas </w:t>
      </w:r>
    </w:p>
    <w:p w:rsidR="00FB5A40" w:rsidRDefault="00FB5A40" w:rsidP="00FB5A40">
      <w:r>
        <w:t>Tableau </w:t>
      </w:r>
      <w:r w:rsidRPr="00C44B54">
        <w:t>1</w:t>
      </w:r>
      <w:r>
        <w:tab/>
        <w:t>Orientations pour répondre aux QEC du RAM en </w:t>
      </w:r>
      <w:r w:rsidRPr="00C44B54">
        <w:t>2019</w:t>
      </w:r>
      <w:r>
        <w:tab/>
      </w:r>
      <w:r w:rsidRPr="00C44B54">
        <w:t>7</w:t>
      </w:r>
    </w:p>
    <w:p w:rsidR="00FB5A40" w:rsidRDefault="00FB5A40" w:rsidP="00FB5A40">
      <w:r>
        <w:t>Tableau </w:t>
      </w:r>
      <w:r w:rsidRPr="00C44B54">
        <w:t>2</w:t>
      </w:r>
      <w:r>
        <w:tab/>
        <w:t>Liste de vérification des étapes recommandées pour l’évaluation en </w:t>
      </w:r>
      <w:r w:rsidRPr="00C44B54">
        <w:t>2019</w:t>
      </w:r>
      <w:r w:rsidR="003750F8">
        <w:tab/>
      </w:r>
      <w:r w:rsidRPr="00C44B54">
        <w:t>9</w:t>
      </w:r>
    </w:p>
    <w:p w:rsidR="00FB5A40" w:rsidRDefault="00FB5A40" w:rsidP="00FB5A40">
      <w:r>
        <w:t>Tableau </w:t>
      </w:r>
      <w:r w:rsidRPr="00C44B54">
        <w:t>3</w:t>
      </w:r>
      <w:r>
        <w:tab/>
        <w:t>Exemples d’approches recommandées pour évaluer les indicateurs d’impact de la PAC</w:t>
      </w:r>
      <w:r>
        <w:tab/>
      </w:r>
      <w:r w:rsidRPr="00C44B54">
        <w:t>24</w:t>
      </w:r>
    </w:p>
    <w:p w:rsidR="00FE491B" w:rsidRPr="00571D58" w:rsidRDefault="00FE491B" w:rsidP="00FE491B">
      <w:pPr>
        <w:pStyle w:val="HContent"/>
      </w:pPr>
      <w:r>
        <w:lastRenderedPageBreak/>
        <w:t>Liste des acronymes</w:t>
      </w:r>
    </w:p>
    <w:p w:rsidR="00FD0971" w:rsidRPr="001C6ACF" w:rsidRDefault="00FD0971" w:rsidP="00FD0971">
      <w:pPr>
        <w:pStyle w:val="HStandard"/>
        <w:ind w:left="993" w:hanging="993"/>
      </w:pPr>
      <w:r>
        <w:t>AFOM</w:t>
      </w:r>
      <w:r>
        <w:tab/>
      </w:r>
      <w:r>
        <w:tab/>
        <w:t>Atouts, faiblesses, opportunités, menaces</w:t>
      </w:r>
    </w:p>
    <w:p w:rsidR="00FD0971" w:rsidRPr="001C6ACF" w:rsidRDefault="00FD0971" w:rsidP="00FD0971">
      <w:pPr>
        <w:pStyle w:val="HStandard"/>
        <w:ind w:left="993" w:hanging="993"/>
      </w:pPr>
      <w:r>
        <w:t>AG</w:t>
      </w:r>
      <w:r>
        <w:tab/>
      </w:r>
      <w:r>
        <w:tab/>
        <w:t>Autorité de gestion</w:t>
      </w:r>
    </w:p>
    <w:p w:rsidR="00FD0971" w:rsidRPr="001C6ACF" w:rsidRDefault="00FD0971" w:rsidP="00FD0971">
      <w:pPr>
        <w:pStyle w:val="HStandard"/>
        <w:ind w:left="993" w:hanging="993"/>
      </w:pPr>
      <w:r>
        <w:t>ANC</w:t>
      </w:r>
      <w:r>
        <w:tab/>
      </w:r>
      <w:r>
        <w:tab/>
        <w:t>Zones soumises à des contraintes naturelles</w:t>
      </w:r>
    </w:p>
    <w:p w:rsidR="00FD0971" w:rsidRPr="001C6ACF" w:rsidRDefault="00FD0971" w:rsidP="00FD0971">
      <w:pPr>
        <w:pStyle w:val="HStandard"/>
        <w:ind w:left="993" w:hanging="993"/>
      </w:pPr>
      <w:r>
        <w:t>AROPE</w:t>
      </w:r>
      <w:r>
        <w:tab/>
      </w:r>
      <w:r>
        <w:tab/>
        <w:t>Risque de pauvreté ou d’exclusion sociale</w:t>
      </w:r>
    </w:p>
    <w:p w:rsidR="00FD0971" w:rsidRPr="001C6ACF" w:rsidRDefault="00FD0971" w:rsidP="00FD0971">
      <w:pPr>
        <w:pStyle w:val="HStandard"/>
        <w:ind w:left="993" w:hanging="993"/>
      </w:pPr>
      <w:r>
        <w:t>AT</w:t>
      </w:r>
      <w:r>
        <w:tab/>
      </w:r>
      <w:r>
        <w:tab/>
        <w:t>Assistance technique</w:t>
      </w:r>
    </w:p>
    <w:p w:rsidR="00FD0971" w:rsidRPr="001C6ACF" w:rsidRDefault="00FD0971" w:rsidP="00FD0971">
      <w:pPr>
        <w:pStyle w:val="HStandard"/>
        <w:ind w:left="993" w:hanging="993"/>
      </w:pPr>
      <w:r>
        <w:t>ATT</w:t>
      </w:r>
      <w:r>
        <w:tab/>
      </w:r>
      <w:r>
        <w:tab/>
        <w:t>Effets moyens sur les bénéficiaires de l'intervention</w:t>
      </w:r>
    </w:p>
    <w:p w:rsidR="00FD0971" w:rsidRPr="001C6ACF" w:rsidRDefault="00FD0971" w:rsidP="00FD0971">
      <w:pPr>
        <w:pStyle w:val="HStandard"/>
        <w:ind w:left="993" w:hanging="993"/>
      </w:pPr>
      <w:r>
        <w:t>BCAE</w:t>
      </w:r>
      <w:r>
        <w:tab/>
      </w:r>
      <w:r>
        <w:tab/>
        <w:t>Bonnes conditions agricoles et environnementales</w:t>
      </w:r>
    </w:p>
    <w:p w:rsidR="00FD0971" w:rsidRPr="001C6ACF" w:rsidRDefault="00FD0971" w:rsidP="00FD0971">
      <w:pPr>
        <w:pStyle w:val="HStandard"/>
        <w:ind w:left="993" w:hanging="993"/>
      </w:pPr>
      <w:r>
        <w:t>BEE</w:t>
      </w:r>
      <w:r>
        <w:tab/>
      </w:r>
      <w:r>
        <w:tab/>
        <w:t>Bon état écologique</w:t>
      </w:r>
    </w:p>
    <w:p w:rsidR="00FD0971" w:rsidRPr="001C6ACF" w:rsidRDefault="00FD0971" w:rsidP="00FD0971">
      <w:pPr>
        <w:pStyle w:val="HStandard"/>
        <w:ind w:left="993" w:hanging="993"/>
      </w:pPr>
      <w:r>
        <w:t>C</w:t>
      </w:r>
      <w:r>
        <w:tab/>
      </w:r>
      <w:r>
        <w:tab/>
        <w:t>Indicateur cible</w:t>
      </w:r>
    </w:p>
    <w:p w:rsidR="00FD0971" w:rsidRPr="001C6ACF" w:rsidRDefault="00FD0971" w:rsidP="00FD0971">
      <w:pPr>
        <w:pStyle w:val="HStandard"/>
        <w:ind w:left="993" w:hanging="993"/>
      </w:pPr>
      <w:r>
        <w:t>CEA</w:t>
      </w:r>
      <w:r>
        <w:tab/>
      </w:r>
      <w:r>
        <w:tab/>
        <w:t>Comptes économiques de l’agriculture</w:t>
      </w:r>
    </w:p>
    <w:p w:rsidR="00FD0971" w:rsidRPr="00FB5A40" w:rsidRDefault="00FD0971" w:rsidP="00FD0971">
      <w:pPr>
        <w:pStyle w:val="HStandard"/>
        <w:ind w:left="993" w:hanging="993"/>
      </w:pPr>
      <w:r>
        <w:t>CJ</w:t>
      </w:r>
      <w:r>
        <w:tab/>
      </w:r>
      <w:r>
        <w:tab/>
        <w:t>Critères de jugement</w:t>
      </w:r>
    </w:p>
    <w:p w:rsidR="00FD0971" w:rsidRPr="001C6ACF" w:rsidRDefault="00FD0971" w:rsidP="00FD0971">
      <w:pPr>
        <w:pStyle w:val="HStandard"/>
        <w:ind w:left="993" w:hanging="993"/>
      </w:pPr>
      <w:r>
        <w:t xml:space="preserve">CMES </w:t>
      </w:r>
      <w:r>
        <w:tab/>
      </w:r>
      <w:r>
        <w:tab/>
        <w:t>Système commun de suivi et d’évaluation</w:t>
      </w:r>
    </w:p>
    <w:p w:rsidR="00FD0971" w:rsidRPr="001C6ACF" w:rsidRDefault="00FD0971" w:rsidP="00FD0971">
      <w:pPr>
        <w:pStyle w:val="HStandard"/>
        <w:ind w:left="993" w:hanging="993"/>
      </w:pPr>
      <w:r>
        <w:t>Corine</w:t>
      </w:r>
      <w:r>
        <w:tab/>
      </w:r>
      <w:r>
        <w:tab/>
        <w:t>Coordination des informations sur l’environnement</w:t>
      </w:r>
    </w:p>
    <w:p w:rsidR="00FD0971" w:rsidRPr="00FB5A40" w:rsidRDefault="00FD0971" w:rsidP="00FD0971">
      <w:pPr>
        <w:pStyle w:val="HStandard"/>
        <w:ind w:left="993" w:hanging="993"/>
      </w:pPr>
      <w:r>
        <w:t>COS</w:t>
      </w:r>
      <w:r>
        <w:tab/>
      </w:r>
      <w:r>
        <w:tab/>
        <w:t>Carbone organique du sol</w:t>
      </w:r>
    </w:p>
    <w:p w:rsidR="00FD0971" w:rsidRPr="001C6ACF" w:rsidRDefault="00FD0971" w:rsidP="00FD0971">
      <w:pPr>
        <w:pStyle w:val="HStandard"/>
        <w:ind w:left="993" w:hanging="993"/>
      </w:pPr>
      <w:r>
        <w:t>CS</w:t>
      </w:r>
      <w:r>
        <w:tab/>
      </w:r>
      <w:r>
        <w:tab/>
        <w:t>Comité de suivi</w:t>
      </w:r>
    </w:p>
    <w:p w:rsidR="00FD0971" w:rsidRPr="001C6ACF" w:rsidRDefault="00FD0971" w:rsidP="00FD0971">
      <w:pPr>
        <w:pStyle w:val="HStandard"/>
        <w:ind w:left="993" w:hanging="993"/>
      </w:pPr>
      <w:r>
        <w:t>DCE</w:t>
      </w:r>
      <w:r>
        <w:tab/>
      </w:r>
      <w:r>
        <w:tab/>
        <w:t>Directive-cadre sur l’eau</w:t>
      </w:r>
    </w:p>
    <w:p w:rsidR="00FD0971" w:rsidRPr="001C6ACF" w:rsidRDefault="00FD0971" w:rsidP="00FD0971">
      <w:pPr>
        <w:pStyle w:val="HStandard"/>
        <w:ind w:left="993" w:hanging="993"/>
      </w:pPr>
      <w:r>
        <w:t>DG AGRI</w:t>
      </w:r>
      <w:r>
        <w:tab/>
      </w:r>
      <w:r>
        <w:tab/>
        <w:t>Direction générale de l’agriculture et du développement rural</w:t>
      </w:r>
    </w:p>
    <w:p w:rsidR="00FD0971" w:rsidRPr="001C6ACF" w:rsidRDefault="00FD0971" w:rsidP="00FD0971">
      <w:pPr>
        <w:pStyle w:val="HStandard"/>
        <w:ind w:left="993" w:hanging="993"/>
      </w:pPr>
      <w:proofErr w:type="spellStart"/>
      <w:r>
        <w:t>DiD</w:t>
      </w:r>
      <w:proofErr w:type="spellEnd"/>
      <w:r>
        <w:tab/>
      </w:r>
      <w:r>
        <w:tab/>
        <w:t>Différence de différences</w:t>
      </w:r>
    </w:p>
    <w:p w:rsidR="00FD0971" w:rsidRPr="001C6ACF" w:rsidRDefault="00FD0971" w:rsidP="00FD0971">
      <w:pPr>
        <w:pStyle w:val="HStandard"/>
        <w:ind w:left="993" w:hanging="993"/>
      </w:pPr>
      <w:r>
        <w:t>DIRD</w:t>
      </w:r>
      <w:r>
        <w:tab/>
      </w:r>
      <w:r>
        <w:tab/>
        <w:t>Dépenses intérieures brutes de R&amp;D</w:t>
      </w:r>
    </w:p>
    <w:p w:rsidR="00FD0971" w:rsidRPr="001C6ACF" w:rsidRDefault="00FD0971" w:rsidP="00FD0971">
      <w:pPr>
        <w:pStyle w:val="HStandard"/>
        <w:ind w:left="993" w:hanging="993"/>
      </w:pPr>
      <w:r>
        <w:t>DLAL</w:t>
      </w:r>
      <w:r>
        <w:tab/>
      </w:r>
      <w:r>
        <w:tab/>
        <w:t>Développement local mené par les acteurs locaux</w:t>
      </w:r>
    </w:p>
    <w:p w:rsidR="00FD0971" w:rsidRPr="001C6ACF" w:rsidRDefault="00FD0971" w:rsidP="00FD0971">
      <w:pPr>
        <w:pStyle w:val="HStandard"/>
        <w:ind w:left="993" w:hanging="993"/>
      </w:pPr>
      <w:r>
        <w:t>DN</w:t>
      </w:r>
      <w:r>
        <w:tab/>
      </w:r>
      <w:r>
        <w:tab/>
        <w:t>Directive «nitrates»</w:t>
      </w:r>
    </w:p>
    <w:p w:rsidR="00FD0971" w:rsidRPr="001C6ACF" w:rsidRDefault="00FD0971" w:rsidP="00FD0971">
      <w:pPr>
        <w:pStyle w:val="HStandard"/>
        <w:ind w:left="993" w:hanging="993"/>
      </w:pPr>
      <w:r>
        <w:t>DP</w:t>
      </w:r>
      <w:r>
        <w:tab/>
      </w:r>
      <w:r>
        <w:tab/>
        <w:t>Fournisseur de données</w:t>
      </w:r>
    </w:p>
    <w:p w:rsidR="00FD0971" w:rsidRPr="001C6ACF" w:rsidRDefault="00FD0971" w:rsidP="00FD0971">
      <w:pPr>
        <w:pStyle w:val="HStandard"/>
        <w:ind w:left="993" w:hanging="993"/>
      </w:pPr>
      <w:r>
        <w:t>DP</w:t>
      </w:r>
      <w:r>
        <w:tab/>
      </w:r>
      <w:r>
        <w:tab/>
        <w:t>Domaine prioritaire</w:t>
      </w:r>
    </w:p>
    <w:p w:rsidR="00FD0971" w:rsidRPr="001C6ACF" w:rsidRDefault="00FD0971" w:rsidP="00FD0971">
      <w:pPr>
        <w:pStyle w:val="HStandard"/>
        <w:ind w:left="993" w:hanging="993"/>
      </w:pPr>
      <w:r>
        <w:t>DT</w:t>
      </w:r>
      <w:r>
        <w:tab/>
      </w:r>
      <w:r>
        <w:tab/>
        <w:t>Document de travail</w:t>
      </w:r>
    </w:p>
    <w:p w:rsidR="00FD0971" w:rsidRPr="001C6ACF" w:rsidRDefault="00FD0971" w:rsidP="00FD0971">
      <w:pPr>
        <w:pStyle w:val="HStandard"/>
        <w:ind w:left="993" w:hanging="993"/>
      </w:pPr>
      <w:r>
        <w:t>EDGAR</w:t>
      </w:r>
      <w:r>
        <w:tab/>
      </w:r>
      <w:r>
        <w:tab/>
        <w:t>Base de données relatives aux émissions pour la recherche atmosphérique mondiale</w:t>
      </w:r>
    </w:p>
    <w:p w:rsidR="00FD0971" w:rsidRPr="001C6ACF" w:rsidRDefault="00FD0971" w:rsidP="00FD0971">
      <w:pPr>
        <w:pStyle w:val="HStandard"/>
        <w:ind w:left="993" w:hanging="993"/>
      </w:pPr>
      <w:r>
        <w:t xml:space="preserve">EGC </w:t>
      </w:r>
      <w:r>
        <w:tab/>
      </w:r>
      <w:r>
        <w:tab/>
        <w:t>Équilibre général calculable</w:t>
      </w:r>
    </w:p>
    <w:p w:rsidR="00FD0971" w:rsidRPr="001C6ACF" w:rsidRDefault="00FD0971" w:rsidP="00FD0971">
      <w:pPr>
        <w:pStyle w:val="HStandard"/>
        <w:ind w:left="993" w:hanging="993"/>
      </w:pPr>
      <w:r>
        <w:t>EM</w:t>
      </w:r>
      <w:r>
        <w:tab/>
      </w:r>
      <w:r>
        <w:tab/>
        <w:t>État membre</w:t>
      </w:r>
    </w:p>
    <w:p w:rsidR="00FD0971" w:rsidRPr="001C6ACF" w:rsidRDefault="00FD0971" w:rsidP="00FD0971">
      <w:pPr>
        <w:pStyle w:val="HStandard"/>
        <w:ind w:left="993" w:hanging="993"/>
      </w:pPr>
      <w:r>
        <w:t>EMPA</w:t>
      </w:r>
      <w:r>
        <w:tab/>
      </w:r>
      <w:r>
        <w:tab/>
        <w:t>Enquête sur les méthodes de production agricole</w:t>
      </w:r>
    </w:p>
    <w:p w:rsidR="00FD0971" w:rsidRPr="001C6ACF" w:rsidRDefault="00FD0971" w:rsidP="00FD0971">
      <w:pPr>
        <w:pStyle w:val="HStandard"/>
        <w:ind w:left="993" w:hanging="993"/>
      </w:pPr>
      <w:r>
        <w:t>ESDAC</w:t>
      </w:r>
      <w:r>
        <w:tab/>
      </w:r>
      <w:r>
        <w:tab/>
        <w:t>Centre européen de données sur les sols</w:t>
      </w:r>
    </w:p>
    <w:p w:rsidR="00FD0971" w:rsidRPr="001C6ACF" w:rsidRDefault="00FD0971" w:rsidP="00FD0971">
      <w:pPr>
        <w:pStyle w:val="HStandard"/>
        <w:ind w:left="993" w:hanging="993"/>
      </w:pPr>
      <w:r>
        <w:t>ESI</w:t>
      </w:r>
      <w:r>
        <w:tab/>
      </w:r>
      <w:r>
        <w:tab/>
        <w:t>Fonds structurels et d’investissement européens</w:t>
      </w:r>
    </w:p>
    <w:p w:rsidR="00FD0971" w:rsidRPr="001C6ACF" w:rsidRDefault="00FD0971" w:rsidP="00FD0971">
      <w:pPr>
        <w:pStyle w:val="HStandard"/>
        <w:ind w:left="993" w:hanging="993"/>
      </w:pPr>
      <w:proofErr w:type="spellStart"/>
      <w:r>
        <w:t>Ev</w:t>
      </w:r>
      <w:proofErr w:type="spellEnd"/>
      <w:r>
        <w:tab/>
      </w:r>
      <w:r>
        <w:tab/>
        <w:t>Évaluateur</w:t>
      </w:r>
    </w:p>
    <w:p w:rsidR="00FD0971" w:rsidRPr="001C6ACF" w:rsidRDefault="00FD0971" w:rsidP="00FD0971">
      <w:pPr>
        <w:pStyle w:val="HStandard"/>
        <w:ind w:left="993" w:hanging="993"/>
      </w:pPr>
      <w:proofErr w:type="spellStart"/>
      <w:r>
        <w:t>EvU</w:t>
      </w:r>
      <w:proofErr w:type="spellEnd"/>
      <w:r>
        <w:tab/>
      </w:r>
      <w:r>
        <w:tab/>
        <w:t>Unité d’évaluation</w:t>
      </w:r>
    </w:p>
    <w:p w:rsidR="00FD0971" w:rsidRPr="001C6ACF" w:rsidRDefault="00FD0971" w:rsidP="00FD0971">
      <w:pPr>
        <w:pStyle w:val="HStandard"/>
        <w:ind w:left="993" w:hanging="993"/>
      </w:pPr>
      <w:r>
        <w:t>FBI</w:t>
      </w:r>
      <w:r>
        <w:tab/>
      </w:r>
      <w:r>
        <w:tab/>
        <w:t>Indice des populations d’oiseaux en milieu agricole</w:t>
      </w:r>
    </w:p>
    <w:p w:rsidR="00FD0971" w:rsidRPr="001C6ACF" w:rsidRDefault="00FD0971" w:rsidP="00FD0971">
      <w:pPr>
        <w:pStyle w:val="HStandard"/>
        <w:ind w:left="993" w:hanging="993"/>
      </w:pPr>
      <w:proofErr w:type="spellStart"/>
      <w:r>
        <w:lastRenderedPageBreak/>
        <w:t>Feader</w:t>
      </w:r>
      <w:proofErr w:type="spellEnd"/>
      <w:r>
        <w:tab/>
      </w:r>
      <w:r>
        <w:tab/>
        <w:t>Fonds européen agricole pour le développement rural</w:t>
      </w:r>
    </w:p>
    <w:p w:rsidR="00FD0971" w:rsidRPr="001C6ACF" w:rsidRDefault="00FD0971" w:rsidP="00FD0971">
      <w:pPr>
        <w:pStyle w:val="HStandard"/>
        <w:ind w:left="993" w:hanging="993"/>
      </w:pPr>
      <w:r>
        <w:t>GES</w:t>
      </w:r>
      <w:r>
        <w:tab/>
      </w:r>
      <w:r>
        <w:tab/>
        <w:t>Gaz à effet de serre</w:t>
      </w:r>
    </w:p>
    <w:p w:rsidR="00FD0971" w:rsidRPr="001C6ACF" w:rsidRDefault="00FD0971" w:rsidP="00FD0971">
      <w:pPr>
        <w:pStyle w:val="HStandard"/>
        <w:ind w:left="993" w:hanging="993"/>
      </w:pPr>
      <w:r>
        <w:t>GNB</w:t>
      </w:r>
      <w:r>
        <w:tab/>
      </w:r>
      <w:r>
        <w:tab/>
        <w:t>Bilan brut des éléments nutritifs</w:t>
      </w:r>
    </w:p>
    <w:p w:rsidR="00FD0971" w:rsidRPr="001C6ACF" w:rsidRDefault="00FD0971" w:rsidP="00FD0971">
      <w:pPr>
        <w:pStyle w:val="HStandard"/>
        <w:ind w:left="993" w:hanging="993"/>
      </w:pPr>
      <w:r>
        <w:t xml:space="preserve">GPE </w:t>
      </w:r>
      <w:r>
        <w:tab/>
      </w:r>
      <w:r>
        <w:tab/>
        <w:t>Groupe de pilotage «évaluation»</w:t>
      </w:r>
    </w:p>
    <w:p w:rsidR="00FD0971" w:rsidRPr="001C6ACF" w:rsidRDefault="00FD0971" w:rsidP="00FD0971">
      <w:pPr>
        <w:pStyle w:val="HStandard"/>
        <w:ind w:left="993" w:hanging="993"/>
      </w:pPr>
      <w:r>
        <w:t>GPSM</w:t>
      </w:r>
      <w:r>
        <w:tab/>
      </w:r>
      <w:r>
        <w:tab/>
        <w:t>Appariement des scores de propension généralisés</w:t>
      </w:r>
    </w:p>
    <w:p w:rsidR="00FD0971" w:rsidRPr="001C6ACF" w:rsidRDefault="00FD0971" w:rsidP="00FD0971">
      <w:pPr>
        <w:pStyle w:val="HStandard"/>
        <w:ind w:left="993" w:hanging="993"/>
      </w:pPr>
      <w:r>
        <w:t>GRIT</w:t>
      </w:r>
      <w:r>
        <w:tab/>
      </w:r>
      <w:r>
        <w:tab/>
        <w:t>Création de tableaux entrées-sorties régionaux</w:t>
      </w:r>
    </w:p>
    <w:p w:rsidR="00FD0971" w:rsidRPr="001C6ACF" w:rsidRDefault="00FD0971" w:rsidP="00FD0971">
      <w:pPr>
        <w:pStyle w:val="HStandard"/>
        <w:ind w:left="993" w:hanging="993"/>
      </w:pPr>
      <w:r>
        <w:t>HVN</w:t>
      </w:r>
      <w:r>
        <w:tab/>
      </w:r>
      <w:r>
        <w:tab/>
        <w:t>Agriculture à haute valeur naturelle</w:t>
      </w:r>
    </w:p>
    <w:p w:rsidR="00FD0971" w:rsidRPr="001C6ACF" w:rsidRDefault="00FD0971" w:rsidP="00FD0971">
      <w:pPr>
        <w:pStyle w:val="HStandard"/>
        <w:ind w:left="993" w:hanging="993"/>
      </w:pPr>
      <w:r>
        <w:t>I</w:t>
      </w:r>
      <w:r>
        <w:tab/>
      </w:r>
      <w:r>
        <w:tab/>
        <w:t>Indicateur d’impact</w:t>
      </w:r>
    </w:p>
    <w:p w:rsidR="00FD0971" w:rsidRPr="00FB6C06" w:rsidRDefault="00FD0971" w:rsidP="00FD0971">
      <w:pPr>
        <w:pStyle w:val="HStandard"/>
        <w:ind w:left="993" w:hanging="993"/>
      </w:pPr>
      <w:r>
        <w:t>IAE</w:t>
      </w:r>
      <w:r>
        <w:tab/>
      </w:r>
      <w:r>
        <w:tab/>
        <w:t>Indicateurs agroenvironnementaux</w:t>
      </w:r>
    </w:p>
    <w:p w:rsidR="00FD0971" w:rsidRPr="001C6ACF" w:rsidRDefault="00FD0971" w:rsidP="00FD0971">
      <w:pPr>
        <w:pStyle w:val="HStandard"/>
        <w:ind w:left="993" w:hanging="993"/>
      </w:pPr>
      <w:r>
        <w:t>ICC</w:t>
      </w:r>
      <w:r>
        <w:tab/>
      </w:r>
      <w:r>
        <w:tab/>
        <w:t>Indicateurs contextuels communs</w:t>
      </w:r>
    </w:p>
    <w:p w:rsidR="00FD0971" w:rsidRPr="00482ABA" w:rsidRDefault="00FD0971" w:rsidP="00FD0971">
      <w:pPr>
        <w:pStyle w:val="HStandard"/>
        <w:ind w:left="993" w:hanging="993"/>
      </w:pPr>
      <w:r>
        <w:t>IL</w:t>
      </w:r>
      <w:r>
        <w:tab/>
      </w:r>
      <w:r>
        <w:tab/>
        <w:t>Logique d’intervention</w:t>
      </w:r>
    </w:p>
    <w:p w:rsidR="00FD0971" w:rsidRPr="001C6ACF" w:rsidRDefault="00FD0971" w:rsidP="00FD0971">
      <w:pPr>
        <w:pStyle w:val="HStandard"/>
        <w:ind w:left="993" w:hanging="993"/>
      </w:pPr>
      <w:r>
        <w:t>IO</w:t>
      </w:r>
      <w:r>
        <w:tab/>
      </w:r>
      <w:r>
        <w:tab/>
        <w:t>Analyse entrées-sorties</w:t>
      </w:r>
    </w:p>
    <w:p w:rsidR="00FD0971" w:rsidRPr="001C6ACF" w:rsidRDefault="00FD0971" w:rsidP="00FD0971">
      <w:pPr>
        <w:pStyle w:val="HStandard"/>
        <w:ind w:left="993" w:hanging="993"/>
      </w:pPr>
      <w:r>
        <w:t>JRC</w:t>
      </w:r>
      <w:r>
        <w:tab/>
      </w:r>
      <w:r>
        <w:tab/>
        <w:t>Centre commun de recherche</w:t>
      </w:r>
    </w:p>
    <w:p w:rsidR="00FD0971" w:rsidRPr="001C6ACF" w:rsidRDefault="00FD0971" w:rsidP="00FD0971">
      <w:pPr>
        <w:pStyle w:val="HStandard"/>
        <w:ind w:left="993" w:hanging="993"/>
      </w:pPr>
      <w:r>
        <w:t>LUCAS</w:t>
      </w:r>
      <w:r>
        <w:tab/>
      </w:r>
      <w:r>
        <w:tab/>
        <w:t>Enquête statistique aréolaire sur l’utilisation/l’occupation des sols</w:t>
      </w:r>
    </w:p>
    <w:p w:rsidR="00FD0971" w:rsidRPr="001C6ACF" w:rsidRDefault="00FD0971" w:rsidP="00FD0971">
      <w:pPr>
        <w:pStyle w:val="HStandard"/>
        <w:ind w:left="993" w:hanging="993"/>
      </w:pPr>
      <w:r>
        <w:t>M</w:t>
      </w:r>
      <w:r>
        <w:tab/>
      </w:r>
      <w:r>
        <w:tab/>
        <w:t xml:space="preserve">Mesure </w:t>
      </w:r>
    </w:p>
    <w:p w:rsidR="00FD0971" w:rsidRPr="001C6ACF" w:rsidRDefault="00FD0971" w:rsidP="00FD0971">
      <w:pPr>
        <w:pStyle w:val="HStandard"/>
        <w:ind w:left="993" w:hanging="993"/>
      </w:pPr>
      <w:r>
        <w:t>MAPP</w:t>
      </w:r>
      <w:r>
        <w:tab/>
      </w:r>
      <w:r>
        <w:tab/>
        <w:t>Méthode d’analyse d’impact des programmes et des projets</w:t>
      </w:r>
    </w:p>
    <w:p w:rsidR="00FD0971" w:rsidRPr="001C6ACF" w:rsidRDefault="00FD0971" w:rsidP="00FD0971">
      <w:pPr>
        <w:pStyle w:val="HStandard"/>
        <w:ind w:left="993" w:hanging="993"/>
      </w:pPr>
      <w:r>
        <w:t>MCS</w:t>
      </w:r>
      <w:r>
        <w:tab/>
      </w:r>
      <w:r>
        <w:tab/>
        <w:t>Matrice de comptabilité sociale</w:t>
      </w:r>
    </w:p>
    <w:p w:rsidR="00FD0971" w:rsidRPr="00FB5A40" w:rsidRDefault="00FD0971" w:rsidP="00FD0971">
      <w:pPr>
        <w:pStyle w:val="HStandard"/>
        <w:ind w:left="993" w:hanging="993"/>
      </w:pPr>
      <w:r>
        <w:t>MOS</w:t>
      </w:r>
      <w:r>
        <w:tab/>
      </w:r>
      <w:r>
        <w:tab/>
        <w:t xml:space="preserve">Matière organique du sol </w:t>
      </w:r>
    </w:p>
    <w:p w:rsidR="00FD0971" w:rsidRPr="001C6ACF" w:rsidRDefault="00FD0971" w:rsidP="00FD0971">
      <w:pPr>
        <w:pStyle w:val="HStandard"/>
        <w:ind w:left="993" w:hanging="993"/>
      </w:pPr>
      <w:r>
        <w:t>NUTS</w:t>
      </w:r>
      <w:r>
        <w:tab/>
      </w:r>
      <w:r>
        <w:tab/>
        <w:t>Nomenclature des unités territoriales statistiques</w:t>
      </w:r>
      <w:r>
        <w:tab/>
      </w:r>
    </w:p>
    <w:p w:rsidR="00FD0971" w:rsidRPr="001C6ACF" w:rsidRDefault="00FD0971" w:rsidP="00FD0971">
      <w:pPr>
        <w:pStyle w:val="HStandard"/>
        <w:ind w:left="993" w:hanging="993"/>
      </w:pPr>
      <w:r>
        <w:t>ONG</w:t>
      </w:r>
      <w:r>
        <w:tab/>
      </w:r>
      <w:r>
        <w:tab/>
        <w:t>Organisation non gouvernementale</w:t>
      </w:r>
    </w:p>
    <w:p w:rsidR="00FD0971" w:rsidRPr="001C6ACF" w:rsidRDefault="00FD0971" w:rsidP="00FD0971">
      <w:pPr>
        <w:pStyle w:val="HStandard"/>
        <w:ind w:left="993" w:hanging="993"/>
      </w:pPr>
      <w:r>
        <w:t>OP</w:t>
      </w:r>
      <w:r>
        <w:tab/>
      </w:r>
      <w:r>
        <w:tab/>
        <w:t>Organisme payeur</w:t>
      </w:r>
    </w:p>
    <w:p w:rsidR="00FD0971" w:rsidRPr="001C6ACF" w:rsidRDefault="00FD0971" w:rsidP="00FD0971">
      <w:pPr>
        <w:pStyle w:val="HStandard"/>
        <w:ind w:left="993" w:hanging="993"/>
      </w:pPr>
      <w:r>
        <w:t>PAC</w:t>
      </w:r>
      <w:r>
        <w:tab/>
      </w:r>
      <w:r>
        <w:tab/>
        <w:t xml:space="preserve">Politique agricole commune </w:t>
      </w:r>
    </w:p>
    <w:p w:rsidR="00FD0971" w:rsidRPr="001C6ACF" w:rsidRDefault="00FD0971" w:rsidP="00FD0971">
      <w:pPr>
        <w:pStyle w:val="HStandard"/>
        <w:ind w:left="993" w:hanging="993"/>
      </w:pPr>
      <w:r>
        <w:t>PAE</w:t>
      </w:r>
      <w:r>
        <w:tab/>
      </w:r>
      <w:r>
        <w:tab/>
        <w:t>Programme d’action pour l’environnement</w:t>
      </w:r>
    </w:p>
    <w:p w:rsidR="00FD0971" w:rsidRPr="001C6ACF" w:rsidRDefault="00FD0971" w:rsidP="00FD0971">
      <w:pPr>
        <w:pStyle w:val="HStandard"/>
        <w:ind w:left="993" w:hanging="993"/>
      </w:pPr>
      <w:r>
        <w:t>PDR</w:t>
      </w:r>
      <w:r>
        <w:tab/>
      </w:r>
      <w:r>
        <w:tab/>
        <w:t>Programme de développement rural</w:t>
      </w:r>
    </w:p>
    <w:p w:rsidR="00FD0971" w:rsidRPr="001C6ACF" w:rsidRDefault="00FD0971" w:rsidP="00FD0971">
      <w:pPr>
        <w:pStyle w:val="HStandard"/>
        <w:ind w:left="993" w:hanging="993"/>
      </w:pPr>
      <w:r>
        <w:t>PEI</w:t>
      </w:r>
      <w:r>
        <w:tab/>
      </w:r>
      <w:r>
        <w:tab/>
        <w:t>Partenariat européen d’innovation</w:t>
      </w:r>
    </w:p>
    <w:p w:rsidR="00FD0971" w:rsidRPr="001C6ACF" w:rsidRDefault="00FD0971" w:rsidP="00FD0971">
      <w:pPr>
        <w:pStyle w:val="HStandard"/>
        <w:ind w:left="993" w:hanging="993"/>
      </w:pPr>
      <w:r>
        <w:t>PIB</w:t>
      </w:r>
      <w:r>
        <w:tab/>
      </w:r>
      <w:r>
        <w:tab/>
        <w:t xml:space="preserve">Produit intérieur brut </w:t>
      </w:r>
    </w:p>
    <w:p w:rsidR="00FD0971" w:rsidRPr="001C6ACF" w:rsidRDefault="00FD0971" w:rsidP="00FD0971">
      <w:pPr>
        <w:pStyle w:val="HStandard"/>
        <w:ind w:left="993" w:hanging="993"/>
      </w:pPr>
      <w:r>
        <w:t>PRIP</w:t>
      </w:r>
      <w:r>
        <w:tab/>
      </w:r>
      <w:r>
        <w:tab/>
        <w:t>Prévention et réduction intégrées de la pollution</w:t>
      </w:r>
    </w:p>
    <w:p w:rsidR="00FD0971" w:rsidRPr="001C6ACF" w:rsidRDefault="00FD0971" w:rsidP="00FD0971">
      <w:pPr>
        <w:pStyle w:val="HStandard"/>
        <w:ind w:left="993" w:hanging="993"/>
      </w:pPr>
      <w:r>
        <w:t>PSM</w:t>
      </w:r>
      <w:r>
        <w:tab/>
      </w:r>
      <w:r>
        <w:tab/>
        <w:t>Appariement des scores de propension</w:t>
      </w:r>
    </w:p>
    <w:p w:rsidR="00FD0971" w:rsidRPr="001C6ACF" w:rsidRDefault="00FD0971" w:rsidP="00FD0971">
      <w:pPr>
        <w:pStyle w:val="HStandard"/>
        <w:ind w:left="993" w:hanging="993"/>
      </w:pPr>
      <w:r>
        <w:t>PTF</w:t>
      </w:r>
      <w:r>
        <w:tab/>
      </w:r>
      <w:r>
        <w:tab/>
        <w:t>Productivité totale des facteurs</w:t>
      </w:r>
    </w:p>
    <w:p w:rsidR="00FD0971" w:rsidRPr="001C6ACF" w:rsidRDefault="00FD0971" w:rsidP="00FD0971">
      <w:pPr>
        <w:pStyle w:val="HStandard"/>
        <w:ind w:left="993" w:hanging="993"/>
      </w:pPr>
      <w:r>
        <w:t>QEC</w:t>
      </w:r>
      <w:r>
        <w:tab/>
      </w:r>
      <w:r>
        <w:tab/>
        <w:t>Questions d’évaluation communes</w:t>
      </w:r>
    </w:p>
    <w:p w:rsidR="00FD0971" w:rsidRPr="001C6ACF" w:rsidRDefault="00FD0971" w:rsidP="00FD0971">
      <w:pPr>
        <w:pStyle w:val="HStandard"/>
        <w:ind w:left="993" w:hanging="993"/>
      </w:pPr>
      <w:r>
        <w:t>QESP</w:t>
      </w:r>
      <w:r>
        <w:tab/>
      </w:r>
      <w:r>
        <w:tab/>
        <w:t>Question d’évaluation spécifique à un programme</w:t>
      </w:r>
    </w:p>
    <w:p w:rsidR="00FD0971" w:rsidRPr="001C6ACF" w:rsidRDefault="00FD0971" w:rsidP="00FD0971">
      <w:pPr>
        <w:pStyle w:val="HStandard"/>
        <w:ind w:left="993" w:hanging="993"/>
      </w:pPr>
      <w:r>
        <w:t>R</w:t>
      </w:r>
      <w:r>
        <w:tab/>
      </w:r>
      <w:r>
        <w:tab/>
        <w:t>Indicateurs de résultat</w:t>
      </w:r>
    </w:p>
    <w:p w:rsidR="00FD0971" w:rsidRPr="001C6ACF" w:rsidRDefault="00FD0971" w:rsidP="00FD0971">
      <w:pPr>
        <w:pStyle w:val="HStandard"/>
        <w:ind w:left="993" w:hanging="993"/>
      </w:pPr>
      <w:r>
        <w:t>RAM</w:t>
      </w:r>
      <w:r>
        <w:tab/>
      </w:r>
      <w:r>
        <w:tab/>
        <w:t>Rapport annuel de mise en œuvre</w:t>
      </w:r>
    </w:p>
    <w:p w:rsidR="00FD0971" w:rsidRPr="001C6ACF" w:rsidRDefault="00FD0971" w:rsidP="00FD0971">
      <w:pPr>
        <w:pStyle w:val="HStandard"/>
        <w:ind w:left="993" w:hanging="993"/>
      </w:pPr>
      <w:r>
        <w:t>RBH</w:t>
      </w:r>
      <w:r>
        <w:tab/>
      </w:r>
      <w:r>
        <w:tab/>
        <w:t>Réseau de bassins hydrographiques</w:t>
      </w:r>
    </w:p>
    <w:p w:rsidR="00FD0971" w:rsidRPr="001C6ACF" w:rsidRDefault="00FD0971" w:rsidP="00FD0971">
      <w:pPr>
        <w:pStyle w:val="HStandard"/>
        <w:ind w:left="993" w:hanging="993"/>
      </w:pPr>
      <w:r>
        <w:t>RDD</w:t>
      </w:r>
      <w:r>
        <w:tab/>
      </w:r>
      <w:r>
        <w:tab/>
        <w:t xml:space="preserve">Méthode de régression sur la discontinuité </w:t>
      </w:r>
    </w:p>
    <w:p w:rsidR="00FD0971" w:rsidRPr="00336531" w:rsidRDefault="00FD0971" w:rsidP="00FD0971">
      <w:pPr>
        <w:pStyle w:val="HStandard"/>
        <w:ind w:left="993" w:hanging="993"/>
      </w:pPr>
      <w:r>
        <w:lastRenderedPageBreak/>
        <w:t>REA</w:t>
      </w:r>
      <w:r>
        <w:tab/>
      </w:r>
      <w:r>
        <w:tab/>
        <w:t>Revenu d’entreprise agricole</w:t>
      </w:r>
    </w:p>
    <w:p w:rsidR="00FD0971" w:rsidRPr="007645B4" w:rsidRDefault="00FD0971" w:rsidP="00FD0971">
      <w:pPr>
        <w:pStyle w:val="HStandard"/>
        <w:ind w:left="993" w:hanging="993"/>
      </w:pPr>
      <w:r>
        <w:t>RFA</w:t>
      </w:r>
      <w:r>
        <w:tab/>
      </w:r>
      <w:r>
        <w:tab/>
        <w:t>Revenu des facteurs agricoles</w:t>
      </w:r>
    </w:p>
    <w:p w:rsidR="00FD0971" w:rsidRPr="001C6ACF" w:rsidRDefault="00FD0971" w:rsidP="00FD0971">
      <w:pPr>
        <w:pStyle w:val="HStandard"/>
        <w:ind w:left="993" w:hanging="993"/>
      </w:pPr>
      <w:r>
        <w:t>RICA</w:t>
      </w:r>
      <w:r>
        <w:tab/>
      </w:r>
      <w:r>
        <w:tab/>
        <w:t>Réseau d’information comptable agricole</w:t>
      </w:r>
    </w:p>
    <w:p w:rsidR="00FD0971" w:rsidRPr="001C6ACF" w:rsidRDefault="00FD0971" w:rsidP="00FD0971">
      <w:pPr>
        <w:pStyle w:val="HStandard"/>
        <w:ind w:left="993" w:hanging="993"/>
      </w:pPr>
      <w:r>
        <w:t>RRN</w:t>
      </w:r>
      <w:r>
        <w:tab/>
      </w:r>
      <w:r>
        <w:tab/>
        <w:t>Réseau rural national</w:t>
      </w:r>
    </w:p>
    <w:p w:rsidR="00FD0971" w:rsidRPr="001C6ACF" w:rsidRDefault="00FD0971" w:rsidP="00FD0971">
      <w:pPr>
        <w:pStyle w:val="HStandard"/>
        <w:ind w:left="993" w:hanging="993"/>
      </w:pPr>
      <w:r>
        <w:t>RUSLE</w:t>
      </w:r>
      <w:r>
        <w:tab/>
      </w:r>
      <w:r>
        <w:tab/>
        <w:t>Équation universelle de pertes en sol révisée</w:t>
      </w:r>
    </w:p>
    <w:p w:rsidR="00FD0971" w:rsidRPr="001C6ACF" w:rsidRDefault="00FD0971" w:rsidP="00FD0971">
      <w:pPr>
        <w:pStyle w:val="HStandard"/>
        <w:ind w:left="993" w:hanging="993"/>
      </w:pPr>
      <w:r>
        <w:t>SAU</w:t>
      </w:r>
      <w:r>
        <w:tab/>
      </w:r>
      <w:r>
        <w:tab/>
        <w:t>Superficie agricole utilisée</w:t>
      </w:r>
    </w:p>
    <w:p w:rsidR="00FD0971" w:rsidRPr="001C6ACF" w:rsidRDefault="00FD0971" w:rsidP="00FD0971">
      <w:pPr>
        <w:pStyle w:val="HStandard"/>
        <w:ind w:left="993" w:hanging="993"/>
      </w:pPr>
      <w:r>
        <w:t>SEBI</w:t>
      </w:r>
      <w:r>
        <w:tab/>
      </w:r>
      <w:r>
        <w:tab/>
        <w:t>Rationalisation des indicateurs européens de la biodiversité</w:t>
      </w:r>
    </w:p>
    <w:p w:rsidR="00FD0971" w:rsidRPr="001C6ACF" w:rsidRDefault="00FD0971" w:rsidP="00FD0971">
      <w:pPr>
        <w:pStyle w:val="HStandard"/>
        <w:ind w:left="993" w:hanging="993"/>
      </w:pPr>
      <w:r>
        <w:t>SFC</w:t>
      </w:r>
      <w:r>
        <w:tab/>
      </w:r>
      <w:r>
        <w:tab/>
        <w:t>Système commun de gestion partagée des fonds</w:t>
      </w:r>
    </w:p>
    <w:p w:rsidR="00FD0971" w:rsidRPr="001C6ACF" w:rsidRDefault="00FD0971" w:rsidP="00FD0971">
      <w:pPr>
        <w:pStyle w:val="HStandard"/>
        <w:ind w:left="993" w:hanging="993"/>
      </w:pPr>
      <w:r>
        <w:t>SIG</w:t>
      </w:r>
      <w:r>
        <w:tab/>
      </w:r>
      <w:r>
        <w:tab/>
        <w:t>Système d’information géographique</w:t>
      </w:r>
    </w:p>
    <w:p w:rsidR="00FD0971" w:rsidRPr="001C6ACF" w:rsidRDefault="00FD0971" w:rsidP="00FD0971">
      <w:pPr>
        <w:pStyle w:val="HStandard"/>
        <w:ind w:left="993" w:hanging="993"/>
      </w:pPr>
      <w:r>
        <w:t>SIGC</w:t>
      </w:r>
      <w:r>
        <w:tab/>
      </w:r>
      <w:r>
        <w:tab/>
        <w:t>Système intégré de gestion et de contrôle</w:t>
      </w:r>
    </w:p>
    <w:p w:rsidR="00FD0971" w:rsidRPr="001C6ACF" w:rsidRDefault="00FD0971" w:rsidP="00FD0971">
      <w:pPr>
        <w:pStyle w:val="HStandard"/>
        <w:ind w:left="993" w:hanging="993"/>
      </w:pPr>
      <w:r>
        <w:t>SIPA</w:t>
      </w:r>
      <w:r>
        <w:tab/>
      </w:r>
      <w:r>
        <w:tab/>
        <w:t>Système d’identification des parcelles agricoles</w:t>
      </w:r>
    </w:p>
    <w:p w:rsidR="00FD0971" w:rsidRPr="001C6ACF" w:rsidRDefault="00FD0971" w:rsidP="00FD0971">
      <w:pPr>
        <w:pStyle w:val="HStandard"/>
        <w:ind w:left="993" w:hanging="993"/>
      </w:pPr>
      <w:r>
        <w:t>TBE</w:t>
      </w:r>
      <w:r>
        <w:tab/>
      </w:r>
      <w:r>
        <w:tab/>
        <w:t>Évaluation fondée sur la théorie</w:t>
      </w:r>
    </w:p>
    <w:p w:rsidR="00FD0971" w:rsidRPr="00482ABA" w:rsidRDefault="00FD0971" w:rsidP="00FD0971">
      <w:pPr>
        <w:pStyle w:val="HStandard"/>
        <w:ind w:left="993" w:hanging="993"/>
      </w:pPr>
      <w:r>
        <w:t xml:space="preserve">TIC </w:t>
      </w:r>
      <w:r>
        <w:tab/>
      </w:r>
      <w:r>
        <w:tab/>
        <w:t>Technologies de l’information et de la communication</w:t>
      </w:r>
    </w:p>
    <w:p w:rsidR="00FD0971" w:rsidRPr="001C6ACF" w:rsidRDefault="00FD0971" w:rsidP="00FD0971">
      <w:pPr>
        <w:pStyle w:val="HStandard"/>
        <w:ind w:left="993" w:hanging="993"/>
      </w:pPr>
      <w:proofErr w:type="spellStart"/>
      <w:r>
        <w:t>ToR</w:t>
      </w:r>
      <w:proofErr w:type="spellEnd"/>
      <w:r>
        <w:tab/>
      </w:r>
      <w:r>
        <w:tab/>
        <w:t>Termes de référence</w:t>
      </w:r>
    </w:p>
    <w:p w:rsidR="00FD0971" w:rsidRPr="001C6ACF" w:rsidRDefault="00FD0971" w:rsidP="00FD0971">
      <w:pPr>
        <w:pStyle w:val="HStandard"/>
        <w:ind w:left="993" w:hanging="993"/>
      </w:pPr>
      <w:r>
        <w:t>UAL</w:t>
      </w:r>
      <w:r>
        <w:tab/>
      </w:r>
      <w:r>
        <w:tab/>
        <w:t>Unité administrative locale</w:t>
      </w:r>
    </w:p>
    <w:p w:rsidR="00FD0971" w:rsidRPr="001C6ACF" w:rsidRDefault="00FD0971" w:rsidP="00FD0971">
      <w:pPr>
        <w:pStyle w:val="HStandard"/>
        <w:ind w:left="993" w:hanging="993"/>
      </w:pPr>
      <w:r>
        <w:t>UE</w:t>
      </w:r>
      <w:r>
        <w:tab/>
      </w:r>
      <w:r>
        <w:tab/>
        <w:t>Union européenne</w:t>
      </w:r>
    </w:p>
    <w:p w:rsidR="00FD0971" w:rsidRPr="001C6ACF" w:rsidRDefault="00FD0971" w:rsidP="00FD0971">
      <w:pPr>
        <w:pStyle w:val="HStandard"/>
        <w:ind w:left="993" w:hanging="993"/>
      </w:pPr>
      <w:r>
        <w:t>UGB</w:t>
      </w:r>
      <w:r>
        <w:tab/>
      </w:r>
      <w:r>
        <w:tab/>
        <w:t>Unité de gros bétail</w:t>
      </w:r>
    </w:p>
    <w:p w:rsidR="00FD0971" w:rsidRPr="001C6ACF" w:rsidRDefault="00FD0971" w:rsidP="00FD0971">
      <w:pPr>
        <w:pStyle w:val="HStandard"/>
        <w:ind w:left="993" w:hanging="993"/>
      </w:pPr>
      <w:r>
        <w:t>UTA</w:t>
      </w:r>
      <w:r>
        <w:tab/>
      </w:r>
      <w:r>
        <w:tab/>
        <w:t>Unités de travail annuel</w:t>
      </w:r>
    </w:p>
    <w:p w:rsidR="00FD0971" w:rsidRPr="001C6ACF" w:rsidRDefault="00FD0971" w:rsidP="00FD0971">
      <w:pPr>
        <w:pStyle w:val="HStandard"/>
        <w:ind w:left="993" w:hanging="993"/>
      </w:pPr>
      <w:r>
        <w:t>UTCAFT</w:t>
      </w:r>
      <w:r>
        <w:tab/>
      </w:r>
      <w:r>
        <w:tab/>
        <w:t>Utilisation des terres, changement d’affectation des terres et foresterie</w:t>
      </w:r>
    </w:p>
    <w:p w:rsidR="00FD0971" w:rsidRPr="001C6ACF" w:rsidRDefault="00FD0971" w:rsidP="00FD0971">
      <w:pPr>
        <w:pStyle w:val="HStandard"/>
        <w:ind w:left="993" w:hanging="993"/>
      </w:pPr>
      <w:r>
        <w:t>UTF</w:t>
      </w:r>
      <w:r>
        <w:tab/>
      </w:r>
      <w:r>
        <w:tab/>
        <w:t xml:space="preserve">Unité de travail familial </w:t>
      </w:r>
    </w:p>
    <w:p w:rsidR="00FD0971" w:rsidRPr="00FB5A40" w:rsidRDefault="00FD0971" w:rsidP="00FD0971">
      <w:pPr>
        <w:pStyle w:val="HStandard"/>
        <w:ind w:left="993" w:hanging="993"/>
      </w:pPr>
      <w:r>
        <w:t>VI</w:t>
      </w:r>
      <w:r>
        <w:tab/>
      </w:r>
      <w:r>
        <w:tab/>
        <w:t>Variables instrumentales</w:t>
      </w:r>
    </w:p>
    <w:p w:rsidR="00D32538" w:rsidRPr="001C6ACF" w:rsidRDefault="00D32538" w:rsidP="0095356C">
      <w:pPr>
        <w:pStyle w:val="HStandard"/>
        <w:ind w:left="993" w:hanging="993"/>
        <w:sectPr w:rsidR="00D32538" w:rsidRPr="001C6ACF" w:rsidSect="00C702ED">
          <w:headerReference w:type="default" r:id="rId12"/>
          <w:footerReference w:type="first" r:id="rId13"/>
          <w:pgSz w:w="11906" w:h="16838" w:code="9"/>
          <w:pgMar w:top="1440" w:right="1440" w:bottom="1134" w:left="1440" w:header="567" w:footer="737" w:gutter="0"/>
          <w:cols w:space="708"/>
          <w:titlePg/>
          <w:docGrid w:linePitch="360"/>
        </w:sectPr>
      </w:pPr>
    </w:p>
    <w:p w:rsidR="006F7D30" w:rsidRPr="001C6ACF" w:rsidRDefault="006F7D30" w:rsidP="006F7D30">
      <w:pPr>
        <w:pStyle w:val="HHeading1"/>
        <w:numPr>
          <w:ilvl w:val="0"/>
          <w:numId w:val="0"/>
        </w:numPr>
        <w:rPr>
          <w:sz w:val="28"/>
        </w:rPr>
      </w:pPr>
      <w:r>
        <w:rPr>
          <w:sz w:val="28"/>
        </w:rPr>
        <w:lastRenderedPageBreak/>
        <w:t>Remerciements</w:t>
      </w:r>
    </w:p>
    <w:p w:rsidR="00EB120C" w:rsidRPr="001C6ACF" w:rsidRDefault="00EB120C" w:rsidP="00EB120C">
      <w:pPr>
        <w:spacing w:after="120" w:line="280" w:lineRule="atLeast"/>
        <w:rPr>
          <w:rFonts w:ascii="Calibri" w:hAnsi="Calibri"/>
          <w:i/>
          <w:iCs/>
          <w:color w:val="373737" w:themeColor="text1"/>
          <w:sz w:val="20"/>
          <w:szCs w:val="20"/>
        </w:rPr>
      </w:pPr>
      <w:r>
        <w:rPr>
          <w:i/>
          <w:color w:val="373737" w:themeColor="text1"/>
          <w:sz w:val="20"/>
        </w:rPr>
        <w:t xml:space="preserve">Les présentes lignes directrices ont été rédigées par une équipe internationale d’experts en matière d’évaluation du développement rural composée de Jerzy Michalek (incidences sectorielles), Demetrios Psaltopoulos (incidences socioéconomiques), Marili Parisaki (méthodes qualitatives), Tomáš Ratinger (incidences sectorielles), Gerald Schwarz (incidences environnementales), Dimitris Skuras (incidences environnementales), Darko Znaor (incidences environnementales). Le groupe de travail thématique correspondant a été coordonné par le Helpdesk Évaluation sous la direction de Jela Tvrdonova et de Hannes Wimmer. Valérie Dumont, Myles Stiffler, Matteo Metta, Valdis Kudins et Harriet Mackaill-Hill ont soutenu les travaux d’élaboration des lignes directrices et ont assuré la qualité et l’aspect visuel de leur version finale. </w:t>
      </w:r>
    </w:p>
    <w:p w:rsidR="00EB120C" w:rsidRPr="001C6ACF" w:rsidRDefault="00EB120C" w:rsidP="00EB120C">
      <w:pPr>
        <w:spacing w:after="120" w:line="280" w:lineRule="atLeast"/>
        <w:rPr>
          <w:i/>
          <w:iCs/>
          <w:color w:val="373737" w:themeColor="text1"/>
          <w:sz w:val="20"/>
          <w:szCs w:val="20"/>
        </w:rPr>
      </w:pPr>
      <w:r>
        <w:rPr>
          <w:i/>
          <w:color w:val="373737" w:themeColor="text1"/>
          <w:sz w:val="20"/>
        </w:rPr>
        <w:t>Plusieurs experts ont joué le rôle de pairs évaluateurs (Rolf Bergs, Kit Macleod, Žymantas Morkvėnas). Des représentants de la DG Agriculture et développement rural se sont assurés de la cohérence des lignes directrices avec le cadre politique de l’Union européenne.</w:t>
      </w:r>
    </w:p>
    <w:p w:rsidR="006F7D30" w:rsidRPr="001C6ACF" w:rsidRDefault="00EB120C" w:rsidP="00EB120C">
      <w:pPr>
        <w:pStyle w:val="HStandard"/>
      </w:pPr>
      <w:r>
        <w:rPr>
          <w:i/>
        </w:rPr>
        <w:t>Des représentants des États membres ont formulé des observations sur les versions préliminaires des lignes directrices lors de la consultation de l’organe de réflexion en janvier et en avril </w:t>
      </w:r>
      <w:r w:rsidRPr="00C44B54">
        <w:rPr>
          <w:i/>
        </w:rPr>
        <w:t>2018</w:t>
      </w:r>
      <w:r>
        <w:rPr>
          <w:i/>
        </w:rPr>
        <w:t>. Les membres du groupe d’experts chargé du suivi et de l’évaluation de la PAC ont formulé des observations sur la version finale en juin </w:t>
      </w:r>
      <w:r w:rsidRPr="00C44B54">
        <w:rPr>
          <w:i/>
        </w:rPr>
        <w:t>2018</w:t>
      </w:r>
      <w:r>
        <w:rPr>
          <w:i/>
        </w:rPr>
        <w:t>. </w:t>
      </w:r>
    </w:p>
    <w:p w:rsidR="00860B72" w:rsidRPr="001C6ACF" w:rsidRDefault="00860B72" w:rsidP="000B2A17">
      <w:pPr>
        <w:pStyle w:val="HStandard"/>
      </w:pPr>
    </w:p>
    <w:p w:rsidR="008E728A" w:rsidRPr="001C6ACF" w:rsidRDefault="008549B5" w:rsidP="008E3ACB">
      <w:pPr>
        <w:pStyle w:val="HHeading1"/>
        <w:numPr>
          <w:ilvl w:val="0"/>
          <w:numId w:val="0"/>
        </w:numPr>
        <w:rPr>
          <w:sz w:val="28"/>
        </w:rPr>
      </w:pPr>
      <w:r>
        <w:rPr>
          <w:sz w:val="28"/>
        </w:rPr>
        <w:lastRenderedPageBreak/>
        <w:t>INTRODUCTION</w:t>
      </w:r>
    </w:p>
    <w:p w:rsidR="00CD63F6" w:rsidRPr="001C6ACF" w:rsidRDefault="00CD63F6" w:rsidP="00CD63F6">
      <w:pPr>
        <w:pStyle w:val="HHeading4"/>
      </w:pPr>
      <w:r>
        <w:t>Importance de l’évaluation</w:t>
      </w:r>
    </w:p>
    <w:p w:rsidR="00CD63F6" w:rsidRPr="001C6ACF" w:rsidRDefault="00CD63F6" w:rsidP="00CD63F6">
      <w:pPr>
        <w:pStyle w:val="HStandard"/>
      </w:pPr>
      <w:r>
        <w:t xml:space="preserve">Les Fonds structurels et d’investissement européens (Fonds ESI) sont des </w:t>
      </w:r>
      <w:r>
        <w:rPr>
          <w:b/>
        </w:rPr>
        <w:t>instruments publics</w:t>
      </w:r>
      <w:r>
        <w:t xml:space="preserve"> importants qui permettent de soutenir des actions liées aux priorités clés de l’Union européenne (UE). Ils sont attribués au moyen de programmes pluriannuels dans les États membres et les régions. Il est par conséquent dans l’intérêt des décideurs politiques et du public de savoir si cet argent est utilisé de manière responsable, s’il produit les résultats escomptés et si les interventions ciblent les bons bénéficiaires pour atteindre les objectifs stratégiques de l’UE. </w:t>
      </w:r>
    </w:p>
    <w:p w:rsidR="00CD63F6" w:rsidRPr="001C6ACF" w:rsidRDefault="00CD63F6" w:rsidP="00CC00DA">
      <w:pPr>
        <w:pStyle w:val="HStandard"/>
      </w:pPr>
      <w:r>
        <w:t>L’</w:t>
      </w:r>
      <w:r>
        <w:rPr>
          <w:b/>
        </w:rPr>
        <w:t>évaluation</w:t>
      </w:r>
      <w:r>
        <w:t xml:space="preserve"> est un outil permettant de mesurer l’efficacité, l’efficience, les résultats et les incidences</w:t>
      </w:r>
      <w:r>
        <w:rPr>
          <w:rStyle w:val="FootnoteReference"/>
        </w:rPr>
        <w:footnoteReference w:id="1"/>
      </w:r>
      <w:r>
        <w:t>, la pertinence, la cohérence et la valeur ajoutée pour l’UE d’une politique afin de garantir sa transparence et l’obligation de rendre des comptes et, en fin de compte, d’améliorer sa conception. Dans le cadre du</w:t>
      </w:r>
      <w:r>
        <w:rPr>
          <w:b/>
        </w:rPr>
        <w:t xml:space="preserve"> </w:t>
      </w:r>
      <w:r>
        <w:t xml:space="preserve">développement rural, deux étapes importantes d’évaluation sont prévues </w:t>
      </w:r>
      <w:r>
        <w:rPr>
          <w:b/>
        </w:rPr>
        <w:t>au cours de la période de programmation </w:t>
      </w:r>
      <w:r w:rsidRPr="00C44B54">
        <w:rPr>
          <w:b/>
        </w:rPr>
        <w:t>2014</w:t>
      </w:r>
      <w:r>
        <w:rPr>
          <w:b/>
        </w:rPr>
        <w:t>-</w:t>
      </w:r>
      <w:r w:rsidRPr="00C44B54">
        <w:rPr>
          <w:b/>
        </w:rPr>
        <w:t>2020</w:t>
      </w:r>
      <w:r>
        <w:t>: la première en </w:t>
      </w:r>
      <w:r w:rsidRPr="00C44B54">
        <w:t>2017</w:t>
      </w:r>
      <w:r>
        <w:t>, lorsque les parties intéressées évaluent les résultats de la politique et la deuxième en </w:t>
      </w:r>
      <w:r w:rsidRPr="00C44B54">
        <w:t>2019</w:t>
      </w:r>
      <w:r>
        <w:t xml:space="preserve"> lorsque tant les résultats que les incidences de la politique seront mesurés. En outre, une évaluation ex post est réalisée </w:t>
      </w:r>
      <w:r>
        <w:rPr>
          <w:b/>
        </w:rPr>
        <w:t>après la période de programmation</w:t>
      </w:r>
      <w:r>
        <w:t>.</w:t>
      </w:r>
      <w:r>
        <w:rPr>
          <w:b/>
        </w:rPr>
        <w:t xml:space="preserve"> </w:t>
      </w:r>
    </w:p>
    <w:p w:rsidR="00CD63F6" w:rsidRPr="001C6ACF" w:rsidRDefault="00CD63F6" w:rsidP="005C0884">
      <w:pPr>
        <w:pStyle w:val="HHeading4"/>
      </w:pPr>
      <w:r>
        <w:t xml:space="preserve">Objectif des lignes directrices </w:t>
      </w:r>
    </w:p>
    <w:p w:rsidR="00CD63F6" w:rsidRPr="00571D58" w:rsidRDefault="00BD7C99" w:rsidP="00CD63F6">
      <w:pPr>
        <w:pStyle w:val="HStandard"/>
      </w:pPr>
      <w:r>
        <w:t>Le cadre juridique exige des États membres qu’ils rendent compte des résultats des programmes de développement rural (PDR) obtenus en </w:t>
      </w:r>
      <w:r w:rsidRPr="00C44B54">
        <w:t>2019</w:t>
      </w:r>
      <w:r>
        <w:t xml:space="preserve"> au regard des objectifs du programme ainsi que de ses contributions à la stratégie de l’UE pour une croissance intelligente, durable et inclusive. Les rapports annuels de mise en œuvre (RAM) présentés en </w:t>
      </w:r>
      <w:r w:rsidRPr="00C44B54">
        <w:t>2019</w:t>
      </w:r>
      <w:r>
        <w:t xml:space="preserve"> permettent de satisfaire cette exigence. Les évaluations devraient se pencher sur la contribution nette du programme à l’évolution des valeurs des indicateurs d’incidence de la PAC et apporter une réponse aux questions d’évaluation</w:t>
      </w:r>
      <w:r>
        <w:rPr>
          <w:rStyle w:val="FootnoteReference"/>
        </w:rPr>
        <w:footnoteReference w:id="2"/>
      </w:r>
      <w:r>
        <w:t xml:space="preserve">. </w:t>
      </w:r>
    </w:p>
    <w:p w:rsidR="00CD63F6" w:rsidRPr="001C6ACF" w:rsidRDefault="009642AA" w:rsidP="009F77FD">
      <w:pPr>
        <w:pStyle w:val="HStandard"/>
      </w:pPr>
      <w:r>
        <w:t>Les présentes lignes directrices ont pour objectif d’</w:t>
      </w:r>
      <w:r>
        <w:rPr>
          <w:b/>
        </w:rPr>
        <w:t>examiner les difficultés</w:t>
      </w:r>
      <w:r>
        <w:t xml:space="preserve"> liées aux activités d’évaluation pour le RAM en </w:t>
      </w:r>
      <w:r w:rsidRPr="00C44B54">
        <w:t>2019</w:t>
      </w:r>
      <w:r>
        <w:t xml:space="preserve">; de </w:t>
      </w:r>
      <w:r>
        <w:rPr>
          <w:b/>
        </w:rPr>
        <w:t>présenter des approches pratiques</w:t>
      </w:r>
      <w:r>
        <w:t xml:space="preserve"> permettant d’estimer les contributions nettes du PDR aux indicateurs d’impact communs de la PAC, et d’évaluer les progrès accomplis dans la réalisation des objectifs au niveau de l’UE; et d’</w:t>
      </w:r>
      <w:r>
        <w:rPr>
          <w:b/>
        </w:rPr>
        <w:t>apporter une aide pour répondre</w:t>
      </w:r>
      <w:r>
        <w:t xml:space="preserve"> aux questions d’évaluation communes (QEC) nº </w:t>
      </w:r>
      <w:r w:rsidRPr="00C44B54">
        <w:t>22</w:t>
      </w:r>
      <w:r>
        <w:t xml:space="preserve"> à </w:t>
      </w:r>
      <w:r w:rsidRPr="00C44B54">
        <w:t>30</w:t>
      </w:r>
      <w:r>
        <w:t xml:space="preserve"> et pour communiquer les résultats de l’évaluation à la Commission européenne dans les RAM présentés en </w:t>
      </w:r>
      <w:r w:rsidRPr="00C44B54">
        <w:t>2019</w:t>
      </w:r>
      <w:r>
        <w:t>.</w:t>
      </w:r>
    </w:p>
    <w:p w:rsidR="00CD63F6" w:rsidRPr="001C6ACF" w:rsidRDefault="00CD63F6" w:rsidP="005C0884">
      <w:pPr>
        <w:pStyle w:val="HHeading4"/>
      </w:pPr>
      <w:r>
        <w:t xml:space="preserve">Structure et contenu des lignes directrices </w:t>
      </w:r>
    </w:p>
    <w:p w:rsidR="00CD63F6" w:rsidRPr="001C6ACF" w:rsidRDefault="00BD7C99" w:rsidP="005C0884">
      <w:pPr>
        <w:pStyle w:val="HStandard"/>
      </w:pPr>
      <w:r>
        <w:t xml:space="preserve">Les présentes </w:t>
      </w:r>
      <w:r>
        <w:rPr>
          <w:b/>
        </w:rPr>
        <w:t>lignes directrices NON CONTRAIGNANTES</w:t>
      </w:r>
      <w:r>
        <w:t xml:space="preserve">, </w:t>
      </w:r>
      <w:r>
        <w:rPr>
          <w:i/>
        </w:rPr>
        <w:t>intitulées «Évaluation des réalisations et des incidences du PDR en </w:t>
      </w:r>
      <w:r w:rsidRPr="00C44B54">
        <w:rPr>
          <w:i/>
        </w:rPr>
        <w:t>2019</w:t>
      </w:r>
      <w:r>
        <w:rPr>
          <w:i/>
        </w:rPr>
        <w:t>»,</w:t>
      </w:r>
      <w:r>
        <w:t xml:space="preserve"> portent sur les éléments suivants: </w:t>
      </w:r>
    </w:p>
    <w:p w:rsidR="00CD63F6" w:rsidRPr="001C6ACF" w:rsidRDefault="008358D0" w:rsidP="00AD4DC6">
      <w:pPr>
        <w:pStyle w:val="Hlistbullet"/>
        <w:spacing w:line="276" w:lineRule="auto"/>
      </w:pPr>
      <w:r>
        <w:rPr>
          <w:b/>
          <w:color w:val="F07E31" w:themeColor="accent1"/>
        </w:rPr>
        <w:t>PARTIE I</w:t>
      </w:r>
      <w:r>
        <w:t xml:space="preserve"> </w:t>
      </w:r>
      <w:r>
        <w:rPr>
          <w:b/>
          <w:color w:val="F07E31" w:themeColor="accent1"/>
        </w:rPr>
        <w:t xml:space="preserve">(principalement à l’intention des autorités de gestion): </w:t>
      </w:r>
      <w:r>
        <w:t>cette partie fournit des informations sur les exigences juridiques et explique la manière d'établir un rapport sur les QEC nº </w:t>
      </w:r>
      <w:r w:rsidRPr="00C44B54">
        <w:t>22</w:t>
      </w:r>
      <w:r>
        <w:t xml:space="preserve"> à </w:t>
      </w:r>
      <w:r w:rsidRPr="00C44B54">
        <w:t>30</w:t>
      </w:r>
      <w:r>
        <w:t xml:space="preserve"> en </w:t>
      </w:r>
      <w:r w:rsidRPr="00C44B54">
        <w:t>2019</w:t>
      </w:r>
      <w:r>
        <w:t xml:space="preserve">. Elle comprend des références à d’autres orientations existantes. </w:t>
      </w:r>
    </w:p>
    <w:p w:rsidR="00CD63F6" w:rsidRPr="001C6ACF" w:rsidRDefault="008358D0" w:rsidP="00AD4DC6">
      <w:pPr>
        <w:pStyle w:val="Hlistbullet"/>
        <w:spacing w:line="276" w:lineRule="auto"/>
      </w:pPr>
      <w:r>
        <w:rPr>
          <w:b/>
          <w:color w:val="F07E31" w:themeColor="accent1"/>
        </w:rPr>
        <w:t>PARTIE II</w:t>
      </w:r>
      <w:r>
        <w:t xml:space="preserve"> </w:t>
      </w:r>
      <w:r>
        <w:rPr>
          <w:b/>
          <w:color w:val="F07E31" w:themeColor="accent1"/>
        </w:rPr>
        <w:t>(principalement à l’intention des évaluateurs):</w:t>
      </w:r>
      <w:r>
        <w:t xml:space="preserve"> cette partie offre un soutien méthodologique pour évaluer les indicateurs d’impact communs du pilier </w:t>
      </w:r>
      <w:r w:rsidRPr="00C44B54">
        <w:t>2</w:t>
      </w:r>
      <w:r>
        <w:t xml:space="preserve"> (impacts sectoriels, environnementaux et socioéconomiques). Elle fournit des explications sur les logiques d’intervention, l’utilisation d’éléments d’évaluation supplémentaires, les exigences en matière de données et les unités d’évaluation, et elle guide le lecteur afin de l’aider à choisir les approches d’évaluation les plus appropriées pour dégager les contributions du PDR aux </w:t>
      </w:r>
      <w:r>
        <w:lastRenderedPageBreak/>
        <w:t>valeurs des indicateurs d’impact de la PAC. En outre, la partie II propose également des approches d’évaluation des contributions du PDR à la réalisation de la stratégie Europe </w:t>
      </w:r>
      <w:r w:rsidRPr="00C44B54">
        <w:t>2020</w:t>
      </w:r>
      <w:r>
        <w:t xml:space="preserve"> et à l’innovation. </w:t>
      </w:r>
    </w:p>
    <w:p w:rsidR="00800238" w:rsidRPr="001C6ACF" w:rsidRDefault="00800238" w:rsidP="00AD4DC6">
      <w:pPr>
        <w:pStyle w:val="Hlistbullet"/>
        <w:spacing w:line="276" w:lineRule="auto"/>
      </w:pPr>
      <w:r>
        <w:rPr>
          <w:b/>
          <w:color w:val="F07E31" w:themeColor="accent1"/>
        </w:rPr>
        <w:t>PARTIE III:</w:t>
      </w:r>
      <w:r>
        <w:rPr>
          <w:color w:val="F07E31" w:themeColor="accent1"/>
        </w:rPr>
        <w:t xml:space="preserve"> </w:t>
      </w:r>
      <w:r>
        <w:t>cette partie contient les fiches de réponse aux QEC nº </w:t>
      </w:r>
      <w:r w:rsidRPr="00C44B54">
        <w:t>22</w:t>
      </w:r>
      <w:r>
        <w:t xml:space="preserve"> à </w:t>
      </w:r>
      <w:r w:rsidRPr="00C44B54">
        <w:t>30</w:t>
      </w:r>
      <w:r>
        <w:t>.</w:t>
      </w:r>
    </w:p>
    <w:p w:rsidR="00CD63F6" w:rsidRPr="001C6ACF" w:rsidRDefault="00FE491B" w:rsidP="00AD4DC6">
      <w:pPr>
        <w:pStyle w:val="Hlistbullet"/>
        <w:spacing w:line="276" w:lineRule="auto"/>
      </w:pPr>
      <w:r>
        <w:rPr>
          <w:b/>
          <w:color w:val="F07E31" w:themeColor="accent1"/>
        </w:rPr>
        <w:t>PARTIE </w:t>
      </w:r>
      <w:proofErr w:type="gramStart"/>
      <w:r>
        <w:rPr>
          <w:b/>
          <w:color w:val="F07E31" w:themeColor="accent1"/>
        </w:rPr>
        <w:t>I</w:t>
      </w:r>
      <w:r w:rsidR="00F616C9">
        <w:rPr>
          <w:b/>
          <w:color w:val="F07E31" w:themeColor="accent1"/>
        </w:rPr>
        <w:t>V</w:t>
      </w:r>
      <w:r>
        <w:rPr>
          <w:b/>
          <w:color w:val="F07E31" w:themeColor="accent1"/>
        </w:rPr>
        <w:t>:</w:t>
      </w:r>
      <w:proofErr w:type="gramEnd"/>
      <w:r>
        <w:rPr>
          <w:b/>
          <w:color w:val="F07E31" w:themeColor="accent1"/>
        </w:rPr>
        <w:t xml:space="preserve"> </w:t>
      </w:r>
      <w:r>
        <w:t>cette partie contient</w:t>
      </w:r>
      <w:r>
        <w:rPr>
          <w:b/>
        </w:rPr>
        <w:t xml:space="preserve"> </w:t>
      </w:r>
      <w:r>
        <w:t xml:space="preserve">l’annexe technique dans laquelle figurent des informations plus détaillées sur les approches d’évaluation des indicateurs d’impact de la PAC ainsi qu’un glossaire de termes. </w:t>
      </w:r>
    </w:p>
    <w:p w:rsidR="001C2076" w:rsidRPr="001C6ACF" w:rsidRDefault="001C2076" w:rsidP="008D52EA">
      <w:pPr>
        <w:pStyle w:val="HHeading1"/>
        <w:tabs>
          <w:tab w:val="clear" w:pos="474"/>
          <w:tab w:val="clear" w:pos="567"/>
        </w:tabs>
        <w:rPr>
          <w:sz w:val="28"/>
        </w:rPr>
      </w:pPr>
      <w:r>
        <w:rPr>
          <w:sz w:val="28"/>
        </w:rPr>
        <w:lastRenderedPageBreak/>
        <w:t>Quels sont les éléments devant être communiqués lors de l’évaluation qui fera l’objet du RAM présenté en </w:t>
      </w:r>
      <w:r w:rsidRPr="00C44B54">
        <w:rPr>
          <w:sz w:val="28"/>
        </w:rPr>
        <w:t>2019</w:t>
      </w:r>
      <w:r>
        <w:rPr>
          <w:sz w:val="28"/>
        </w:rPr>
        <w:t>? (Partie I)</w:t>
      </w:r>
    </w:p>
    <w:p w:rsidR="001C2076" w:rsidRPr="001C6ACF" w:rsidRDefault="000C5796" w:rsidP="00E35440">
      <w:pPr>
        <w:pStyle w:val="HHeading2"/>
      </w:pPr>
      <w:r>
        <w:t>Cadre juridique et objectif principal de l’évaluation en </w:t>
      </w:r>
      <w:r w:rsidRPr="00C44B54">
        <w:t>2019</w:t>
      </w:r>
      <w:r>
        <w:t xml:space="preserve"> </w:t>
      </w:r>
    </w:p>
    <w:p w:rsidR="00B013D7" w:rsidRPr="00571D58" w:rsidRDefault="006A3698" w:rsidP="001C2076">
      <w:pPr>
        <w:pStyle w:val="HStandard"/>
      </w:pPr>
      <w:r>
        <w:t>À partir de juin </w:t>
      </w:r>
      <w:r w:rsidRPr="00C44B54">
        <w:t>2016</w:t>
      </w:r>
      <w:r>
        <w:t xml:space="preserve"> et chaque année jusqu’en </w:t>
      </w:r>
      <w:r w:rsidRPr="00C44B54">
        <w:t>2024</w:t>
      </w:r>
      <w:r>
        <w:rPr>
          <w:rStyle w:val="FootnoteReference"/>
        </w:rPr>
        <w:footnoteReference w:id="3"/>
      </w:r>
      <w:r>
        <w:t>, les États membres présentent à la Commission un rapport annuel de mise en œuvre (RAM). Le RAM fournit des informations concernant la mise en œuvre du PDR, ainsi que sur les progrès réalisés dans la mise en œuvre du plan d’évaluation</w:t>
      </w:r>
      <w:r>
        <w:rPr>
          <w:rStyle w:val="FootnoteReference"/>
        </w:rPr>
        <w:footnoteReference w:id="4"/>
      </w:r>
      <w:r>
        <w:t xml:space="preserve">. </w:t>
      </w:r>
    </w:p>
    <w:p w:rsidR="001C2076" w:rsidRPr="0036731C" w:rsidRDefault="001C2076" w:rsidP="001C2076">
      <w:pPr>
        <w:pStyle w:val="HStandard"/>
      </w:pPr>
      <w:r>
        <w:t xml:space="preserve">Le </w:t>
      </w:r>
      <w:r>
        <w:rPr>
          <w:b/>
        </w:rPr>
        <w:t>RAM</w:t>
      </w:r>
      <w:r>
        <w:t xml:space="preserve"> </w:t>
      </w:r>
      <w:r>
        <w:rPr>
          <w:b/>
        </w:rPr>
        <w:t>présenté en </w:t>
      </w:r>
      <w:r w:rsidRPr="00C44B54">
        <w:rPr>
          <w:b/>
        </w:rPr>
        <w:t>2017</w:t>
      </w:r>
      <w:r>
        <w:t xml:space="preserve"> comprenait la quantification des réalisations du programme (au moyen de l’évaluation des indicateurs de résultat, notamment les indicateurs de résultat complémentaires). Des critères de jugement ont été utilisés pour interpréter les indicateurs de résultat et pour répondre aux QEC</w:t>
      </w:r>
      <w:r>
        <w:rPr>
          <w:rStyle w:val="FootnoteReference"/>
        </w:rPr>
        <w:footnoteReference w:id="5"/>
      </w:r>
      <w:r>
        <w:t xml:space="preserve"> nº </w:t>
      </w:r>
      <w:r w:rsidRPr="00C44B54">
        <w:t>1</w:t>
      </w:r>
      <w:r>
        <w:t> à </w:t>
      </w:r>
      <w:r w:rsidRPr="00C44B54">
        <w:t>21</w:t>
      </w:r>
      <w:r>
        <w:t xml:space="preserve">. Les </w:t>
      </w:r>
      <w:r>
        <w:rPr>
          <w:i/>
        </w:rPr>
        <w:t xml:space="preserve">lignes directrices </w:t>
      </w:r>
      <w:hyperlink r:id="rId14">
        <w:r>
          <w:rPr>
            <w:rStyle w:val="Hyperlink"/>
            <w:i/>
          </w:rPr>
          <w:t>«Évaluation des résultats du PDR: Comment établir le rapport sur l’évaluation en </w:t>
        </w:r>
        <w:r w:rsidRPr="00C44B54">
          <w:rPr>
            <w:rStyle w:val="Hyperlink"/>
            <w:i/>
          </w:rPr>
          <w:t>2017</w:t>
        </w:r>
      </w:hyperlink>
      <w:r>
        <w:t xml:space="preserve"> peuvent également soutenir ces activités et les rendre également pertinentes en vue de l’exercice </w:t>
      </w:r>
      <w:r w:rsidRPr="00C44B54">
        <w:t>2019</w:t>
      </w:r>
      <w:r>
        <w:rPr>
          <w:rStyle w:val="FootnoteReference"/>
        </w:rPr>
        <w:footnoteReference w:id="6"/>
      </w:r>
      <w:r>
        <w:t xml:space="preserve">. </w:t>
      </w:r>
    </w:p>
    <w:p w:rsidR="00BA41C1" w:rsidRPr="001C6ACF" w:rsidRDefault="001C2076" w:rsidP="001C2076">
      <w:pPr>
        <w:pStyle w:val="HStandard"/>
      </w:pPr>
      <w:r>
        <w:t>Le</w:t>
      </w:r>
      <w:r>
        <w:rPr>
          <w:b/>
        </w:rPr>
        <w:t xml:space="preserve"> RAM</w:t>
      </w:r>
      <w:r>
        <w:t xml:space="preserve"> présenté </w:t>
      </w:r>
      <w:r>
        <w:rPr>
          <w:b/>
        </w:rPr>
        <w:t>en </w:t>
      </w:r>
      <w:r w:rsidRPr="00C44B54">
        <w:rPr>
          <w:b/>
        </w:rPr>
        <w:t>2019</w:t>
      </w:r>
      <w:r>
        <w:t xml:space="preserve"> exige d’actualiser les résultats de l’évaluation communiqués en </w:t>
      </w:r>
      <w:r w:rsidRPr="00C44B54">
        <w:t>2017</w:t>
      </w:r>
      <w:r>
        <w:t xml:space="preserve"> et comprendra </w:t>
      </w:r>
      <w:r>
        <w:rPr>
          <w:u w:val="single"/>
        </w:rPr>
        <w:t>en outre</w:t>
      </w:r>
      <w:r>
        <w:t>:</w:t>
      </w:r>
    </w:p>
    <w:p w:rsidR="00BA41C1" w:rsidRPr="001C6ACF" w:rsidRDefault="001C2076" w:rsidP="00BA41C1">
      <w:pPr>
        <w:pStyle w:val="Hlistbullet"/>
      </w:pPr>
      <w:r>
        <w:t xml:space="preserve">les résultats de l’évaluation des incidences du PDR, obtenus en calculant et en interprétant les valeurs nettes des indicateurs d’impact de la PAC; </w:t>
      </w:r>
    </w:p>
    <w:p w:rsidR="00BA41C1" w:rsidRPr="001C6ACF" w:rsidRDefault="00BA41C1" w:rsidP="00BA41C1">
      <w:pPr>
        <w:pStyle w:val="Hlistbullet"/>
      </w:pPr>
      <w:r>
        <w:t xml:space="preserve">les contributions du PDR à la stratégie de l’UE pour une croissance intelligente, durable et inclusive ainsi que de la stratégie de l’UE en faveur de la biodiversité; et </w:t>
      </w:r>
    </w:p>
    <w:p w:rsidR="001C2076" w:rsidRPr="001C6ACF" w:rsidRDefault="00BA41C1" w:rsidP="00BA41C1">
      <w:pPr>
        <w:pStyle w:val="Hlistbullet"/>
      </w:pPr>
      <w:r>
        <w:t>les réponses aux QEC relatives aux PDR </w:t>
      </w:r>
      <w:r w:rsidRPr="00C44B54">
        <w:t>2014</w:t>
      </w:r>
      <w:r>
        <w:t>-</w:t>
      </w:r>
      <w:r w:rsidRPr="00C44B54">
        <w:t>2020</w:t>
      </w:r>
      <w:r>
        <w:t xml:space="preserve"> concernant les objectifs au niveau de l’UE (à savoir les QEC nº </w:t>
      </w:r>
      <w:r w:rsidRPr="00C44B54">
        <w:t>22</w:t>
      </w:r>
      <w:r>
        <w:t xml:space="preserve"> à </w:t>
      </w:r>
      <w:r w:rsidRPr="00C44B54">
        <w:t>30</w:t>
      </w:r>
      <w:r>
        <w:t>).</w:t>
      </w:r>
    </w:p>
    <w:p w:rsidR="001C2076" w:rsidRPr="0036731C" w:rsidRDefault="00CA1C02" w:rsidP="001C2076">
      <w:pPr>
        <w:pStyle w:val="HStandard"/>
      </w:pPr>
      <w:r>
        <w:t>Le schéma suivant donne un aperçu des exigences principales en matière de rapports concernant l’évaluation dans les RAM tout au long de la période de programmation, comme indiqué dans le cadre juridique</w:t>
      </w:r>
      <w:r>
        <w:rPr>
          <w:rStyle w:val="FootnoteReference"/>
        </w:rPr>
        <w:footnoteReference w:id="7"/>
      </w:r>
      <w:r>
        <w:t xml:space="preserve"> ainsi que dans les orientations qui y sont liées. </w:t>
      </w:r>
    </w:p>
    <w:p w:rsidR="001C2076" w:rsidRPr="00FB6C06" w:rsidRDefault="00CA1C02" w:rsidP="00E52947">
      <w:pPr>
        <w:pStyle w:val="HHeadingfigures"/>
        <w:tabs>
          <w:tab w:val="clear" w:pos="2666"/>
        </w:tabs>
      </w:pPr>
      <w:r>
        <w:lastRenderedPageBreak/>
        <w:t>Établir le rapport sur l’évaluation [conformément à l’annexe VII du règlement (UE) nº </w:t>
      </w:r>
      <w:r w:rsidRPr="00C44B54">
        <w:t>808</w:t>
      </w:r>
      <w:r>
        <w:t>/</w:t>
      </w:r>
      <w:r w:rsidRPr="00C44B54">
        <w:t>2014</w:t>
      </w:r>
      <w:r>
        <w:t xml:space="preserve">] </w:t>
      </w:r>
    </w:p>
    <w:p w:rsidR="001C2076" w:rsidRPr="00571D58" w:rsidRDefault="00C66265" w:rsidP="00744BAA">
      <w:pPr>
        <w:pStyle w:val="HStandard"/>
        <w:jc w:val="center"/>
      </w:pPr>
      <w:r>
        <w:rPr>
          <w:noProof/>
          <w:lang w:val="en-GB" w:eastAsia="en-GB" w:bidi="ar-SA"/>
        </w:rPr>
        <w:drawing>
          <wp:inline distT="0" distB="0" distL="0" distR="0" wp14:anchorId="2B42DA5A" wp14:editId="3EBF6B9D">
            <wp:extent cx="4072848" cy="3095625"/>
            <wp:effectExtent l="0" t="0" r="444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0249" cy="3146854"/>
                    </a:xfrm>
                    <a:prstGeom prst="rect">
                      <a:avLst/>
                    </a:prstGeom>
                    <a:noFill/>
                  </pic:spPr>
                </pic:pic>
              </a:graphicData>
            </a:graphic>
          </wp:inline>
        </w:drawing>
      </w:r>
    </w:p>
    <w:p w:rsidR="001C2076" w:rsidRPr="007645B4" w:rsidRDefault="001C2076" w:rsidP="008D52EA">
      <w:pPr>
        <w:pStyle w:val="HSource"/>
        <w:rPr>
          <w:i w:val="0"/>
        </w:rPr>
      </w:pPr>
      <w:r>
        <w:t>Source: Helpdesk Évaluation européen pour le développement rural (</w:t>
      </w:r>
      <w:r w:rsidRPr="00C44B54">
        <w:t>2018</w:t>
      </w:r>
      <w:r>
        <w:t>)</w:t>
      </w:r>
    </w:p>
    <w:p w:rsidR="00E52E73" w:rsidRPr="007645B4" w:rsidRDefault="00E52E73" w:rsidP="00E52E73">
      <w:pPr>
        <w:pStyle w:val="HHeading4"/>
      </w:pPr>
      <w:r>
        <w:t xml:space="preserve">Le cadre juridique </w:t>
      </w:r>
    </w:p>
    <w:p w:rsidR="00DE65AB" w:rsidRPr="001C6ACF" w:rsidRDefault="00BA41C1" w:rsidP="001C2076">
      <w:pPr>
        <w:pStyle w:val="HStandard"/>
      </w:pPr>
      <w:r>
        <w:t xml:space="preserve">Le cadre juridique et le système commun de suivi et d’évaluation (CMES) servent de base à l’évaluation des PDR. </w:t>
      </w:r>
    </w:p>
    <w:p w:rsidR="001A2395" w:rsidRPr="00863E73" w:rsidRDefault="00BA41C1" w:rsidP="001C2076">
      <w:pPr>
        <w:pStyle w:val="HStandard"/>
      </w:pPr>
      <w:r>
        <w:rPr>
          <w:b/>
        </w:rPr>
        <w:t>Le cadre juridique</w:t>
      </w:r>
      <w:r>
        <w:rPr>
          <w:rStyle w:val="FootnoteReference"/>
        </w:rPr>
        <w:footnoteReference w:id="8"/>
      </w:r>
      <w:r>
        <w:t xml:space="preserve"> constitue le fondement de l’évaluation des réalisations et des contributions du PDR aux objectifs stratégiques supérieurs de l’UE. </w:t>
      </w:r>
    </w:p>
    <w:p w:rsidR="001C2076" w:rsidRPr="001C6ACF" w:rsidRDefault="00CA1C02" w:rsidP="001C2076">
      <w:pPr>
        <w:pStyle w:val="HStandard"/>
      </w:pPr>
      <w:r>
        <w:t xml:space="preserve">Les </w:t>
      </w:r>
      <w:r>
        <w:rPr>
          <w:b/>
        </w:rPr>
        <w:t>dispositions générales</w:t>
      </w:r>
      <w:r>
        <w:t xml:space="preserve"> relatives à l’évaluation sont prévues dans le </w:t>
      </w:r>
      <w:r>
        <w:rPr>
          <w:b/>
        </w:rPr>
        <w:t>règlement (UE) nº </w:t>
      </w:r>
      <w:r w:rsidRPr="00C44B54">
        <w:rPr>
          <w:b/>
        </w:rPr>
        <w:t>1303</w:t>
      </w:r>
      <w:r>
        <w:rPr>
          <w:b/>
        </w:rPr>
        <w:t>/</w:t>
      </w:r>
      <w:r w:rsidRPr="00C44B54">
        <w:rPr>
          <w:b/>
        </w:rPr>
        <w:t>2013</w:t>
      </w:r>
      <w:r>
        <w:t xml:space="preserve"> et précisent le rôle de l’évaluation dans</w:t>
      </w:r>
    </w:p>
    <w:p w:rsidR="001C2076" w:rsidRPr="001C6ACF" w:rsidRDefault="001C2076" w:rsidP="008D52EA">
      <w:pPr>
        <w:pStyle w:val="Hlistbullet"/>
      </w:pPr>
      <w:r>
        <w:t xml:space="preserve">l’amélioration de la qualité de la mise en œuvre et de la conception des programmes; et </w:t>
      </w:r>
    </w:p>
    <w:p w:rsidR="001C2076" w:rsidRPr="00571D58" w:rsidRDefault="001C2076" w:rsidP="008D52EA">
      <w:pPr>
        <w:pStyle w:val="Hlistbullet"/>
      </w:pPr>
      <w:r>
        <w:t>l’évaluation de l’efficacité, de l’efficience et des impacts du programme</w:t>
      </w:r>
      <w:r>
        <w:rPr>
          <w:rStyle w:val="FootnoteReference"/>
        </w:rPr>
        <w:footnoteReference w:id="9"/>
      </w:r>
      <w:r>
        <w:t xml:space="preserve">. </w:t>
      </w:r>
    </w:p>
    <w:p w:rsidR="00087412" w:rsidRPr="001C6ACF" w:rsidRDefault="00D42EC7" w:rsidP="001C2076">
      <w:pPr>
        <w:pStyle w:val="HStandard"/>
      </w:pPr>
      <w:r>
        <w:t xml:space="preserve">À cette fin, les États membres se dotent des </w:t>
      </w:r>
      <w:r>
        <w:rPr>
          <w:b/>
        </w:rPr>
        <w:t>moyens nécessaires pour effectuer les évaluations</w:t>
      </w:r>
      <w:r>
        <w:t xml:space="preserve"> et veillent à ce qu’il existe des procédures de</w:t>
      </w:r>
      <w:r>
        <w:rPr>
          <w:b/>
        </w:rPr>
        <w:t xml:space="preserve"> production et de collecte des données nécessaires aux évaluations</w:t>
      </w:r>
      <w:r>
        <w:t xml:space="preserve">, y compris des données relatives aux indicateurs communs et, le cas échéant, aux indicateurs spécifiques des programmes. </w:t>
      </w:r>
    </w:p>
    <w:p w:rsidR="001C2076" w:rsidRPr="00571D58" w:rsidRDefault="001C2076" w:rsidP="001C2076">
      <w:pPr>
        <w:pStyle w:val="HStandard"/>
      </w:pPr>
      <w:r>
        <w:t xml:space="preserve">Les évaluations sont réalisées conformément au </w:t>
      </w:r>
      <w:r>
        <w:rPr>
          <w:b/>
        </w:rPr>
        <w:t>plan d’évaluation</w:t>
      </w:r>
      <w:r>
        <w:t xml:space="preserve"> et leurs résultats font l’objet d’un suivi selon les règles spécifiques au fonds. Une évaluation porte, au moins une fois pendant la période de programmation, sur la manière dont le soutien accordé par les Fonds ESI a contribué à la réalisation des objectifs pour chaque priorité</w:t>
      </w:r>
      <w:r>
        <w:rPr>
          <w:rStyle w:val="FootnoteReference"/>
        </w:rPr>
        <w:footnoteReference w:id="10"/>
      </w:r>
      <w:r>
        <w:t>.</w:t>
      </w:r>
    </w:p>
    <w:p w:rsidR="001C2076" w:rsidRPr="00571D58" w:rsidRDefault="001C2076" w:rsidP="001C2076">
      <w:pPr>
        <w:pStyle w:val="HStandard"/>
      </w:pPr>
      <w:r>
        <w:t xml:space="preserve">Le </w:t>
      </w:r>
      <w:r>
        <w:rPr>
          <w:b/>
        </w:rPr>
        <w:t>règlement (UE) nº </w:t>
      </w:r>
      <w:r w:rsidRPr="00C44B54">
        <w:rPr>
          <w:b/>
        </w:rPr>
        <w:t>1306</w:t>
      </w:r>
      <w:r>
        <w:rPr>
          <w:b/>
        </w:rPr>
        <w:t>/</w:t>
      </w:r>
      <w:r w:rsidRPr="00C44B54">
        <w:rPr>
          <w:b/>
        </w:rPr>
        <w:t>2013</w:t>
      </w:r>
      <w:r>
        <w:t xml:space="preserve"> précise les exigences en matière de suivi et d’évaluation de la politique agricole commune (PAC)</w:t>
      </w:r>
      <w:r>
        <w:rPr>
          <w:rStyle w:val="FootnoteReference"/>
        </w:rPr>
        <w:footnoteReference w:id="11"/>
      </w:r>
      <w:r>
        <w:t xml:space="preserve">. Il dispose que la Commission européenne garantit les performances de la PAC dans la réalisation de ses </w:t>
      </w:r>
      <w:r>
        <w:rPr>
          <w:b/>
        </w:rPr>
        <w:t>objectifs communs</w:t>
      </w:r>
      <w:r>
        <w:t>. L’effet combiné de tous les instruments de la PAC est mesuré et évalué sur la base des informations obtenues lors des activités de suivi et d’évaluation réalisées dans les États membres.</w:t>
      </w:r>
      <w:r>
        <w:rPr>
          <w:b/>
        </w:rPr>
        <w:t xml:space="preserve"> </w:t>
      </w:r>
      <w:r>
        <w:t>Les objectifs communs sont mesurés et évalués sur la base d’</w:t>
      </w:r>
      <w:r>
        <w:rPr>
          <w:b/>
        </w:rPr>
        <w:t>indicateurs d’impact communs</w:t>
      </w:r>
      <w:r>
        <w:t xml:space="preserve"> et les objectifs spécifiques sous-jacents sont </w:t>
      </w:r>
      <w:r>
        <w:lastRenderedPageBreak/>
        <w:t>évalués sur la base d'</w:t>
      </w:r>
      <w:r>
        <w:rPr>
          <w:b/>
        </w:rPr>
        <w:t>indicateurs communs de résultat</w:t>
      </w:r>
      <w:r>
        <w:t>. Les informations collectées sont fondées sur des sources de données reconnues, telles que le réseau d’information comptable agricole (RICA) et Eurostat. La Commission européenne tient compte des besoins en données et des synergies entre les sources de données potentielles, notamment de leur utilisation, le cas échéant, à des fins statistiques</w:t>
      </w:r>
      <w:r>
        <w:rPr>
          <w:rStyle w:val="FootnoteReference"/>
        </w:rPr>
        <w:footnoteReference w:id="12"/>
      </w:r>
      <w:r>
        <w:t>.</w:t>
      </w:r>
    </w:p>
    <w:p w:rsidR="001C2076" w:rsidRPr="001C6ACF" w:rsidRDefault="001C2076" w:rsidP="001C2076">
      <w:pPr>
        <w:pStyle w:val="HStandard"/>
      </w:pPr>
      <w:r>
        <w:rPr>
          <w:b/>
        </w:rPr>
        <w:t>Le règlement (UE) </w:t>
      </w:r>
      <w:r w:rsidRPr="00C44B54">
        <w:rPr>
          <w:b/>
        </w:rPr>
        <w:t>1305</w:t>
      </w:r>
      <w:r>
        <w:rPr>
          <w:b/>
        </w:rPr>
        <w:t>/</w:t>
      </w:r>
      <w:r w:rsidRPr="00C44B54">
        <w:rPr>
          <w:b/>
        </w:rPr>
        <w:t>2013</w:t>
      </w:r>
      <w:r>
        <w:rPr>
          <w:b/>
        </w:rPr>
        <w:t xml:space="preserve"> établit le</w:t>
      </w:r>
      <w:r>
        <w:t xml:space="preserve"> </w:t>
      </w:r>
      <w:r>
        <w:rPr>
          <w:b/>
        </w:rPr>
        <w:t>système commun de suivi et d’évaluation</w:t>
      </w:r>
      <w:r>
        <w:t>, ses objectifs</w:t>
      </w:r>
      <w:r>
        <w:rPr>
          <w:rStyle w:val="FootnoteReference"/>
        </w:rPr>
        <w:footnoteReference w:id="13"/>
      </w:r>
      <w:r>
        <w:t xml:space="preserve"> et ses indicateurs communs</w:t>
      </w:r>
      <w:r>
        <w:rPr>
          <w:rStyle w:val="FootnoteReference"/>
        </w:rPr>
        <w:footnoteReference w:id="14"/>
      </w:r>
      <w:r>
        <w:t>. Ces indicateurs sont relatifs à la situation de départ (indicateurs de contexte) ainsi qu’à l’exécution financière, aux réalisations, aux résultats et à l’incidence du programme. Les indicateurs communs sont fondés sur les données disponibles et liés à la structure et aux objectifs du cadre politique du développement rural et permettent l’évaluation de l’état d’avancement, de l’efficience et de l’efficacité de la mise en œuvre des politiques au regard des objectifs généraux et spécifiques fixés au niveau de l’Union, au niveau national et au niveau du programme.</w:t>
      </w:r>
    </w:p>
    <w:p w:rsidR="001C2076" w:rsidRPr="001C6ACF" w:rsidRDefault="001C2076" w:rsidP="001C2076">
      <w:pPr>
        <w:pStyle w:val="HStandard"/>
        <w:rPr>
          <w:b/>
        </w:rPr>
      </w:pPr>
      <w:r>
        <w:t xml:space="preserve">Les incidences des programmes de développement rural sont évaluées à l’aide d’indicateurs d’impact communs (supplémentaires et propres au programme). </w:t>
      </w:r>
      <w:r>
        <w:rPr>
          <w:b/>
        </w:rPr>
        <w:t xml:space="preserve">L’évaluation des incidences du programme relève de la responsabilité de chaque État membre. </w:t>
      </w:r>
    </w:p>
    <w:p w:rsidR="00E52E73" w:rsidRPr="001C6ACF" w:rsidRDefault="00E52E73" w:rsidP="00E52E73">
      <w:pPr>
        <w:pStyle w:val="HHeading4"/>
      </w:pPr>
      <w:r>
        <w:t>Les éléments d’évaluation communs</w:t>
      </w:r>
    </w:p>
    <w:p w:rsidR="00D42EC7" w:rsidRPr="00CB20AA" w:rsidRDefault="00D42EC7" w:rsidP="00D42EC7">
      <w:pPr>
        <w:pStyle w:val="HStandard"/>
      </w:pPr>
      <w:r>
        <w:t>Le CMES fait partie du cadre commun de suivi et d’évaluation de la PAC (CMEF)</w:t>
      </w:r>
      <w:r>
        <w:rPr>
          <w:rStyle w:val="FootnoteReference"/>
        </w:rPr>
        <w:footnoteReference w:id="15"/>
      </w:r>
      <w:r>
        <w:t xml:space="preserve"> et comprend plusieurs documents d’orientation concernant l’utilisation de questions d’évaluation communes et d’indicateurs dans le cadre du suivi et de l’évaluation de la politique de développement rural. Le </w:t>
      </w:r>
      <w:r>
        <w:rPr>
          <w:b/>
        </w:rPr>
        <w:t>règlement d’exécution (UE) nº </w:t>
      </w:r>
      <w:r w:rsidRPr="00C44B54">
        <w:rPr>
          <w:b/>
        </w:rPr>
        <w:t>808</w:t>
      </w:r>
      <w:r>
        <w:rPr>
          <w:b/>
        </w:rPr>
        <w:t>/</w:t>
      </w:r>
      <w:r w:rsidRPr="00C44B54">
        <w:rPr>
          <w:b/>
        </w:rPr>
        <w:t>2014</w:t>
      </w:r>
      <w:r>
        <w:rPr>
          <w:rStyle w:val="FootnoteReference"/>
          <w:b/>
        </w:rPr>
        <w:footnoteReference w:id="16"/>
      </w:r>
      <w:r>
        <w:t xml:space="preserve"> de la Commission décrit le CMES plus en détail et précise ses éléments: </w:t>
      </w:r>
    </w:p>
    <w:p w:rsidR="001C2076" w:rsidRPr="00FB6C06" w:rsidRDefault="001C2076" w:rsidP="008D52EA">
      <w:pPr>
        <w:pStyle w:val="Hlistbullet"/>
      </w:pPr>
      <w:r>
        <w:t xml:space="preserve">une logique d’intervention indiquant les interactions entre les priorités, les domaines prioritaires et les mesures; </w:t>
      </w:r>
    </w:p>
    <w:p w:rsidR="001C2076" w:rsidRPr="00571D58" w:rsidRDefault="001C2076" w:rsidP="008D52EA">
      <w:pPr>
        <w:pStyle w:val="Hlistbullet"/>
      </w:pPr>
      <w:r>
        <w:t>un ensemble d’indicateurs communs de contexte, de résultat et de réalisation, y compris les indicateurs à utiliser pour l’établissement d’objectifs chiffrés en ce qui concerne les domaines prioritaires du développement rural</w:t>
      </w:r>
      <w:r>
        <w:rPr>
          <w:rStyle w:val="FootnoteReference"/>
        </w:rPr>
        <w:footnoteReference w:id="17"/>
      </w:r>
      <w:r>
        <w:t xml:space="preserve">; </w:t>
      </w:r>
    </w:p>
    <w:p w:rsidR="001C2076" w:rsidRPr="00571D58" w:rsidRDefault="001C2076" w:rsidP="008D52EA">
      <w:pPr>
        <w:pStyle w:val="Hlistbullet"/>
      </w:pPr>
      <w:r>
        <w:t>des questions d’évaluation communes</w:t>
      </w:r>
      <w:r>
        <w:rPr>
          <w:rStyle w:val="FootnoteReference"/>
        </w:rPr>
        <w:footnoteReference w:id="18"/>
      </w:r>
      <w:r>
        <w:t>;</w:t>
      </w:r>
    </w:p>
    <w:p w:rsidR="001C2076" w:rsidRPr="00FB6C06" w:rsidRDefault="001C2076" w:rsidP="008D52EA">
      <w:pPr>
        <w:pStyle w:val="Hlistbullet"/>
      </w:pPr>
      <w:r>
        <w:t xml:space="preserve">la collecte, le stockage et la transmission des données; </w:t>
      </w:r>
    </w:p>
    <w:p w:rsidR="001C2076" w:rsidRPr="00571D58" w:rsidRDefault="001C2076" w:rsidP="008D52EA">
      <w:pPr>
        <w:pStyle w:val="Hlistbullet"/>
      </w:pPr>
      <w:r>
        <w:t>des rapports réguliers sur les activités de suivi et d’évaluation</w:t>
      </w:r>
      <w:r>
        <w:rPr>
          <w:rStyle w:val="FootnoteReference"/>
        </w:rPr>
        <w:footnoteReference w:id="19"/>
      </w:r>
      <w:r>
        <w:t xml:space="preserve">; </w:t>
      </w:r>
    </w:p>
    <w:p w:rsidR="001C2076" w:rsidRPr="00571D58" w:rsidRDefault="001C2076" w:rsidP="008D52EA">
      <w:pPr>
        <w:pStyle w:val="Hlistbullet"/>
      </w:pPr>
      <w:r>
        <w:t>le plan d’évaluation</w:t>
      </w:r>
      <w:r>
        <w:rPr>
          <w:rStyle w:val="FootnoteReference"/>
        </w:rPr>
        <w:footnoteReference w:id="20"/>
      </w:r>
      <w:r>
        <w:t xml:space="preserve">; </w:t>
      </w:r>
    </w:p>
    <w:p w:rsidR="001C2076" w:rsidRPr="00571D58" w:rsidRDefault="001C2076" w:rsidP="008D52EA">
      <w:pPr>
        <w:pStyle w:val="Hlistbullet"/>
      </w:pPr>
      <w:r>
        <w:t>les évaluations ex ante et ex post et toutes les autres activités d’évaluation liées au programme de développement rural, y compris celles qui sont nécessaires pour répondre aux exigences supplémentaires des rapports annuels de mise en œuvre présentés en </w:t>
      </w:r>
      <w:r w:rsidRPr="00C44B54">
        <w:t>2017</w:t>
      </w:r>
      <w:r>
        <w:t xml:space="preserve"> et </w:t>
      </w:r>
      <w:r w:rsidRPr="00C44B54">
        <w:t>2019</w:t>
      </w:r>
      <w:r>
        <w:rPr>
          <w:rStyle w:val="FootnoteReference"/>
        </w:rPr>
        <w:footnoteReference w:id="21"/>
      </w:r>
      <w:r>
        <w:t>;</w:t>
      </w:r>
    </w:p>
    <w:p w:rsidR="001C2076" w:rsidRPr="00571D58" w:rsidRDefault="001C2076" w:rsidP="008D52EA">
      <w:pPr>
        <w:pStyle w:val="Hlistbullet"/>
      </w:pPr>
      <w:r>
        <w:t>un soutien pour permettre à tous les acteurs responsables du suivi et de l’évaluation de satisfaire à leurs obligations</w:t>
      </w:r>
      <w:r>
        <w:rPr>
          <w:rStyle w:val="FootnoteReference"/>
        </w:rPr>
        <w:footnoteReference w:id="22"/>
      </w:r>
      <w:r>
        <w:t xml:space="preserve">. </w:t>
      </w:r>
    </w:p>
    <w:p w:rsidR="00F40273" w:rsidRPr="00CB20AA" w:rsidRDefault="00D42EC7" w:rsidP="001C2076">
      <w:pPr>
        <w:pStyle w:val="HStandard"/>
      </w:pPr>
      <w:r>
        <w:t xml:space="preserve">La Commission européenne fournit également des </w:t>
      </w:r>
      <w:r>
        <w:rPr>
          <w:b/>
        </w:rPr>
        <w:t>fiches</w:t>
      </w:r>
      <w:r>
        <w:t xml:space="preserve"> détaillées pour chacun des indicateurs communs devant être communiqués dans le RAM de </w:t>
      </w:r>
      <w:r w:rsidRPr="00C44B54">
        <w:t>2017</w:t>
      </w:r>
      <w:r>
        <w:t xml:space="preserve"> et </w:t>
      </w:r>
      <w:r w:rsidRPr="00C44B54">
        <w:t>2019</w:t>
      </w:r>
      <w:r>
        <w:t xml:space="preserve">, dont les </w:t>
      </w:r>
      <w:hyperlink r:id="rId16">
        <w:r w:rsidRPr="00C44B54">
          <w:rPr>
            <w:rStyle w:val="Hyperlink"/>
          </w:rPr>
          <w:t>16</w:t>
        </w:r>
        <w:r>
          <w:rPr>
            <w:rStyle w:val="Hyperlink"/>
          </w:rPr>
          <w:t> indicateurs d’impact communs de la PAC</w:t>
        </w:r>
      </w:hyperlink>
      <w:r>
        <w:t xml:space="preserve">. La </w:t>
      </w:r>
      <w:r>
        <w:rPr>
          <w:b/>
        </w:rPr>
        <w:t>fiche de chaque indicateur d’impact</w:t>
      </w:r>
      <w:r>
        <w:t xml:space="preserve"> contient un lien vers:</w:t>
      </w:r>
    </w:p>
    <w:p w:rsidR="00F40273" w:rsidRPr="001C6ACF" w:rsidRDefault="00A3244E" w:rsidP="00DA263D">
      <w:pPr>
        <w:pStyle w:val="Hlistbullet"/>
      </w:pPr>
      <w:r>
        <w:lastRenderedPageBreak/>
        <w:t xml:space="preserve">son objectif stratégique respectif; </w:t>
      </w:r>
    </w:p>
    <w:p w:rsidR="00F40273" w:rsidRPr="001C6ACF" w:rsidRDefault="001C2076" w:rsidP="00DA263D">
      <w:pPr>
        <w:pStyle w:val="Hlistbullet"/>
      </w:pPr>
      <w:r>
        <w:t xml:space="preserve">la définition de l’indicateur; </w:t>
      </w:r>
    </w:p>
    <w:p w:rsidR="00F40273" w:rsidRPr="001C6ACF" w:rsidRDefault="001C2076" w:rsidP="00DA263D">
      <w:pPr>
        <w:pStyle w:val="Hlistbullet"/>
      </w:pPr>
      <w:r>
        <w:t xml:space="preserve">l’unité de mesure; </w:t>
      </w:r>
    </w:p>
    <w:p w:rsidR="00F40273" w:rsidRPr="001C6ACF" w:rsidRDefault="001C2076" w:rsidP="00DA263D">
      <w:pPr>
        <w:pStyle w:val="Hlistbullet"/>
      </w:pPr>
      <w:r>
        <w:t xml:space="preserve">la méthode/formule de calcul; </w:t>
      </w:r>
    </w:p>
    <w:p w:rsidR="00F40273" w:rsidRPr="001C6ACF" w:rsidRDefault="001C2076" w:rsidP="00DA263D">
      <w:pPr>
        <w:pStyle w:val="Hlistbullet"/>
      </w:pPr>
      <w:r>
        <w:t xml:space="preserve">les exigences en matière de données et les sources de celles-ci; </w:t>
      </w:r>
    </w:p>
    <w:p w:rsidR="00F40273" w:rsidRPr="001C6ACF" w:rsidRDefault="003304E5" w:rsidP="00DA263D">
      <w:pPr>
        <w:pStyle w:val="Hlistbullet"/>
      </w:pPr>
      <w:r>
        <w:t xml:space="preserve">le niveau et la fréquence de la collecte des données; </w:t>
      </w:r>
    </w:p>
    <w:p w:rsidR="001C2076" w:rsidRPr="001C6ACF" w:rsidRDefault="001C2076" w:rsidP="00DA263D">
      <w:pPr>
        <w:pStyle w:val="Hlistbullet"/>
      </w:pPr>
      <w:r>
        <w:t xml:space="preserve">les informations quant aux retards liés à la collecte des données. </w:t>
      </w:r>
    </w:p>
    <w:p w:rsidR="001C2076" w:rsidRPr="001C6ACF" w:rsidRDefault="001C2076" w:rsidP="001C2076">
      <w:pPr>
        <w:pStyle w:val="HStandard"/>
      </w:pPr>
      <w:r w:rsidRPr="00C44B54">
        <w:rPr>
          <w:b/>
        </w:rPr>
        <w:t>13</w:t>
      </w:r>
      <w:r>
        <w:rPr>
          <w:b/>
        </w:rPr>
        <w:t xml:space="preserve"> des </w:t>
      </w:r>
      <w:r w:rsidRPr="00C44B54">
        <w:rPr>
          <w:b/>
        </w:rPr>
        <w:t>16</w:t>
      </w:r>
      <w:r>
        <w:rPr>
          <w:b/>
        </w:rPr>
        <w:t> indicateurs d’impact communs de la PAC</w:t>
      </w:r>
      <w:r>
        <w:t xml:space="preserve"> sont utilisés dans le cadre de l’évaluation des incidences du PDR:</w:t>
      </w:r>
    </w:p>
    <w:p w:rsidR="001C2076" w:rsidRPr="001C6ACF" w:rsidRDefault="001C2076" w:rsidP="008D52EA">
      <w:pPr>
        <w:pStyle w:val="Hlistbullet"/>
      </w:pPr>
      <w:r>
        <w:t>I.</w:t>
      </w:r>
      <w:r w:rsidRPr="00C44B54">
        <w:t>01</w:t>
      </w:r>
      <w:r>
        <w:t> Revenu d’entreprise agricole</w:t>
      </w:r>
    </w:p>
    <w:p w:rsidR="001C2076" w:rsidRPr="001C6ACF" w:rsidRDefault="001C2076" w:rsidP="008D52EA">
      <w:pPr>
        <w:pStyle w:val="Hlistbullet"/>
      </w:pPr>
      <w:r>
        <w:t>I.</w:t>
      </w:r>
      <w:r w:rsidRPr="00C44B54">
        <w:t>02</w:t>
      </w:r>
      <w:r>
        <w:t> Revenu des facteurs agricoles</w:t>
      </w:r>
    </w:p>
    <w:p w:rsidR="001C2076" w:rsidRPr="001C6ACF" w:rsidRDefault="001C2076" w:rsidP="008D52EA">
      <w:pPr>
        <w:pStyle w:val="Hlistbullet"/>
      </w:pPr>
      <w:r>
        <w:t>I.</w:t>
      </w:r>
      <w:r w:rsidRPr="00C44B54">
        <w:t>03</w:t>
      </w:r>
      <w:r>
        <w:t> Productivité totale des facteurs dans l’agriculture</w:t>
      </w:r>
    </w:p>
    <w:p w:rsidR="001C2076" w:rsidRPr="001C6ACF" w:rsidRDefault="001C2076" w:rsidP="008D52EA">
      <w:pPr>
        <w:pStyle w:val="Hlistbullet"/>
      </w:pPr>
      <w:r>
        <w:t>I.</w:t>
      </w:r>
      <w:r w:rsidRPr="00C44B54">
        <w:t>07</w:t>
      </w:r>
      <w:r>
        <w:t> Émissions d’origine agricole</w:t>
      </w:r>
    </w:p>
    <w:p w:rsidR="001C2076" w:rsidRPr="001C6ACF" w:rsidRDefault="001C2076" w:rsidP="008D52EA">
      <w:pPr>
        <w:pStyle w:val="Hlistbullet"/>
      </w:pPr>
      <w:r>
        <w:t>I.</w:t>
      </w:r>
      <w:r w:rsidRPr="00C44B54">
        <w:t>08</w:t>
      </w:r>
      <w:r>
        <w:t> Indice des populations d’oiseaux en milieu agricole</w:t>
      </w:r>
    </w:p>
    <w:p w:rsidR="001C2076" w:rsidRPr="001C6ACF" w:rsidRDefault="001C2076" w:rsidP="008D52EA">
      <w:pPr>
        <w:pStyle w:val="Hlistbullet"/>
      </w:pPr>
      <w:r>
        <w:t>I.</w:t>
      </w:r>
      <w:r w:rsidRPr="00C44B54">
        <w:t>09</w:t>
      </w:r>
      <w:r>
        <w:t> Agriculture à haute valeur naturelle</w:t>
      </w:r>
    </w:p>
    <w:p w:rsidR="001C2076" w:rsidRPr="001C6ACF" w:rsidRDefault="001C2076" w:rsidP="008D52EA">
      <w:pPr>
        <w:pStyle w:val="Hlistbullet"/>
      </w:pPr>
      <w:r>
        <w:t>I.</w:t>
      </w:r>
      <w:r w:rsidRPr="00C44B54">
        <w:t>10</w:t>
      </w:r>
      <w:r>
        <w:t> Captage d’eau dans l’agriculture</w:t>
      </w:r>
    </w:p>
    <w:p w:rsidR="001C2076" w:rsidRPr="001C6ACF" w:rsidRDefault="001C2076" w:rsidP="008D52EA">
      <w:pPr>
        <w:pStyle w:val="Hlistbullet"/>
      </w:pPr>
      <w:r>
        <w:t>I.</w:t>
      </w:r>
      <w:r w:rsidRPr="00C44B54">
        <w:t>11</w:t>
      </w:r>
      <w:r>
        <w:t> Qualité de l’eau</w:t>
      </w:r>
    </w:p>
    <w:p w:rsidR="001C2076" w:rsidRPr="001C6ACF" w:rsidRDefault="001C2076" w:rsidP="008D52EA">
      <w:pPr>
        <w:pStyle w:val="Hlistbullet"/>
      </w:pPr>
      <w:r>
        <w:t>I.</w:t>
      </w:r>
      <w:r w:rsidRPr="00C44B54">
        <w:t>12</w:t>
      </w:r>
      <w:r>
        <w:t> Matière organique dans le sol des terres arables</w:t>
      </w:r>
    </w:p>
    <w:p w:rsidR="001C2076" w:rsidRPr="001C6ACF" w:rsidRDefault="001C2076" w:rsidP="008D52EA">
      <w:pPr>
        <w:pStyle w:val="Hlistbullet"/>
      </w:pPr>
      <w:r>
        <w:t>I.</w:t>
      </w:r>
      <w:r w:rsidRPr="00C44B54">
        <w:t>13</w:t>
      </w:r>
      <w:r>
        <w:t> Érosion du sol par l’eau</w:t>
      </w:r>
    </w:p>
    <w:p w:rsidR="001C2076" w:rsidRPr="001C6ACF" w:rsidRDefault="001C2076" w:rsidP="008D52EA">
      <w:pPr>
        <w:pStyle w:val="Hlistbullet"/>
      </w:pPr>
      <w:r>
        <w:t>I.</w:t>
      </w:r>
      <w:r w:rsidRPr="00C44B54">
        <w:t>14</w:t>
      </w:r>
      <w:r>
        <w:t> Taux d’emploi en milieu rural</w:t>
      </w:r>
    </w:p>
    <w:p w:rsidR="001C2076" w:rsidRPr="001C6ACF" w:rsidRDefault="001C2076" w:rsidP="008D52EA">
      <w:pPr>
        <w:pStyle w:val="Hlistbullet"/>
      </w:pPr>
      <w:r>
        <w:t>I.</w:t>
      </w:r>
      <w:r w:rsidRPr="00C44B54">
        <w:t>15</w:t>
      </w:r>
      <w:r>
        <w:t> Niveau de la pauvreté en milieu rural</w:t>
      </w:r>
    </w:p>
    <w:p w:rsidR="001C2076" w:rsidRPr="001C6ACF" w:rsidRDefault="001C2076" w:rsidP="008D52EA">
      <w:pPr>
        <w:pStyle w:val="Hlistbullet"/>
      </w:pPr>
      <w:r>
        <w:t>I.</w:t>
      </w:r>
      <w:r w:rsidRPr="00C44B54">
        <w:t>16</w:t>
      </w:r>
      <w:r>
        <w:t> Produit intérieur brut (PIB) par habitant en milieu rural</w:t>
      </w:r>
    </w:p>
    <w:p w:rsidR="001C2076" w:rsidRPr="001C6ACF" w:rsidRDefault="00B21618" w:rsidP="00E35440">
      <w:pPr>
        <w:pStyle w:val="HHeading2"/>
      </w:pPr>
      <w:r>
        <w:t xml:space="preserve"> Comment établir des rapports concernant les QEC en </w:t>
      </w:r>
      <w:r w:rsidRPr="00C44B54">
        <w:t>2019</w:t>
      </w:r>
      <w:r>
        <w:t>?</w:t>
      </w:r>
    </w:p>
    <w:p w:rsidR="001C2076" w:rsidRPr="001C6ACF" w:rsidRDefault="003304E5" w:rsidP="003304E5">
      <w:pPr>
        <w:pStyle w:val="HStandard"/>
      </w:pPr>
      <w:r>
        <w:t>En </w:t>
      </w:r>
      <w:r w:rsidRPr="00C44B54">
        <w:t>2019</w:t>
      </w:r>
      <w:r>
        <w:t xml:space="preserve">, les États membres établissent des rapports concernant les résultats de leur évaluation en répondant à l’ensemble des questions d’évaluation pertinentes communes et spécifiques à un programme dans chacune des sections des RAM correspondantes. </w:t>
      </w:r>
    </w:p>
    <w:p w:rsidR="001C2076" w:rsidRPr="001C6ACF" w:rsidRDefault="00906DAF" w:rsidP="003304E5">
      <w:pPr>
        <w:pStyle w:val="HStandard"/>
      </w:pPr>
      <w:r>
        <w:t>Comme pour les QEC nº </w:t>
      </w:r>
      <w:r w:rsidRPr="00C44B54">
        <w:t>1</w:t>
      </w:r>
      <w:r>
        <w:t xml:space="preserve"> à </w:t>
      </w:r>
      <w:r w:rsidRPr="00C44B54">
        <w:t>21</w:t>
      </w:r>
      <w:r>
        <w:t>, les réponses aux QEC relatives aux objectifs au niveau de l’UE (QEC nº </w:t>
      </w:r>
      <w:r w:rsidRPr="00C44B54">
        <w:t>22</w:t>
      </w:r>
      <w:r>
        <w:t xml:space="preserve"> à </w:t>
      </w:r>
      <w:r w:rsidRPr="00C44B54">
        <w:t>30</w:t>
      </w:r>
      <w:r>
        <w:t>) devraient être fondées sur les éléments probants issus des résultats de l’évaluation. Les jugements concernant le succès des interventions sont formulés à l’aide de critères de jugement et mesurés grâce à des indicateurs d’impact communs et supplémentaires ainsi qu’à des indicateurs relatifs à la stratégie de l’UE pour une croissance intelligente, durable et inclusive. En outre, des informations qualitatives peuvent être recueillies afin de répondre aux questions d’évaluation si les données sont rares.</w:t>
      </w:r>
    </w:p>
    <w:p w:rsidR="00970A15" w:rsidRPr="001C6ACF" w:rsidRDefault="00C16EB2" w:rsidP="00970A15">
      <w:pPr>
        <w:pStyle w:val="HHeading4"/>
      </w:pPr>
      <w:r>
        <w:t>Quelles sont les étapes générales pour répondre aux questions d’évaluation?</w:t>
      </w:r>
    </w:p>
    <w:p w:rsidR="001C2076" w:rsidRPr="001C6ACF" w:rsidRDefault="001C2076" w:rsidP="007D2D54">
      <w:pPr>
        <w:pStyle w:val="HStandard"/>
        <w:rPr>
          <w:rFonts w:cs="Arial"/>
        </w:rPr>
      </w:pPr>
      <w:r>
        <w:t>Il est recommandé de suivre les étapes générales suivantes pour élaborer les réponses aux QEC nº </w:t>
      </w:r>
      <w:r w:rsidRPr="00C44B54">
        <w:t>22</w:t>
      </w:r>
      <w:r>
        <w:t xml:space="preserve"> à </w:t>
      </w:r>
      <w:r w:rsidRPr="00C44B54">
        <w:t>30</w:t>
      </w:r>
      <w:r>
        <w:t>:</w:t>
      </w:r>
    </w:p>
    <w:p w:rsidR="001C2076" w:rsidRPr="001C6ACF" w:rsidRDefault="007B324B" w:rsidP="00E35440">
      <w:pPr>
        <w:pStyle w:val="Hlistbullet"/>
      </w:pPr>
      <w:r>
        <w:t>évaluer la logique d’intervention du programme en rapport avec les objectifs de la stratégie Europe </w:t>
      </w:r>
      <w:r w:rsidRPr="00C44B54">
        <w:t>2020</w:t>
      </w:r>
      <w:r>
        <w:t>/de la PAC, la/les priorité(s) en matière de développement rural, le/les domaine(s) prioritaire(s) et les mesures pour chaque question d’évaluation commune;</w:t>
      </w:r>
    </w:p>
    <w:p w:rsidR="001C2076" w:rsidRPr="001C6ACF" w:rsidRDefault="00DA263D" w:rsidP="00E35440">
      <w:pPr>
        <w:pStyle w:val="Hlistbullet"/>
      </w:pPr>
      <w:r>
        <w:t xml:space="preserve">définir les critères de jugement et les lier aux indicateurs d’impact communs (et supplémentaires) devant être utilisés pour répondre à la question d’évaluation; </w:t>
      </w:r>
    </w:p>
    <w:p w:rsidR="001C2076" w:rsidRPr="00863E73" w:rsidRDefault="007B324B" w:rsidP="00E35440">
      <w:pPr>
        <w:pStyle w:val="Hlistbullet"/>
      </w:pPr>
      <w:r>
        <w:t>choisir des méthodes quantitatives et qualitatives qui permettent d’évaluer les valeurs nettes</w:t>
      </w:r>
      <w:r>
        <w:rPr>
          <w:rStyle w:val="FootnoteReference"/>
          <w:i w:val="0"/>
          <w:position w:val="0"/>
          <w:sz w:val="20"/>
          <w:vertAlign w:val="superscript"/>
        </w:rPr>
        <w:footnoteReference w:id="23"/>
      </w:r>
      <w:r>
        <w:rPr>
          <w:vertAlign w:val="superscript"/>
        </w:rPr>
        <w:t xml:space="preserve"> </w:t>
      </w:r>
      <w:r>
        <w:t xml:space="preserve"> des indicateurs d’impact.</w:t>
      </w:r>
    </w:p>
    <w:p w:rsidR="001C2076" w:rsidRPr="001C6ACF" w:rsidRDefault="007B324B" w:rsidP="00E35440">
      <w:pPr>
        <w:pStyle w:val="Hlistbullet"/>
      </w:pPr>
      <w:r>
        <w:lastRenderedPageBreak/>
        <w:t xml:space="preserve">fournir des valeurs quantitatives pour les indicateurs de résultat et d’impact, ainsi que des résultats qualitatifs pour répondre aux questions d’évaluation; </w:t>
      </w:r>
    </w:p>
    <w:p w:rsidR="001C2076" w:rsidRPr="001C6ACF" w:rsidRDefault="007B324B" w:rsidP="00E35440">
      <w:pPr>
        <w:pStyle w:val="Hlistbullet"/>
      </w:pPr>
      <w:r>
        <w:t>répondre aux questions d’évaluation.</w:t>
      </w:r>
    </w:p>
    <w:p w:rsidR="001C2076" w:rsidRPr="001C6ACF" w:rsidRDefault="00217482" w:rsidP="007D2D54">
      <w:pPr>
        <w:pStyle w:val="HStandard"/>
      </w:pPr>
      <w:r>
        <w:t>Les étapes mentionnées ci-dessus sont similaires à celles proposées pour l’exercice d’évaluation </w:t>
      </w:r>
      <w:r w:rsidRPr="00C44B54">
        <w:t>2017</w:t>
      </w:r>
      <w:r>
        <w:t>. Toutefois, en </w:t>
      </w:r>
      <w:r w:rsidRPr="00C44B54">
        <w:t>2019</w:t>
      </w:r>
      <w:r>
        <w:t xml:space="preserve">, de nouvelles difficultés peuvent survenir. Celles-ci sont expliquées en détail dans la </w:t>
      </w:r>
      <w:r>
        <w:rPr>
          <w:color w:val="F07E31" w:themeColor="accent1"/>
        </w:rPr>
        <w:t>partie II</w:t>
      </w:r>
      <w:r>
        <w:t xml:space="preserve"> des lignes directrices. </w:t>
      </w:r>
    </w:p>
    <w:p w:rsidR="001C2076" w:rsidRPr="001C6ACF" w:rsidRDefault="001C2076" w:rsidP="00812032">
      <w:pPr>
        <w:pStyle w:val="HHeading4"/>
      </w:pPr>
      <w:r>
        <w:t>Où trouver les orientations relatives aux QEC auxquelles répondre en </w:t>
      </w:r>
      <w:r w:rsidRPr="00C44B54">
        <w:t>2019</w:t>
      </w:r>
      <w:r>
        <w:t xml:space="preserve">? </w:t>
      </w:r>
    </w:p>
    <w:p w:rsidR="00217482" w:rsidRPr="001C6ACF" w:rsidRDefault="00217482" w:rsidP="00217482">
      <w:pPr>
        <w:pStyle w:val="HStandard"/>
      </w:pPr>
      <w:r>
        <w:t>Les présentes lignes directrices fournissent des informations détaillées sur la manière de répondre aux questions d’évaluation communes liées aux QEC nº </w:t>
      </w:r>
      <w:r w:rsidRPr="00C44B54">
        <w:t>22</w:t>
      </w:r>
      <w:r>
        <w:t xml:space="preserve"> à </w:t>
      </w:r>
      <w:r w:rsidRPr="00C44B54">
        <w:t>30</w:t>
      </w:r>
      <w:r>
        <w:t xml:space="preserve"> sur les objectifs au niveau de l’UE. Lorsque cela est nécessaire, les lignes directrices renvoient à d’autres orientations pertinentes, comme indiqué dans le tableau </w:t>
      </w:r>
      <w:r w:rsidRPr="00C44B54">
        <w:t>1</w:t>
      </w:r>
      <w:r>
        <w:t xml:space="preserve">. </w:t>
      </w:r>
    </w:p>
    <w:p w:rsidR="001C2076" w:rsidRPr="001C6ACF" w:rsidRDefault="001C2076" w:rsidP="001C2076">
      <w:pPr>
        <w:spacing w:after="0" w:line="280" w:lineRule="atLeast"/>
        <w:rPr>
          <w:rFonts w:cs="Arial"/>
          <w:color w:val="373737" w:themeColor="text1"/>
          <w:sz w:val="20"/>
          <w:szCs w:val="20"/>
        </w:rPr>
      </w:pPr>
      <w:r>
        <w:rPr>
          <w:color w:val="373737" w:themeColor="text1"/>
          <w:sz w:val="20"/>
        </w:rPr>
        <w:t>Les orientations concernant les réponses aux questions d’évaluation communes sur les domaines prioritaires du développement rural, les synergies entre les programmes, l’assistance technique et les réseaux ruraux nationaux (QEC nº </w:t>
      </w:r>
      <w:r w:rsidRPr="00C44B54">
        <w:rPr>
          <w:color w:val="373737" w:themeColor="text1"/>
          <w:sz w:val="20"/>
        </w:rPr>
        <w:t>1</w:t>
      </w:r>
      <w:r>
        <w:rPr>
          <w:color w:val="373737" w:themeColor="text1"/>
          <w:sz w:val="20"/>
        </w:rPr>
        <w:t xml:space="preserve"> à </w:t>
      </w:r>
      <w:r w:rsidRPr="00C44B54">
        <w:rPr>
          <w:color w:val="373737" w:themeColor="text1"/>
          <w:sz w:val="20"/>
        </w:rPr>
        <w:t>21</w:t>
      </w:r>
      <w:r>
        <w:rPr>
          <w:color w:val="373737" w:themeColor="text1"/>
          <w:sz w:val="20"/>
        </w:rPr>
        <w:t>) se trouvent dans les documents suivants:</w:t>
      </w:r>
    </w:p>
    <w:p w:rsidR="008E3ACB" w:rsidRPr="001C6ACF" w:rsidRDefault="00217482" w:rsidP="00E35440">
      <w:pPr>
        <w:pStyle w:val="Hlistbullet"/>
      </w:pPr>
      <w:r>
        <w:rPr>
          <w:i/>
        </w:rPr>
        <w:t xml:space="preserve">Lignes directrices </w:t>
      </w:r>
      <w:hyperlink r:id="rId17">
        <w:r>
          <w:rPr>
            <w:rStyle w:val="Hyperlink"/>
            <w:i/>
            <w:color w:val="373737" w:themeColor="text1"/>
            <w:u w:val="none"/>
          </w:rPr>
          <w:t xml:space="preserve">«Évaluation des résultats du PDR: comment établir le rapport sur l’évaluation en </w:t>
        </w:r>
        <w:r w:rsidRPr="00C44B54">
          <w:rPr>
            <w:rStyle w:val="Hyperlink"/>
            <w:i/>
            <w:color w:val="373737" w:themeColor="text1"/>
            <w:u w:val="none"/>
          </w:rPr>
          <w:t>2017</w:t>
        </w:r>
        <w:r>
          <w:rPr>
            <w:rStyle w:val="Hyperlink"/>
            <w:i/>
            <w:color w:val="373737" w:themeColor="text1"/>
            <w:u w:val="none"/>
          </w:rPr>
          <w:t>»</w:t>
        </w:r>
      </w:hyperlink>
      <w:r>
        <w:t xml:space="preserve">. Ce document indique de quelle manière établir le rapport sur les évaluations dans les RAM présentés en </w:t>
      </w:r>
      <w:r w:rsidRPr="00C44B54">
        <w:t>2017</w:t>
      </w:r>
      <w:r>
        <w:t xml:space="preserve"> et au-delà. Les lignes directrices proposent des méthodes possibles pour évaluer les résultats des PDR en </w:t>
      </w:r>
      <w:r w:rsidRPr="00C44B54">
        <w:t>2017</w:t>
      </w:r>
      <w:r>
        <w:t xml:space="preserve">, qui restent valables également pour </w:t>
      </w:r>
      <w:r w:rsidRPr="00C44B54">
        <w:t>2019</w:t>
      </w:r>
      <w:r>
        <w:t xml:space="preserve"> en ce qui concerne les QEC nº </w:t>
      </w:r>
      <w:r w:rsidRPr="00C44B54">
        <w:t>1</w:t>
      </w:r>
      <w:r>
        <w:t xml:space="preserve"> à </w:t>
      </w:r>
      <w:r w:rsidRPr="00C44B54">
        <w:t>21</w:t>
      </w:r>
      <w:r>
        <w:t xml:space="preserve">. </w:t>
      </w:r>
    </w:p>
    <w:p w:rsidR="001C2076" w:rsidRPr="001C6ACF" w:rsidRDefault="00471D4A" w:rsidP="00E35440">
      <w:pPr>
        <w:pStyle w:val="Hlistbullet"/>
      </w:pPr>
      <w:hyperlink r:id="rId18">
        <w:r w:rsidR="006F62E2">
          <w:rPr>
            <w:rStyle w:val="Hyperlink"/>
            <w:i/>
            <w:color w:val="373737" w:themeColor="text1"/>
            <w:u w:val="none"/>
          </w:rPr>
          <w:t xml:space="preserve">«Annex </w:t>
        </w:r>
        <w:r w:rsidR="006F62E2" w:rsidRPr="00C44B54">
          <w:rPr>
            <w:rStyle w:val="Hyperlink"/>
            <w:i/>
            <w:color w:val="373737" w:themeColor="text1"/>
            <w:u w:val="none"/>
          </w:rPr>
          <w:t>11</w:t>
        </w:r>
        <w:r w:rsidR="006F62E2">
          <w:rPr>
            <w:rStyle w:val="Hyperlink"/>
            <w:i/>
            <w:color w:val="373737" w:themeColor="text1"/>
            <w:u w:val="none"/>
          </w:rPr>
          <w:t xml:space="preserve"> - Fiches for answering Common Evaluation Questions for Rural Development Programmes </w:t>
        </w:r>
        <w:r w:rsidR="006F62E2" w:rsidRPr="00C44B54">
          <w:rPr>
            <w:rStyle w:val="Hyperlink"/>
            <w:i/>
            <w:color w:val="373737" w:themeColor="text1"/>
            <w:u w:val="none"/>
          </w:rPr>
          <w:t>2014</w:t>
        </w:r>
        <w:r w:rsidR="006F62E2">
          <w:rPr>
            <w:rStyle w:val="Hyperlink"/>
            <w:i/>
            <w:color w:val="373737" w:themeColor="text1"/>
            <w:u w:val="none"/>
          </w:rPr>
          <w:t>-</w:t>
        </w:r>
        <w:r w:rsidR="006F62E2" w:rsidRPr="00C44B54">
          <w:rPr>
            <w:rStyle w:val="Hyperlink"/>
            <w:i/>
            <w:color w:val="373737" w:themeColor="text1"/>
            <w:u w:val="none"/>
          </w:rPr>
          <w:t>2020</w:t>
        </w:r>
        <w:r w:rsidR="006F62E2">
          <w:rPr>
            <w:rStyle w:val="Hyperlink"/>
            <w:i/>
            <w:color w:val="373737" w:themeColor="text1"/>
            <w:u w:val="none"/>
          </w:rPr>
          <w:t>»</w:t>
        </w:r>
      </w:hyperlink>
      <w:r w:rsidR="006F62E2">
        <w:t xml:space="preserve"> («Annexe </w:t>
      </w:r>
      <w:r w:rsidR="006F62E2" w:rsidRPr="00C44B54">
        <w:t>11</w:t>
      </w:r>
      <w:r w:rsidR="006F62E2">
        <w:t xml:space="preserve"> - Fiches permettant de répondre aux questions d’évaluation communes pour les programmes de développement rural </w:t>
      </w:r>
      <w:r w:rsidR="006F62E2" w:rsidRPr="00C44B54">
        <w:t>2014</w:t>
      </w:r>
      <w:r w:rsidR="006F62E2">
        <w:t>-</w:t>
      </w:r>
      <w:r w:rsidR="006F62E2" w:rsidRPr="00C44B54">
        <w:t>2020</w:t>
      </w:r>
      <w:r w:rsidR="006F62E2">
        <w:t>»)</w:t>
      </w:r>
      <w:r w:rsidR="006F62E2">
        <w:rPr>
          <w:rStyle w:val="Hyperlink"/>
          <w:i/>
          <w:color w:val="373737" w:themeColor="text1"/>
          <w:u w:val="none"/>
        </w:rPr>
        <w:t>.</w:t>
      </w:r>
      <w:r w:rsidR="006F62E2">
        <w:t xml:space="preserve"> Ce document fournit un soutien technique concernant la manière de répondre aux QEC nº </w:t>
      </w:r>
      <w:r w:rsidR="006F62E2" w:rsidRPr="00C44B54">
        <w:t>1</w:t>
      </w:r>
      <w:r w:rsidR="006F62E2">
        <w:t xml:space="preserve"> à </w:t>
      </w:r>
      <w:r w:rsidR="006F62E2" w:rsidRPr="00C44B54">
        <w:t>21</w:t>
      </w:r>
      <w:r w:rsidR="006F62E2">
        <w:t>. Il indique la logique d’intervention relative à chaque QEC, décrit des éléments d’évaluation utiles et propose des méthodes d’évaluation.</w:t>
      </w:r>
    </w:p>
    <w:p w:rsidR="0020488A" w:rsidRPr="001C6ACF" w:rsidRDefault="0020488A" w:rsidP="005A56B7">
      <w:pPr>
        <w:pStyle w:val="HStandard"/>
      </w:pPr>
      <w:r>
        <w:t>Le tableau </w:t>
      </w:r>
      <w:r w:rsidRPr="00C44B54">
        <w:t>1</w:t>
      </w:r>
      <w:r>
        <w:t xml:space="preserve"> fournit un aperçu des documents les plus pertinents pour répondre aux QEC du RAM </w:t>
      </w:r>
      <w:r w:rsidRPr="00C44B54">
        <w:t>2019</w:t>
      </w:r>
      <w:r>
        <w:t xml:space="preserve">: </w:t>
      </w:r>
    </w:p>
    <w:p w:rsidR="00AB3BA1" w:rsidRPr="001C6ACF" w:rsidRDefault="009F77FD" w:rsidP="006B44E5">
      <w:pPr>
        <w:pStyle w:val="HHeadingtables"/>
      </w:pPr>
      <w:r>
        <w:br w:type="column"/>
      </w:r>
      <w:r>
        <w:lastRenderedPageBreak/>
        <w:t>Orientations pour répondre aux QEC du RAM en </w:t>
      </w:r>
      <w:r w:rsidRPr="00C44B54">
        <w:t>2019</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29"/>
        <w:gridCol w:w="2410"/>
        <w:gridCol w:w="5477"/>
      </w:tblGrid>
      <w:tr w:rsidR="00AB3BA1" w:rsidRPr="001C6ACF" w:rsidTr="00A746BC">
        <w:trPr>
          <w:tblHeader/>
        </w:trPr>
        <w:tc>
          <w:tcPr>
            <w:tcW w:w="1129" w:type="dxa"/>
            <w:shd w:val="clear" w:color="auto" w:fill="F07E31" w:themeFill="accent1"/>
          </w:tcPr>
          <w:p w:rsidR="00AB3BA1" w:rsidRPr="001C6ACF" w:rsidRDefault="007038B3" w:rsidP="00A746BC">
            <w:pPr>
              <w:pStyle w:val="HStandard"/>
              <w:jc w:val="center"/>
              <w:rPr>
                <w:b/>
                <w:color w:val="FFFFFF" w:themeColor="background1"/>
              </w:rPr>
            </w:pPr>
            <w:r>
              <w:rPr>
                <w:b/>
                <w:color w:val="FFFFFF" w:themeColor="background1"/>
              </w:rPr>
              <w:t>QEC</w:t>
            </w:r>
          </w:p>
        </w:tc>
        <w:tc>
          <w:tcPr>
            <w:tcW w:w="2410" w:type="dxa"/>
            <w:shd w:val="clear" w:color="auto" w:fill="F07E31" w:themeFill="accent1"/>
          </w:tcPr>
          <w:p w:rsidR="00AB3BA1" w:rsidRPr="001C6ACF" w:rsidRDefault="00116A79" w:rsidP="008D52EA">
            <w:pPr>
              <w:pStyle w:val="HStandard"/>
              <w:jc w:val="center"/>
              <w:rPr>
                <w:b/>
                <w:color w:val="FFFFFF" w:themeColor="background1"/>
              </w:rPr>
            </w:pPr>
            <w:r>
              <w:rPr>
                <w:b/>
                <w:color w:val="FFFFFF" w:themeColor="background1"/>
              </w:rPr>
              <w:t>Document</w:t>
            </w:r>
          </w:p>
        </w:tc>
        <w:tc>
          <w:tcPr>
            <w:tcW w:w="5477" w:type="dxa"/>
            <w:shd w:val="clear" w:color="auto" w:fill="F07E31" w:themeFill="accent1"/>
          </w:tcPr>
          <w:p w:rsidR="00AB3BA1" w:rsidRPr="001C6ACF" w:rsidRDefault="00146C75" w:rsidP="008D52EA">
            <w:pPr>
              <w:pStyle w:val="HStandard"/>
              <w:jc w:val="center"/>
              <w:rPr>
                <w:b/>
                <w:color w:val="FFFFFF" w:themeColor="background1"/>
              </w:rPr>
            </w:pPr>
            <w:r>
              <w:rPr>
                <w:b/>
                <w:color w:val="FFFFFF" w:themeColor="background1"/>
              </w:rPr>
              <w:t>Importance pour le RAM en </w:t>
            </w:r>
            <w:r w:rsidRPr="00C44B54">
              <w:rPr>
                <w:b/>
                <w:color w:val="FFFFFF" w:themeColor="background1"/>
              </w:rPr>
              <w:t>2019</w:t>
            </w:r>
          </w:p>
        </w:tc>
      </w:tr>
      <w:tr w:rsidR="009F7952" w:rsidRPr="001C6ACF" w:rsidTr="00A746BC">
        <w:trPr>
          <w:trHeight w:val="1091"/>
        </w:trPr>
        <w:tc>
          <w:tcPr>
            <w:tcW w:w="1129" w:type="dxa"/>
            <w:vMerge w:val="restart"/>
          </w:tcPr>
          <w:p w:rsidR="009F7952" w:rsidRPr="001C6ACF" w:rsidRDefault="009F7952" w:rsidP="00A746BC">
            <w:pPr>
              <w:pStyle w:val="HStandard"/>
              <w:jc w:val="center"/>
            </w:pPr>
            <w:r>
              <w:t>nº </w:t>
            </w:r>
            <w:r w:rsidRPr="00C44B54">
              <w:t>1</w:t>
            </w:r>
            <w:r>
              <w:t xml:space="preserve"> à </w:t>
            </w:r>
            <w:r w:rsidRPr="00C44B54">
              <w:t>21</w:t>
            </w:r>
          </w:p>
        </w:tc>
        <w:tc>
          <w:tcPr>
            <w:tcW w:w="2410" w:type="dxa"/>
          </w:tcPr>
          <w:p w:rsidR="009F7952" w:rsidRPr="003750F8" w:rsidRDefault="00471D4A" w:rsidP="00DF22D0">
            <w:pPr>
              <w:pStyle w:val="HStandard"/>
              <w:jc w:val="left"/>
              <w:rPr>
                <w:lang w:val="en-GB"/>
              </w:rPr>
            </w:pPr>
            <w:hyperlink r:id="rId19">
              <w:r w:rsidR="006F62E2" w:rsidRPr="003750F8">
                <w:rPr>
                  <w:rStyle w:val="Hyperlink"/>
                  <w:lang w:val="en-GB"/>
                </w:rPr>
                <w:t>«Target indicator fiches for Pillar II (Priority I and II)»</w:t>
              </w:r>
            </w:hyperlink>
          </w:p>
        </w:tc>
        <w:tc>
          <w:tcPr>
            <w:tcW w:w="5477" w:type="dxa"/>
          </w:tcPr>
          <w:p w:rsidR="009F7952" w:rsidRPr="00FB6C06" w:rsidRDefault="009F7952" w:rsidP="005A56B7">
            <w:pPr>
              <w:pStyle w:val="HStandard"/>
            </w:pPr>
            <w:r>
              <w:t>Indique, pour chaque indicateur, le rapport avec la priorité et le domaine prioritaire correspondants, la définition et l’unité de mesure, la méthode de calcul, les besoins en données et les sources de données, la fréquence de collecte des données et le moyen de transmission à la Commission européenne.</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3750F8" w:rsidRDefault="00471D4A" w:rsidP="00DF22D0">
            <w:pPr>
              <w:pStyle w:val="HStandard"/>
              <w:jc w:val="left"/>
              <w:rPr>
                <w:lang w:val="en-GB"/>
              </w:rPr>
            </w:pPr>
            <w:hyperlink r:id="rId20">
              <w:r w:rsidR="006F62E2" w:rsidRPr="003750F8">
                <w:rPr>
                  <w:rStyle w:val="Hyperlink"/>
                  <w:lang w:val="en-GB"/>
                </w:rPr>
                <w:t>«Complementary result indicators fiches for Pillar II»</w:t>
              </w:r>
            </w:hyperlink>
          </w:p>
        </w:tc>
        <w:tc>
          <w:tcPr>
            <w:tcW w:w="5477" w:type="dxa"/>
          </w:tcPr>
          <w:p w:rsidR="009F7952" w:rsidRPr="00336531" w:rsidRDefault="009F7952" w:rsidP="005A56B7">
            <w:pPr>
              <w:pStyle w:val="HStandard"/>
            </w:pPr>
            <w:r>
              <w:t>Contient des orientations similaires pour chacun des indicateurs de résultat complémentaires.</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863E73" w:rsidRDefault="00471D4A" w:rsidP="00DF22D0">
            <w:pPr>
              <w:pStyle w:val="HStandard"/>
              <w:jc w:val="left"/>
            </w:pPr>
            <w:hyperlink r:id="rId21">
              <w:r w:rsidR="006F62E2">
                <w:rPr>
                  <w:rStyle w:val="Hyperlink"/>
                </w:rPr>
                <w:t>Lignes directrices «Évaluation des résultats du PDR: Comment établir le rapport sur l’évaluation en </w:t>
              </w:r>
              <w:r w:rsidR="006F62E2" w:rsidRPr="00C44B54">
                <w:rPr>
                  <w:rStyle w:val="Hyperlink"/>
                </w:rPr>
                <w:t>2017</w:t>
              </w:r>
            </w:hyperlink>
            <w:r w:rsidR="006F62E2">
              <w:rPr>
                <w:rStyle w:val="Hyperlink"/>
              </w:rPr>
              <w:t> (annexe </w:t>
            </w:r>
            <w:r w:rsidR="006F62E2" w:rsidRPr="00C44B54">
              <w:rPr>
                <w:rStyle w:val="Hyperlink"/>
              </w:rPr>
              <w:t>11</w:t>
            </w:r>
            <w:r w:rsidR="006F62E2">
              <w:rPr>
                <w:rStyle w:val="Hyperlink"/>
              </w:rPr>
              <w:t xml:space="preserve"> distincte)</w:t>
            </w:r>
          </w:p>
        </w:tc>
        <w:tc>
          <w:tcPr>
            <w:tcW w:w="5477" w:type="dxa"/>
          </w:tcPr>
          <w:p w:rsidR="009F7952" w:rsidRPr="001C6ACF" w:rsidRDefault="00116A79" w:rsidP="00593F3E">
            <w:pPr>
              <w:pStyle w:val="HStandard"/>
            </w:pPr>
            <w:r>
              <w:t>Propose des moyens d’établir le rapport sur les évaluations dans les RAM présentés en </w:t>
            </w:r>
            <w:r w:rsidRPr="00C44B54">
              <w:t>2017</w:t>
            </w:r>
            <w:r>
              <w:t>, de mener les activités d’évaluation et des méthodes sur lesquelles s’appuyer pour répondre aux QEC nº </w:t>
            </w:r>
            <w:r w:rsidRPr="00C44B54">
              <w:t>1</w:t>
            </w:r>
            <w:r>
              <w:t> à </w:t>
            </w:r>
            <w:r w:rsidRPr="00C44B54">
              <w:t>21</w:t>
            </w:r>
            <w:r>
              <w:t>.</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471D4A" w:rsidP="00DF22D0">
            <w:pPr>
              <w:pStyle w:val="HStandard"/>
              <w:jc w:val="left"/>
            </w:pPr>
            <w:hyperlink r:id="rId22">
              <w:r w:rsidR="006F62E2">
                <w:rPr>
                  <w:rStyle w:val="Hyperlink"/>
                </w:rPr>
                <w:t>Lignes directrices: évaluation de l’approche LEADER/DLAL</w:t>
              </w:r>
            </w:hyperlink>
          </w:p>
        </w:tc>
        <w:tc>
          <w:tcPr>
            <w:tcW w:w="5477" w:type="dxa"/>
          </w:tcPr>
          <w:p w:rsidR="009F7952" w:rsidRPr="007645B4" w:rsidRDefault="00116A79" w:rsidP="005A56B7">
            <w:pPr>
              <w:pStyle w:val="HStandard"/>
            </w:pPr>
            <w:r>
              <w:t xml:space="preserve">Explique de quelle manière il convient d’évaluer les contributions primaires et secondaires de l’approche LEADER/DLAL à l’égard des domaines prioritaires du développement rural. </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471D4A" w:rsidP="00DF22D0">
            <w:pPr>
              <w:pStyle w:val="HStandard"/>
              <w:jc w:val="left"/>
            </w:pPr>
            <w:hyperlink r:id="rId23">
              <w:r w:rsidR="006F62E2">
                <w:rPr>
                  <w:rStyle w:val="Hyperlink"/>
                </w:rPr>
                <w:t>Lignes directrices «Évaluation de l’innovation dans les programmes de développement rural </w:t>
              </w:r>
              <w:r w:rsidR="006F62E2" w:rsidRPr="00C44B54">
                <w:rPr>
                  <w:rStyle w:val="Hyperlink"/>
                </w:rPr>
                <w:t>2014</w:t>
              </w:r>
              <w:r w:rsidR="006F62E2">
                <w:rPr>
                  <w:rStyle w:val="Hyperlink"/>
                </w:rPr>
                <w:t>-</w:t>
              </w:r>
              <w:r w:rsidR="006F62E2" w:rsidRPr="00C44B54">
                <w:rPr>
                  <w:rStyle w:val="Hyperlink"/>
                </w:rPr>
                <w:t>2020</w:t>
              </w:r>
              <w:r w:rsidR="006F62E2">
                <w:rPr>
                  <w:rStyle w:val="Hyperlink"/>
                </w:rPr>
                <w:t>»</w:t>
              </w:r>
            </w:hyperlink>
          </w:p>
        </w:tc>
        <w:tc>
          <w:tcPr>
            <w:tcW w:w="5477" w:type="dxa"/>
          </w:tcPr>
          <w:p w:rsidR="009F7952" w:rsidRPr="00863E73" w:rsidRDefault="009F7952" w:rsidP="005A56B7">
            <w:pPr>
              <w:pStyle w:val="HStandard"/>
            </w:pPr>
            <w:r>
              <w:t xml:space="preserve">Fournit des informations sur l’évaluation de l’innovation en rapport avec les domaines prioritaires </w:t>
            </w:r>
            <w:r w:rsidRPr="00C44B54">
              <w:t>1</w:t>
            </w:r>
            <w:r>
              <w:t xml:space="preserve">A et </w:t>
            </w:r>
            <w:r w:rsidRPr="00C44B54">
              <w:t>1</w:t>
            </w:r>
            <w:r>
              <w:t>B et sur le soutien en faveur de l’innovation au moyen des activités des réseaux ruraux nationaux. En outre, il fournit une aide pour répondre aux QEC nº </w:t>
            </w:r>
            <w:r w:rsidRPr="00C44B54">
              <w:t>1</w:t>
            </w:r>
            <w:r>
              <w:t xml:space="preserve">, </w:t>
            </w:r>
            <w:r w:rsidRPr="00C44B54">
              <w:t>2</w:t>
            </w:r>
            <w:r>
              <w:t xml:space="preserve"> et </w:t>
            </w:r>
            <w:r w:rsidRPr="00C44B54">
              <w:t>21</w:t>
            </w:r>
            <w:r>
              <w:t xml:space="preserve"> du point de vue de l’innovation. </w:t>
            </w:r>
          </w:p>
        </w:tc>
      </w:tr>
      <w:tr w:rsidR="002C57D4" w:rsidRPr="001C6ACF" w:rsidTr="00A746BC">
        <w:tc>
          <w:tcPr>
            <w:tcW w:w="1129" w:type="dxa"/>
            <w:vMerge w:val="restart"/>
          </w:tcPr>
          <w:p w:rsidR="002C57D4" w:rsidRPr="001C6ACF" w:rsidRDefault="002C57D4" w:rsidP="00A746BC">
            <w:pPr>
              <w:pStyle w:val="HStandard"/>
              <w:jc w:val="center"/>
            </w:pPr>
            <w:r>
              <w:t>nº </w:t>
            </w:r>
            <w:r w:rsidRPr="00C44B54">
              <w:t>22</w:t>
            </w:r>
            <w:r>
              <w:t xml:space="preserve"> à </w:t>
            </w:r>
            <w:r w:rsidRPr="00C44B54">
              <w:t>30</w:t>
            </w:r>
          </w:p>
        </w:tc>
        <w:tc>
          <w:tcPr>
            <w:tcW w:w="2410" w:type="dxa"/>
          </w:tcPr>
          <w:p w:rsidR="002C57D4" w:rsidRPr="00571D58" w:rsidRDefault="00471D4A" w:rsidP="00DF22D0">
            <w:pPr>
              <w:pStyle w:val="HStandard"/>
              <w:jc w:val="left"/>
            </w:pPr>
            <w:hyperlink r:id="rId24">
              <w:r w:rsidR="006F62E2">
                <w:rPr>
                  <w:rStyle w:val="Hyperlink"/>
                </w:rPr>
                <w:t>«Impact indicators fiches»</w:t>
              </w:r>
            </w:hyperlink>
            <w:r w:rsidR="006F62E2">
              <w:t xml:space="preserve"> </w:t>
            </w:r>
          </w:p>
        </w:tc>
        <w:tc>
          <w:tcPr>
            <w:tcW w:w="5477" w:type="dxa"/>
          </w:tcPr>
          <w:p w:rsidR="002C57D4" w:rsidRPr="001C6ACF" w:rsidRDefault="002C57D4" w:rsidP="005A56B7">
            <w:pPr>
              <w:pStyle w:val="HStandard"/>
            </w:pPr>
            <w:r>
              <w:t>Fournit des informations sur les liens d’indicateurs avec les objectifs généraux de la PAC, la définition d’indicateurs, l’unité de mesure, la méthode/formule de calcul, les exigences en matière de données et les sources de données, la fréquence de collecte des données, les retards liés à la collecte de données et la localisation des données.</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471D4A">
            <w:pPr>
              <w:pStyle w:val="HStandard"/>
              <w:jc w:val="left"/>
            </w:pPr>
            <w:hyperlink r:id="rId25">
              <w:r w:rsidR="006F62E2">
                <w:rPr>
                  <w:rStyle w:val="Hyperlink"/>
                </w:rPr>
                <w:t>Dernières données des indicateurs de contexte issues des États membres</w:t>
              </w:r>
            </w:hyperlink>
          </w:p>
        </w:tc>
        <w:tc>
          <w:tcPr>
            <w:tcW w:w="5477" w:type="dxa"/>
          </w:tcPr>
          <w:p w:rsidR="00A75E50" w:rsidRPr="00336531" w:rsidRDefault="00A75E50" w:rsidP="00FF4127">
            <w:pPr>
              <w:pStyle w:val="HStandard"/>
            </w:pPr>
            <w:r>
              <w:t>La Commission européenne fournit une mise à jour annuelle des données (sous réserve de disponibilité) pour les indicateurs de contexte communs sur la base des données communiquées par les États membres.</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471D4A" w:rsidP="00DF22D0">
            <w:pPr>
              <w:pStyle w:val="HStandard"/>
              <w:jc w:val="left"/>
              <w:rPr>
                <w:color w:val="F07E31" w:themeColor="accent1"/>
              </w:rPr>
            </w:pPr>
            <w:hyperlink r:id="rId26">
              <w:r w:rsidR="006F62E2">
                <w:rPr>
                  <w:rStyle w:val="Hyperlink"/>
                </w:rPr>
                <w:t>Lignes directrices «Évaluation de l’innovation dans les programmes de développement rural </w:t>
              </w:r>
              <w:r w:rsidR="006F62E2" w:rsidRPr="00C44B54">
                <w:rPr>
                  <w:rStyle w:val="Hyperlink"/>
                </w:rPr>
                <w:t>2014</w:t>
              </w:r>
              <w:r w:rsidR="006F62E2">
                <w:rPr>
                  <w:rStyle w:val="Hyperlink"/>
                </w:rPr>
                <w:t>-</w:t>
              </w:r>
              <w:r w:rsidR="006F62E2" w:rsidRPr="00C44B54">
                <w:rPr>
                  <w:rStyle w:val="Hyperlink"/>
                </w:rPr>
                <w:t>2020</w:t>
              </w:r>
              <w:r w:rsidR="006F62E2">
                <w:rPr>
                  <w:rStyle w:val="Hyperlink"/>
                </w:rPr>
                <w:t>»</w:t>
              </w:r>
            </w:hyperlink>
          </w:p>
          <w:p w:rsidR="00A75E50" w:rsidRPr="00336531" w:rsidRDefault="00A75E50">
            <w:pPr>
              <w:pStyle w:val="HStandard"/>
              <w:jc w:val="left"/>
            </w:pPr>
          </w:p>
        </w:tc>
        <w:tc>
          <w:tcPr>
            <w:tcW w:w="5477" w:type="dxa"/>
          </w:tcPr>
          <w:p w:rsidR="00A75E50" w:rsidRPr="001C6ACF" w:rsidRDefault="00A75E50" w:rsidP="00FF4127">
            <w:pPr>
              <w:pStyle w:val="HStandard"/>
            </w:pPr>
            <w:r>
              <w:t>Fournit des informations sur l’évaluation des contributions du PDR à l’innovation et à l’objectif phare de la stratégie Europe </w:t>
            </w:r>
            <w:r w:rsidRPr="00C44B54">
              <w:t>2020</w:t>
            </w:r>
            <w:r>
              <w:t xml:space="preserve"> d'investir </w:t>
            </w:r>
            <w:r w:rsidRPr="00C44B54">
              <w:t>3</w:t>
            </w:r>
            <w:r>
              <w:t> % du PIB de l’UE dans la recherche et le développement et l’innovation et sur la manière de répondre aux QEC nº </w:t>
            </w:r>
            <w:r w:rsidRPr="00C44B54">
              <w:t>23</w:t>
            </w:r>
            <w:r>
              <w:t xml:space="preserve"> et </w:t>
            </w:r>
            <w:r w:rsidRPr="00C44B54">
              <w:t>30</w:t>
            </w:r>
            <w:r>
              <w:t>.</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471D4A" w:rsidP="00DF22D0">
            <w:pPr>
              <w:pStyle w:val="HStandard"/>
              <w:jc w:val="left"/>
            </w:pPr>
            <w:hyperlink r:id="rId27">
              <w:r w:rsidR="006F62E2">
                <w:rPr>
                  <w:rStyle w:val="Hyperlink"/>
                </w:rPr>
                <w:t>Informations sur la stratégie Europe </w:t>
              </w:r>
              <w:r w:rsidR="006F62E2" w:rsidRPr="00C44B54">
                <w:rPr>
                  <w:rStyle w:val="Hyperlink"/>
                </w:rPr>
                <w:t>2020</w:t>
              </w:r>
            </w:hyperlink>
          </w:p>
        </w:tc>
        <w:tc>
          <w:tcPr>
            <w:tcW w:w="5477" w:type="dxa"/>
          </w:tcPr>
          <w:p w:rsidR="00A75E50" w:rsidRPr="001C6ACF" w:rsidRDefault="00A75E50" w:rsidP="00EE407C">
            <w:pPr>
              <w:pStyle w:val="HStandard"/>
            </w:pPr>
            <w:r>
              <w:t>La stratégie Europe </w:t>
            </w:r>
            <w:r w:rsidRPr="00C44B54">
              <w:t>2020</w:t>
            </w:r>
            <w:r>
              <w:t xml:space="preserve"> sert de cadre de référence aux activités menées aux niveaux régional, national et de l’UE. Les gouvernements de l’UE ont fixé des objectifs nationaux afin de contribuer à atteindre les grands objectifs globaux de l’UE et établissent des rapports à leur sujet dans le cadre de leurs programmes nationaux de réformes annuels. L’Office statistique de l’UE, Eurostat, publie régulièrement des rapports d’avancement détaillés sur les objectifs (</w:t>
            </w:r>
            <w:hyperlink r:id="rId28">
              <w:r>
                <w:rPr>
                  <w:rStyle w:val="Hyperlink"/>
                </w:rPr>
                <w:t xml:space="preserve">publication intitulée «Smarter, greener, more inclusive? Indicators to support the Europe </w:t>
              </w:r>
              <w:r w:rsidRPr="00C44B54">
                <w:rPr>
                  <w:rStyle w:val="Hyperlink"/>
                </w:rPr>
                <w:t>2020</w:t>
              </w:r>
              <w:r>
                <w:rPr>
                  <w:rStyle w:val="Hyperlink"/>
                </w:rPr>
                <w:t xml:space="preserve"> strategy</w:t>
              </w:r>
            </w:hyperlink>
            <w:r>
              <w:rPr>
                <w:color w:val="F07E31" w:themeColor="accent1"/>
              </w:rPr>
              <w:t>»</w:t>
            </w:r>
            <w:r>
              <w:t>)</w:t>
            </w:r>
            <w:r>
              <w:rPr>
                <w:color w:val="333333"/>
              </w:rPr>
              <w:t xml:space="preserve"> qui suivent les progrès réalisés par rapport aux objectifs de l'UE définis dans le cadre des trois priorités pour une croissance intelligente, durable et inclusive, ces priorités se renforçant mutuellement, et montrent l'état d'avancement dans les États membres</w:t>
            </w:r>
            <w:r>
              <w:t>.</w:t>
            </w:r>
          </w:p>
        </w:tc>
      </w:tr>
      <w:tr w:rsidR="00A75E50" w:rsidRPr="001C6ACF" w:rsidTr="00A746BC">
        <w:tc>
          <w:tcPr>
            <w:tcW w:w="1129" w:type="dxa"/>
            <w:vMerge w:val="restart"/>
          </w:tcPr>
          <w:p w:rsidR="00A75E50" w:rsidRPr="001C6ACF" w:rsidRDefault="00A75E50" w:rsidP="00A746BC">
            <w:pPr>
              <w:pStyle w:val="HStandard"/>
              <w:jc w:val="center"/>
            </w:pPr>
            <w:r>
              <w:t>nº </w:t>
            </w:r>
            <w:r w:rsidRPr="00C44B54">
              <w:t>22</w:t>
            </w:r>
            <w:r>
              <w:t xml:space="preserve">, </w:t>
            </w:r>
            <w:r w:rsidRPr="00C44B54">
              <w:t>23</w:t>
            </w:r>
            <w:r>
              <w:t xml:space="preserve">, </w:t>
            </w:r>
            <w:r w:rsidRPr="00C44B54">
              <w:t>24</w:t>
            </w:r>
            <w:r>
              <w:t xml:space="preserve">, </w:t>
            </w:r>
            <w:r w:rsidRPr="00C44B54">
              <w:t>25</w:t>
            </w:r>
            <w:r>
              <w:t xml:space="preserve">, </w:t>
            </w:r>
            <w:r w:rsidRPr="00C44B54">
              <w:t>30</w:t>
            </w:r>
          </w:p>
        </w:tc>
        <w:tc>
          <w:tcPr>
            <w:tcW w:w="2410" w:type="dxa"/>
          </w:tcPr>
          <w:p w:rsidR="00A75E50" w:rsidRPr="00571D58" w:rsidRDefault="00471D4A">
            <w:pPr>
              <w:pStyle w:val="HStandard"/>
              <w:jc w:val="left"/>
              <w:rPr>
                <w:rFonts w:cs="Arial"/>
                <w:color w:val="F07E31" w:themeColor="accent1"/>
              </w:rPr>
            </w:pPr>
            <w:hyperlink r:id="rId29">
              <w:r w:rsidR="006F62E2">
                <w:rPr>
                  <w:rStyle w:val="Hyperlink"/>
                </w:rPr>
                <w:t>Informations sur les objectifs de la stratégie Europe </w:t>
              </w:r>
              <w:r w:rsidR="006F62E2" w:rsidRPr="00C44B54">
                <w:rPr>
                  <w:rStyle w:val="Hyperlink"/>
                </w:rPr>
                <w:t>2020</w:t>
              </w:r>
              <w:r w:rsidR="006F62E2">
                <w:rPr>
                  <w:rStyle w:val="Hyperlink"/>
                </w:rPr>
                <w:t xml:space="preserve"> pour chaque État membre</w:t>
              </w:r>
            </w:hyperlink>
          </w:p>
        </w:tc>
        <w:tc>
          <w:tcPr>
            <w:tcW w:w="5477" w:type="dxa"/>
          </w:tcPr>
          <w:p w:rsidR="00A75E50" w:rsidRPr="001C6ACF" w:rsidRDefault="00A75E50" w:rsidP="00823352">
            <w:pPr>
              <w:pStyle w:val="HStandard"/>
            </w:pPr>
            <w:r>
              <w:t>Pour chaque État membre, Eurostat met régulièrement à jour les informations sur les objectifs nationaux en vue d’atteindre les grands objectifs de la stratégie Europe </w:t>
            </w:r>
            <w:r w:rsidRPr="00C44B54">
              <w:t>2020</w:t>
            </w:r>
            <w:r>
              <w:t>.</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471D4A">
            <w:pPr>
              <w:pStyle w:val="HStandard"/>
              <w:jc w:val="left"/>
              <w:rPr>
                <w:rFonts w:cs="Arial"/>
              </w:rPr>
            </w:pPr>
            <w:hyperlink r:id="rId30">
              <w:r w:rsidR="006F62E2">
                <w:rPr>
                  <w:rStyle w:val="Hyperlink"/>
                </w:rPr>
                <w:t>Context indicators fiches</w:t>
              </w:r>
            </w:hyperlink>
            <w:r w:rsidR="006F62E2">
              <w:t xml:space="preserve"> </w:t>
            </w:r>
          </w:p>
        </w:tc>
        <w:tc>
          <w:tcPr>
            <w:tcW w:w="5477" w:type="dxa"/>
          </w:tcPr>
          <w:p w:rsidR="00A75E50" w:rsidRPr="007645B4" w:rsidRDefault="00A75E50" w:rsidP="00FF4127">
            <w:pPr>
              <w:pStyle w:val="HStandard"/>
            </w:pPr>
            <w:r w:rsidRPr="00C44B54">
              <w:t>45</w:t>
            </w:r>
            <w:r>
              <w:t xml:space="preserve"> indicateurs de contexte communs de la PAC (divisés en </w:t>
            </w:r>
            <w:r w:rsidRPr="00C44B54">
              <w:t>3</w:t>
            </w:r>
            <w:r>
              <w:t> groupes – socioéconomiques, sectoriels et environnementaux) reflètent les aspects pertinents des tendances contextuelles générales de l’économie, de l’environnement et de la société. Ils sont susceptibles d’avoir une influence sur la mise en œuvre, les réalisations et les performances de la PAC. Les fiches relatives aux indicateurs contiennent une description des définitions, de la méthodologie et des sources de données.</w:t>
            </w:r>
          </w:p>
        </w:tc>
      </w:tr>
      <w:tr w:rsidR="00A75E50" w:rsidRPr="001C6ACF" w:rsidTr="00A746BC">
        <w:trPr>
          <w:trHeight w:val="1800"/>
        </w:trPr>
        <w:tc>
          <w:tcPr>
            <w:tcW w:w="1129" w:type="dxa"/>
          </w:tcPr>
          <w:p w:rsidR="00A75E50" w:rsidRPr="001C6ACF" w:rsidRDefault="00A75E50" w:rsidP="00A746BC">
            <w:pPr>
              <w:pStyle w:val="HStandard"/>
              <w:jc w:val="center"/>
            </w:pPr>
            <w:r>
              <w:t>Toutes les QEC</w:t>
            </w:r>
          </w:p>
        </w:tc>
        <w:tc>
          <w:tcPr>
            <w:tcW w:w="2410" w:type="dxa"/>
          </w:tcPr>
          <w:p w:rsidR="00A75E50" w:rsidRPr="00571D58" w:rsidRDefault="00471D4A" w:rsidP="00E95159">
            <w:pPr>
              <w:pStyle w:val="HStandard"/>
              <w:jc w:val="left"/>
            </w:pPr>
            <w:hyperlink r:id="rId31">
              <w:r w:rsidR="006F62E2">
                <w:rPr>
                  <w:rStyle w:val="Hyperlink"/>
                </w:rPr>
                <w:t xml:space="preserve">Document de travail «Common evaluation questions for Rural Development Programmes </w:t>
              </w:r>
              <w:r w:rsidR="006F62E2" w:rsidRPr="00C44B54">
                <w:rPr>
                  <w:rStyle w:val="Hyperlink"/>
                </w:rPr>
                <w:t>2014</w:t>
              </w:r>
              <w:r w:rsidR="006F62E2">
                <w:rPr>
                  <w:rStyle w:val="Hyperlink"/>
                </w:rPr>
                <w:t>-</w:t>
              </w:r>
              <w:r w:rsidR="006F62E2" w:rsidRPr="00C44B54">
                <w:rPr>
                  <w:rStyle w:val="Hyperlink"/>
                </w:rPr>
                <w:t>2020</w:t>
              </w:r>
              <w:r w:rsidR="006F62E2">
                <w:rPr>
                  <w:rStyle w:val="Hyperlink"/>
                </w:rPr>
                <w:t>»</w:t>
              </w:r>
            </w:hyperlink>
          </w:p>
        </w:tc>
        <w:tc>
          <w:tcPr>
            <w:tcW w:w="5477" w:type="dxa"/>
          </w:tcPr>
          <w:p w:rsidR="00A75E50" w:rsidRPr="00863E73" w:rsidRDefault="00A75E50" w:rsidP="00E95159">
            <w:pPr>
              <w:pStyle w:val="HStandard"/>
            </w:pPr>
            <w:r>
              <w:t>Explique l’objectif et l’utilité des questions d’évaluation communes dans le CMES. Il décrit les différents types de questions d’évaluation et dresse la liste des critères de jugement et des indicateurs communs et supplémentaires pour les QEC nº </w:t>
            </w:r>
            <w:r w:rsidRPr="00C44B54">
              <w:t>1</w:t>
            </w:r>
            <w:r>
              <w:t xml:space="preserve"> à </w:t>
            </w:r>
            <w:r w:rsidRPr="00C44B54">
              <w:t>21</w:t>
            </w:r>
            <w:r>
              <w:t>.</w:t>
            </w:r>
          </w:p>
        </w:tc>
      </w:tr>
    </w:tbl>
    <w:p w:rsidR="00154C43" w:rsidRPr="001C6ACF" w:rsidRDefault="00154C43"/>
    <w:p w:rsidR="001C2076" w:rsidRPr="001C6ACF" w:rsidRDefault="001C2076" w:rsidP="00E35440">
      <w:pPr>
        <w:pStyle w:val="HHeading2"/>
      </w:pPr>
      <w:r>
        <w:t>Se préparer au RAM pour </w:t>
      </w:r>
      <w:r w:rsidRPr="00C44B54">
        <w:t>2019</w:t>
      </w:r>
      <w:r>
        <w:t xml:space="preserve"> </w:t>
      </w:r>
    </w:p>
    <w:p w:rsidR="009B016B" w:rsidRPr="001C6ACF" w:rsidRDefault="00806A70" w:rsidP="00217482">
      <w:pPr>
        <w:pStyle w:val="HStandard"/>
      </w:pPr>
      <w:r>
        <w:t>En guise de préparation à l’évaluation des réalisations et des incidences du PDR en </w:t>
      </w:r>
      <w:r w:rsidRPr="00C44B54">
        <w:t>2019</w:t>
      </w:r>
      <w:r>
        <w:t>, plusieurs parties prenantes à l’évaluation dans les États membres peuvent exécuter plusieurs étapes,</w:t>
      </w:r>
      <w:r>
        <w:rPr>
          <w:rStyle w:val="FootnoteReference"/>
          <w:sz w:val="20"/>
          <w:vertAlign w:val="superscript"/>
        </w:rPr>
        <w:footnoteReference w:id="24"/>
      </w:r>
      <w:r>
        <w:t xml:space="preserve"> ce qui permettra de garantir la haute qualité et la pertinence des résultats de l’évaluation pour leurs décideurs politiques.</w:t>
      </w:r>
    </w:p>
    <w:p w:rsidR="00932C3E" w:rsidRPr="001C6ACF" w:rsidRDefault="003146E6" w:rsidP="00217482">
      <w:pPr>
        <w:pStyle w:val="HStandard"/>
      </w:pPr>
      <w:r>
        <w:t>Une proposition de liste de vérification est fournie dans le tableau </w:t>
      </w:r>
      <w:r w:rsidRPr="00C44B54">
        <w:t>2</w:t>
      </w:r>
      <w:r>
        <w:t xml:space="preserve"> et contient les étapes nécessaires aux fins de l’évaluation en </w:t>
      </w:r>
      <w:r w:rsidRPr="00C44B54">
        <w:t>2019</w:t>
      </w:r>
      <w:r>
        <w:t xml:space="preserve">. Elle comprend également des étapes préparatoires qui, si elles ne sont pas encore réalisées, peuvent encore l’être avant le lancement des activités d’évaluation </w:t>
      </w:r>
      <w:r>
        <w:lastRenderedPageBreak/>
        <w:t>en </w:t>
      </w:r>
      <w:r w:rsidRPr="00C44B54">
        <w:t>2019</w:t>
      </w:r>
      <w:r>
        <w:t>. Le tableau </w:t>
      </w:r>
      <w:r w:rsidRPr="00C44B54">
        <w:t>2</w:t>
      </w:r>
      <w:r>
        <w:t xml:space="preserve"> indique les responsabilités des différents acteurs qui peuvent participer aux activités d’évaluation au niveau des États membres: autorité de gestion (AG), comité de suivi (CS), organisme payeur (OP), unité d’évaluation (EvU) (le cas échéant), groupe de pilotage «évaluation» (GPE) (le cas échéant), évaluateurs (Ev), fournisseurs de données (DP) et autres parties prenantes pertinentes intervenant dans l’évaluation (O). </w:t>
      </w:r>
    </w:p>
    <w:p w:rsidR="004773BB" w:rsidRPr="001C6ACF" w:rsidRDefault="00A75E50" w:rsidP="006B44E5">
      <w:pPr>
        <w:pStyle w:val="HHeadingtables"/>
      </w:pPr>
      <w:r>
        <w:br w:type="column"/>
      </w:r>
      <w:r>
        <w:lastRenderedPageBreak/>
        <w:t>Liste de vérification des étapes recommandées pour l’évaluation en </w:t>
      </w:r>
      <w:r w:rsidRPr="00C44B54">
        <w:t>2019</w:t>
      </w:r>
    </w:p>
    <w:tbl>
      <w:tblPr>
        <w:tblStyle w:val="Tabukasmriekou5tmavzvraznenie61"/>
        <w:tblW w:w="9492" w:type="dxa"/>
        <w:jc w:val="center"/>
        <w:tblLayout w:type="fixed"/>
        <w:tblLook w:val="04A0" w:firstRow="1" w:lastRow="0" w:firstColumn="1" w:lastColumn="0" w:noHBand="0" w:noVBand="1"/>
      </w:tblPr>
      <w:tblGrid>
        <w:gridCol w:w="562"/>
        <w:gridCol w:w="3402"/>
        <w:gridCol w:w="1061"/>
        <w:gridCol w:w="622"/>
        <w:gridCol w:w="549"/>
        <w:gridCol w:w="549"/>
        <w:gridCol w:w="550"/>
        <w:gridCol w:w="593"/>
        <w:gridCol w:w="505"/>
        <w:gridCol w:w="549"/>
        <w:gridCol w:w="550"/>
      </w:tblGrid>
      <w:tr w:rsidR="00055507" w:rsidRPr="001C6ACF" w:rsidTr="0005550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6E8967"/>
              <w:left w:val="single" w:sz="4" w:space="0" w:color="6E8967"/>
              <w:right w:val="single" w:sz="4" w:space="0" w:color="FFFFFF"/>
            </w:tcBorders>
            <w:textDirection w:val="btLr"/>
            <w:vAlign w:val="center"/>
          </w:tcPr>
          <w:p w:rsidR="00055507" w:rsidRPr="001C6ACF" w:rsidRDefault="00055507" w:rsidP="00DF22D0">
            <w:pPr>
              <w:spacing w:line="280" w:lineRule="atLeast"/>
              <w:ind w:left="113" w:right="113"/>
              <w:jc w:val="center"/>
              <w:rPr>
                <w:rFonts w:cs="Arial"/>
                <w:sz w:val="16"/>
                <w:szCs w:val="16"/>
              </w:rPr>
            </w:pPr>
            <w:r>
              <w:rPr>
                <w:sz w:val="16"/>
              </w:rPr>
              <w:t>Phase</w:t>
            </w:r>
          </w:p>
        </w:tc>
        <w:tc>
          <w:tcPr>
            <w:tcW w:w="3402" w:type="dxa"/>
            <w:vMerge w:val="restart"/>
            <w:tcBorders>
              <w:top w:val="single" w:sz="4" w:space="0" w:color="6E8967"/>
              <w:left w:val="single" w:sz="4" w:space="0" w:color="FFFFFF"/>
              <w:right w:val="single" w:sz="4" w:space="0" w:color="FFFFFF"/>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Étape</w:t>
            </w:r>
          </w:p>
        </w:tc>
        <w:tc>
          <w:tcPr>
            <w:tcW w:w="1061" w:type="dxa"/>
            <w:vMerge w:val="restart"/>
            <w:tcBorders>
              <w:top w:val="single" w:sz="4" w:space="0" w:color="6E8967"/>
              <w:left w:val="single" w:sz="4" w:space="0" w:color="FFFFFF"/>
              <w:right w:val="single" w:sz="4" w:space="0" w:color="FFFFFF" w:themeColor="background1"/>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Calendrier indicatif</w:t>
            </w:r>
          </w:p>
        </w:tc>
        <w:tc>
          <w:tcPr>
            <w:tcW w:w="4467" w:type="dxa"/>
            <w:gridSpan w:val="8"/>
            <w:tcBorders>
              <w:top w:val="single" w:sz="4" w:space="0" w:color="6E8967"/>
              <w:left w:val="single" w:sz="4" w:space="0" w:color="FFFFFF" w:themeColor="background1"/>
              <w:right w:val="single" w:sz="4" w:space="0" w:color="6E8967"/>
            </w:tcBorders>
            <w:vAlign w:val="center"/>
          </w:tcPr>
          <w:p w:rsidR="00055507" w:rsidRPr="00571D58"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Responsabilité (x) et participation (y)</w:t>
            </w:r>
            <w:r>
              <w:rPr>
                <w:rStyle w:val="FootnoteReference"/>
                <w:color w:val="FFFFFF" w:themeColor="background1"/>
                <w:sz w:val="10"/>
              </w:rPr>
              <w:footnoteReference w:id="25"/>
            </w:r>
          </w:p>
        </w:tc>
      </w:tr>
      <w:tr w:rsidR="00BA1544" w:rsidRPr="001C6ACF" w:rsidTr="004C3C30">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right w:val="single" w:sz="4" w:space="0" w:color="FFFFFF"/>
            </w:tcBorders>
            <w:textDirection w:val="btLr"/>
          </w:tcPr>
          <w:p w:rsidR="00055507" w:rsidRPr="001C6ACF" w:rsidRDefault="00055507" w:rsidP="00DF22D0">
            <w:pPr>
              <w:spacing w:line="280" w:lineRule="atLeast"/>
              <w:ind w:left="113" w:right="113"/>
              <w:jc w:val="right"/>
              <w:rPr>
                <w:rFonts w:cs="Arial"/>
                <w:b w:val="0"/>
                <w:sz w:val="16"/>
                <w:szCs w:val="16"/>
              </w:rPr>
            </w:pPr>
          </w:p>
        </w:tc>
        <w:tc>
          <w:tcPr>
            <w:tcW w:w="3402" w:type="dxa"/>
            <w:vMerge/>
            <w:tcBorders>
              <w:top w:val="single" w:sz="4" w:space="0" w:color="FFFFFF"/>
              <w:left w:val="single" w:sz="4" w:space="0" w:color="FFFFFF"/>
              <w:right w:val="single" w:sz="4" w:space="0" w:color="FFFFFF"/>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1061" w:type="dxa"/>
            <w:vMerge/>
            <w:tcBorders>
              <w:top w:val="single" w:sz="4" w:space="0" w:color="FFFFFF"/>
              <w:left w:val="single" w:sz="4" w:space="0" w:color="FFFFFF"/>
              <w:right w:val="single" w:sz="4" w:space="0" w:color="FFFFFF" w:themeColor="background1"/>
            </w:tcBorders>
          </w:tcPr>
          <w:p w:rsidR="00055507" w:rsidRPr="001C6ACF" w:rsidRDefault="00055507" w:rsidP="00DA3493">
            <w:pPr>
              <w:spacing w:line="280" w:lineRule="atLeast"/>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622"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AG</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OP</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DP</w:t>
            </w:r>
          </w:p>
        </w:tc>
        <w:tc>
          <w:tcPr>
            <w:tcW w:w="55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EvU</w:t>
            </w:r>
          </w:p>
        </w:tc>
        <w:tc>
          <w:tcPr>
            <w:tcW w:w="593"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GPE</w:t>
            </w:r>
          </w:p>
        </w:tc>
        <w:tc>
          <w:tcPr>
            <w:tcW w:w="505"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Ev</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CS</w:t>
            </w:r>
          </w:p>
        </w:tc>
        <w:tc>
          <w:tcPr>
            <w:tcW w:w="550" w:type="dxa"/>
            <w:tcBorders>
              <w:top w:val="single" w:sz="4" w:space="0" w:color="FFFFFF"/>
              <w:left w:val="single" w:sz="4" w:space="0" w:color="FFFFFF" w:themeColor="background1"/>
              <w:bottom w:val="single" w:sz="4" w:space="0" w:color="FFFFFF"/>
              <w:right w:val="single" w:sz="4" w:space="0" w:color="6E8967"/>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O</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Planification</w:t>
            </w:r>
          </w:p>
        </w:tc>
        <w:tc>
          <w:tcPr>
            <w:tcW w:w="3402"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Mettre à jour les valeurs de référence des indicateurs de contexte communs (dans le PDR)</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Dès que les données seront disponibles</w:t>
            </w:r>
          </w:p>
        </w:tc>
        <w:tc>
          <w:tcPr>
            <w:tcW w:w="622" w:type="dxa"/>
            <w:tcBorders>
              <w:top w:val="single" w:sz="4" w:space="0" w:color="FFFFFF"/>
              <w:right w:val="single" w:sz="4" w:space="0" w:color="FFFFFF"/>
            </w:tcBorders>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left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tcBorders>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5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Planifier des activités d’évaluation, des thèmes, des études, des modalités de collecte des données liées aux indicateurs d’impact communs dans le plan d’évaluation du PDR. </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À partir de </w:t>
            </w:r>
            <w:r w:rsidRPr="00C44B54">
              <w:rPr>
                <w:color w:val="373737"/>
                <w:sz w:val="16"/>
              </w:rPr>
              <w:t>2013</w:t>
            </w:r>
            <w:r>
              <w:rPr>
                <w:color w:val="373737"/>
                <w:sz w:val="16"/>
              </w:rPr>
              <w:t xml:space="preserve"> </w:t>
            </w:r>
          </w:p>
        </w:tc>
        <w:tc>
          <w:tcPr>
            <w:tcW w:w="622" w:type="dxa"/>
            <w:tcBorders>
              <w:right w:val="single" w:sz="4" w:space="0" w:color="FFFFFF"/>
            </w:tcBorders>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left w:val="single" w:sz="4" w:space="0" w:color="FFFFFF"/>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2A0D72" w:rsidP="004C3C30">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Élaborer/mettre à jour (le document de) la planification de l’évaluation interne afin de préciser les thèmes et activités de l’évaluation (y compris les modalités relatives aux données pour dégager les indicateurs d’impact, pour collecter d’autres éléments probants, et les études connexes). </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À partir de </w:t>
            </w:r>
            <w:r w:rsidRPr="00C44B54">
              <w:rPr>
                <w:color w:val="373737"/>
                <w:sz w:val="16"/>
              </w:rPr>
              <w:t>2013</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Préparation</w:t>
            </w:r>
          </w:p>
        </w:tc>
        <w:tc>
          <w:tcPr>
            <w:tcW w:w="3402"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Mettre en place un groupe de pilotage «évaluation» volontaire afin de diriger le processus d’évaluation (réunions régulières).</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Au début de la période de programmation </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Évaluer la logique d’intervention du programme (objectifs, domaines prioritaires et priorités en matière de R&amp;D, mesures). </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Au début de la période de programmation et avant chaque évaluation</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95480A">
        <w:trPr>
          <w:trHeight w:val="502"/>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95134D">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Mettre en place une compréhension commune des questions d’évaluation communes, développer des critères de jugement et les mettre en rapport avec des indicateurs communs (et supplémentaires). Garantir la cohérence au moment de lier les éléments d’évaluation avec la logique d’intervention du PDR. </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Au début de la période de programmation et avant chaque évaluation</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95480A"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Élaborer des questions d’évaluation spécifiques au programme, si nécessaire. Les doter de critères de jugement et d’indicateurs propres au programme. Garantir la cohérence au moment de lier les éléments d’évaluation avec la logique d’intervention du PDR.</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Au début de la période de programmation et avant chaque évaluation</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BA1544" w:rsidRPr="001C6ACF" w:rsidTr="0095480A">
        <w:trPr>
          <w:trHeight w:val="105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Borders>
              <w:top w:val="single" w:sz="4" w:space="0" w:color="FFFFFF"/>
            </w:tcBorders>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Examiner les données existantes pour le calcul des indicateurs communs (et supplémentaires) afin de collecter les éléments probants nécessaires pour répondre aux QEC liées à la stratégie Europe </w:t>
            </w:r>
            <w:r w:rsidRPr="00C44B54">
              <w:rPr>
                <w:color w:val="373737"/>
                <w:sz w:val="16"/>
              </w:rPr>
              <w:t>2020</w:t>
            </w:r>
            <w:r>
              <w:rPr>
                <w:color w:val="373737"/>
                <w:sz w:val="16"/>
              </w:rPr>
              <w:t xml:space="preserve">. Recenser les éventuelles lacunes en matière de données par rapport aux indicateurs choisis. </w:t>
            </w:r>
          </w:p>
        </w:tc>
        <w:tc>
          <w:tcPr>
            <w:tcW w:w="1061" w:type="dxa"/>
            <w:tcBorders>
              <w:top w:val="single" w:sz="4" w:space="0" w:color="FFFFFF"/>
            </w:tcBorders>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Au début de la période de programmation et avant l’évaluation</w:t>
            </w:r>
          </w:p>
        </w:tc>
        <w:tc>
          <w:tcPr>
            <w:tcW w:w="622"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tcBorders>
              <w:top w:val="single" w:sz="4" w:space="0" w:color="FFFFFF"/>
            </w:tcBorders>
            <w:shd w:val="clear" w:color="auto" w:fill="D0DDCC" w:themeFill="accent6" w:themeFillTint="66"/>
          </w:tcPr>
          <w:p w:rsidR="00055507" w:rsidRPr="001C6ACF" w:rsidRDefault="0095480A"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Discuter des approches d’évaluation possibles pour évaluer/dégager les indicateurs d’impact conformément aux données existantes.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Au début de la période de programmation et avant l’évaluation</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24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Rédiger les termes de référence et soumettre l’évaluation à un appel d’offres (sous forme de contrats d’évaluation continue ou d’évaluation unique pour </w:t>
            </w:r>
            <w:r w:rsidRPr="00C44B54">
              <w:rPr>
                <w:color w:val="373737"/>
                <w:sz w:val="16"/>
              </w:rPr>
              <w:t>2017</w:t>
            </w:r>
            <w:r>
              <w:rPr>
                <w:color w:val="373737"/>
                <w:sz w:val="16"/>
              </w:rPr>
              <w:t xml:space="preserve"> et </w:t>
            </w:r>
            <w:r w:rsidRPr="00C44B54">
              <w:rPr>
                <w:color w:val="373737"/>
                <w:sz w:val="16"/>
              </w:rPr>
              <w:t>2019</w:t>
            </w:r>
            <w:r>
              <w:rPr>
                <w:color w:val="373737"/>
                <w:sz w:val="16"/>
              </w:rPr>
              <w:t xml:space="preserve">). </w:t>
            </w:r>
          </w:p>
        </w:tc>
        <w:tc>
          <w:tcPr>
            <w:tcW w:w="106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Au début de la période de programmation ou en </w:t>
            </w:r>
            <w:r w:rsidRPr="00C44B54">
              <w:rPr>
                <w:color w:val="373737"/>
                <w:sz w:val="16"/>
              </w:rPr>
              <w:t>2016</w:t>
            </w:r>
            <w:r>
              <w:rPr>
                <w:color w:val="373737"/>
                <w:sz w:val="16"/>
              </w:rPr>
              <w:t xml:space="preserve"> et </w:t>
            </w:r>
            <w:r w:rsidRPr="00C44B54">
              <w:rPr>
                <w:color w:val="373737"/>
                <w:sz w:val="16"/>
              </w:rPr>
              <w:t>2018</w:t>
            </w:r>
            <w:r>
              <w:rPr>
                <w:color w:val="373737"/>
                <w:sz w:val="16"/>
              </w:rPr>
              <w:t>.</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BA1544"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Structure</w:t>
            </w: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Discuter des sources de données existantes et des lacunes en matière de données avec les évaluateurs. Convenir de la manière de combler les lacunes en matière de données.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C44B54">
              <w:rPr>
                <w:color w:val="373737"/>
                <w:sz w:val="16"/>
              </w:rPr>
              <w:t>2016</w:t>
            </w:r>
            <w:r>
              <w:rPr>
                <w:color w:val="373737"/>
                <w:sz w:val="16"/>
              </w:rPr>
              <w:t xml:space="preserve"> et </w:t>
            </w:r>
            <w:r w:rsidRPr="00C44B54">
              <w:rPr>
                <w:color w:val="373737"/>
                <w:sz w:val="16"/>
              </w:rPr>
              <w:t>2</w:t>
            </w:r>
            <w:r>
              <w:rPr>
                <w:color w:val="373737"/>
                <w:sz w:val="16"/>
                <w:vertAlign w:val="superscript"/>
              </w:rPr>
              <w:t>e</w:t>
            </w:r>
            <w:r>
              <w:rPr>
                <w:color w:val="373737"/>
                <w:sz w:val="16"/>
              </w:rPr>
              <w:t xml:space="preserve"> et </w:t>
            </w:r>
            <w:r w:rsidRPr="00C44B54">
              <w:rPr>
                <w:color w:val="373737"/>
                <w:sz w:val="16"/>
              </w:rPr>
              <w:t>3</w:t>
            </w:r>
            <w:r>
              <w:rPr>
                <w:color w:val="373737"/>
                <w:sz w:val="16"/>
                <w:vertAlign w:val="superscript"/>
              </w:rPr>
              <w:t>e</w:t>
            </w:r>
            <w:r>
              <w:rPr>
                <w:color w:val="373737"/>
                <w:sz w:val="16"/>
              </w:rPr>
              <w:t> trimestre </w:t>
            </w:r>
            <w:r w:rsidRPr="00C44B54">
              <w:rPr>
                <w:color w:val="373737"/>
                <w:sz w:val="16"/>
              </w:rPr>
              <w:t>2018</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Discuter avec les évaluateurs des approches méthodologiques pour évaluer les incidences du PDR et pour dégager les indicateurs d’impact communs (et supplémentaires). </w:t>
            </w:r>
          </w:p>
        </w:tc>
        <w:tc>
          <w:tcPr>
            <w:tcW w:w="106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C44B54">
              <w:rPr>
                <w:color w:val="373737"/>
                <w:sz w:val="16"/>
              </w:rPr>
              <w:t>2016</w:t>
            </w:r>
            <w:r>
              <w:rPr>
                <w:color w:val="373737"/>
                <w:sz w:val="16"/>
              </w:rPr>
              <w:t xml:space="preserve"> et </w:t>
            </w:r>
            <w:r w:rsidRPr="00C44B54">
              <w:rPr>
                <w:color w:val="373737"/>
                <w:sz w:val="16"/>
              </w:rPr>
              <w:t>2</w:t>
            </w:r>
            <w:r>
              <w:rPr>
                <w:color w:val="373737"/>
                <w:sz w:val="16"/>
                <w:vertAlign w:val="superscript"/>
              </w:rPr>
              <w:t>e</w:t>
            </w:r>
            <w:r>
              <w:rPr>
                <w:color w:val="373737"/>
                <w:sz w:val="16"/>
              </w:rPr>
              <w:t xml:space="preserve"> et </w:t>
            </w:r>
            <w:r w:rsidRPr="00C44B54">
              <w:rPr>
                <w:color w:val="373737"/>
                <w:sz w:val="16"/>
              </w:rPr>
              <w:t>3</w:t>
            </w:r>
            <w:r>
              <w:rPr>
                <w:color w:val="373737"/>
                <w:sz w:val="16"/>
                <w:vertAlign w:val="superscript"/>
              </w:rPr>
              <w:t>e</w:t>
            </w:r>
            <w:r>
              <w:rPr>
                <w:color w:val="373737"/>
                <w:sz w:val="16"/>
              </w:rPr>
              <w:t> trimestre </w:t>
            </w:r>
            <w:r w:rsidRPr="00C44B54">
              <w:rPr>
                <w:color w:val="373737"/>
                <w:sz w:val="16"/>
              </w:rPr>
              <w:t>2018</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Observation</w:t>
            </w: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Récolter des données et des informations sur les bénéficiaires en lien avec les indicateurs d’impact communs (et supplémentaires) et conformément aux méthodes proposées.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Dès le lancement du PDR jusqu’à la fin de </w:t>
            </w:r>
            <w:r w:rsidRPr="00C44B54">
              <w:rPr>
                <w:color w:val="373737"/>
                <w:sz w:val="16"/>
              </w:rPr>
              <w:t>2018</w:t>
            </w:r>
            <w:r>
              <w:rPr>
                <w:color w:val="373737"/>
                <w:sz w:val="16"/>
              </w:rPr>
              <w:t>.</w:t>
            </w:r>
          </w:p>
        </w:tc>
        <w:tc>
          <w:tcPr>
            <w:tcW w:w="62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Récolter des données et des informations sur les non-bénéficiaires en lien avec les indicateurs d’impact communs (et supplémentaires) et conformément aux méthodes proposées.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Dès le lancement du PDR jusqu’à la fin de </w:t>
            </w:r>
            <w:r w:rsidRPr="00C44B54">
              <w:rPr>
                <w:color w:val="373737"/>
                <w:sz w:val="16"/>
              </w:rPr>
              <w:t>2018</w:t>
            </w:r>
            <w:r>
              <w:rPr>
                <w:color w:val="373737"/>
                <w:sz w:val="16"/>
              </w:rPr>
              <w:t>.</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Garantir la qualité des données recueillies tant dans la base de données des opérations qu’à partir d’autres sources (par exemple, RICA, office des statistiques, suivi environnemental, etc.) </w:t>
            </w:r>
          </w:p>
        </w:tc>
        <w:tc>
          <w:tcPr>
            <w:tcW w:w="1061" w:type="dxa"/>
          </w:tcPr>
          <w:p w:rsidR="00055507" w:rsidRPr="001C6ACF" w:rsidRDefault="00AF5B55" w:rsidP="00810ED5">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En cours</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Analyse</w:t>
            </w: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Réaliser l’évaluation et dégager les indicateurs d’impact conformément à l’approche d’évaluation proposée et aux méthodes d’évaluation choisies. </w:t>
            </w:r>
          </w:p>
        </w:tc>
        <w:tc>
          <w:tcPr>
            <w:tcW w:w="1061" w:type="dxa"/>
          </w:tcPr>
          <w:p w:rsidR="00055507" w:rsidRPr="001C6ACF" w:rsidRDefault="0095480A" w:rsidP="0095480A">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C44B54">
              <w:rPr>
                <w:color w:val="373737"/>
                <w:sz w:val="16"/>
              </w:rPr>
              <w:t>1</w:t>
            </w:r>
            <w:r>
              <w:rPr>
                <w:color w:val="373737"/>
                <w:sz w:val="16"/>
                <w:vertAlign w:val="superscript"/>
              </w:rPr>
              <w:t>er</w:t>
            </w:r>
            <w:r>
              <w:rPr>
                <w:color w:val="373737"/>
                <w:sz w:val="16"/>
              </w:rPr>
              <w:t> trimestre </w:t>
            </w:r>
            <w:r w:rsidRPr="00C44B54">
              <w:rPr>
                <w:color w:val="373737"/>
                <w:sz w:val="16"/>
              </w:rPr>
              <w:t>2019</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Garantir la qualité de l’analyse. </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C44B54">
              <w:rPr>
                <w:color w:val="373737"/>
                <w:sz w:val="16"/>
              </w:rPr>
              <w:t>1</w:t>
            </w:r>
            <w:r>
              <w:rPr>
                <w:color w:val="373737"/>
                <w:sz w:val="16"/>
                <w:vertAlign w:val="superscript"/>
              </w:rPr>
              <w:t>er</w:t>
            </w:r>
            <w:r>
              <w:rPr>
                <w:color w:val="373737"/>
                <w:sz w:val="16"/>
              </w:rPr>
              <w:t> trimestre </w:t>
            </w:r>
            <w:r w:rsidRPr="00C44B54">
              <w:rPr>
                <w:color w:val="373737"/>
                <w:sz w:val="16"/>
              </w:rPr>
              <w:t>2019</w:t>
            </w:r>
          </w:p>
        </w:tc>
        <w:tc>
          <w:tcPr>
            <w:tcW w:w="62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Jugement</w:t>
            </w: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Interpréter les résultats de l’évaluation à partir de l’analyse, développer les jugements sur la base des critères de jugement et répondre aux questions d’évaluation.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C44B54">
              <w:rPr>
                <w:color w:val="373737"/>
                <w:sz w:val="16"/>
              </w:rPr>
              <w:t>1</w:t>
            </w:r>
            <w:r>
              <w:rPr>
                <w:color w:val="373737"/>
                <w:sz w:val="16"/>
                <w:vertAlign w:val="superscript"/>
              </w:rPr>
              <w:t>er</w:t>
            </w:r>
            <w:r>
              <w:rPr>
                <w:color w:val="373737"/>
                <w:sz w:val="16"/>
              </w:rPr>
              <w:t> trimestre </w:t>
            </w:r>
            <w:r w:rsidRPr="00C44B54">
              <w:rPr>
                <w:color w:val="373737"/>
                <w:sz w:val="16"/>
              </w:rPr>
              <w:t>2019</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Formuler des conclusions en lien avec les jugements et élaborer des recommandations, si nécessaire.</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C44B54">
              <w:rPr>
                <w:color w:val="373737"/>
                <w:sz w:val="16"/>
              </w:rPr>
              <w:t>1</w:t>
            </w:r>
            <w:r>
              <w:rPr>
                <w:color w:val="373737"/>
                <w:sz w:val="16"/>
                <w:vertAlign w:val="superscript"/>
              </w:rPr>
              <w:t>er</w:t>
            </w:r>
            <w:r>
              <w:rPr>
                <w:color w:val="373737"/>
                <w:sz w:val="16"/>
              </w:rPr>
              <w:t xml:space="preserve"> et </w:t>
            </w:r>
            <w:r w:rsidRPr="00C44B54">
              <w:rPr>
                <w:color w:val="373737"/>
                <w:sz w:val="16"/>
              </w:rPr>
              <w:t>2</w:t>
            </w:r>
            <w:r>
              <w:rPr>
                <w:color w:val="373737"/>
                <w:sz w:val="16"/>
                <w:vertAlign w:val="superscript"/>
              </w:rPr>
              <w:t>e</w:t>
            </w:r>
            <w:r>
              <w:rPr>
                <w:color w:val="373737"/>
                <w:sz w:val="16"/>
              </w:rPr>
              <w:t> trimestre </w:t>
            </w:r>
            <w:r w:rsidRPr="00C44B54">
              <w:rPr>
                <w:color w:val="373737"/>
                <w:sz w:val="16"/>
              </w:rPr>
              <w:t>2019</w:t>
            </w:r>
          </w:p>
        </w:tc>
        <w:tc>
          <w:tcPr>
            <w:tcW w:w="622"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Garantir la qualité des jugements.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C44B54">
              <w:rPr>
                <w:color w:val="373737"/>
                <w:sz w:val="16"/>
              </w:rPr>
              <w:t>1</w:t>
            </w:r>
            <w:r>
              <w:rPr>
                <w:color w:val="373737"/>
                <w:sz w:val="16"/>
                <w:vertAlign w:val="superscript"/>
              </w:rPr>
              <w:t>er</w:t>
            </w:r>
            <w:r>
              <w:rPr>
                <w:color w:val="373737"/>
                <w:sz w:val="16"/>
              </w:rPr>
              <w:t xml:space="preserve"> et </w:t>
            </w:r>
            <w:r w:rsidRPr="00C44B54">
              <w:rPr>
                <w:color w:val="373737"/>
                <w:sz w:val="16"/>
              </w:rPr>
              <w:t>2</w:t>
            </w:r>
            <w:r>
              <w:rPr>
                <w:color w:val="373737"/>
                <w:sz w:val="16"/>
                <w:vertAlign w:val="superscript"/>
              </w:rPr>
              <w:t>e</w:t>
            </w:r>
            <w:r>
              <w:rPr>
                <w:color w:val="373737"/>
                <w:sz w:val="16"/>
              </w:rPr>
              <w:t> trimestre </w:t>
            </w:r>
            <w:r w:rsidRPr="00C44B54">
              <w:rPr>
                <w:color w:val="373737"/>
                <w:sz w:val="16"/>
              </w:rPr>
              <w:t>2019</w:t>
            </w:r>
          </w:p>
        </w:tc>
        <w:tc>
          <w:tcPr>
            <w:tcW w:w="622"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Élaboration des rapports</w:t>
            </w: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Rédiger les rapports d’évaluation.</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C44B54">
              <w:rPr>
                <w:color w:val="373737"/>
                <w:sz w:val="16"/>
              </w:rPr>
              <w:t>2</w:t>
            </w:r>
            <w:r>
              <w:rPr>
                <w:color w:val="373737"/>
                <w:sz w:val="16"/>
                <w:vertAlign w:val="superscript"/>
              </w:rPr>
              <w:t>e</w:t>
            </w:r>
            <w:r>
              <w:rPr>
                <w:color w:val="373737"/>
                <w:sz w:val="16"/>
              </w:rPr>
              <w:t> trimestre </w:t>
            </w:r>
            <w:r w:rsidRPr="00C44B54">
              <w:rPr>
                <w:color w:val="373737"/>
                <w:sz w:val="16"/>
              </w:rPr>
              <w:t>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Présenter les résultats de l’évaluation au comité de suivi.</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C44B54">
              <w:rPr>
                <w:color w:val="373737"/>
                <w:sz w:val="16"/>
              </w:rPr>
              <w:t>2</w:t>
            </w:r>
            <w:r>
              <w:rPr>
                <w:color w:val="373737"/>
                <w:sz w:val="16"/>
                <w:vertAlign w:val="superscript"/>
              </w:rPr>
              <w:t>e</w:t>
            </w:r>
            <w:r>
              <w:rPr>
                <w:color w:val="373737"/>
                <w:sz w:val="16"/>
              </w:rPr>
              <w:t> trimestre </w:t>
            </w:r>
            <w:r w:rsidRPr="00C44B54">
              <w:rPr>
                <w:color w:val="373737"/>
                <w:sz w:val="16"/>
              </w:rPr>
              <w:t>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CD67A7">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Remplir le modèle SFC du RAM (y compris les chapitres </w:t>
            </w:r>
            <w:r w:rsidRPr="00C44B54">
              <w:rPr>
                <w:color w:val="373737"/>
                <w:sz w:val="16"/>
              </w:rPr>
              <w:t>2</w:t>
            </w:r>
            <w:r>
              <w:rPr>
                <w:color w:val="373737"/>
                <w:sz w:val="16"/>
              </w:rPr>
              <w:t xml:space="preserve"> et </w:t>
            </w:r>
            <w:r w:rsidRPr="00C44B54">
              <w:rPr>
                <w:color w:val="373737"/>
                <w:sz w:val="16"/>
              </w:rPr>
              <w:t>7</w:t>
            </w:r>
            <w:r>
              <w:rPr>
                <w:color w:val="373737"/>
                <w:sz w:val="16"/>
              </w:rPr>
              <w:t>) et le présenter à la CE.</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C44B54">
              <w:rPr>
                <w:color w:val="373737"/>
                <w:sz w:val="16"/>
              </w:rPr>
              <w:t>2</w:t>
            </w:r>
            <w:r>
              <w:rPr>
                <w:color w:val="373737"/>
                <w:sz w:val="16"/>
                <w:vertAlign w:val="superscript"/>
              </w:rPr>
              <w:t>e</w:t>
            </w:r>
            <w:r>
              <w:rPr>
                <w:color w:val="373737"/>
                <w:sz w:val="16"/>
              </w:rPr>
              <w:t> trimestre </w:t>
            </w:r>
            <w:r w:rsidRPr="00C44B54">
              <w:rPr>
                <w:color w:val="373737"/>
                <w:sz w:val="16"/>
              </w:rPr>
              <w:t>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Publier le RAM et les rapports d’évaluation (et pas seulement le chapitre </w:t>
            </w:r>
            <w:r w:rsidRPr="00C44B54">
              <w:rPr>
                <w:color w:val="373737"/>
                <w:sz w:val="16"/>
              </w:rPr>
              <w:t>7</w:t>
            </w:r>
            <w:r>
              <w:rPr>
                <w:color w:val="373737"/>
                <w:sz w:val="16"/>
              </w:rPr>
              <w:t xml:space="preserve"> du RAM) sur le site web public.</w:t>
            </w:r>
          </w:p>
        </w:tc>
        <w:tc>
          <w:tcPr>
            <w:tcW w:w="1061" w:type="dxa"/>
          </w:tcPr>
          <w:p w:rsidR="00055507" w:rsidRPr="001C6ACF" w:rsidRDefault="00025148"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C44B54">
              <w:rPr>
                <w:color w:val="373737"/>
                <w:sz w:val="16"/>
              </w:rPr>
              <w:t>2</w:t>
            </w:r>
            <w:r>
              <w:rPr>
                <w:color w:val="373737"/>
                <w:sz w:val="16"/>
                <w:vertAlign w:val="superscript"/>
              </w:rPr>
              <w:t>e</w:t>
            </w:r>
            <w:r>
              <w:rPr>
                <w:color w:val="373737"/>
                <w:sz w:val="16"/>
              </w:rPr>
              <w:t xml:space="preserve">, </w:t>
            </w:r>
            <w:r w:rsidRPr="00C44B54">
              <w:rPr>
                <w:color w:val="373737"/>
                <w:sz w:val="16"/>
              </w:rPr>
              <w:t>3</w:t>
            </w:r>
            <w:r>
              <w:rPr>
                <w:color w:val="373737"/>
                <w:sz w:val="16"/>
                <w:vertAlign w:val="superscript"/>
              </w:rPr>
              <w:t>e</w:t>
            </w:r>
            <w:r>
              <w:rPr>
                <w:color w:val="373737"/>
                <w:sz w:val="16"/>
              </w:rPr>
              <w:t xml:space="preserve"> et </w:t>
            </w:r>
            <w:r w:rsidRPr="00C44B54">
              <w:rPr>
                <w:color w:val="373737"/>
                <w:sz w:val="16"/>
              </w:rPr>
              <w:t>4</w:t>
            </w:r>
            <w:r>
              <w:rPr>
                <w:color w:val="373737"/>
                <w:sz w:val="16"/>
                <w:vertAlign w:val="superscript"/>
              </w:rPr>
              <w:t>e</w:t>
            </w:r>
            <w:r>
              <w:rPr>
                <w:color w:val="373737"/>
                <w:sz w:val="16"/>
              </w:rPr>
              <w:t> trimestre </w:t>
            </w:r>
            <w:r w:rsidRPr="00C44B54">
              <w:rPr>
                <w:color w:val="373737"/>
                <w:sz w:val="16"/>
              </w:rPr>
              <w:t>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434BEF"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Rédiger les résultats de l’évaluation dans d’autres formats appropriés (par exemple un résumé à l’intention des citoyens) pour les différents groupes cibles.</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C44B54">
              <w:rPr>
                <w:color w:val="373737"/>
                <w:sz w:val="16"/>
              </w:rPr>
              <w:t>3</w:t>
            </w:r>
            <w:r>
              <w:rPr>
                <w:color w:val="373737"/>
                <w:sz w:val="16"/>
                <w:vertAlign w:val="superscript"/>
              </w:rPr>
              <w:t>e</w:t>
            </w:r>
            <w:r>
              <w:rPr>
                <w:color w:val="373737"/>
                <w:sz w:val="16"/>
              </w:rPr>
              <w:t xml:space="preserve"> et </w:t>
            </w:r>
            <w:r w:rsidRPr="00C44B54">
              <w:rPr>
                <w:color w:val="373737"/>
                <w:sz w:val="16"/>
              </w:rPr>
              <w:t>4</w:t>
            </w:r>
            <w:r>
              <w:rPr>
                <w:color w:val="373737"/>
                <w:sz w:val="16"/>
                <w:vertAlign w:val="superscript"/>
              </w:rPr>
              <w:t>e</w:t>
            </w:r>
            <w:r>
              <w:rPr>
                <w:color w:val="373737"/>
                <w:sz w:val="16"/>
              </w:rPr>
              <w:t> trimestre </w:t>
            </w:r>
            <w:r w:rsidRPr="00C44B54">
              <w:rPr>
                <w:color w:val="373737"/>
                <w:sz w:val="16"/>
              </w:rPr>
              <w:t>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Communiquer les résultats de l’évaluation aux groupes cibles.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C44B54">
              <w:rPr>
                <w:color w:val="373737"/>
                <w:sz w:val="16"/>
              </w:rPr>
              <w:t>3</w:t>
            </w:r>
            <w:r>
              <w:rPr>
                <w:color w:val="373737"/>
                <w:sz w:val="16"/>
                <w:vertAlign w:val="superscript"/>
              </w:rPr>
              <w:t>e</w:t>
            </w:r>
            <w:r>
              <w:rPr>
                <w:color w:val="373737"/>
                <w:sz w:val="16"/>
              </w:rPr>
              <w:t xml:space="preserve"> et </w:t>
            </w:r>
            <w:r w:rsidRPr="00C44B54">
              <w:rPr>
                <w:color w:val="373737"/>
                <w:sz w:val="16"/>
              </w:rPr>
              <w:t>4</w:t>
            </w:r>
            <w:r>
              <w:rPr>
                <w:color w:val="373737"/>
                <w:sz w:val="16"/>
                <w:vertAlign w:val="superscript"/>
              </w:rPr>
              <w:t>e</w:t>
            </w:r>
            <w:r>
              <w:rPr>
                <w:color w:val="373737"/>
                <w:sz w:val="16"/>
              </w:rPr>
              <w:t> trimestre </w:t>
            </w:r>
            <w:r w:rsidRPr="00C44B54">
              <w:rPr>
                <w:color w:val="373737"/>
                <w:sz w:val="16"/>
              </w:rPr>
              <w:t>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6E8967"/>
              <w:bottom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Suivi</w:t>
            </w:r>
          </w:p>
        </w:tc>
        <w:tc>
          <w:tcPr>
            <w:tcW w:w="3402"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Répondre et donner suite aux conclusions et recommandations de l’évaluation afin d’améliorer la conception et la mise en œuvre du programme de développement rural. </w:t>
            </w:r>
          </w:p>
        </w:tc>
        <w:tc>
          <w:tcPr>
            <w:tcW w:w="1061" w:type="dxa"/>
            <w:tcBorders>
              <w:bottom w:val="single" w:sz="4" w:space="0" w:color="6E8967"/>
            </w:tcBorders>
          </w:tcPr>
          <w:p w:rsidR="00055507" w:rsidRPr="001C6ACF" w:rsidRDefault="00055507" w:rsidP="00DF22D0">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À partir du </w:t>
            </w:r>
            <w:r w:rsidRPr="00C44B54">
              <w:rPr>
                <w:color w:val="373737"/>
                <w:sz w:val="16"/>
              </w:rPr>
              <w:t>2</w:t>
            </w:r>
            <w:r>
              <w:rPr>
                <w:color w:val="373737"/>
                <w:sz w:val="16"/>
                <w:vertAlign w:val="superscript"/>
              </w:rPr>
              <w:t>e</w:t>
            </w:r>
            <w:r>
              <w:rPr>
                <w:color w:val="373737"/>
                <w:sz w:val="16"/>
              </w:rPr>
              <w:t> trimestre </w:t>
            </w:r>
            <w:r w:rsidRPr="00C44B54">
              <w:rPr>
                <w:color w:val="373737"/>
                <w:sz w:val="16"/>
              </w:rPr>
              <w:t>2019</w:t>
            </w:r>
            <w:r>
              <w:rPr>
                <w:color w:val="373737"/>
                <w:sz w:val="16"/>
              </w:rPr>
              <w:t xml:space="preserve"> </w:t>
            </w:r>
          </w:p>
        </w:tc>
        <w:tc>
          <w:tcPr>
            <w:tcW w:w="622" w:type="dxa"/>
            <w:tcBorders>
              <w:bottom w:val="single" w:sz="4" w:space="0" w:color="6E8967"/>
            </w:tcBorders>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93"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Borders>
              <w:bottom w:val="single" w:sz="4" w:space="0" w:color="6E8967"/>
              <w:right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bl>
    <w:p w:rsidR="00C744FC" w:rsidRPr="001C6ACF" w:rsidRDefault="00C744FC" w:rsidP="001F25E0">
      <w:pPr>
        <w:pStyle w:val="HStandard"/>
      </w:pPr>
    </w:p>
    <w:p w:rsidR="00425D88" w:rsidRPr="001C6ACF" w:rsidRDefault="00425D88" w:rsidP="00425D88">
      <w:pPr>
        <w:pStyle w:val="HStandard"/>
        <w:sectPr w:rsidR="00425D88" w:rsidRPr="001C6ACF" w:rsidSect="00D32538">
          <w:footerReference w:type="default" r:id="rId32"/>
          <w:footerReference w:type="first" r:id="rId33"/>
          <w:pgSz w:w="11906" w:h="16838" w:code="9"/>
          <w:pgMar w:top="1440" w:right="1440" w:bottom="1134" w:left="1440" w:header="567" w:footer="737" w:gutter="0"/>
          <w:pgNumType w:start="1"/>
          <w:cols w:space="708"/>
          <w:titlePg/>
          <w:docGrid w:linePitch="360"/>
        </w:sectPr>
      </w:pPr>
    </w:p>
    <w:p w:rsidR="00425D88" w:rsidRPr="001C6ACF" w:rsidRDefault="00425D88" w:rsidP="00E93BEA">
      <w:pPr>
        <w:pStyle w:val="HHeading1"/>
        <w:tabs>
          <w:tab w:val="clear" w:pos="474"/>
          <w:tab w:val="clear" w:pos="567"/>
        </w:tabs>
        <w:rPr>
          <w:sz w:val="28"/>
        </w:rPr>
      </w:pPr>
      <w:r>
        <w:rPr>
          <w:sz w:val="28"/>
        </w:rPr>
        <w:lastRenderedPageBreak/>
        <w:t>Approches d’évaluation des incidences du PDR en </w:t>
      </w:r>
      <w:r w:rsidRPr="00C44B54">
        <w:rPr>
          <w:sz w:val="28"/>
        </w:rPr>
        <w:t>2019</w:t>
      </w:r>
      <w:r>
        <w:rPr>
          <w:sz w:val="28"/>
        </w:rPr>
        <w:t xml:space="preserve"> </w:t>
      </w:r>
      <w:r>
        <w:rPr>
          <w:sz w:val="28"/>
        </w:rPr>
        <w:br/>
        <w:t>(PARTIE II)</w:t>
      </w:r>
    </w:p>
    <w:p w:rsidR="00BB6B80" w:rsidRPr="00571D58" w:rsidRDefault="000B213F" w:rsidP="00B86C6A">
      <w:pPr>
        <w:pStyle w:val="HStandard"/>
      </w:pPr>
      <w:r>
        <w:rPr>
          <w:b/>
          <w:noProof/>
          <w:lang w:val="en-GB" w:eastAsia="en-GB" w:bidi="ar-SA"/>
        </w:rPr>
        <mc:AlternateContent>
          <mc:Choice Requires="wps">
            <w:drawing>
              <wp:inline distT="0" distB="0" distL="0" distR="0" wp14:anchorId="41541285" wp14:editId="51575826">
                <wp:extent cx="5695950" cy="1464310"/>
                <wp:effectExtent l="19050" t="19050" r="19050" b="21590"/>
                <wp:docPr id="935" name="Rectangle: Diagonal Corners Rounde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0" cy="1464310"/>
                        </a:xfrm>
                        <a:custGeom>
                          <a:avLst/>
                          <a:gdLst>
                            <a:gd name="T0" fmla="*/ 254411 w 5695950"/>
                            <a:gd name="T1" fmla="*/ 0 h 1464319"/>
                            <a:gd name="T2" fmla="*/ 5695950 w 5695950"/>
                            <a:gd name="T3" fmla="*/ 0 h 1464319"/>
                            <a:gd name="T4" fmla="*/ 5695950 w 5695950"/>
                            <a:gd name="T5" fmla="*/ 0 h 1464319"/>
                            <a:gd name="T6" fmla="*/ 5695950 w 5695950"/>
                            <a:gd name="T7" fmla="*/ 1209908 h 1464319"/>
                            <a:gd name="T8" fmla="*/ 5441539 w 5695950"/>
                            <a:gd name="T9" fmla="*/ 1464319 h 1464319"/>
                            <a:gd name="T10" fmla="*/ 0 w 5695950"/>
                            <a:gd name="T11" fmla="*/ 1464319 h 1464319"/>
                            <a:gd name="T12" fmla="*/ 0 w 5695950"/>
                            <a:gd name="T13" fmla="*/ 1464319 h 1464319"/>
                            <a:gd name="T14" fmla="*/ 0 w 5695950"/>
                            <a:gd name="T15" fmla="*/ 254411 h 1464319"/>
                            <a:gd name="T16" fmla="*/ 254411 w 5695950"/>
                            <a:gd name="T17" fmla="*/ 0 h 14643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5950"/>
                            <a:gd name="T28" fmla="*/ 0 h 1464319"/>
                            <a:gd name="T29" fmla="*/ 5695950 w 5695950"/>
                            <a:gd name="T30" fmla="*/ 1464319 h 14643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5950" h="1464319">
                              <a:moveTo>
                                <a:pt x="254411" y="0"/>
                              </a:moveTo>
                              <a:lnTo>
                                <a:pt x="5695950" y="0"/>
                              </a:lnTo>
                              <a:lnTo>
                                <a:pt x="5695950" y="1209908"/>
                              </a:lnTo>
                              <a:cubicBezTo>
                                <a:pt x="5695950" y="1350415"/>
                                <a:pt x="5582046" y="1464319"/>
                                <a:pt x="5441539" y="1464319"/>
                              </a:cubicBezTo>
                              <a:lnTo>
                                <a:pt x="0" y="1464319"/>
                              </a:lnTo>
                              <a:lnTo>
                                <a:pt x="0" y="254411"/>
                              </a:lnTo>
                              <a:cubicBezTo>
                                <a:pt x="0" y="113904"/>
                                <a:pt x="113904" y="0"/>
                                <a:pt x="254411" y="0"/>
                              </a:cubicBezTo>
                              <a:close/>
                            </a:path>
                          </a:pathLst>
                        </a:custGeom>
                        <a:noFill/>
                        <a:ln w="25400">
                          <a:solidFill>
                            <a:srgbClr val="8BAB80"/>
                          </a:solidFill>
                          <a:miter lim="800000"/>
                          <a:headEnd/>
                          <a:tailEnd/>
                        </a:ln>
                        <a:extLst>
                          <a:ext uri="{909E8E84-426E-40DD-AFC4-6F175D3DCCD1}">
                            <a14:hiddenFill xmlns:a14="http://schemas.microsoft.com/office/drawing/2010/main">
                              <a:solidFill>
                                <a:srgbClr val="FFFFFF"/>
                              </a:solidFill>
                            </a14:hiddenFill>
                          </a:ext>
                        </a:extLst>
                      </wps:spPr>
                      <wps:txbx>
                        <w:txbxContent>
                          <w:p w:rsidR="00471D4A" w:rsidRPr="00B86C6A" w:rsidRDefault="00471D4A" w:rsidP="00BB6B80">
                            <w:pPr>
                              <w:pStyle w:val="Normal12PTcouleurgris"/>
                              <w:rPr>
                                <w:rStyle w:val="HStandardCar"/>
                                <w:color w:val="292929" w:themeColor="text1" w:themeShade="BF"/>
                              </w:rPr>
                            </w:pPr>
                            <w:r>
                              <w:t xml:space="preserve">La </w:t>
                            </w:r>
                            <w:r>
                              <w:rPr>
                                <w:rStyle w:val="HStandardCar"/>
                                <w:b/>
                                <w:color w:val="F07E31"/>
                                <w:sz w:val="20"/>
                              </w:rPr>
                              <w:t>PARTIE II</w:t>
                            </w:r>
                            <w:r>
                              <w:rPr>
                                <w:rStyle w:val="HStandardCar"/>
                                <w:color w:val="F07E31"/>
                                <w:sz w:val="20"/>
                              </w:rPr>
                              <w:t xml:space="preserve"> </w:t>
                            </w:r>
                            <w:r>
                              <w:rPr>
                                <w:rStyle w:val="HStandardCar"/>
                                <w:color w:val="292929" w:themeColor="text1" w:themeShade="BF"/>
                                <w:sz w:val="20"/>
                              </w:rPr>
                              <w:t xml:space="preserve"> des lignes directrices non contraignantes «Évaluation des réalisations et des incidences du PDR en 2019» doit être lue dans le contexte de la </w:t>
                            </w:r>
                            <w:r>
                              <w:rPr>
                                <w:rStyle w:val="HStandardCar"/>
                                <w:b/>
                                <w:color w:val="F07E31"/>
                                <w:sz w:val="20"/>
                              </w:rPr>
                              <w:t>PARTIE III</w:t>
                            </w:r>
                            <w:r>
                              <w:rPr>
                                <w:rStyle w:val="HStandardCar"/>
                                <w:color w:val="F07E31"/>
                                <w:sz w:val="20"/>
                              </w:rPr>
                              <w:t xml:space="preserve"> </w:t>
                            </w:r>
                            <w:r>
                              <w:rPr>
                                <w:rStyle w:val="HStandardCar"/>
                                <w:color w:val="292929" w:themeColor="text1" w:themeShade="BF"/>
                                <w:sz w:val="20"/>
                              </w:rPr>
                              <w:t xml:space="preserve">(fiches de réponse aux QEC nº 22 à 30) et de la </w:t>
                            </w:r>
                            <w:r>
                              <w:rPr>
                                <w:rStyle w:val="HStandardCar"/>
                                <w:b/>
                                <w:color w:val="F07E31"/>
                                <w:sz w:val="20"/>
                              </w:rPr>
                              <w:t xml:space="preserve">PARTIE IV </w:t>
                            </w:r>
                            <w:r>
                              <w:rPr>
                                <w:rStyle w:val="HStandardCar"/>
                                <w:color w:val="292929" w:themeColor="text1" w:themeShade="BF"/>
                                <w:sz w:val="20"/>
                              </w:rPr>
                              <w:t>(annexe technique) qui contient des informations complémentaires sur les approches d’évaluation proposées, des exemples d’indicateurs supplémentaires, une description détaillée des étapes de travail, le degré d’adéquation des approches d’évaluation proposées, les choses à faire et à ne pas faire ainsi qu’un glossaire.</w:t>
                            </w:r>
                          </w:p>
                        </w:txbxContent>
                      </wps:txbx>
                      <wps:bodyPr rot="0" vert="horz" wrap="square" lIns="91440" tIns="45720" rIns="91440" bIns="45720" anchor="ctr" anchorCtr="0" upright="1">
                        <a:noAutofit/>
                      </wps:bodyPr>
                    </wps:wsp>
                  </a:graphicData>
                </a:graphic>
              </wp:inline>
            </w:drawing>
          </mc:Choice>
          <mc:Fallback>
            <w:pict>
              <v:shape w14:anchorId="41541285" id="Rectangle: Diagonal Corners Rounded 48" o:spid="_x0000_s1029" style="width:448.5pt;height:115.3pt;visibility:visible;mso-wrap-style:square;mso-left-percent:-10001;mso-top-percent:-10001;mso-position-horizontal:absolute;mso-position-horizontal-relative:char;mso-position-vertical:absolute;mso-position-vertical-relative:line;mso-left-percent:-10001;mso-top-percent:-10001;v-text-anchor:middle" coordsize="5695950,1464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" adj="-11796480,,5400" path="m254411,l5695950,r,1209908c5695950,1350415,5582046,1464319,5441539,1464319l,1464319,,254411c,113904,113904,,254411,xe" filled="f" strokecolor="#8bab80" strokeweight="2pt">
                <v:stroke joinstyle="miter"/>
                <v:formulas/>
                <v:path arrowok="t" o:connecttype="custom" o:connectlocs="254411,0;5695950,0;5695950,0;5695950,1209901;5441539,1464310;0,1464310;0,1464310;0,254409;254411,0" o:connectangles="0,0,0,0,0,0,0,0,0" textboxrect="0,0,5695950,1464319"/>
                <v:textbox>
                  <w:txbxContent>
                    <w:p w:rsidR="00471D4A" w:rsidRPr="00B86C6A" w:rsidRDefault="00471D4A" w:rsidP="00BB6B80">
                      <w:pPr>
                        <w:pStyle w:val="Normal12PTcouleurgris"/>
                        <w:rPr>
                          <w:rStyle w:val="HStandardCar"/>
                          <w:color w:val="292929" w:themeColor="text1" w:themeShade="BF"/>
                        </w:rPr>
                      </w:pPr>
                      <w:r>
                        <w:t xml:space="preserve">La </w:t>
                      </w:r>
                      <w:r>
                        <w:rPr>
                          <w:rStyle w:val="HStandardCar"/>
                          <w:b/>
                          <w:color w:val="F07E31"/>
                          <w:sz w:val="20"/>
                        </w:rPr>
                        <w:t>PARTIE II</w:t>
                      </w:r>
                      <w:r>
                        <w:rPr>
                          <w:rStyle w:val="HStandardCar"/>
                          <w:color w:val="F07E31"/>
                          <w:sz w:val="20"/>
                        </w:rPr>
                        <w:t xml:space="preserve"> </w:t>
                      </w:r>
                      <w:r>
                        <w:rPr>
                          <w:rStyle w:val="HStandardCar"/>
                          <w:color w:val="292929" w:themeColor="text1" w:themeShade="BF"/>
                          <w:sz w:val="20"/>
                        </w:rPr>
                        <w:t xml:space="preserve"> des lignes directrices non contraignantes «Évaluation des réalisations et des incidences du PDR en 2019» doit être lue dans le contexte de la </w:t>
                      </w:r>
                      <w:r>
                        <w:rPr>
                          <w:rStyle w:val="HStandardCar"/>
                          <w:b/>
                          <w:color w:val="F07E31"/>
                          <w:sz w:val="20"/>
                        </w:rPr>
                        <w:t>PARTIE III</w:t>
                      </w:r>
                      <w:r>
                        <w:rPr>
                          <w:rStyle w:val="HStandardCar"/>
                          <w:color w:val="F07E31"/>
                          <w:sz w:val="20"/>
                        </w:rPr>
                        <w:t xml:space="preserve"> </w:t>
                      </w:r>
                      <w:r>
                        <w:rPr>
                          <w:rStyle w:val="HStandardCar"/>
                          <w:color w:val="292929" w:themeColor="text1" w:themeShade="BF"/>
                          <w:sz w:val="20"/>
                        </w:rPr>
                        <w:t xml:space="preserve">(fiches de réponse aux QEC nº 22 à 30) et de la </w:t>
                      </w:r>
                      <w:r>
                        <w:rPr>
                          <w:rStyle w:val="HStandardCar"/>
                          <w:b/>
                          <w:color w:val="F07E31"/>
                          <w:sz w:val="20"/>
                        </w:rPr>
                        <w:t xml:space="preserve">PARTIE IV </w:t>
                      </w:r>
                      <w:r>
                        <w:rPr>
                          <w:rStyle w:val="HStandardCar"/>
                          <w:color w:val="292929" w:themeColor="text1" w:themeShade="BF"/>
                          <w:sz w:val="20"/>
                        </w:rPr>
                        <w:t>(annexe technique) qui contient des informations complémentaires sur les approches d’évaluation proposées, des exemples d’indicateurs supplémentaires, une description détaillée des étapes de travail, le degré d’adéquation des approches d’évaluation proposées, les choses à faire et à ne pas faire ainsi qu’un glossaire.</w:t>
                      </w:r>
                    </w:p>
                  </w:txbxContent>
                </v:textbox>
                <w10:anchorlock/>
              </v:shape>
            </w:pict>
          </mc:Fallback>
        </mc:AlternateContent>
      </w:r>
    </w:p>
    <w:p w:rsidR="00425D88" w:rsidRPr="007645B4" w:rsidRDefault="00425D88" w:rsidP="00002482">
      <w:pPr>
        <w:pStyle w:val="HHeading2"/>
        <w:tabs>
          <w:tab w:val="clear" w:pos="360"/>
          <w:tab w:val="clear" w:pos="567"/>
        </w:tabs>
      </w:pPr>
      <w:r>
        <w:t>Choisir les approches d’évaluation appropriées pour évaluer les incidences du PDR</w:t>
      </w:r>
    </w:p>
    <w:p w:rsidR="00E93BEA" w:rsidRPr="001C6ACF" w:rsidRDefault="00E93BEA" w:rsidP="00E93BEA">
      <w:pPr>
        <w:pStyle w:val="HStandard"/>
        <w:rPr>
          <w:rFonts w:cs="Arial"/>
        </w:rPr>
      </w:pPr>
      <w:r>
        <w:t>L’évaluation et le dégagement des indicateurs d’impact communs du pilier II de la PAC en </w:t>
      </w:r>
      <w:r w:rsidRPr="00C44B54">
        <w:t>2019</w:t>
      </w:r>
      <w:r>
        <w:t xml:space="preserve"> constituent des tâches difficiles qui soulèvent </w:t>
      </w:r>
      <w:r>
        <w:rPr>
          <w:b/>
        </w:rPr>
        <w:t>plusieurs questions</w:t>
      </w:r>
      <w:r>
        <w:t xml:space="preserve">: </w:t>
      </w:r>
    </w:p>
    <w:p w:rsidR="00E93BEA" w:rsidRPr="001C6ACF" w:rsidRDefault="00E93BEA" w:rsidP="00E93BEA">
      <w:pPr>
        <w:pStyle w:val="Hlistbullet"/>
      </w:pPr>
      <w:r>
        <w:t xml:space="preserve">Comment les changements observés dans les zones rurales peuvent-ils être attribués aux interventions du PDR et quelles approches d’évaluation devraient être utilisées à cette fin? </w:t>
      </w:r>
    </w:p>
    <w:p w:rsidR="00E93BEA" w:rsidRPr="001C6ACF" w:rsidRDefault="00E93BEA" w:rsidP="00E93BEA">
      <w:pPr>
        <w:pStyle w:val="Hlistbullet"/>
      </w:pPr>
      <w:r>
        <w:t xml:space="preserve">Quelles données provenant de sources existantes (par exemple suivi, bases de données régionales, nationales ou de l’UE) devraient être utilisées pour éclairer l’approche d’évaluation proposée? </w:t>
      </w:r>
    </w:p>
    <w:p w:rsidR="00E93BEA" w:rsidRPr="001C6ACF" w:rsidRDefault="00E93BEA" w:rsidP="00E93BEA">
      <w:pPr>
        <w:pStyle w:val="Hlistbullet"/>
      </w:pPr>
      <w:r>
        <w:t xml:space="preserve">De quelle manière convient-il de se coordonner avec les fournisseurs de données? </w:t>
      </w:r>
    </w:p>
    <w:p w:rsidR="00E93BEA" w:rsidRPr="001C6ACF" w:rsidRDefault="00E93BEA" w:rsidP="00E93BEA">
      <w:pPr>
        <w:pStyle w:val="Hlistbullet"/>
      </w:pPr>
      <w:r>
        <w:t xml:space="preserve">Comment garantir la qualité des données et veiller à combler les lacunes en matière de données? </w:t>
      </w:r>
    </w:p>
    <w:p w:rsidR="009B0B1E" w:rsidRPr="001C6ACF" w:rsidRDefault="009B0B1E" w:rsidP="00B63445">
      <w:pPr>
        <w:pStyle w:val="HHeading3"/>
      </w:pPr>
      <w:r>
        <w:t>Comment utiliser les modèles logiques pour déterminer les approches d’évaluation appropriées?</w:t>
      </w:r>
    </w:p>
    <w:p w:rsidR="009B37D9" w:rsidRPr="001C6ACF" w:rsidRDefault="000B213F" w:rsidP="009B37D9">
      <w:pPr>
        <w:pStyle w:val="HStandard"/>
      </w:pPr>
      <w:r>
        <w:rPr>
          <w:b/>
          <w:i/>
          <w:noProof/>
          <w:color w:val="F07E31" w:themeColor="accent1"/>
          <w:lang w:val="en-GB" w:eastAsia="en-GB" w:bidi="ar-SA"/>
        </w:rPr>
        <mc:AlternateContent>
          <mc:Choice Requires="wps">
            <w:drawing>
              <wp:anchor distT="0" distB="0" distL="114300" distR="114300" simplePos="0" relativeHeight="251728384" behindDoc="1" locked="0" layoutInCell="1" allowOverlap="1" wp14:anchorId="04A22DEB" wp14:editId="5CC8456B">
                <wp:simplePos x="0" y="0"/>
                <wp:positionH relativeFrom="margin">
                  <wp:align>right</wp:align>
                </wp:positionH>
                <wp:positionV relativeFrom="paragraph">
                  <wp:posOffset>35560</wp:posOffset>
                </wp:positionV>
                <wp:extent cx="2447925" cy="2065020"/>
                <wp:effectExtent l="0" t="0" r="28575" b="11430"/>
                <wp:wrapTight wrapText="bothSides">
                  <wp:wrapPolygon edited="0">
                    <wp:start x="672" y="0"/>
                    <wp:lineTo x="0" y="797"/>
                    <wp:lineTo x="0" y="21520"/>
                    <wp:lineTo x="21180" y="21520"/>
                    <wp:lineTo x="21684" y="20723"/>
                    <wp:lineTo x="21684" y="0"/>
                    <wp:lineTo x="672" y="0"/>
                  </wp:wrapPolygon>
                </wp:wrapTight>
                <wp:docPr id="9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2065020"/>
                        </a:xfrm>
                        <a:prstGeom prst="round2DiagRect">
                          <a:avLst>
                            <a:gd name="adj1" fmla="val 8733"/>
                            <a:gd name="adj2" fmla="val 0"/>
                          </a:avLst>
                        </a:prstGeom>
                        <a:noFill/>
                        <a:ln w="25400" cap="flat" cmpd="sng" algn="ctr">
                          <a:solidFill>
                            <a:srgbClr val="BE4A35"/>
                          </a:solidFill>
                          <a:prstDash val="solid"/>
                        </a:ln>
                        <a:effectLst/>
                      </wps:spPr>
                      <wps:txbx>
                        <w:txbxContent>
                          <w:p w:rsidR="00471D4A" w:rsidRPr="00C545E7" w:rsidRDefault="00471D4A" w:rsidP="005166F3">
                            <w:pPr>
                              <w:pStyle w:val="HHeading4"/>
                              <w:spacing w:before="0"/>
                              <w:jc w:val="both"/>
                              <w:rPr>
                                <w:i/>
                                <w:color w:val="F07E31" w:themeColor="accent1"/>
                                <w:sz w:val="18"/>
                              </w:rPr>
                            </w:pPr>
                            <w:r>
                              <w:rPr>
                                <w:noProof/>
                                <w:color w:val="373737"/>
                                <w:lang w:val="en-GB" w:eastAsia="en-GB" w:bidi="ar-SA"/>
                              </w:rPr>
                              <w:drawing>
                                <wp:inline distT="0" distB="0" distL="0" distR="0" wp14:anchorId="155E9A83" wp14:editId="695A4C88">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Les modèles logiques </w:t>
                            </w:r>
                            <w:r>
                              <w:rPr>
                                <w:b w:val="0"/>
                                <w:color w:val="373737" w:themeColor="text1"/>
                              </w:rPr>
                              <w:t>sont des arbres de décisions qui peuvent aider les parties prenantes à élaborer une approche d’évaluation (contrefactuelle) et à choisir les méthodes les plus appropriées selon les données et informations disponibles.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A22DEB" id="_x0000_s1030" style="position:absolute;left:0;text-align:left;margin-left:141.55pt;margin-top:2.8pt;width:192.75pt;height:162.6pt;z-index:-25158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2447925,2065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" adj="-11796480,,5400" path="m180338,l2447925,r,l2447925,1884682v,99598,-80740,180338,-180338,180338l,2065020r,l,180338c,80740,80740,,180338,xe" filled="f" strokecolor="#be4a35" strokeweight="2pt">
                <v:stroke joinstyle="miter"/>
                <v:formulas/>
                <v:path arrowok="t" o:connecttype="custom" o:connectlocs="180338,0;2447925,0;2447925,0;2447925,1884682;2267587,2065020;0,2065020;0,2065020;0,180338;180338,0" o:connectangles="0,0,0,0,0,0,0,0,0" textboxrect="0,0,2447925,2065020"/>
                <v:textbox>
                  <w:txbxContent>
                    <w:p w:rsidR="00471D4A" w:rsidRPr="00C545E7" w:rsidRDefault="00471D4A" w:rsidP="005166F3">
                      <w:pPr>
                        <w:pStyle w:val="HHeading4"/>
                        <w:spacing w:before="0"/>
                        <w:jc w:val="both"/>
                        <w:rPr>
                          <w:i/>
                          <w:color w:val="F07E31" w:themeColor="accent1"/>
                          <w:sz w:val="18"/>
                        </w:rPr>
                      </w:pPr>
                      <w:r>
                        <w:rPr>
                          <w:noProof/>
                          <w:color w:val="373737"/>
                          <w:lang w:val="en-GB" w:eastAsia="en-GB" w:bidi="ar-SA"/>
                        </w:rPr>
                        <w:drawing>
                          <wp:inline distT="0" distB="0" distL="0" distR="0" wp14:anchorId="155E9A83" wp14:editId="695A4C88">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Les modèles logiques </w:t>
                      </w:r>
                      <w:r>
                        <w:rPr>
                          <w:b w:val="0"/>
                          <w:color w:val="373737" w:themeColor="text1"/>
                        </w:rPr>
                        <w:t>sont des arbres de décisions qui peuvent aider les parties prenantes à élaborer une approche d’évaluation (contrefactuelle) et à choisir les méthodes les plus appropriées selon les données et informations disponibles.</w:t>
                      </w:r>
                    </w:p>
                  </w:txbxContent>
                </v:textbox>
                <w10:wrap type="tight" anchorx="margin"/>
              </v:shape>
            </w:pict>
          </mc:Fallback>
        </mc:AlternateContent>
      </w:r>
      <w:r>
        <w:t xml:space="preserve">Les modèles logiques peuvent guider l’évaluateur vers de nouvelles approches et une meilleure planification de la collecte de données, ainsi que dans le lancement d’un processus consistant à envisager des méthodes qui dépendent moins de la disponibilité des données (par exemple des méthodes qualitatives). Les modèles logiques peuvent également aider les autorités de gestion à améliorer la planification et la prédiction des résultats de l’évaluation dans un contexte donné (données, budget et échéance de l’évaluation). </w:t>
      </w:r>
    </w:p>
    <w:p w:rsidR="00FF13C7" w:rsidRPr="001C6ACF" w:rsidRDefault="00FF13C7" w:rsidP="00FF13C7">
      <w:pPr>
        <w:pStyle w:val="HStandard"/>
        <w:spacing w:after="0"/>
        <w:rPr>
          <w:rFonts w:cs="Arial"/>
          <w:color w:val="373737"/>
          <w:szCs w:val="18"/>
        </w:rPr>
      </w:pPr>
      <w:r>
        <w:rPr>
          <w:color w:val="373737"/>
        </w:rPr>
        <w:t>Les modèles logiques fournissent un guide étape par étape pour la conception des approches d’évaluation dans le but de permettre une meilleure compréhension des:</w:t>
      </w:r>
    </w:p>
    <w:p w:rsidR="00FF13C7" w:rsidRPr="001C6ACF" w:rsidRDefault="00FF13C7" w:rsidP="00FF13C7">
      <w:pPr>
        <w:pStyle w:val="Hlistbullet"/>
        <w:spacing w:before="0" w:after="0" w:line="280" w:lineRule="atLeast"/>
        <w:ind w:left="502"/>
        <w:rPr>
          <w:rFonts w:cs="Arial"/>
          <w:color w:val="373737"/>
          <w:szCs w:val="18"/>
        </w:rPr>
      </w:pPr>
      <w:r>
        <w:rPr>
          <w:b/>
          <w:color w:val="373737"/>
        </w:rPr>
        <w:t>POSSIBILITÉS:</w:t>
      </w:r>
      <w:r>
        <w:rPr>
          <w:color w:val="373737"/>
        </w:rPr>
        <w:t xml:space="preserve"> quelles sont les combinaisons de données/indicateurs/méthodes disponibles et adéquates pour répondre aux questions d’évaluation. </w:t>
      </w:r>
    </w:p>
    <w:p w:rsidR="00FF13C7" w:rsidRPr="001C6ACF" w:rsidRDefault="00FF13C7" w:rsidP="00FF13C7">
      <w:pPr>
        <w:pStyle w:val="Hlistbullet"/>
        <w:spacing w:before="0" w:after="0" w:line="280" w:lineRule="atLeast"/>
        <w:ind w:left="502"/>
        <w:rPr>
          <w:color w:val="373737"/>
          <w:sz w:val="22"/>
        </w:rPr>
      </w:pPr>
      <w:r>
        <w:rPr>
          <w:b/>
          <w:color w:val="373737"/>
        </w:rPr>
        <w:t>EXIGENCES:</w:t>
      </w:r>
      <w:r>
        <w:rPr>
          <w:color w:val="373737"/>
        </w:rPr>
        <w:t xml:space="preserve"> quelles sont les données/méthodes/approches nécessaires pour évaluer les incidences nettes et répondre aux questions d’évaluation.</w:t>
      </w:r>
    </w:p>
    <w:p w:rsidR="00FF13C7" w:rsidRPr="001C6ACF" w:rsidRDefault="00FF13C7" w:rsidP="00FF13C7">
      <w:pPr>
        <w:pStyle w:val="Hlistbullet"/>
        <w:spacing w:before="0" w:after="0" w:line="280" w:lineRule="atLeast"/>
        <w:ind w:left="502"/>
        <w:rPr>
          <w:color w:val="373737"/>
          <w:sz w:val="22"/>
        </w:rPr>
      </w:pPr>
      <w:r>
        <w:rPr>
          <w:b/>
          <w:color w:val="373737"/>
        </w:rPr>
        <w:t>CONSÉQUENCES:</w:t>
      </w:r>
      <w:r>
        <w:rPr>
          <w:color w:val="373737"/>
        </w:rPr>
        <w:t xml:space="preserve"> quelles sont les conséquences des décisions à différentes étapes sur les coûts et l’efficacité de l’évaluation.</w:t>
      </w:r>
    </w:p>
    <w:p w:rsidR="00E93BEA" w:rsidRPr="00571D58" w:rsidRDefault="009B37D9" w:rsidP="009B37D9">
      <w:pPr>
        <w:pStyle w:val="HStandard"/>
      </w:pPr>
      <w:r>
        <w:lastRenderedPageBreak/>
        <w:t xml:space="preserve">Les modèles logiques exposés dans les présentes lignes directrices suivent l’approche élaborée par </w:t>
      </w:r>
      <w:hyperlink r:id="rId35">
        <w:r>
          <w:rPr>
            <w:rStyle w:val="Hyperlink"/>
            <w:u w:val="none"/>
          </w:rPr>
          <w:t>ENVIEVAL</w:t>
        </w:r>
      </w:hyperlink>
      <w:r>
        <w:rPr>
          <w:rStyle w:val="FootnoteReference"/>
        </w:rPr>
        <w:footnoteReference w:id="26"/>
      </w:r>
      <w:r>
        <w:t xml:space="preserve"> dans </w:t>
      </w:r>
      <w:hyperlink r:id="rId36">
        <w:r>
          <w:rPr>
            <w:rStyle w:val="Hyperlink"/>
            <w:i/>
            <w:u w:val="none"/>
          </w:rPr>
          <w:t>Methodological Handbook for the evaluation of environmental impacts of RDPs.</w:t>
        </w:r>
        <w:r>
          <w:rPr>
            <w:rStyle w:val="Hyperlink"/>
            <w:u w:val="none"/>
          </w:rPr>
          <w:t xml:space="preserve"> </w:t>
        </w:r>
      </w:hyperlink>
      <w:r>
        <w:t>ENVIEVAL a élaboré et testé ces outils améliorés dans le cadre des incidences environnementales des programmes et mesures de développement rural dans les États membres de l’UE</w:t>
      </w:r>
      <w:r>
        <w:rPr>
          <w:rStyle w:val="FootnoteReference"/>
        </w:rPr>
        <w:footnoteReference w:id="27"/>
      </w:r>
      <w:r>
        <w:t xml:space="preserve">. </w:t>
      </w:r>
    </w:p>
    <w:p w:rsidR="00AE216A" w:rsidRPr="00FB6C06" w:rsidRDefault="00AE216A" w:rsidP="00AE216A">
      <w:pPr>
        <w:pStyle w:val="HHeading4"/>
      </w:pPr>
      <w:r>
        <w:t>Les niveaux du modèle logique</w:t>
      </w:r>
    </w:p>
    <w:p w:rsidR="00AE216A" w:rsidRPr="001C6ACF" w:rsidRDefault="00AE216A" w:rsidP="00AE216A">
      <w:pPr>
        <w:pStyle w:val="HStandard"/>
        <w:rPr>
          <w:rFonts w:cs="Arial"/>
        </w:rPr>
      </w:pPr>
      <w:r>
        <w:t xml:space="preserve">Un aperçu des </w:t>
      </w:r>
      <w:r>
        <w:rPr>
          <w:b/>
        </w:rPr>
        <w:t>quatre niveaux du modèle logique</w:t>
      </w:r>
      <w:r>
        <w:t xml:space="preserve"> est présenté au schéma </w:t>
      </w:r>
      <w:r w:rsidRPr="00C44B54">
        <w:t>2</w:t>
      </w:r>
      <w:r>
        <w:t xml:space="preserve">. Ce schéma indique, dans le </w:t>
      </w:r>
      <w:r w:rsidRPr="00C44B54">
        <w:rPr>
          <w:b/>
        </w:rPr>
        <w:t>1</w:t>
      </w:r>
      <w:r>
        <w:rPr>
          <w:b/>
          <w:vertAlign w:val="superscript"/>
        </w:rPr>
        <w:t>er</w:t>
      </w:r>
      <w:r>
        <w:rPr>
          <w:b/>
        </w:rPr>
        <w:t xml:space="preserve"> niveau</w:t>
      </w:r>
      <w:r>
        <w:t xml:space="preserve">, de quelle manière établir le cadre d’évaluation. Cela nécessite de bien comprendre la place des incidences dans la logique d’intervention, les indicateurs disponibles et l’unité d’évaluation. Le </w:t>
      </w:r>
      <w:r w:rsidRPr="00C44B54">
        <w:rPr>
          <w:b/>
        </w:rPr>
        <w:t>2</w:t>
      </w:r>
      <w:r>
        <w:rPr>
          <w:b/>
          <w:vertAlign w:val="superscript"/>
        </w:rPr>
        <w:t>e</w:t>
      </w:r>
      <w:r>
        <w:rPr>
          <w:b/>
        </w:rPr>
        <w:t xml:space="preserve"> niveau</w:t>
      </w:r>
      <w:r>
        <w:t xml:space="preserve"> recense les options pour le scénario contrefactuel, en tenant compte des facteurs contraignants. Le </w:t>
      </w:r>
      <w:r w:rsidRPr="00C44B54">
        <w:rPr>
          <w:b/>
        </w:rPr>
        <w:t>3</w:t>
      </w:r>
      <w:r>
        <w:rPr>
          <w:b/>
          <w:vertAlign w:val="superscript"/>
        </w:rPr>
        <w:t>e</w:t>
      </w:r>
      <w:r>
        <w:rPr>
          <w:b/>
        </w:rPr>
        <w:t> niveau</w:t>
      </w:r>
      <w:r>
        <w:t xml:space="preserve"> affine les options aux niveaux micro et macro afin d’évaluer les incidences nettes. Enfin, le </w:t>
      </w:r>
      <w:r w:rsidRPr="00C44B54">
        <w:t>4</w:t>
      </w:r>
      <w:r>
        <w:rPr>
          <w:b/>
          <w:vertAlign w:val="superscript"/>
        </w:rPr>
        <w:t>e</w:t>
      </w:r>
      <w:r>
        <w:t xml:space="preserve"> niveau vérifie la cohérence de l’analyse aux niveaux micro et macro en vue de valider les résultats. </w:t>
      </w:r>
    </w:p>
    <w:p w:rsidR="00E93BEA" w:rsidRPr="001C6ACF" w:rsidRDefault="00E93BEA" w:rsidP="00E52947">
      <w:pPr>
        <w:pStyle w:val="HHeadingfigures"/>
        <w:tabs>
          <w:tab w:val="clear" w:pos="2666"/>
        </w:tabs>
      </w:pPr>
      <w:r>
        <w:t>Schéma simplifié des niveaux du modèle logique</w:t>
      </w:r>
    </w:p>
    <w:p w:rsidR="00E93BEA" w:rsidRPr="00571D58" w:rsidRDefault="006B44E5" w:rsidP="00E93BEA">
      <w:pPr>
        <w:pStyle w:val="HStandard"/>
        <w:jc w:val="center"/>
      </w:pPr>
      <w:r>
        <w:rPr>
          <w:noProof/>
          <w:lang w:val="en-GB" w:eastAsia="en-GB" w:bidi="ar-SA"/>
        </w:rPr>
        <w:drawing>
          <wp:inline distT="0" distB="0" distL="0" distR="0" wp14:anchorId="486B8574" wp14:editId="5FEB9718">
            <wp:extent cx="4886325" cy="28643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19849" cy="2883992"/>
                    </a:xfrm>
                    <a:prstGeom prst="rect">
                      <a:avLst/>
                    </a:prstGeom>
                  </pic:spPr>
                </pic:pic>
              </a:graphicData>
            </a:graphic>
          </wp:inline>
        </w:drawing>
      </w:r>
    </w:p>
    <w:p w:rsidR="004F365B" w:rsidRPr="001C6ACF" w:rsidRDefault="004F365B" w:rsidP="004F365B">
      <w:pPr>
        <w:pStyle w:val="HSource"/>
        <w:rPr>
          <w:i w:val="0"/>
        </w:rPr>
      </w:pPr>
      <w:r>
        <w:t>Source: Helpdesk Évaluation européen pour le développement rural (</w:t>
      </w:r>
      <w:r w:rsidRPr="00C44B54">
        <w:t>2018</w:t>
      </w:r>
      <w:r>
        <w:t>), adapté de ENVIEVAL (</w:t>
      </w:r>
      <w:r w:rsidRPr="00C44B54">
        <w:t>2015</w:t>
      </w:r>
      <w:r>
        <w:t>): Methodological Handbook for the evaluation of environmental impacts of RDPs: Report D</w:t>
      </w:r>
      <w:r w:rsidRPr="00C44B54">
        <w:t>9</w:t>
      </w:r>
      <w:r>
        <w:t>.</w:t>
      </w:r>
      <w:r w:rsidRPr="00C44B54">
        <w:t>5</w:t>
      </w:r>
      <w:r>
        <w:t xml:space="preserve">. Bruxelles: Commission européenne. </w:t>
      </w:r>
    </w:p>
    <w:p w:rsidR="00B52943" w:rsidRDefault="00B52943" w:rsidP="00AE216A">
      <w:pPr>
        <w:pStyle w:val="HStandard"/>
        <w:rPr>
          <w:rFonts w:cs="Arial"/>
        </w:rPr>
      </w:pPr>
    </w:p>
    <w:p w:rsidR="00AE216A" w:rsidRPr="001C6ACF" w:rsidRDefault="00AE216A" w:rsidP="00AE216A">
      <w:pPr>
        <w:pStyle w:val="HStandard"/>
        <w:rPr>
          <w:rFonts w:cs="Arial"/>
        </w:rPr>
      </w:pPr>
      <w:r>
        <w:t>Les niveaux du modèle logique servent de point de référence pour décrire les approches d’évaluation proposées pour les indicateurs d’incidence de la PAC (voir chapitres </w:t>
      </w:r>
      <w:r w:rsidRPr="00C44B54">
        <w:t>2</w:t>
      </w:r>
      <w:r>
        <w:t>.</w:t>
      </w:r>
      <w:r w:rsidRPr="00C44B54">
        <w:t>2</w:t>
      </w:r>
      <w:r>
        <w:t xml:space="preserve"> à </w:t>
      </w:r>
      <w:r w:rsidRPr="00C44B54">
        <w:t>2</w:t>
      </w:r>
      <w:r>
        <w:t>.</w:t>
      </w:r>
      <w:r w:rsidRPr="00C44B54">
        <w:t>9</w:t>
      </w:r>
      <w:r>
        <w:t xml:space="preserve">). </w:t>
      </w:r>
    </w:p>
    <w:p w:rsidR="006B44E5" w:rsidRPr="001C6ACF" w:rsidRDefault="006B44E5">
      <w:pPr>
        <w:spacing w:before="0" w:after="0" w:line="240" w:lineRule="auto"/>
        <w:jc w:val="left"/>
        <w:rPr>
          <w:b/>
          <w:color w:val="57825E" w:themeColor="accent4"/>
          <w:sz w:val="20"/>
          <w:szCs w:val="20"/>
        </w:rPr>
      </w:pPr>
      <w:r>
        <w:br w:type="page"/>
      </w:r>
    </w:p>
    <w:p w:rsidR="00E93BEA" w:rsidRPr="001C6ACF" w:rsidRDefault="00E93BEA" w:rsidP="00E93BEA">
      <w:pPr>
        <w:pStyle w:val="HHeading4"/>
      </w:pPr>
      <w:r>
        <w:lastRenderedPageBreak/>
        <w:t>Établir le cadre d’évaluation (</w:t>
      </w:r>
      <w:r w:rsidRPr="00C44B54">
        <w:t>1</w:t>
      </w:r>
      <w:r>
        <w:rPr>
          <w:vertAlign w:val="superscript"/>
        </w:rPr>
        <w:t>er</w:t>
      </w:r>
      <w:r>
        <w:t xml:space="preserve"> niveau)</w:t>
      </w:r>
    </w:p>
    <w:p w:rsidR="00E93BEA" w:rsidRPr="007645B4" w:rsidRDefault="000B213F" w:rsidP="00E93BEA">
      <w:pPr>
        <w:pStyle w:val="HStandard"/>
        <w:rPr>
          <w:rFonts w:cs="Arial"/>
        </w:rPr>
      </w:pPr>
      <w:r>
        <w:rPr>
          <w:b/>
          <w:i/>
          <w:noProof/>
          <w:color w:val="F07E31" w:themeColor="accent1"/>
          <w:lang w:val="en-GB" w:eastAsia="en-GB" w:bidi="ar-SA"/>
        </w:rPr>
        <mc:AlternateContent>
          <mc:Choice Requires="wps">
            <w:drawing>
              <wp:anchor distT="0" distB="0" distL="114300" distR="114300" simplePos="0" relativeHeight="251729408" behindDoc="0" locked="0" layoutInCell="1" allowOverlap="1" wp14:anchorId="1CF33C57" wp14:editId="3A5E8B54">
                <wp:simplePos x="0" y="0"/>
                <wp:positionH relativeFrom="margin">
                  <wp:posOffset>-38100</wp:posOffset>
                </wp:positionH>
                <wp:positionV relativeFrom="paragraph">
                  <wp:posOffset>88900</wp:posOffset>
                </wp:positionV>
                <wp:extent cx="2286000" cy="2804160"/>
                <wp:effectExtent l="0" t="0" r="19050" b="15240"/>
                <wp:wrapThrough wrapText="bothSides">
                  <wp:wrapPolygon edited="0">
                    <wp:start x="900" y="0"/>
                    <wp:lineTo x="0" y="734"/>
                    <wp:lineTo x="0" y="21571"/>
                    <wp:lineTo x="20880" y="21571"/>
                    <wp:lineTo x="21060" y="21571"/>
                    <wp:lineTo x="21600" y="20837"/>
                    <wp:lineTo x="21600" y="0"/>
                    <wp:lineTo x="900" y="0"/>
                  </wp:wrapPolygon>
                </wp:wrapThrough>
                <wp:docPr id="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804160"/>
                        </a:xfrm>
                        <a:prstGeom prst="round2DiagRect">
                          <a:avLst>
                            <a:gd name="adj1" fmla="val 8733"/>
                            <a:gd name="adj2" fmla="val 0"/>
                          </a:avLst>
                        </a:prstGeom>
                        <a:noFill/>
                        <a:ln w="25400" cap="flat" cmpd="sng" algn="ctr">
                          <a:solidFill>
                            <a:srgbClr val="BE4A35"/>
                          </a:solidFill>
                          <a:prstDash val="solid"/>
                        </a:ln>
                        <a:effectLst/>
                      </wps:spPr>
                      <wps:txbx>
                        <w:txbxContent>
                          <w:p w:rsidR="00471D4A" w:rsidRPr="00044269" w:rsidRDefault="00471D4A"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6FD73DFD" wp14:editId="2F71F3CB">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L’évaluation d’une incidence donnée </w:t>
                            </w:r>
                            <w:r>
                              <w:rPr>
                                <w:b w:val="0"/>
                                <w:color w:val="373737" w:themeColor="text1"/>
                              </w:rPr>
                              <w:t>(sectorielle, environnementale ou socioéconomique) commence par l’établissement d’un cadre d’évaluation cohérent. Ce cadre contribue à clarifier la place de l’incidence dans le cadre de la logique d’intervention et montre les indicateurs et les unités d’analyses à disposition pour la mesurer.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F33C57" id="_x0000_s1031" style="position:absolute;left:0;text-align:left;margin-left:-3pt;margin-top:7pt;width:180pt;height:220.8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286000,2804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" adj="-11796480,,5400" path="m199636,l2286000,r,l2286000,2604524v,110256,-89380,199636,-199636,199636l,2804160r,l,199636c,89380,89380,,199636,xe" filled="f" strokecolor="#be4a35" strokeweight="2pt">
                <v:stroke joinstyle="miter"/>
                <v:formulas/>
                <v:path arrowok="t" o:connecttype="custom" o:connectlocs="199636,0;2286000,0;2286000,0;2286000,2604524;2086364,2804160;0,2804160;0,2804160;0,199636;199636,0" o:connectangles="0,0,0,0,0,0,0,0,0" textboxrect="0,0,2286000,2804160"/>
                <v:textbox>
                  <w:txbxContent>
                    <w:p w:rsidR="00471D4A" w:rsidRPr="00044269" w:rsidRDefault="00471D4A"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6FD73DFD" wp14:editId="2F71F3CB">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L’évaluation d’une incidence donnée </w:t>
                      </w:r>
                      <w:r>
                        <w:rPr>
                          <w:b w:val="0"/>
                          <w:color w:val="373737" w:themeColor="text1"/>
                        </w:rPr>
                        <w:t>(sectorielle, environnementale ou socioéconomique) commence par l’établissement d’un cadre d’évaluation cohérent. Ce cadre contribue à clarifier la place de l’incidence dans le cadre de la logique d’intervention et montre les indicateurs et les unités d’analyses à disposition pour la mesurer.</w:t>
                      </w:r>
                    </w:p>
                  </w:txbxContent>
                </v:textbox>
                <w10:wrap type="through" anchorx="margin"/>
              </v:shape>
            </w:pict>
          </mc:Fallback>
        </mc:AlternateContent>
      </w:r>
      <w:r>
        <w:t>Le cadre d’évaluation peut être élaboré en suivant les étapes suivantes:</w:t>
      </w:r>
    </w:p>
    <w:p w:rsidR="00E93BEA" w:rsidRPr="001C6ACF" w:rsidRDefault="0084519A" w:rsidP="00E93BEA">
      <w:pPr>
        <w:pStyle w:val="HStandard"/>
        <w:rPr>
          <w:rFonts w:cs="Arial"/>
        </w:rPr>
      </w:pPr>
      <w:r>
        <w:rPr>
          <w:b/>
          <w:color w:val="F07E31" w:themeColor="accent1"/>
        </w:rPr>
        <w:t>Étape </w:t>
      </w:r>
      <w:r w:rsidRPr="00C44B54">
        <w:rPr>
          <w:b/>
          <w:color w:val="F07E31" w:themeColor="accent1"/>
        </w:rPr>
        <w:t>1</w:t>
      </w:r>
      <w:r>
        <w:rPr>
          <w:b/>
          <w:color w:val="F07E31" w:themeColor="accent1"/>
        </w:rPr>
        <w:t xml:space="preserve"> -</w:t>
      </w:r>
      <w:r>
        <w:rPr>
          <w:i/>
        </w:rPr>
        <w:t xml:space="preserve"> </w:t>
      </w:r>
      <w:r>
        <w:rPr>
          <w:b/>
          <w:color w:val="F07E31" w:themeColor="accent1"/>
        </w:rPr>
        <w:t>Expliquer la logique d’intervention du CMES:</w:t>
      </w:r>
      <w:r>
        <w:t xml:space="preserve"> La logique d’intervention indique la hiérarchie des objectifs stratégiques en rapport avec les questions d’évaluation, les mesures et les domaines prioritaires pertinents, ainsi qu’</w:t>
      </w:r>
      <w:r>
        <w:rPr>
          <w:b/>
        </w:rPr>
        <w:t>avec les indicateurs de réalisation, de résultat et d’impact connexes du CMES.</w:t>
      </w:r>
      <w:r>
        <w:t xml:space="preserve"> Les indicateurs sont évalués dans le contexte des données disponibles.</w:t>
      </w:r>
    </w:p>
    <w:p w:rsidR="000C2540" w:rsidRPr="001C6ACF" w:rsidRDefault="0084519A" w:rsidP="000C2540">
      <w:pPr>
        <w:pStyle w:val="HStandard"/>
        <w:rPr>
          <w:rFonts w:cs="Arial"/>
          <w:bCs/>
        </w:rPr>
      </w:pPr>
      <w:r>
        <w:rPr>
          <w:b/>
          <w:color w:val="F07E31" w:themeColor="accent1"/>
        </w:rPr>
        <w:t>Étape </w:t>
      </w:r>
      <w:r w:rsidRPr="00C44B54">
        <w:rPr>
          <w:b/>
          <w:color w:val="F07E31" w:themeColor="accent1"/>
        </w:rPr>
        <w:t>2</w:t>
      </w:r>
      <w:r>
        <w:rPr>
          <w:b/>
          <w:color w:val="F07E31" w:themeColor="accent1"/>
        </w:rPr>
        <w:t xml:space="preserve"> - Choisir des indicateurs (de résultat et/ou d’impact) supplémentaires: </w:t>
      </w:r>
      <w:r>
        <w:t xml:space="preserve">Ces indicateurs peuvent compléter les indicateurs obligatoires du CMES. </w:t>
      </w:r>
      <w:r>
        <w:rPr>
          <w:b/>
        </w:rPr>
        <w:t>L’utilisation d’indicateurs supplémentaires est volontaire</w:t>
      </w:r>
      <w:r>
        <w:t xml:space="preserve"> et devrait être envisagée avec attention, en tenant compte des coûts, de la disponibilité des données, du caractère adapté et de la valeur ajoutée de l’évaluation. Les indicateurs supplémentaires peuvent être utiles pour quantifier les incidences et les résultats nets si les données relatives aux indicateurs communs ne sont pas suffisantes ou si les lacunes dans les indicateurs d’impact et de résultat communs ne sont pas comblées. Les indicateurs supplémentaires peuvent également être de nature qualitative (par exemple, degré de perception de l’évolution par les parties prenantes sur la base d’une échelle de Likert) pour compléter les éléments quantitatifs ou en l’absence d’autres éléments quantifiables. </w:t>
      </w:r>
    </w:p>
    <w:p w:rsidR="00560A1E" w:rsidRPr="001C6ACF" w:rsidRDefault="0084519A" w:rsidP="00E93BEA">
      <w:pPr>
        <w:pStyle w:val="HStandard"/>
        <w:rPr>
          <w:rFonts w:cs="Arial"/>
        </w:rPr>
      </w:pPr>
      <w:r>
        <w:rPr>
          <w:b/>
          <w:color w:val="F07E31" w:themeColor="accent1"/>
        </w:rPr>
        <w:t>Étape </w:t>
      </w:r>
      <w:r w:rsidRPr="00C44B54">
        <w:rPr>
          <w:b/>
          <w:color w:val="F07E31" w:themeColor="accent1"/>
        </w:rPr>
        <w:t>3</w:t>
      </w:r>
      <w:r>
        <w:rPr>
          <w:b/>
          <w:color w:val="F07E31" w:themeColor="accent1"/>
        </w:rPr>
        <w:t xml:space="preserve"> - Définir l’unité d’analyse (= la «plus petite partie d’un système organisé») dans le cadre de l’évaluation de niveau micro et macro (le cas échéant): </w:t>
      </w:r>
      <w:r>
        <w:t>L’unité d’analyse au niveau micro pourrait être les exploitations agricoles, les parcelles, les communautés ou les régions. Au niveau macro, il pourrait s’agir d’un bassin hydrographique, d’une unité régionale ou de l’ensemble du territoire du PDR. Une fois l’unité d’analyse définie, l’indicateur peut mesurer l’évolution de la gestion des terres ainsi que les changements environnementaux, sectoriels ou socioéconomiques provoqués par les interventions du PDR. Les données correspondantes devraient être collectées pour la même catégorie d’unité et inclure les bénéficiaires du programme ainsi que les non-bénéficiaires.</w:t>
      </w:r>
    </w:p>
    <w:p w:rsidR="00E93BEA" w:rsidRPr="001C6ACF" w:rsidRDefault="00E93BEA" w:rsidP="00E93BEA">
      <w:pPr>
        <w:pStyle w:val="HHeading4"/>
      </w:pPr>
      <w:r>
        <w:t>Établir le scénario contrefactuel (</w:t>
      </w:r>
      <w:r w:rsidRPr="00C44B54">
        <w:t>2</w:t>
      </w:r>
      <w:r>
        <w:rPr>
          <w:vertAlign w:val="superscript"/>
        </w:rPr>
        <w:t>e</w:t>
      </w:r>
      <w:r>
        <w:t> niveau)</w:t>
      </w:r>
    </w:p>
    <w:p w:rsidR="00391ECD" w:rsidRPr="001C6ACF" w:rsidRDefault="000B213F" w:rsidP="002D4AB7">
      <w:pPr>
        <w:pStyle w:val="HStandard"/>
        <w:rPr>
          <w:rFonts w:cs="Arial"/>
        </w:rPr>
      </w:pPr>
      <w:r>
        <w:rPr>
          <w:b/>
          <w:i/>
          <w:noProof/>
          <w:color w:val="F07E31" w:themeColor="accent1"/>
          <w:lang w:val="en-GB" w:eastAsia="en-GB" w:bidi="ar-SA"/>
        </w:rPr>
        <mc:AlternateContent>
          <mc:Choice Requires="wps">
            <w:drawing>
              <wp:anchor distT="0" distB="0" distL="114300" distR="114300" simplePos="0" relativeHeight="251730432" behindDoc="0" locked="0" layoutInCell="1" allowOverlap="1" wp14:anchorId="16AF5806" wp14:editId="5FD09DB8">
                <wp:simplePos x="0" y="0"/>
                <wp:positionH relativeFrom="column">
                  <wp:posOffset>3238500</wp:posOffset>
                </wp:positionH>
                <wp:positionV relativeFrom="paragraph">
                  <wp:posOffset>40640</wp:posOffset>
                </wp:positionV>
                <wp:extent cx="2447925" cy="1851660"/>
                <wp:effectExtent l="0" t="0" r="28575" b="15240"/>
                <wp:wrapThrough wrapText="bothSides">
                  <wp:wrapPolygon edited="0">
                    <wp:start x="504" y="0"/>
                    <wp:lineTo x="0" y="667"/>
                    <wp:lineTo x="0" y="21556"/>
                    <wp:lineTo x="21180" y="21556"/>
                    <wp:lineTo x="21516" y="21333"/>
                    <wp:lineTo x="21684" y="20667"/>
                    <wp:lineTo x="21684" y="0"/>
                    <wp:lineTo x="504" y="0"/>
                  </wp:wrapPolygon>
                </wp:wrapThrough>
                <wp:docPr id="38"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851660"/>
                        </a:xfrm>
                        <a:prstGeom prst="round2DiagRect">
                          <a:avLst>
                            <a:gd name="adj1" fmla="val 8733"/>
                            <a:gd name="adj2" fmla="val 0"/>
                          </a:avLst>
                        </a:prstGeom>
                        <a:noFill/>
                        <a:ln w="25400" cap="flat" cmpd="sng" algn="ctr">
                          <a:solidFill>
                            <a:srgbClr val="BE4A35"/>
                          </a:solidFill>
                          <a:prstDash val="solid"/>
                        </a:ln>
                        <a:effectLst/>
                      </wps:spPr>
                      <wps:txbx>
                        <w:txbxContent>
                          <w:p w:rsidR="00471D4A" w:rsidRPr="00044269" w:rsidRDefault="00471D4A"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6414B231" wp14:editId="0904F891">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Les effets du programme </w:t>
                            </w:r>
                            <w:r>
                              <w:rPr>
                                <w:b w:val="0"/>
                                <w:color w:val="373737" w:themeColor="text1"/>
                              </w:rPr>
                              <w:t>ne peuvent jamais être directement observés en raison de l’intervention d’autres facteurs et leur évaluation requiert par conséquent l’utilisation d’une analyse contrefactuelle.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AF5806" id="_x0000_s1032" style="position:absolute;left:0;text-align:left;margin-left:255pt;margin-top:3.2pt;width:192.75pt;height:145.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7925,1851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" adj="-11796480,,5400" path="m161705,l2447925,r,l2447925,1689955v,89307,-72398,161705,-161705,161705l,1851660r,l,161705c,72398,72398,,161705,xe" filled="f" strokecolor="#be4a35" strokeweight="2pt">
                <v:stroke joinstyle="miter"/>
                <v:formulas/>
                <v:path arrowok="t" o:connecttype="custom" o:connectlocs="161705,0;2447925,0;2447925,0;2447925,1689955;2286220,1851660;0,1851660;0,1851660;0,161705;161705,0" o:connectangles="0,0,0,0,0,0,0,0,0" textboxrect="0,0,2447925,1851660"/>
                <v:textbox>
                  <w:txbxContent>
                    <w:p w:rsidR="00471D4A" w:rsidRPr="00044269" w:rsidRDefault="00471D4A"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6414B231" wp14:editId="0904F891">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Les effets du programme </w:t>
                      </w:r>
                      <w:r>
                        <w:rPr>
                          <w:b w:val="0"/>
                          <w:color w:val="373737" w:themeColor="text1"/>
                        </w:rPr>
                        <w:t>ne peuvent jamais être directement observés en raison de l’intervention d’autres facteurs et leur évaluation requiert par conséquent l’utilisation d’une analyse contrefactuelle.</w:t>
                      </w:r>
                    </w:p>
                  </w:txbxContent>
                </v:textbox>
                <w10:wrap type="through"/>
              </v:shape>
            </w:pict>
          </mc:Fallback>
        </mc:AlternateContent>
      </w:r>
      <w:r>
        <w:t>L’effet du programme indique la différence de valeur des réalisations spécifiques (par exemple, valeur ajoutée brute ou productivité du travail) pour la même catégorie d'unité, avec et sans programme. Cette définition est valable pour toutes les unités d’analyse (par exemple, personne, exploitation agricole, entreprise, parcelles de terre, communauté, village, région, zone de programmation ou pays) et toutes les réalisations (exprimées en termes d’indicateurs sectoriels, environnementaux ou socioéconomiques) qui peuvent être plausiblement liées au programme.</w:t>
      </w:r>
    </w:p>
    <w:p w:rsidR="002D4AB7" w:rsidRPr="001C6ACF" w:rsidRDefault="002D4AB7" w:rsidP="002D4AB7">
      <w:pPr>
        <w:pStyle w:val="HStandard"/>
        <w:rPr>
          <w:rFonts w:cs="Arial"/>
        </w:rPr>
      </w:pPr>
      <w:r>
        <w:t xml:space="preserve">Le </w:t>
      </w:r>
      <w:r w:rsidRPr="00C44B54">
        <w:t>2</w:t>
      </w:r>
      <w:r>
        <w:rPr>
          <w:vertAlign w:val="superscript"/>
        </w:rPr>
        <w:t>e</w:t>
      </w:r>
      <w:r>
        <w:t xml:space="preserve"> niveau permet à l’évaluateur de déterminer les scénarios contrefactuels qui peuvent être construits à l’aide des données disponibles. Il tient compte de plusieurs facteurs contraignants (par </w:t>
      </w:r>
      <w:r>
        <w:lastRenderedPageBreak/>
        <w:t xml:space="preserve">exemple, disponibilité limitée des données, contrats d’évaluation à court terme, capacité d’évaluation limitée) et contribue également à recenser des solutions viables constituant un deuxième meilleur choix (par exemple pour l’évaluation des incidences environnementales). Il importe de procéder à un examen systématique des options possibles permettant de concevoir un scénario contrefactuel, même en l'absence de données. Il fournit des informations précieuses sur les conditions à remplir pour appliquer un scénario contrefactuel solide et montre d’autres options (par exemple, comparaisons naïves des groupes, évaluations qualitatives). </w:t>
      </w:r>
    </w:p>
    <w:p w:rsidR="00A41C7D" w:rsidRPr="001C6ACF" w:rsidRDefault="00E93BEA" w:rsidP="000B6372">
      <w:pPr>
        <w:pStyle w:val="HStandard"/>
      </w:pPr>
      <w:r>
        <w:t xml:space="preserve">Dans le modèle logique, le niveau du scénario contrefactuel est applicable aux évaluations de niveau micro et macro et est lié au choix de l’approche et des méthodes d’évaluation. </w:t>
      </w:r>
      <w:r>
        <w:rPr>
          <w:b/>
        </w:rPr>
        <w:t>Il incombe à l’évaluateur du programme de décider à quel niveau (micro/macro) l’analyse des effets du programme est réalisée.</w:t>
      </w:r>
      <w:r>
        <w:t xml:space="preserve"> Cette décision dépendra des données disponibles et sera prise préalablement au choix de l’unité d’analyse pour laquelle des données (économiques, environnementales ou socioéconomiques) sont recueillies. </w:t>
      </w:r>
    </w:p>
    <w:p w:rsidR="00A41C7D" w:rsidRPr="00571D58" w:rsidRDefault="00C87859">
      <w:pPr>
        <w:spacing w:before="0" w:after="0" w:line="240" w:lineRule="auto"/>
        <w:jc w:val="left"/>
        <w:rPr>
          <w:color w:val="373737" w:themeColor="text1"/>
          <w:sz w:val="20"/>
          <w:szCs w:val="20"/>
        </w:rPr>
      </w:pPr>
      <w:r>
        <w:rPr>
          <w:noProof/>
          <w:lang w:val="en-GB" w:eastAsia="en-GB" w:bidi="ar-SA"/>
        </w:rPr>
        <mc:AlternateContent>
          <mc:Choice Requires="wps">
            <w:drawing>
              <wp:anchor distT="0" distB="0" distL="114300" distR="114300" simplePos="0" relativeHeight="251732480" behindDoc="0" locked="0" layoutInCell="1" allowOverlap="1" wp14:anchorId="19EB7999" wp14:editId="79A4A6FD">
                <wp:simplePos x="0" y="0"/>
                <wp:positionH relativeFrom="margin">
                  <wp:align>right</wp:align>
                </wp:positionH>
                <wp:positionV relativeFrom="paragraph">
                  <wp:posOffset>86360</wp:posOffset>
                </wp:positionV>
                <wp:extent cx="5731510" cy="1630680"/>
                <wp:effectExtent l="0" t="0" r="21590" b="26670"/>
                <wp:wrapNone/>
                <wp:docPr id="46"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630680"/>
                        </a:xfrm>
                        <a:prstGeom prst="round2DiagRect">
                          <a:avLst>
                            <a:gd name="adj1" fmla="val 8733"/>
                            <a:gd name="adj2" fmla="val 0"/>
                          </a:avLst>
                        </a:prstGeom>
                        <a:noFill/>
                        <a:ln w="25400" cap="flat" cmpd="sng" algn="ctr">
                          <a:solidFill>
                            <a:srgbClr val="BE4A35"/>
                          </a:solidFill>
                          <a:prstDash val="solid"/>
                        </a:ln>
                        <a:effectLst/>
                      </wps:spPr>
                      <wps:txbx>
                        <w:txbxContent>
                          <w:p w:rsidR="00471D4A" w:rsidRPr="009B4B57" w:rsidRDefault="00471D4A"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40C04D08" wp14:editId="2C57F09E">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color w:val="373737" w:themeColor="text1"/>
                              </w:rPr>
                              <w:t>Les</w:t>
                            </w:r>
                            <w:r>
                              <w:rPr>
                                <w:color w:val="373737" w:themeColor="text1"/>
                              </w:rPr>
                              <w:t xml:space="preserve"> États membres ayant plusieurs PDR</w:t>
                            </w:r>
                            <w:r>
                              <w:t xml:space="preserve"> pourraient ne pas trouver dans les sources de données de l'UE (ex. Eurostat) les valeurs relatives aux indicateurs d'impact communs de la PAC au niveau de chaque PDR régional.</w:t>
                            </w:r>
                            <w:r>
                              <w:rPr>
                                <w:b w:val="0"/>
                                <w:color w:val="373737" w:themeColor="text1"/>
                              </w:rPr>
                              <w:t xml:space="preserve"> Dans ce cas, la valeur régionale de l’indicateur (NUTS 2) peut être estimée sur la base des données nationales ou, si possible, en additionnant les données fondées sur les unités collectées au sein de chaque région respective (I.01, I.02, I.03).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EB7999" id="_x0000_s1033" style="position:absolute;margin-left:400.1pt;margin-top:6.8pt;width:451.3pt;height:128.4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5731510,1630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" adj="-11796480,,5400" path="m142407,l5731510,r,l5731510,1488273v,78649,-63758,142407,-142407,142407l,1630680r,l,142407c,63758,63758,,142407,xe" filled="f" strokecolor="#be4a35" strokeweight="2pt">
                <v:stroke joinstyle="miter"/>
                <v:formulas/>
                <v:path arrowok="t" o:connecttype="custom" o:connectlocs="142407,0;5731510,0;5731510,0;5731510,1488273;5589103,1630680;0,1630680;0,1630680;0,142407;142407,0" o:connectangles="0,0,0,0,0,0,0,0,0" textboxrect="0,0,5731510,1630680"/>
                <v:textbox>
                  <w:txbxContent>
                    <w:p w:rsidR="00471D4A" w:rsidRPr="009B4B57" w:rsidRDefault="00471D4A"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40C04D08" wp14:editId="2C57F09E">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color w:val="373737" w:themeColor="text1"/>
                        </w:rPr>
                        <w:t>Les</w:t>
                      </w:r>
                      <w:r>
                        <w:rPr>
                          <w:color w:val="373737" w:themeColor="text1"/>
                        </w:rPr>
                        <w:t xml:space="preserve"> États membres ayant plusieurs PDR</w:t>
                      </w:r>
                      <w:r>
                        <w:t xml:space="preserve"> pourraient ne pas trouver dans les sources de données de l'UE (ex. Eurostat) les valeurs relatives aux indicateurs d'impact communs de la PAC au niveau de chaque PDR régional.</w:t>
                      </w:r>
                      <w:r>
                        <w:rPr>
                          <w:b w:val="0"/>
                          <w:color w:val="373737" w:themeColor="text1"/>
                        </w:rPr>
                        <w:t xml:space="preserve"> Dans ce cas, la valeur régionale de l’indicateur (NUTS 2) peut être estimée sur la base des données nationales ou, si possible, en additionnant les données fondées sur les unités collectées au sein de chaque région respective (I.01, I.02, I.03).</w:t>
                      </w:r>
                    </w:p>
                  </w:txbxContent>
                </v:textbox>
                <w10:wrap anchorx="margin"/>
              </v:shape>
            </w:pict>
          </mc:Fallback>
        </mc:AlternateContent>
      </w:r>
      <w:r>
        <w:br w:type="page"/>
      </w:r>
    </w:p>
    <w:p w:rsidR="00A41C7D" w:rsidRPr="00571D58" w:rsidRDefault="000B213F" w:rsidP="000B6372">
      <w:pPr>
        <w:pStyle w:val="HStandard"/>
        <w:rPr>
          <w:rFonts w:cs="Arial"/>
        </w:rPr>
      </w:pPr>
      <w:r>
        <w:rPr>
          <w:b/>
          <w:i/>
          <w:noProof/>
          <w:color w:val="F07E31" w:themeColor="accent1"/>
          <w:lang w:val="en-GB" w:eastAsia="en-GB" w:bidi="ar-SA"/>
        </w:rPr>
        <w:lastRenderedPageBreak/>
        <mc:AlternateContent>
          <mc:Choice Requires="wps">
            <w:drawing>
              <wp:anchor distT="0" distB="0" distL="114300" distR="114300" simplePos="0" relativeHeight="251733504" behindDoc="0" locked="0" layoutInCell="1" allowOverlap="1" wp14:anchorId="3CA731E5" wp14:editId="7531ECF0">
                <wp:simplePos x="0" y="0"/>
                <wp:positionH relativeFrom="column">
                  <wp:posOffset>-121920</wp:posOffset>
                </wp:positionH>
                <wp:positionV relativeFrom="paragraph">
                  <wp:posOffset>-106680</wp:posOffset>
                </wp:positionV>
                <wp:extent cx="6229350" cy="8884920"/>
                <wp:effectExtent l="0" t="0" r="19050" b="11430"/>
                <wp:wrapNone/>
                <wp:docPr id="946" name="Rectangle: Rounded Corners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8884920"/>
                        </a:xfrm>
                        <a:prstGeom prst="roundRect">
                          <a:avLst>
                            <a:gd name="adj" fmla="val 456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F977A" id="Rectangle: Rounded Corners 946" o:spid="_x0000_s1026" style="position:absolute;margin-left:-9.6pt;margin-top:-8.4pt;width:490.5pt;height:699.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" filled="f" strokecolor="#be4a35 [3205]" strokeweight="2pt">
                <v:path arrowok="t"/>
              </v:roundrect>
            </w:pict>
          </mc:Fallback>
        </mc:AlternateContent>
      </w:r>
      <w:r>
        <w:rPr>
          <w:b/>
          <w:i/>
          <w:noProof/>
          <w:color w:val="F07E31" w:themeColor="accent1"/>
          <w:lang w:val="en-GB" w:eastAsia="en-GB" w:bidi="ar-SA"/>
        </w:rPr>
        <mc:AlternateContent>
          <mc:Choice Requires="wps">
            <w:drawing>
              <wp:inline distT="0" distB="0" distL="0" distR="0" wp14:anchorId="175BAFB9" wp14:editId="3370FB57">
                <wp:extent cx="6093460" cy="2609850"/>
                <wp:effectExtent l="0" t="0" r="2540" b="0"/>
                <wp:docPr id="909"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3460" cy="2609850"/>
                        </a:xfrm>
                        <a:custGeom>
                          <a:avLst/>
                          <a:gdLst>
                            <a:gd name="T0" fmla="*/ 150406 w 6093460"/>
                            <a:gd name="T1" fmla="*/ 0 h 2609850"/>
                            <a:gd name="T2" fmla="*/ 6093460 w 6093460"/>
                            <a:gd name="T3" fmla="*/ 0 h 2609850"/>
                            <a:gd name="T4" fmla="*/ 6093460 w 6093460"/>
                            <a:gd name="T5" fmla="*/ 0 h 2609850"/>
                            <a:gd name="T6" fmla="*/ 6093460 w 6093460"/>
                            <a:gd name="T7" fmla="*/ 2459444 h 2609850"/>
                            <a:gd name="T8" fmla="*/ 5943054 w 6093460"/>
                            <a:gd name="T9" fmla="*/ 2609850 h 2609850"/>
                            <a:gd name="T10" fmla="*/ 0 w 6093460"/>
                            <a:gd name="T11" fmla="*/ 2609850 h 2609850"/>
                            <a:gd name="T12" fmla="*/ 0 w 6093460"/>
                            <a:gd name="T13" fmla="*/ 2609850 h 2609850"/>
                            <a:gd name="T14" fmla="*/ 0 w 6093460"/>
                            <a:gd name="T15" fmla="*/ 150406 h 2609850"/>
                            <a:gd name="T16" fmla="*/ 150406 w 6093460"/>
                            <a:gd name="T17" fmla="*/ 0 h 2609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93460"/>
                            <a:gd name="T28" fmla="*/ 0 h 2609850"/>
                            <a:gd name="T29" fmla="*/ 6093460 w 6093460"/>
                            <a:gd name="T30" fmla="*/ 2609850 h 2609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93460" h="2609850">
                              <a:moveTo>
                                <a:pt x="150406" y="0"/>
                              </a:moveTo>
                              <a:lnTo>
                                <a:pt x="6093460" y="0"/>
                              </a:lnTo>
                              <a:lnTo>
                                <a:pt x="6093460" y="2459444"/>
                              </a:lnTo>
                              <a:cubicBezTo>
                                <a:pt x="6093460" y="2542511"/>
                                <a:pt x="6026121" y="2609850"/>
                                <a:pt x="5943054" y="2609850"/>
                              </a:cubicBezTo>
                              <a:lnTo>
                                <a:pt x="0" y="2609850"/>
                              </a:lnTo>
                              <a:lnTo>
                                <a:pt x="0" y="150406"/>
                              </a:lnTo>
                              <a:cubicBezTo>
                                <a:pt x="0" y="67339"/>
                                <a:pt x="67339" y="0"/>
                                <a:pt x="150406" y="0"/>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471D4A" w:rsidRDefault="00471D4A" w:rsidP="005166F3">
                            <w:pPr>
                              <w:pStyle w:val="HHeading4"/>
                              <w:spacing w:before="0"/>
                              <w:jc w:val="both"/>
                              <w:rPr>
                                <w:rFonts w:cs="Arial"/>
                                <w:color w:val="373737"/>
                                <w:sz w:val="18"/>
                                <w:szCs w:val="18"/>
                              </w:rPr>
                            </w:pPr>
                            <w:r>
                              <w:rPr>
                                <w:noProof/>
                                <w:color w:val="373737"/>
                                <w:lang w:val="en-GB" w:eastAsia="en-GB" w:bidi="ar-SA"/>
                              </w:rPr>
                              <w:drawing>
                                <wp:inline distT="0" distB="0" distL="0" distR="0" wp14:anchorId="5E0CC750" wp14:editId="2B473B61">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GUIDE RAPIDE nº 1: Comment appliquer le modèle logique pour recenser différentes options permettant de concevoir le scénario contrefactuel et décider de l’approche d’évaluation?</w:t>
                            </w:r>
                          </w:p>
                          <w:p w:rsidR="00471D4A" w:rsidRPr="005D575A" w:rsidRDefault="00471D4A" w:rsidP="005166F3">
                            <w:pPr>
                              <w:pStyle w:val="HStandard"/>
                              <w:spacing w:after="0"/>
                              <w:rPr>
                                <w:rFonts w:cs="Arial"/>
                                <w:sz w:val="18"/>
                              </w:rPr>
                            </w:pPr>
                            <w:r>
                              <w:rPr>
                                <w:sz w:val="18"/>
                              </w:rPr>
                              <w:t xml:space="preserve">L’application des étapes de l’arbre de décisions au niveau du scénario contrefactuel fournit des orientations sur la manière de répondre aux questions clés suivantes dans le cadre de l’élaboration de ce scénario: </w:t>
                            </w:r>
                          </w:p>
                          <w:p w:rsidR="00471D4A" w:rsidRPr="005D575A" w:rsidRDefault="00471D4A" w:rsidP="005166F3">
                            <w:pPr>
                              <w:pStyle w:val="Hlistbullet"/>
                              <w:rPr>
                                <w:sz w:val="18"/>
                              </w:rPr>
                            </w:pPr>
                            <w:r>
                              <w:rPr>
                                <w:sz w:val="18"/>
                              </w:rPr>
                              <w:t>Quelles sont les options disponibles pour établir un scénario contrefactuel?</w:t>
                            </w:r>
                          </w:p>
                          <w:p w:rsidR="00471D4A" w:rsidRPr="005D575A" w:rsidRDefault="00471D4A" w:rsidP="005166F3">
                            <w:pPr>
                              <w:pStyle w:val="Hlistbullet"/>
                              <w:rPr>
                                <w:sz w:val="18"/>
                              </w:rPr>
                            </w:pPr>
                            <w:r>
                              <w:rPr>
                                <w:sz w:val="18"/>
                              </w:rPr>
                              <w:t>La mise en œuvre et l’utilisation des mesures permettent-elles de constituer un groupe de contrôle?</w:t>
                            </w:r>
                          </w:p>
                          <w:p w:rsidR="00471D4A" w:rsidRPr="005D575A" w:rsidRDefault="00471D4A" w:rsidP="005166F3">
                            <w:pPr>
                              <w:pStyle w:val="Hlistbullet"/>
                              <w:rPr>
                                <w:sz w:val="18"/>
                              </w:rPr>
                            </w:pPr>
                            <w:r>
                              <w:rPr>
                                <w:sz w:val="18"/>
                              </w:rPr>
                              <w:t>Dans quelle mesure dispose-t-on de données sur d’autres facteurs influençant les indicateurs sélectionnés?</w:t>
                            </w:r>
                          </w:p>
                          <w:p w:rsidR="00471D4A" w:rsidRPr="005D575A" w:rsidRDefault="00471D4A" w:rsidP="005166F3">
                            <w:pPr>
                              <w:pStyle w:val="Hlistbullet"/>
                              <w:rPr>
                                <w:sz w:val="18"/>
                              </w:rPr>
                            </w:pPr>
                            <w:r>
                              <w:rPr>
                                <w:sz w:val="18"/>
                              </w:rPr>
                              <w:t>Dispose-t-on de données pour les indicateurs sélectionnés à différents moments donnés (avant et après) pour les bénéficiaires et les non-bénéficiaires?</w:t>
                            </w:r>
                          </w:p>
                          <w:p w:rsidR="00471D4A" w:rsidRPr="00A41C7D" w:rsidRDefault="00471D4A" w:rsidP="005166F3">
                            <w:pPr>
                              <w:pStyle w:val="Hlistbullet"/>
                              <w:rPr>
                                <w:sz w:val="18"/>
                              </w:rPr>
                            </w:pPr>
                            <w:r>
                              <w:rPr>
                                <w:sz w:val="18"/>
                              </w:rPr>
                              <w:t>Est-il possible d’utiliser des méthodes robustes fondées sur les statistiques afin de quantifier au moindre coût les effets nets des mesures évaluées?</w:t>
                            </w:r>
                          </w:p>
                          <w:p w:rsidR="00471D4A" w:rsidRPr="00C545E7" w:rsidRDefault="00471D4A" w:rsidP="00010B08">
                            <w:pPr>
                              <w:pStyle w:val="Hlistbullet"/>
                              <w:numPr>
                                <w:ilvl w:val="0"/>
                                <w:numId w:val="0"/>
                              </w:numPr>
                              <w:spacing w:before="0" w:after="0" w:line="280" w:lineRule="atLeast"/>
                              <w:jc w:val="right"/>
                              <w:rPr>
                                <w:i/>
                                <w:color w:val="F07E31" w:themeColor="accent1"/>
                                <w:sz w:val="18"/>
                              </w:rPr>
                            </w:pPr>
                          </w:p>
                        </w:txbxContent>
                      </wps:txbx>
                      <wps:bodyPr rot="0" vert="horz" wrap="square" lIns="91440" tIns="45720" rIns="91440" bIns="45720" anchor="ctr" anchorCtr="0" upright="1">
                        <a:noAutofit/>
                      </wps:bodyPr>
                    </wps:wsp>
                  </a:graphicData>
                </a:graphic>
              </wp:inline>
            </w:drawing>
          </mc:Choice>
          <mc:Fallback>
            <w:pict>
              <v:shape w14:anchorId="175BAFB9" id="Rectangle: Diagonal Corners Rounded 90" o:spid="_x0000_s1034" style="width:479.8pt;height:205.5pt;visibility:visible;mso-wrap-style:square;mso-left-percent:-10001;mso-top-percent:-10001;mso-position-horizontal:absolute;mso-position-horizontal-relative:char;mso-position-vertical:absolute;mso-position-vertical-relative:line;mso-left-percent:-10001;mso-top-percent:-10001;v-text-anchor:middle" coordsize="609346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" adj="-11796480,,5400" path="m150406,l6093460,r,2459444c6093460,2542511,6026121,2609850,5943054,2609850l,2609850,,150406c,67339,67339,,150406,xe" filled="f" stroked="f" strokeweight="2pt">
                <v:stroke joinstyle="miter"/>
                <v:formulas/>
                <v:path arrowok="t" o:connecttype="custom" o:connectlocs="150406,0;6093460,0;6093460,0;6093460,2459444;5943054,2609850;0,2609850;0,2609850;0,150406;150406,0" o:connectangles="0,0,0,0,0,0,0,0,0" textboxrect="0,0,6093460,2609850"/>
                <v:textbox>
                  <w:txbxContent>
                    <w:p w:rsidR="00471D4A" w:rsidRDefault="00471D4A" w:rsidP="005166F3">
                      <w:pPr>
                        <w:pStyle w:val="HHeading4"/>
                        <w:spacing w:before="0"/>
                        <w:jc w:val="both"/>
                        <w:rPr>
                          <w:rFonts w:cs="Arial"/>
                          <w:color w:val="373737"/>
                          <w:sz w:val="18"/>
                          <w:szCs w:val="18"/>
                        </w:rPr>
                      </w:pPr>
                      <w:r>
                        <w:rPr>
                          <w:noProof/>
                          <w:color w:val="373737"/>
                          <w:lang w:val="en-GB" w:eastAsia="en-GB" w:bidi="ar-SA"/>
                        </w:rPr>
                        <w:drawing>
                          <wp:inline distT="0" distB="0" distL="0" distR="0" wp14:anchorId="5E0CC750" wp14:editId="2B473B61">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GUIDE RAPIDE nº 1: Comment appliquer le modèle logique pour recenser différentes options permettant de concevoir le scénario contrefactuel et décider de l’approche d’évaluation?</w:t>
                      </w:r>
                    </w:p>
                    <w:p w:rsidR="00471D4A" w:rsidRPr="005D575A" w:rsidRDefault="00471D4A" w:rsidP="005166F3">
                      <w:pPr>
                        <w:pStyle w:val="HStandard"/>
                        <w:spacing w:after="0"/>
                        <w:rPr>
                          <w:rFonts w:cs="Arial"/>
                          <w:sz w:val="18"/>
                        </w:rPr>
                      </w:pPr>
                      <w:r>
                        <w:rPr>
                          <w:sz w:val="18"/>
                        </w:rPr>
                        <w:t xml:space="preserve">L’application des étapes de l’arbre de décisions au niveau du scénario contrefactuel fournit des orientations sur la manière de répondre aux questions clés suivantes dans le cadre de l’élaboration de ce scénario: </w:t>
                      </w:r>
                    </w:p>
                    <w:p w:rsidR="00471D4A" w:rsidRPr="005D575A" w:rsidRDefault="00471D4A" w:rsidP="005166F3">
                      <w:pPr>
                        <w:pStyle w:val="Hlistbullet"/>
                        <w:rPr>
                          <w:sz w:val="18"/>
                        </w:rPr>
                      </w:pPr>
                      <w:r>
                        <w:rPr>
                          <w:sz w:val="18"/>
                        </w:rPr>
                        <w:t>Quelles sont les options disponibles pour établir un scénario contrefactuel?</w:t>
                      </w:r>
                    </w:p>
                    <w:p w:rsidR="00471D4A" w:rsidRPr="005D575A" w:rsidRDefault="00471D4A" w:rsidP="005166F3">
                      <w:pPr>
                        <w:pStyle w:val="Hlistbullet"/>
                        <w:rPr>
                          <w:sz w:val="18"/>
                        </w:rPr>
                      </w:pPr>
                      <w:r>
                        <w:rPr>
                          <w:sz w:val="18"/>
                        </w:rPr>
                        <w:t>La mise en œuvre et l’utilisation des mesures permettent-elles de constituer un groupe de contrôle?</w:t>
                      </w:r>
                    </w:p>
                    <w:p w:rsidR="00471D4A" w:rsidRPr="005D575A" w:rsidRDefault="00471D4A" w:rsidP="005166F3">
                      <w:pPr>
                        <w:pStyle w:val="Hlistbullet"/>
                        <w:rPr>
                          <w:sz w:val="18"/>
                        </w:rPr>
                      </w:pPr>
                      <w:r>
                        <w:rPr>
                          <w:sz w:val="18"/>
                        </w:rPr>
                        <w:t>Dans quelle mesure dispose-t-on de données sur d’autres facteurs influençant les indicateurs sélectionnés?</w:t>
                      </w:r>
                    </w:p>
                    <w:p w:rsidR="00471D4A" w:rsidRPr="005D575A" w:rsidRDefault="00471D4A" w:rsidP="005166F3">
                      <w:pPr>
                        <w:pStyle w:val="Hlistbullet"/>
                        <w:rPr>
                          <w:sz w:val="18"/>
                        </w:rPr>
                      </w:pPr>
                      <w:r>
                        <w:rPr>
                          <w:sz w:val="18"/>
                        </w:rPr>
                        <w:t>Dispose-t-on de données pour les indicateurs sélectionnés à différents moments donnés (avant et après) pour les bénéficiaires et les non-bénéficiaires?</w:t>
                      </w:r>
                    </w:p>
                    <w:p w:rsidR="00471D4A" w:rsidRPr="00A41C7D" w:rsidRDefault="00471D4A" w:rsidP="005166F3">
                      <w:pPr>
                        <w:pStyle w:val="Hlistbullet"/>
                        <w:rPr>
                          <w:sz w:val="18"/>
                        </w:rPr>
                      </w:pPr>
                      <w:r>
                        <w:rPr>
                          <w:sz w:val="18"/>
                        </w:rPr>
                        <w:t>Est-il possible d’utiliser des méthodes robustes fondées sur les statistiques afin de quantifier au moindre coût les effets nets des mesures évaluées?</w:t>
                      </w:r>
                    </w:p>
                    <w:p w:rsidR="00471D4A" w:rsidRPr="00C545E7" w:rsidRDefault="00471D4A" w:rsidP="00010B08">
                      <w:pPr>
                        <w:pStyle w:val="Hlistbullet"/>
                        <w:numPr>
                          <w:ilvl w:val="0"/>
                          <w:numId w:val="0"/>
                        </w:numPr>
                        <w:spacing w:before="0" w:after="0" w:line="280" w:lineRule="atLeast"/>
                        <w:jc w:val="right"/>
                        <w:rPr>
                          <w:i/>
                          <w:color w:val="F07E31" w:themeColor="accent1"/>
                          <w:sz w:val="18"/>
                        </w:rPr>
                      </w:pPr>
                    </w:p>
                  </w:txbxContent>
                </v:textbox>
                <w10:anchorlock/>
              </v:shape>
            </w:pict>
          </mc:Fallback>
        </mc:AlternateContent>
      </w:r>
    </w:p>
    <w:p w:rsidR="00EB120C" w:rsidRPr="005934AE" w:rsidRDefault="00EC01C3" w:rsidP="00EB120C">
      <w:pPr>
        <w:pStyle w:val="HHeadingfigures"/>
        <w:tabs>
          <w:tab w:val="clear" w:pos="2666"/>
        </w:tabs>
      </w:pPr>
      <w:r>
        <w:rPr>
          <w:noProof/>
          <w:lang w:val="en-GB" w:eastAsia="en-GB" w:bidi="ar-SA"/>
        </w:rPr>
        <mc:AlternateContent>
          <mc:Choice Requires="wps">
            <w:drawing>
              <wp:anchor distT="0" distB="0" distL="114300" distR="114300" simplePos="0" relativeHeight="251735552" behindDoc="0" locked="0" layoutInCell="1" allowOverlap="1" wp14:anchorId="1066F5C0" wp14:editId="58EE829E">
                <wp:simplePos x="0" y="0"/>
                <wp:positionH relativeFrom="margin">
                  <wp:posOffset>2333625</wp:posOffset>
                </wp:positionH>
                <wp:positionV relativeFrom="paragraph">
                  <wp:posOffset>218440</wp:posOffset>
                </wp:positionV>
                <wp:extent cx="3533775" cy="752475"/>
                <wp:effectExtent l="0" t="0" r="28575" b="28575"/>
                <wp:wrapNone/>
                <wp:docPr id="47" name="TextBox 100">
                  <a:extLst xmlns:a="http://schemas.openxmlformats.org/drawingml/2006/main">
                    <a:ext uri="{FF2B5EF4-FFF2-40B4-BE49-F238E27FC236}">
                      <a16:creationId xmlns:a16="http://schemas.microsoft.com/office/drawing/2014/main" id="{89C1602A-F83C-47BF-B06E-B30749FB2A31}"/>
                    </a:ext>
                  </a:extLst>
                </wp:docPr>
                <wp:cNvGraphicFramePr/>
                <a:graphic xmlns:a="http://schemas.openxmlformats.org/drawingml/2006/main">
                  <a:graphicData uri="http://schemas.microsoft.com/office/word/2010/wordprocessingShape">
                    <wps:wsp>
                      <wps:cNvSpPr txBox="1"/>
                      <wps:spPr>
                        <a:xfrm>
                          <a:off x="0" y="0"/>
                          <a:ext cx="3533775" cy="752475"/>
                        </a:xfrm>
                        <a:prstGeom prst="rect">
                          <a:avLst/>
                        </a:prstGeom>
                        <a:noFill/>
                        <a:ln w="19050" cap="flat" cmpd="sng" algn="ctr">
                          <a:solidFill>
                            <a:srgbClr val="6F6F6F"/>
                          </a:solidFill>
                          <a:prstDash val="solid"/>
                          <a:miter lim="800000"/>
                        </a:ln>
                        <a:effectLst/>
                      </wps:spPr>
                      <wps:txbx>
                        <w:txbxContent>
                          <w:p w:rsidR="00471D4A" w:rsidRPr="00EC01C3" w:rsidRDefault="00471D4A" w:rsidP="005166F3">
                            <w:pPr>
                              <w:pStyle w:val="NormalWeb"/>
                              <w:spacing w:before="0" w:beforeAutospacing="0" w:after="0" w:afterAutospacing="0"/>
                              <w:rPr>
                                <w:sz w:val="14"/>
                                <w:szCs w:val="14"/>
                              </w:rPr>
                            </w:pPr>
                            <w:r>
                              <w:rPr>
                                <w:rFonts w:ascii="Arial" w:hAnsi="Arial"/>
                                <w:color w:val="6F6F6F"/>
                                <w:kern w:val="24"/>
                                <w:sz w:val="14"/>
                              </w:rPr>
                              <w:t>* Suppose que l’indicateur utilisé concorde avec l’unité d’analyse (par exemple l’exploitation agricole ou la région).</w:t>
                            </w:r>
                          </w:p>
                          <w:p w:rsidR="00471D4A" w:rsidRPr="00EC01C3" w:rsidRDefault="00471D4A" w:rsidP="005166F3">
                            <w:pPr>
                              <w:pStyle w:val="NormalWeb"/>
                              <w:spacing w:before="0" w:beforeAutospacing="0" w:after="0" w:afterAutospacing="0"/>
                              <w:rPr>
                                <w:sz w:val="14"/>
                                <w:szCs w:val="14"/>
                              </w:rPr>
                            </w:pPr>
                            <w:r>
                              <w:rPr>
                                <w:rFonts w:ascii="Arial" w:hAnsi="Arial"/>
                                <w:color w:val="6F6F6F"/>
                                <w:kern w:val="24"/>
                                <w:sz w:val="14"/>
                              </w:rPr>
                              <w:t>** Nécessite une population sous-jacente commune d’exploitations agricoles ou de régions -faisant l’objet d’une comparaison et des échantillons statistiquement représentatifs pour chaque groupe de comparaison.</w:t>
                            </w:r>
                          </w:p>
                          <w:p w:rsidR="00471D4A" w:rsidRPr="00EC01C3" w:rsidRDefault="00471D4A" w:rsidP="005166F3">
                            <w:pPr>
                              <w:pStyle w:val="NormalWeb"/>
                              <w:spacing w:before="0" w:beforeAutospacing="0" w:after="0" w:afterAutospacing="0"/>
                              <w:rPr>
                                <w:sz w:val="14"/>
                                <w:szCs w:val="14"/>
                              </w:rPr>
                            </w:pPr>
                            <w:r>
                              <w:rPr>
                                <w:rFonts w:ascii="Arial" w:hAnsi="Arial"/>
                                <w:color w:val="6F6F6F"/>
                                <w:kern w:val="24"/>
                                <w:sz w:val="14"/>
                              </w:rPr>
                              <w:t xml:space="preserve">*** Pour les facteurs déterminant le nombre le plus adapté de groupes de comparaison, voir ENVIEVAL (2015): </w:t>
                            </w:r>
                            <w:hyperlink r:id="rId38">
                              <w:r>
                                <w:rPr>
                                  <w:rStyle w:val="Hyperlink"/>
                                  <w:sz w:val="14"/>
                                </w:rPr>
                                <w:t>«Methodological Handbook»</w:t>
                              </w:r>
                            </w:hyperlink>
                            <w:r>
                              <w:rPr>
                                <w:rFonts w:ascii="Arial" w:hAnsi="Arial"/>
                                <w:color w:val="F07E31"/>
                                <w:kern w:val="24"/>
                                <w:sz w:val="14"/>
                              </w:rPr>
                              <w:t xml:space="preserve">. </w:t>
                            </w:r>
                            <w:r>
                              <w:rPr>
                                <w:rFonts w:ascii="Arial" w:hAnsi="Arial"/>
                                <w:color w:val="6F6F6F"/>
                                <w:kern w:val="24"/>
                                <w:sz w:val="14"/>
                              </w:rPr>
                              <w:t>pages 24/25.</w:t>
                            </w:r>
                            <w:r>
                              <w:rPr>
                                <w:rFonts w:ascii="Arial" w:hAnsi="Arial"/>
                                <w:color w:val="373737" w:themeColor="text1"/>
                                <w:kern w:val="24"/>
                                <w:sz w:val="1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066F5C0" id="TextBox 100" o:spid="_x0000_s1035" type="#_x0000_t202" style="position:absolute;left:0;text-align:left;margin-left:183.75pt;margin-top:17.2pt;width:278.25pt;height:59.2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" filled="f" strokecolor="#6f6f6f" strokeweight="1.5pt">
                <v:textbox>
                  <w:txbxContent>
                    <w:p w:rsidR="00471D4A" w:rsidRPr="00EC01C3" w:rsidRDefault="00471D4A" w:rsidP="005166F3">
                      <w:pPr>
                        <w:pStyle w:val="NormalWeb"/>
                        <w:spacing w:before="0" w:beforeAutospacing="0" w:after="0" w:afterAutospacing="0"/>
                        <w:rPr>
                          <w:sz w:val="14"/>
                          <w:szCs w:val="14"/>
                        </w:rPr>
                      </w:pPr>
                      <w:r>
                        <w:rPr>
                          <w:rFonts w:ascii="Arial" w:hAnsi="Arial"/>
                          <w:color w:val="6F6F6F"/>
                          <w:kern w:val="24"/>
                          <w:sz w:val="14"/>
                        </w:rPr>
                        <w:t>* Suppose que l’indicateur utilisé concorde avec l’unité d’analyse (par exemple l’exploitation agricole ou la région).</w:t>
                      </w:r>
                    </w:p>
                    <w:p w:rsidR="00471D4A" w:rsidRPr="00EC01C3" w:rsidRDefault="00471D4A" w:rsidP="005166F3">
                      <w:pPr>
                        <w:pStyle w:val="NormalWeb"/>
                        <w:spacing w:before="0" w:beforeAutospacing="0" w:after="0" w:afterAutospacing="0"/>
                        <w:rPr>
                          <w:sz w:val="14"/>
                          <w:szCs w:val="14"/>
                        </w:rPr>
                      </w:pPr>
                      <w:r>
                        <w:rPr>
                          <w:rFonts w:ascii="Arial" w:hAnsi="Arial"/>
                          <w:color w:val="6F6F6F"/>
                          <w:kern w:val="24"/>
                          <w:sz w:val="14"/>
                        </w:rPr>
                        <w:t>** Nécessite une population sous-jacente commune d’exploitations agricoles ou de régions -faisant l’objet d’une comparaison et des échantillons statistiquement représentatifs pour chaque groupe de comparaison.</w:t>
                      </w:r>
                    </w:p>
                    <w:p w:rsidR="00471D4A" w:rsidRPr="00EC01C3" w:rsidRDefault="00471D4A" w:rsidP="005166F3">
                      <w:pPr>
                        <w:pStyle w:val="NormalWeb"/>
                        <w:spacing w:before="0" w:beforeAutospacing="0" w:after="0" w:afterAutospacing="0"/>
                        <w:rPr>
                          <w:sz w:val="14"/>
                          <w:szCs w:val="14"/>
                        </w:rPr>
                      </w:pPr>
                      <w:r>
                        <w:rPr>
                          <w:rFonts w:ascii="Arial" w:hAnsi="Arial"/>
                          <w:color w:val="6F6F6F"/>
                          <w:kern w:val="24"/>
                          <w:sz w:val="14"/>
                        </w:rPr>
                        <w:t xml:space="preserve">*** Pour les facteurs déterminant le nombre le plus adapté de groupes de comparaison, voir ENVIEVAL (2015): </w:t>
                      </w:r>
                      <w:hyperlink r:id="rId39">
                        <w:r>
                          <w:rPr>
                            <w:rStyle w:val="Hyperlink"/>
                            <w:sz w:val="14"/>
                          </w:rPr>
                          <w:t>«Methodological Handbook»</w:t>
                        </w:r>
                      </w:hyperlink>
                      <w:r>
                        <w:rPr>
                          <w:rFonts w:ascii="Arial" w:hAnsi="Arial"/>
                          <w:color w:val="F07E31"/>
                          <w:kern w:val="24"/>
                          <w:sz w:val="14"/>
                        </w:rPr>
                        <w:t xml:space="preserve">. </w:t>
                      </w:r>
                      <w:r>
                        <w:rPr>
                          <w:rFonts w:ascii="Arial" w:hAnsi="Arial"/>
                          <w:color w:val="6F6F6F"/>
                          <w:kern w:val="24"/>
                          <w:sz w:val="14"/>
                        </w:rPr>
                        <w:t>pages 24/25.</w:t>
                      </w:r>
                      <w:r>
                        <w:rPr>
                          <w:rFonts w:ascii="Arial" w:hAnsi="Arial"/>
                          <w:color w:val="373737" w:themeColor="text1"/>
                          <w:kern w:val="24"/>
                          <w:sz w:val="14"/>
                        </w:rPr>
                        <w:t xml:space="preserve">  </w:t>
                      </w:r>
                    </w:p>
                  </w:txbxContent>
                </v:textbox>
                <w10:wrap anchorx="margin"/>
              </v:shape>
            </w:pict>
          </mc:Fallback>
        </mc:AlternateContent>
      </w:r>
      <w:r>
        <w:t>odèle logique permettant de recenser les options pour établir le scénario contrefactuel</w:t>
      </w:r>
    </w:p>
    <w:p w:rsidR="00727DDF" w:rsidRPr="00571D58" w:rsidRDefault="00EC01C3" w:rsidP="00727DDF">
      <w:pPr>
        <w:pStyle w:val="HStandard"/>
      </w:pPr>
      <w:r>
        <w:rPr>
          <w:noProof/>
          <w:color w:val="auto"/>
          <w:sz w:val="18"/>
          <w:szCs w:val="24"/>
          <w:lang w:val="en-GB" w:eastAsia="en-GB" w:bidi="ar-SA"/>
        </w:rPr>
        <w:drawing>
          <wp:inline distT="0" distB="0" distL="0" distR="0" wp14:anchorId="5115C642" wp14:editId="4B63AA2B">
            <wp:extent cx="5731510" cy="4107180"/>
            <wp:effectExtent l="0" t="0" r="2540" b="762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Figure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4107180"/>
                    </a:xfrm>
                    <a:prstGeom prst="rect">
                      <a:avLst/>
                    </a:prstGeom>
                  </pic:spPr>
                </pic:pic>
              </a:graphicData>
            </a:graphic>
          </wp:inline>
        </w:drawing>
      </w:r>
      <w:r>
        <w:rPr>
          <w:noProof/>
          <w:color w:val="auto"/>
          <w:sz w:val="18"/>
        </w:rPr>
        <w:t xml:space="preserve"> </w:t>
      </w:r>
    </w:p>
    <w:p w:rsidR="00EB120C" w:rsidRPr="00AC6A80" w:rsidRDefault="00EB120C" w:rsidP="00B42D5D">
      <w:pPr>
        <w:pStyle w:val="HSource"/>
      </w:pPr>
      <w:r>
        <w:t>Source: adapté de ENVIEVAL (</w:t>
      </w:r>
      <w:r w:rsidRPr="00C44B54">
        <w:t>2015</w:t>
      </w:r>
      <w:r>
        <w:t>)</w:t>
      </w:r>
    </w:p>
    <w:p w:rsidR="00EB120C" w:rsidRPr="007645B4" w:rsidRDefault="00EB120C" w:rsidP="00EB120C">
      <w:pPr>
        <w:pStyle w:val="Hlistbullet"/>
        <w:numPr>
          <w:ilvl w:val="0"/>
          <w:numId w:val="0"/>
        </w:numPr>
        <w:spacing w:before="0" w:after="0" w:line="280" w:lineRule="atLeast"/>
        <w:rPr>
          <w:rFonts w:cs="Arial"/>
          <w:sz w:val="18"/>
        </w:rPr>
      </w:pPr>
      <w:r>
        <w:rPr>
          <w:sz w:val="18"/>
        </w:rPr>
        <w:t xml:space="preserve">Le modèle logique débute par la description de l’utilisation du PDR et de la situation des données du point de vue des indicateurs d’impact (et de résultat) disponibles du CMES, mais aussi des indicateurs supplémentaires, dans le cas où ceux-ci auraient été sélectionnés (encadrés remplis sur fond gris foncé). Un ensemble de questions relatives à la décision (encadrés sur fond rouge) mènent aux options possibles pour établir le scénario contrefactuel (encadrés remplis sur fond rouge). </w:t>
      </w:r>
    </w:p>
    <w:p w:rsidR="00EB120C" w:rsidRPr="00571D58" w:rsidRDefault="00EB120C" w:rsidP="00B42D5D">
      <w:pPr>
        <w:pStyle w:val="Hlistbullet"/>
        <w:numPr>
          <w:ilvl w:val="0"/>
          <w:numId w:val="0"/>
        </w:numPr>
        <w:spacing w:before="0" w:after="0" w:line="280" w:lineRule="atLeast"/>
        <w:jc w:val="center"/>
        <w:rPr>
          <w:i/>
          <w:color w:val="F07E31" w:themeColor="accent1"/>
          <w:sz w:val="18"/>
        </w:rPr>
      </w:pPr>
      <w:r>
        <w:rPr>
          <w:i/>
          <w:color w:val="F07E31" w:themeColor="accent1"/>
          <w:sz w:val="18"/>
        </w:rPr>
        <w:t xml:space="preserve">Pour en savoir plus sur l’utilisation des modèles logiques, consultez le </w:t>
      </w:r>
      <w:hyperlink r:id="rId41">
        <w:r>
          <w:rPr>
            <w:rStyle w:val="Hyperlink"/>
            <w:i/>
            <w:sz w:val="18"/>
          </w:rPr>
          <w:t xml:space="preserve">projet de recherche ENVIEVAL au titre du </w:t>
        </w:r>
        <w:r w:rsidRPr="00C44B54">
          <w:rPr>
            <w:rStyle w:val="Hyperlink"/>
            <w:i/>
            <w:sz w:val="18"/>
          </w:rPr>
          <w:t>7</w:t>
        </w:r>
        <w:r>
          <w:rPr>
            <w:rStyle w:val="Hyperlink"/>
            <w:i/>
            <w:sz w:val="18"/>
            <w:vertAlign w:val="superscript"/>
          </w:rPr>
          <w:t>e</w:t>
        </w:r>
        <w:r>
          <w:rPr>
            <w:rStyle w:val="Hyperlink"/>
            <w:i/>
            <w:sz w:val="18"/>
          </w:rPr>
          <w:t xml:space="preserve"> programme-cadre</w:t>
        </w:r>
      </w:hyperlink>
      <w:r>
        <w:rPr>
          <w:rStyle w:val="Hyperlink"/>
          <w:i/>
          <w:sz w:val="18"/>
        </w:rPr>
        <w:t xml:space="preserve"> </w:t>
      </w:r>
      <w:r>
        <w:rPr>
          <w:rStyle w:val="Hyperlink"/>
          <w:i/>
          <w:sz w:val="18"/>
          <w:u w:val="none"/>
        </w:rPr>
        <w:t>et son</w:t>
      </w:r>
      <w:r>
        <w:rPr>
          <w:i/>
          <w:color w:val="F07E31" w:themeColor="accent1"/>
          <w:sz w:val="18"/>
        </w:rPr>
        <w:t xml:space="preserve"> </w:t>
      </w:r>
      <w:hyperlink r:id="rId42">
        <w:r>
          <w:rPr>
            <w:rStyle w:val="Hyperlink"/>
            <w:i/>
            <w:sz w:val="18"/>
          </w:rPr>
          <w:t>«Methodological Handbook for the evaluation of environmental impacts of RDPs»</w:t>
        </w:r>
      </w:hyperlink>
    </w:p>
    <w:p w:rsidR="00EB120C" w:rsidRPr="00336531" w:rsidRDefault="00F616C9" w:rsidP="00EB120C">
      <w:pPr>
        <w:pStyle w:val="HStandard"/>
      </w:pPr>
      <w:r>
        <w:rPr>
          <w:b/>
          <w:i/>
          <w:noProof/>
          <w:color w:val="F07E31" w:themeColor="accent1"/>
          <w:lang w:val="en-GB" w:eastAsia="en-GB" w:bidi="ar-SA"/>
        </w:rPr>
        <w:lastRenderedPageBreak/>
        <mc:AlternateContent>
          <mc:Choice Requires="wps">
            <w:drawing>
              <wp:inline distT="0" distB="0" distL="0" distR="0" wp14:anchorId="05D6C349" wp14:editId="1B0E8650">
                <wp:extent cx="5567045" cy="8793480"/>
                <wp:effectExtent l="0" t="0" r="14605" b="26670"/>
                <wp:docPr id="90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7045" cy="8793480"/>
                        </a:xfrm>
                        <a:custGeom>
                          <a:avLst/>
                          <a:gdLst>
                            <a:gd name="T0" fmla="*/ 276626 w 5567045"/>
                            <a:gd name="T1" fmla="*/ 0 h 8401050"/>
                            <a:gd name="T2" fmla="*/ 5567045 w 5567045"/>
                            <a:gd name="T3" fmla="*/ 0 h 8401050"/>
                            <a:gd name="T4" fmla="*/ 5567045 w 5567045"/>
                            <a:gd name="T5" fmla="*/ 0 h 8401050"/>
                            <a:gd name="T6" fmla="*/ 5567045 w 5567045"/>
                            <a:gd name="T7" fmla="*/ 8124424 h 8401050"/>
                            <a:gd name="T8" fmla="*/ 5290419 w 5567045"/>
                            <a:gd name="T9" fmla="*/ 8401050 h 8401050"/>
                            <a:gd name="T10" fmla="*/ 0 w 5567045"/>
                            <a:gd name="T11" fmla="*/ 8401050 h 8401050"/>
                            <a:gd name="T12" fmla="*/ 0 w 5567045"/>
                            <a:gd name="T13" fmla="*/ 8401050 h 8401050"/>
                            <a:gd name="T14" fmla="*/ 0 w 5567045"/>
                            <a:gd name="T15" fmla="*/ 276626 h 8401050"/>
                            <a:gd name="T16" fmla="*/ 276626 w 5567045"/>
                            <a:gd name="T17" fmla="*/ 0 h 84010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7045"/>
                            <a:gd name="T28" fmla="*/ 0 h 8401050"/>
                            <a:gd name="T29" fmla="*/ 5567045 w 5567045"/>
                            <a:gd name="T30" fmla="*/ 8401050 h 84010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7045" h="8401050">
                              <a:moveTo>
                                <a:pt x="276626" y="0"/>
                              </a:moveTo>
                              <a:lnTo>
                                <a:pt x="5567045" y="0"/>
                              </a:lnTo>
                              <a:lnTo>
                                <a:pt x="5567045" y="8124424"/>
                              </a:lnTo>
                              <a:cubicBezTo>
                                <a:pt x="5567045" y="8277200"/>
                                <a:pt x="5443195" y="8401050"/>
                                <a:pt x="5290419" y="8401050"/>
                              </a:cubicBezTo>
                              <a:lnTo>
                                <a:pt x="0" y="8401050"/>
                              </a:lnTo>
                              <a:lnTo>
                                <a:pt x="0" y="276626"/>
                              </a:lnTo>
                              <a:cubicBezTo>
                                <a:pt x="0" y="123850"/>
                                <a:pt x="123850" y="0"/>
                                <a:pt x="276626"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F616C9" w:rsidRPr="00391ECD" w:rsidRDefault="00F616C9" w:rsidP="00F616C9">
                            <w:pPr>
                              <w:pStyle w:val="HHeading4"/>
                            </w:pPr>
                            <w:r>
                              <w:rPr>
                                <w:noProof/>
                                <w:color w:val="373737"/>
                                <w:lang w:val="en-GB" w:eastAsia="en-GB" w:bidi="ar-SA"/>
                              </w:rPr>
                              <w:drawing>
                                <wp:inline distT="0" distB="0" distL="0" distR="0" wp14:anchorId="035F4F38" wp14:editId="7A6ECC9D">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GUIDE RAPIDE nº </w:t>
                            </w:r>
                            <w:proofErr w:type="gramStart"/>
                            <w:r>
                              <w:t>2:</w:t>
                            </w:r>
                            <w:proofErr w:type="gramEnd"/>
                            <w:r>
                              <w:t xml:space="preserve"> Comment constituer un groupe de contrôle au niveau micro? (en rapport avec le 2</w:t>
                            </w:r>
                            <w:r>
                              <w:rPr>
                                <w:vertAlign w:val="superscript"/>
                              </w:rPr>
                              <w:t>e</w:t>
                            </w:r>
                            <w:r>
                              <w:t xml:space="preserve"> niveau)</w:t>
                            </w:r>
                          </w:p>
                          <w:p w:rsidR="00F616C9" w:rsidRPr="007008C0" w:rsidRDefault="00F616C9" w:rsidP="00F616C9">
                            <w:pPr>
                              <w:pStyle w:val="HStandard"/>
                              <w:spacing w:after="0"/>
                              <w:rPr>
                                <w:rFonts w:cs="Arial"/>
                                <w:color w:val="373737"/>
                                <w:sz w:val="18"/>
                                <w:szCs w:val="18"/>
                              </w:rPr>
                            </w:pPr>
                            <w:r>
                              <w:rPr>
                                <w:color w:val="373737"/>
                                <w:sz w:val="18"/>
                              </w:rPr>
                              <w:t>L’analyse contrefactuelle au niveau micro devrait être fondée sur des comparaisons entre les groupes de contrôle des bénéficiaires du programme et des non-bénéficiaires, qui sont aussi similaires que possible (dans les dimensions observables et inobservables). Si les deux groupes sont statistiquement suffisamment similaires (ils partagent des caractéristiques similaires), alors on peut supposer qu’une différence dans les réalisations s’explique par le programme. L’analyse contrefactuelle permet d’établir une causalité (attribuer les changements observés dans les réalisations au programme), tout en éliminant les facteurs de confusion.</w:t>
                            </w:r>
                          </w:p>
                          <w:p w:rsidR="00F616C9" w:rsidRPr="007008C0" w:rsidRDefault="00F616C9" w:rsidP="00F616C9">
                            <w:pPr>
                              <w:pStyle w:val="HStandard"/>
                              <w:spacing w:after="0"/>
                              <w:rPr>
                                <w:rFonts w:cs="Arial"/>
                                <w:color w:val="373737"/>
                                <w:sz w:val="18"/>
                                <w:szCs w:val="18"/>
                              </w:rPr>
                            </w:pPr>
                          </w:p>
                          <w:p w:rsidR="00F616C9" w:rsidRPr="007008C0" w:rsidRDefault="00F616C9" w:rsidP="00F616C9">
                            <w:pPr>
                              <w:pStyle w:val="HStandard"/>
                              <w:spacing w:after="0"/>
                              <w:rPr>
                                <w:rFonts w:cs="Arial"/>
                                <w:color w:val="373737"/>
                                <w:sz w:val="18"/>
                                <w:szCs w:val="18"/>
                              </w:rPr>
                            </w:pPr>
                            <w:r>
                              <w:rPr>
                                <w:color w:val="373737"/>
                                <w:sz w:val="18"/>
                              </w:rPr>
                              <w:t xml:space="preserve">L’établissement d’un groupe de contrôle approprié peut être une tâche difficile en raison d’une solide autosélection et des conditions d’éligibilité strictes du programme. Les bénéficiaires du programme de l’évaluation, qui ont bénéficié du soutien du programme, peuvent grandement différer des non-bénéficiaires à la fois du point de vue des caractéristiques structurelles, ainsi que des performances économiques, environnementales et socioéconomiques. </w:t>
                            </w:r>
                          </w:p>
                          <w:p w:rsidR="00F616C9" w:rsidRPr="007008C0" w:rsidRDefault="00F616C9" w:rsidP="00F616C9">
                            <w:pPr>
                              <w:pStyle w:val="HStandard"/>
                              <w:spacing w:after="0"/>
                              <w:rPr>
                                <w:rFonts w:cs="Arial"/>
                                <w:color w:val="373737"/>
                                <w:sz w:val="18"/>
                                <w:szCs w:val="18"/>
                              </w:rPr>
                            </w:pPr>
                          </w:p>
                          <w:p w:rsidR="00F616C9" w:rsidRPr="007008C0" w:rsidRDefault="00F616C9" w:rsidP="00F616C9">
                            <w:pPr>
                              <w:pStyle w:val="HStandard"/>
                              <w:spacing w:after="0"/>
                              <w:rPr>
                                <w:rFonts w:cs="Arial"/>
                                <w:color w:val="373737"/>
                                <w:sz w:val="18"/>
                                <w:szCs w:val="18"/>
                              </w:rPr>
                            </w:pPr>
                            <w:r>
                              <w:rPr>
                                <w:color w:val="373737"/>
                                <w:sz w:val="18"/>
                              </w:rPr>
                              <w:t>L’établissement d’un groupe de contrôle approprié s’effectue de la manière suivante:</w:t>
                            </w:r>
                          </w:p>
                          <w:p w:rsidR="00F616C9" w:rsidRPr="007008C0" w:rsidRDefault="00F616C9" w:rsidP="00F616C9">
                            <w:pPr>
                              <w:pStyle w:val="Hlistbullet"/>
                              <w:spacing w:before="0" w:after="0" w:line="280" w:lineRule="atLeast"/>
                              <w:ind w:left="604" w:hanging="604"/>
                              <w:rPr>
                                <w:color w:val="373737"/>
                                <w:sz w:val="18"/>
                                <w:szCs w:val="18"/>
                              </w:rPr>
                            </w:pPr>
                            <w:r>
                              <w:rPr>
                                <w:b/>
                                <w:color w:val="F07E31" w:themeColor="accent1"/>
                                <w:sz w:val="18"/>
                              </w:rPr>
                              <w:t>Étape 1:</w:t>
                            </w:r>
                            <w:r>
                              <w:rPr>
                                <w:color w:val="373737"/>
                                <w:sz w:val="18"/>
                              </w:rPr>
                              <w:t xml:space="preserve"> trouver un échantillon de bénéficiaires du PDR (par exemple, exploitations agricoles/agriculteurs/entreprises non agricoles/communautés/zones/régions) dans une base de données disponible (par exemple, RICA) et utiliser le système de suivi du PDR comme point de référence (par exemple, la base de données d’un organisme payeur). </w:t>
                            </w:r>
                          </w:p>
                          <w:p w:rsidR="00F616C9" w:rsidRPr="00AF5661" w:rsidRDefault="00F616C9" w:rsidP="00F616C9">
                            <w:pPr>
                              <w:pStyle w:val="Hlistbullet"/>
                              <w:spacing w:before="0" w:after="0" w:line="280" w:lineRule="atLeast"/>
                              <w:ind w:left="604" w:hanging="604"/>
                              <w:rPr>
                                <w:color w:val="373737"/>
                                <w:sz w:val="18"/>
                                <w:szCs w:val="18"/>
                              </w:rPr>
                            </w:pPr>
                            <w:r>
                              <w:rPr>
                                <w:b/>
                                <w:color w:val="F07E31" w:themeColor="accent1"/>
                                <w:sz w:val="18"/>
                              </w:rPr>
                              <w:t>Étape 2:</w:t>
                            </w:r>
                            <w:r>
                              <w:rPr>
                                <w:color w:val="373737"/>
                                <w:sz w:val="18"/>
                              </w:rPr>
                              <w:t xml:space="preserve"> choisir dans l’ensemble des unités pertinentes incluses dans la base de données ceux qui au cours de la même période n’ont pas bénéficié d’un soutien des mesures du PDR («non-bénéficiaires»).</w:t>
                            </w:r>
                          </w:p>
                          <w:p w:rsidR="00F616C9" w:rsidRPr="00AF5661" w:rsidRDefault="00F616C9" w:rsidP="00F616C9">
                            <w:pPr>
                              <w:pStyle w:val="Hlistbullet"/>
                              <w:spacing w:before="0" w:after="0" w:line="280" w:lineRule="atLeast"/>
                              <w:ind w:left="604" w:hanging="604"/>
                              <w:rPr>
                                <w:color w:val="373737"/>
                                <w:sz w:val="18"/>
                                <w:szCs w:val="18"/>
                              </w:rPr>
                            </w:pPr>
                            <w:r>
                              <w:rPr>
                                <w:b/>
                                <w:color w:val="F07E31" w:themeColor="accent1"/>
                                <w:sz w:val="18"/>
                              </w:rPr>
                              <w:t>Étape 3:</w:t>
                            </w:r>
                            <w:r>
                              <w:rPr>
                                <w:color w:val="373737"/>
                                <w:sz w:val="18"/>
                              </w:rPr>
                              <w:t xml:space="preserve"> préselectionner dans le groupe de non-bénéficiaires les unités qui ne remplissaient PAS les conditions d’éligibilité du programme (pour des raisons de revenu élevé, de taille, de localisation, etc.) et les supprimer de l’analyse. </w:t>
                            </w:r>
                          </w:p>
                          <w:p w:rsidR="00F616C9" w:rsidRPr="007008C0" w:rsidRDefault="00F616C9" w:rsidP="00F616C9">
                            <w:pPr>
                              <w:pStyle w:val="Hlistbullet"/>
                              <w:spacing w:before="0" w:after="0" w:line="280" w:lineRule="atLeast"/>
                              <w:ind w:left="604" w:hanging="604"/>
                              <w:rPr>
                                <w:color w:val="373737"/>
                                <w:sz w:val="18"/>
                                <w:szCs w:val="18"/>
                              </w:rPr>
                            </w:pPr>
                            <w:r>
                              <w:rPr>
                                <w:b/>
                                <w:color w:val="F07E31" w:themeColor="accent1"/>
                                <w:sz w:val="18"/>
                              </w:rPr>
                              <w:t>Étape 4:</w:t>
                            </w:r>
                            <w:r>
                              <w:rPr>
                                <w:color w:val="373737"/>
                                <w:sz w:val="18"/>
                              </w:rPr>
                              <w:t xml:space="preserve"> collecter des données pour toutes les unités dans les deux groupes (bénéficiaires et non-bénéficiaires) quant à leurs caractéristiques principales (variables) pour l’année 2013 (soit avant le programme). Il convient de noter que les variables comprises dans l’analyse devraient affecter à la fois la sélection d’une unité ainsi que les indicateurs calculés au niveau micro (indicateurs d’impact communs et supplémentaires). L’une des variables proposées (utilisée comme variable de contrôle importante) peut être: i) le niveau de soutien reçu par une unité donnée («bénéficiaire» et «non-bénéficiaire») au cours de la période de programmation précédente (2007-2013) et/ou ii) le niveau de soutien reçu par une unité donnée («bénéficiaire» et «non-bénéficiaire») à partir d’autres sources publiques (par exemple les fonds structurels de l’UE, pilier 1) au cours de la période d’analyse.</w:t>
                            </w:r>
                          </w:p>
                          <w:p w:rsidR="00F616C9" w:rsidRPr="00AF5661" w:rsidRDefault="00F616C9" w:rsidP="00F616C9">
                            <w:pPr>
                              <w:pStyle w:val="Hlistbullet"/>
                              <w:spacing w:before="0" w:after="0" w:line="280" w:lineRule="atLeast"/>
                              <w:ind w:left="604" w:hanging="604"/>
                              <w:rPr>
                                <w:color w:val="373737"/>
                                <w:sz w:val="18"/>
                                <w:szCs w:val="18"/>
                              </w:rPr>
                            </w:pPr>
                            <w:r>
                              <w:rPr>
                                <w:b/>
                                <w:color w:val="F07E31" w:themeColor="accent1"/>
                                <w:sz w:val="18"/>
                              </w:rPr>
                              <w:t>Étape 5:</w:t>
                            </w:r>
                            <w:r>
                              <w:rPr>
                                <w:color w:val="373737"/>
                                <w:sz w:val="18"/>
                              </w:rPr>
                              <w:t xml:space="preserve"> appliquer des techniques appropriées (par exemple l’appariement) qui permettent de déterminer, dans l’échantillon de «non-bénéficiaires» (voir: étapes 2 et 3) un «groupe de contrôle» adapté (certains «non-bénéficiaires» et/ou «bénéficiaires» seront écartés de l’analyse en raison d’un manque d’unités de contrôle adéquates).</w:t>
                            </w:r>
                          </w:p>
                          <w:p w:rsidR="00F616C9" w:rsidRPr="0025164E" w:rsidRDefault="00F616C9" w:rsidP="00F616C9">
                            <w:pPr>
                              <w:pStyle w:val="Hlistbullet"/>
                              <w:spacing w:before="0" w:after="0" w:line="280" w:lineRule="atLeast"/>
                              <w:ind w:left="604" w:hanging="604"/>
                            </w:pPr>
                            <w:r>
                              <w:rPr>
                                <w:b/>
                                <w:color w:val="F07E31" w:themeColor="accent1"/>
                                <w:sz w:val="18"/>
                              </w:rPr>
                              <w:t>Étape 6:</w:t>
                            </w:r>
                            <w:r>
                              <w:rPr>
                                <w:color w:val="373737"/>
                                <w:sz w:val="18"/>
                              </w:rPr>
                              <w:t xml:space="preserve"> vérifier statistiquement la «similarité» des deux groupes avant de recevoir le soutien du programme, (par exemple en réalisant des essais statistiques sur les covariables comprises dans l’analyse). La valeur moyenne d’une unité dans le groupe de «bénéficiaires» ne devrait pas différer grandement de l’unité respective dans le «groupe de contrôle».</w:t>
                            </w:r>
                          </w:p>
                          <w:p w:rsidR="00F616C9" w:rsidRPr="0025164E" w:rsidRDefault="00F616C9" w:rsidP="00F616C9">
                            <w:pPr>
                              <w:pStyle w:val="Hlistbullet"/>
                              <w:numPr>
                                <w:ilvl w:val="0"/>
                                <w:numId w:val="0"/>
                              </w:numPr>
                              <w:jc w:val="center"/>
                              <w:rPr>
                                <w:i/>
                                <w:color w:val="F07E31" w:themeColor="accent1"/>
                                <w:sz w:val="18"/>
                                <w:szCs w:val="18"/>
                              </w:rPr>
                            </w:pPr>
                            <w:r>
                              <w:rPr>
                                <w:i/>
                                <w:color w:val="F07E31" w:themeColor="accent1"/>
                                <w:sz w:val="18"/>
                              </w:rPr>
                              <w:t>Pour en savoir plus sur la conception des groupes de contrôle, l’appariement, etc., consultez les</w:t>
                            </w:r>
                            <w:r>
                              <w:rPr>
                                <w:i/>
                                <w:color w:val="F07E31" w:themeColor="accent1"/>
                                <w:sz w:val="18"/>
                                <w:szCs w:val="18"/>
                              </w:rPr>
                              <w:br/>
                            </w:r>
                            <w:r>
                              <w:rPr>
                                <w:i/>
                                <w:color w:val="F07E31" w:themeColor="accent1"/>
                                <w:sz w:val="18"/>
                              </w:rPr>
                              <w:t xml:space="preserve"> </w:t>
                            </w:r>
                            <w:hyperlink r:id="rId43" w:history="1">
                              <w:r>
                                <w:rPr>
                                  <w:rStyle w:val="Hyperlink"/>
                                  <w:i/>
                                  <w:color w:val="F07E31" w:themeColor="accent1"/>
                                  <w:sz w:val="18"/>
                                </w:rPr>
                                <w:t xml:space="preserve">«Guidelines for ex post </w:t>
                              </w:r>
                              <w:proofErr w:type="spellStart"/>
                              <w:r>
                                <w:rPr>
                                  <w:rStyle w:val="Hyperlink"/>
                                  <w:i/>
                                  <w:color w:val="F07E31" w:themeColor="accent1"/>
                                  <w:sz w:val="18"/>
                                </w:rPr>
                                <w:t>evaluation</w:t>
                              </w:r>
                              <w:proofErr w:type="spellEnd"/>
                              <w:r>
                                <w:rPr>
                                  <w:rStyle w:val="Hyperlink"/>
                                  <w:i/>
                                  <w:color w:val="F07E31" w:themeColor="accent1"/>
                                  <w:sz w:val="18"/>
                                </w:rPr>
                                <w:t xml:space="preserve"> of 2007-2013 </w:t>
                              </w:r>
                              <w:proofErr w:type="spellStart"/>
                              <w:r>
                                <w:rPr>
                                  <w:rStyle w:val="Hyperlink"/>
                                  <w:i/>
                                  <w:color w:val="F07E31" w:themeColor="accent1"/>
                                  <w:sz w:val="18"/>
                                </w:rPr>
                                <w:t>RDPs</w:t>
                              </w:r>
                              <w:proofErr w:type="spellEnd"/>
                              <w:r>
                                <w:rPr>
                                  <w:rStyle w:val="Hyperlink"/>
                                  <w:i/>
                                  <w:color w:val="F07E31" w:themeColor="accent1"/>
                                  <w:sz w:val="18"/>
                                </w:rPr>
                                <w:t>»</w:t>
                              </w:r>
                            </w:hyperlink>
                            <w:r>
                              <w:rPr>
                                <w:rStyle w:val="Hyperlink"/>
                                <w:i/>
                                <w:color w:val="F07E31" w:themeColor="accent1"/>
                                <w:sz w:val="18"/>
                              </w:rPr>
                              <w:t>, chapitre 4</w:t>
                            </w:r>
                          </w:p>
                        </w:txbxContent>
                      </wps:txbx>
                      <wps:bodyPr rot="0" vert="horz" wrap="square" lIns="91440" tIns="45720" rIns="91440" bIns="45720" anchor="ctr" anchorCtr="0" upright="1">
                        <a:noAutofit/>
                      </wps:bodyPr>
                    </wps:wsp>
                  </a:graphicData>
                </a:graphic>
              </wp:inline>
            </w:drawing>
          </mc:Choice>
          <mc:Fallback>
            <w:pict>
              <v:shape w14:anchorId="05D6C349" id="AutoShape 67" o:spid="_x0000_s1036" style="width:438.35pt;height:692.4pt;visibility:visible;mso-wrap-style:square;mso-left-percent:-10001;mso-top-percent:-10001;mso-position-horizontal:absolute;mso-position-horizontal-relative:char;mso-position-vertical:absolute;mso-position-vertical-relative:line;mso-left-percent:-10001;mso-top-percent:-10001;v-text-anchor:middle" coordsize="5567045,840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" adj="-11796480,,5400" path="m276626,l5567045,r,8124424c5567045,8277200,5443195,8401050,5290419,8401050l,8401050,,276626c,123850,123850,,276626,xe" filled="f" strokecolor="#be4a35" strokeweight="2pt">
                <v:stroke joinstyle="miter"/>
                <v:formulas/>
                <v:path arrowok="t" o:connecttype="custom" o:connectlocs="276626,0;5567045,0;5567045,0;5567045,8503932;5290419,8793480;0,8793480;0,8793480;0,289548;276626,0" o:connectangles="0,0,0,0,0,0,0,0,0" textboxrect="0,0,5567045,8401050"/>
                <v:textbox>
                  <w:txbxContent>
                    <w:p w:rsidR="00F616C9" w:rsidRPr="00391ECD" w:rsidRDefault="00F616C9" w:rsidP="00F616C9">
                      <w:pPr>
                        <w:pStyle w:val="HHeading4"/>
                      </w:pPr>
                      <w:r>
                        <w:rPr>
                          <w:noProof/>
                          <w:color w:val="373737"/>
                          <w:lang w:val="en-GB" w:eastAsia="en-GB" w:bidi="ar-SA"/>
                        </w:rPr>
                        <w:drawing>
                          <wp:inline distT="0" distB="0" distL="0" distR="0" wp14:anchorId="035F4F38" wp14:editId="7A6ECC9D">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GUIDE RAPIDE nº </w:t>
                      </w:r>
                      <w:proofErr w:type="gramStart"/>
                      <w:r>
                        <w:t>2:</w:t>
                      </w:r>
                      <w:proofErr w:type="gramEnd"/>
                      <w:r>
                        <w:t xml:space="preserve"> Comment constituer un groupe de contrôle au niveau micro? (en rapport avec le 2</w:t>
                      </w:r>
                      <w:r>
                        <w:rPr>
                          <w:vertAlign w:val="superscript"/>
                        </w:rPr>
                        <w:t>e</w:t>
                      </w:r>
                      <w:r>
                        <w:t xml:space="preserve"> niveau)</w:t>
                      </w:r>
                    </w:p>
                    <w:p w:rsidR="00F616C9" w:rsidRPr="007008C0" w:rsidRDefault="00F616C9" w:rsidP="00F616C9">
                      <w:pPr>
                        <w:pStyle w:val="HStandard"/>
                        <w:spacing w:after="0"/>
                        <w:rPr>
                          <w:rFonts w:cs="Arial"/>
                          <w:color w:val="373737"/>
                          <w:sz w:val="18"/>
                          <w:szCs w:val="18"/>
                        </w:rPr>
                      </w:pPr>
                      <w:r>
                        <w:rPr>
                          <w:color w:val="373737"/>
                          <w:sz w:val="18"/>
                        </w:rPr>
                        <w:t>L’analyse contrefactuelle au niveau micro devrait être fondée sur des comparaisons entre les groupes de contrôle des bénéficiaires du programme et des non-bénéficiaires, qui sont aussi similaires que possible (dans les dimensions observables et inobservables). Si les deux groupes sont statistiquement suffisamment similaires (ils partagent des caractéristiques similaires), alors on peut supposer qu’une différence dans les réalisations s’explique par le programme. L’analyse contrefactuelle permet d’établir une causalité (attribuer les changements observés dans les réalisations au programme), tout en éliminant les facteurs de confusion.</w:t>
                      </w:r>
                    </w:p>
                    <w:p w:rsidR="00F616C9" w:rsidRPr="007008C0" w:rsidRDefault="00F616C9" w:rsidP="00F616C9">
                      <w:pPr>
                        <w:pStyle w:val="HStandard"/>
                        <w:spacing w:after="0"/>
                        <w:rPr>
                          <w:rFonts w:cs="Arial"/>
                          <w:color w:val="373737"/>
                          <w:sz w:val="18"/>
                          <w:szCs w:val="18"/>
                        </w:rPr>
                      </w:pPr>
                    </w:p>
                    <w:p w:rsidR="00F616C9" w:rsidRPr="007008C0" w:rsidRDefault="00F616C9" w:rsidP="00F616C9">
                      <w:pPr>
                        <w:pStyle w:val="HStandard"/>
                        <w:spacing w:after="0"/>
                        <w:rPr>
                          <w:rFonts w:cs="Arial"/>
                          <w:color w:val="373737"/>
                          <w:sz w:val="18"/>
                          <w:szCs w:val="18"/>
                        </w:rPr>
                      </w:pPr>
                      <w:r>
                        <w:rPr>
                          <w:color w:val="373737"/>
                          <w:sz w:val="18"/>
                        </w:rPr>
                        <w:t xml:space="preserve">L’établissement d’un groupe de contrôle approprié peut être une tâche difficile en raison d’une solide autosélection et des conditions d’éligibilité strictes du programme. Les bénéficiaires du programme de l’évaluation, qui ont bénéficié du soutien du programme, peuvent grandement différer des non-bénéficiaires à la fois du point de vue des caractéristiques structurelles, ainsi que des performances économiques, environnementales et socioéconomiques. </w:t>
                      </w:r>
                    </w:p>
                    <w:p w:rsidR="00F616C9" w:rsidRPr="007008C0" w:rsidRDefault="00F616C9" w:rsidP="00F616C9">
                      <w:pPr>
                        <w:pStyle w:val="HStandard"/>
                        <w:spacing w:after="0"/>
                        <w:rPr>
                          <w:rFonts w:cs="Arial"/>
                          <w:color w:val="373737"/>
                          <w:sz w:val="18"/>
                          <w:szCs w:val="18"/>
                        </w:rPr>
                      </w:pPr>
                    </w:p>
                    <w:p w:rsidR="00F616C9" w:rsidRPr="007008C0" w:rsidRDefault="00F616C9" w:rsidP="00F616C9">
                      <w:pPr>
                        <w:pStyle w:val="HStandard"/>
                        <w:spacing w:after="0"/>
                        <w:rPr>
                          <w:rFonts w:cs="Arial"/>
                          <w:color w:val="373737"/>
                          <w:sz w:val="18"/>
                          <w:szCs w:val="18"/>
                        </w:rPr>
                      </w:pPr>
                      <w:r>
                        <w:rPr>
                          <w:color w:val="373737"/>
                          <w:sz w:val="18"/>
                        </w:rPr>
                        <w:t>L’établissement d’un groupe de contrôle approprié s’effectue de la manière suivante:</w:t>
                      </w:r>
                    </w:p>
                    <w:p w:rsidR="00F616C9" w:rsidRPr="007008C0" w:rsidRDefault="00F616C9" w:rsidP="00F616C9">
                      <w:pPr>
                        <w:pStyle w:val="Hlistbullet"/>
                        <w:spacing w:before="0" w:after="0" w:line="280" w:lineRule="atLeast"/>
                        <w:ind w:left="604" w:hanging="604"/>
                        <w:rPr>
                          <w:color w:val="373737"/>
                          <w:sz w:val="18"/>
                          <w:szCs w:val="18"/>
                        </w:rPr>
                      </w:pPr>
                      <w:r>
                        <w:rPr>
                          <w:b/>
                          <w:color w:val="F07E31" w:themeColor="accent1"/>
                          <w:sz w:val="18"/>
                        </w:rPr>
                        <w:t>Étape 1:</w:t>
                      </w:r>
                      <w:r>
                        <w:rPr>
                          <w:color w:val="373737"/>
                          <w:sz w:val="18"/>
                        </w:rPr>
                        <w:t xml:space="preserve"> trouver un échantillon de bénéficiaires du PDR (par exemple, exploitations agricoles/agriculteurs/entreprises non agricoles/communautés/zones/régions) dans une base de données disponible (par exemple, RICA) et utiliser le système de suivi du PDR comme point de référence (par exemple, la base de données d’un organisme payeur). </w:t>
                      </w:r>
                    </w:p>
                    <w:p w:rsidR="00F616C9" w:rsidRPr="00AF5661" w:rsidRDefault="00F616C9" w:rsidP="00F616C9">
                      <w:pPr>
                        <w:pStyle w:val="Hlistbullet"/>
                        <w:spacing w:before="0" w:after="0" w:line="280" w:lineRule="atLeast"/>
                        <w:ind w:left="604" w:hanging="604"/>
                        <w:rPr>
                          <w:color w:val="373737"/>
                          <w:sz w:val="18"/>
                          <w:szCs w:val="18"/>
                        </w:rPr>
                      </w:pPr>
                      <w:r>
                        <w:rPr>
                          <w:b/>
                          <w:color w:val="F07E31" w:themeColor="accent1"/>
                          <w:sz w:val="18"/>
                        </w:rPr>
                        <w:t>Étape 2:</w:t>
                      </w:r>
                      <w:r>
                        <w:rPr>
                          <w:color w:val="373737"/>
                          <w:sz w:val="18"/>
                        </w:rPr>
                        <w:t xml:space="preserve"> choisir dans l’ensemble des unités pertinentes incluses dans la base de données ceux qui au cours de la même période n’ont pas bénéficié d’un soutien des mesures du PDR («non-bénéficiaires»).</w:t>
                      </w:r>
                    </w:p>
                    <w:p w:rsidR="00F616C9" w:rsidRPr="00AF5661" w:rsidRDefault="00F616C9" w:rsidP="00F616C9">
                      <w:pPr>
                        <w:pStyle w:val="Hlistbullet"/>
                        <w:spacing w:before="0" w:after="0" w:line="280" w:lineRule="atLeast"/>
                        <w:ind w:left="604" w:hanging="604"/>
                        <w:rPr>
                          <w:color w:val="373737"/>
                          <w:sz w:val="18"/>
                          <w:szCs w:val="18"/>
                        </w:rPr>
                      </w:pPr>
                      <w:r>
                        <w:rPr>
                          <w:b/>
                          <w:color w:val="F07E31" w:themeColor="accent1"/>
                          <w:sz w:val="18"/>
                        </w:rPr>
                        <w:t>Étape 3:</w:t>
                      </w:r>
                      <w:r>
                        <w:rPr>
                          <w:color w:val="373737"/>
                          <w:sz w:val="18"/>
                        </w:rPr>
                        <w:t xml:space="preserve"> préselectionner dans le groupe de non-bénéficiaires les unités qui ne remplissaient PAS les conditions d’éligibilité du programme (pour des raisons de revenu élevé, de taille, de localisation, etc.) et les supprimer de l’analyse. </w:t>
                      </w:r>
                    </w:p>
                    <w:p w:rsidR="00F616C9" w:rsidRPr="007008C0" w:rsidRDefault="00F616C9" w:rsidP="00F616C9">
                      <w:pPr>
                        <w:pStyle w:val="Hlistbullet"/>
                        <w:spacing w:before="0" w:after="0" w:line="280" w:lineRule="atLeast"/>
                        <w:ind w:left="604" w:hanging="604"/>
                        <w:rPr>
                          <w:color w:val="373737"/>
                          <w:sz w:val="18"/>
                          <w:szCs w:val="18"/>
                        </w:rPr>
                      </w:pPr>
                      <w:r>
                        <w:rPr>
                          <w:b/>
                          <w:color w:val="F07E31" w:themeColor="accent1"/>
                          <w:sz w:val="18"/>
                        </w:rPr>
                        <w:t>Étape 4:</w:t>
                      </w:r>
                      <w:r>
                        <w:rPr>
                          <w:color w:val="373737"/>
                          <w:sz w:val="18"/>
                        </w:rPr>
                        <w:t xml:space="preserve"> collecter des données pour toutes les unités dans les deux groupes (bénéficiaires et non-bénéficiaires) quant à leurs caractéristiques principales (variables) pour l’année 2013 (soit avant le programme). Il convient de noter que les variables comprises dans l’analyse devraient affecter à la fois la sélection d’une unité ainsi que les indicateurs calculés au niveau micro (indicateurs d’impact communs et supplémentaires). L’une des variables proposées (utilisée comme variable de contrôle importante) peut être: i) le niveau de soutien reçu par une unité donnée («bénéficiaire» et «non-bénéficiaire») au cours de la période de programmation précédente (2007-2013) et/ou ii) le niveau de soutien reçu par une unité donnée («bénéficiaire» et «non-bénéficiaire») à partir d’autres sources publiques (par exemple les fonds structurels de l’UE, pilier 1) au cours de la période d’analyse.</w:t>
                      </w:r>
                    </w:p>
                    <w:p w:rsidR="00F616C9" w:rsidRPr="00AF5661" w:rsidRDefault="00F616C9" w:rsidP="00F616C9">
                      <w:pPr>
                        <w:pStyle w:val="Hlistbullet"/>
                        <w:spacing w:before="0" w:after="0" w:line="280" w:lineRule="atLeast"/>
                        <w:ind w:left="604" w:hanging="604"/>
                        <w:rPr>
                          <w:color w:val="373737"/>
                          <w:sz w:val="18"/>
                          <w:szCs w:val="18"/>
                        </w:rPr>
                      </w:pPr>
                      <w:r>
                        <w:rPr>
                          <w:b/>
                          <w:color w:val="F07E31" w:themeColor="accent1"/>
                          <w:sz w:val="18"/>
                        </w:rPr>
                        <w:t>Étape 5:</w:t>
                      </w:r>
                      <w:r>
                        <w:rPr>
                          <w:color w:val="373737"/>
                          <w:sz w:val="18"/>
                        </w:rPr>
                        <w:t xml:space="preserve"> appliquer des techniques appropriées (par exemple l’appariement) qui permettent de déterminer, dans l’échantillon de «non-bénéficiaires» (voir: étapes 2 et 3) un «groupe de contrôle» adapté (certains «non-bénéficiaires» et/ou «bénéficiaires» seront écartés de l’analyse en raison d’un manque d’unités de contrôle adéquates).</w:t>
                      </w:r>
                    </w:p>
                    <w:p w:rsidR="00F616C9" w:rsidRPr="0025164E" w:rsidRDefault="00F616C9" w:rsidP="00F616C9">
                      <w:pPr>
                        <w:pStyle w:val="Hlistbullet"/>
                        <w:spacing w:before="0" w:after="0" w:line="280" w:lineRule="atLeast"/>
                        <w:ind w:left="604" w:hanging="604"/>
                      </w:pPr>
                      <w:r>
                        <w:rPr>
                          <w:b/>
                          <w:color w:val="F07E31" w:themeColor="accent1"/>
                          <w:sz w:val="18"/>
                        </w:rPr>
                        <w:t>Étape 6:</w:t>
                      </w:r>
                      <w:r>
                        <w:rPr>
                          <w:color w:val="373737"/>
                          <w:sz w:val="18"/>
                        </w:rPr>
                        <w:t xml:space="preserve"> vérifier statistiquement la «similarité» des deux groupes avant de recevoir le soutien du programme, (par exemple en réalisant des essais statistiques sur les covariables comprises dans l’analyse). La valeur moyenne d’une unité dans le groupe de «bénéficiaires» ne devrait pas différer grandement de l’unité respective dans le «groupe de contrôle».</w:t>
                      </w:r>
                    </w:p>
                    <w:p w:rsidR="00F616C9" w:rsidRPr="0025164E" w:rsidRDefault="00F616C9" w:rsidP="00F616C9">
                      <w:pPr>
                        <w:pStyle w:val="Hlistbullet"/>
                        <w:numPr>
                          <w:ilvl w:val="0"/>
                          <w:numId w:val="0"/>
                        </w:numPr>
                        <w:jc w:val="center"/>
                        <w:rPr>
                          <w:i/>
                          <w:color w:val="F07E31" w:themeColor="accent1"/>
                          <w:sz w:val="18"/>
                          <w:szCs w:val="18"/>
                        </w:rPr>
                      </w:pPr>
                      <w:r>
                        <w:rPr>
                          <w:i/>
                          <w:color w:val="F07E31" w:themeColor="accent1"/>
                          <w:sz w:val="18"/>
                        </w:rPr>
                        <w:t>Pour en savoir plus sur la conception des groupes de contrôle, l’appariement, etc., consultez les</w:t>
                      </w:r>
                      <w:r>
                        <w:rPr>
                          <w:i/>
                          <w:color w:val="F07E31" w:themeColor="accent1"/>
                          <w:sz w:val="18"/>
                          <w:szCs w:val="18"/>
                        </w:rPr>
                        <w:br/>
                      </w:r>
                      <w:r>
                        <w:rPr>
                          <w:i/>
                          <w:color w:val="F07E31" w:themeColor="accent1"/>
                          <w:sz w:val="18"/>
                        </w:rPr>
                        <w:t xml:space="preserve"> </w:t>
                      </w:r>
                      <w:hyperlink r:id="rId44" w:history="1">
                        <w:r>
                          <w:rPr>
                            <w:rStyle w:val="Hyperlink"/>
                            <w:i/>
                            <w:color w:val="F07E31" w:themeColor="accent1"/>
                            <w:sz w:val="18"/>
                          </w:rPr>
                          <w:t xml:space="preserve">«Guidelines for ex post </w:t>
                        </w:r>
                        <w:proofErr w:type="spellStart"/>
                        <w:r>
                          <w:rPr>
                            <w:rStyle w:val="Hyperlink"/>
                            <w:i/>
                            <w:color w:val="F07E31" w:themeColor="accent1"/>
                            <w:sz w:val="18"/>
                          </w:rPr>
                          <w:t>evaluation</w:t>
                        </w:r>
                        <w:proofErr w:type="spellEnd"/>
                        <w:r>
                          <w:rPr>
                            <w:rStyle w:val="Hyperlink"/>
                            <w:i/>
                            <w:color w:val="F07E31" w:themeColor="accent1"/>
                            <w:sz w:val="18"/>
                          </w:rPr>
                          <w:t xml:space="preserve"> of 2007-2013 </w:t>
                        </w:r>
                        <w:proofErr w:type="spellStart"/>
                        <w:r>
                          <w:rPr>
                            <w:rStyle w:val="Hyperlink"/>
                            <w:i/>
                            <w:color w:val="F07E31" w:themeColor="accent1"/>
                            <w:sz w:val="18"/>
                          </w:rPr>
                          <w:t>RDPs</w:t>
                        </w:r>
                        <w:proofErr w:type="spellEnd"/>
                        <w:r>
                          <w:rPr>
                            <w:rStyle w:val="Hyperlink"/>
                            <w:i/>
                            <w:color w:val="F07E31" w:themeColor="accent1"/>
                            <w:sz w:val="18"/>
                          </w:rPr>
                          <w:t>»</w:t>
                        </w:r>
                      </w:hyperlink>
                      <w:r>
                        <w:rPr>
                          <w:rStyle w:val="Hyperlink"/>
                          <w:i/>
                          <w:color w:val="F07E31" w:themeColor="accent1"/>
                          <w:sz w:val="18"/>
                        </w:rPr>
                        <w:t>, chapitre 4</w:t>
                      </w:r>
                    </w:p>
                  </w:txbxContent>
                </v:textbox>
                <w10:anchorlock/>
              </v:shape>
            </w:pict>
          </mc:Fallback>
        </mc:AlternateContent>
      </w:r>
    </w:p>
    <w:p w:rsidR="00560A1E" w:rsidRPr="00571D58" w:rsidRDefault="000B213F" w:rsidP="00560A1E">
      <w:pPr>
        <w:pStyle w:val="HStandard"/>
      </w:pPr>
      <w:r>
        <w:rPr>
          <w:b/>
          <w:i/>
          <w:noProof/>
          <w:color w:val="F07E31" w:themeColor="accent1"/>
          <w:lang w:val="en-GB" w:eastAsia="en-GB" w:bidi="ar-SA"/>
        </w:rPr>
        <w:lastRenderedPageBreak/>
        <mc:AlternateContent>
          <mc:Choice Requires="wps">
            <w:drawing>
              <wp:anchor distT="0" distB="0" distL="114300" distR="114300" simplePos="0" relativeHeight="251736576" behindDoc="0" locked="0" layoutInCell="1" allowOverlap="1" wp14:anchorId="6F09E31B">
                <wp:simplePos x="0" y="0"/>
                <wp:positionH relativeFrom="column">
                  <wp:posOffset>0</wp:posOffset>
                </wp:positionH>
                <wp:positionV relativeFrom="paragraph">
                  <wp:posOffset>-205740</wp:posOffset>
                </wp:positionV>
                <wp:extent cx="5731510" cy="8999220"/>
                <wp:effectExtent l="0" t="0" r="21590" b="11430"/>
                <wp:wrapNone/>
                <wp:docPr id="90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8999220"/>
                        </a:xfrm>
                        <a:custGeom>
                          <a:avLst/>
                          <a:gdLst>
                            <a:gd name="T0" fmla="*/ 290989 w 5731510"/>
                            <a:gd name="T1" fmla="*/ 0 h 8451850"/>
                            <a:gd name="T2" fmla="*/ 5731510 w 5731510"/>
                            <a:gd name="T3" fmla="*/ 0 h 8451850"/>
                            <a:gd name="T4" fmla="*/ 5731510 w 5731510"/>
                            <a:gd name="T5" fmla="*/ 0 h 8451850"/>
                            <a:gd name="T6" fmla="*/ 5731510 w 5731510"/>
                            <a:gd name="T7" fmla="*/ 8160861 h 8451850"/>
                            <a:gd name="T8" fmla="*/ 5440521 w 5731510"/>
                            <a:gd name="T9" fmla="*/ 8451850 h 8451850"/>
                            <a:gd name="T10" fmla="*/ 0 w 5731510"/>
                            <a:gd name="T11" fmla="*/ 8451850 h 8451850"/>
                            <a:gd name="T12" fmla="*/ 0 w 5731510"/>
                            <a:gd name="T13" fmla="*/ 8451850 h 8451850"/>
                            <a:gd name="T14" fmla="*/ 0 w 5731510"/>
                            <a:gd name="T15" fmla="*/ 290989 h 8451850"/>
                            <a:gd name="T16" fmla="*/ 290989 w 5731510"/>
                            <a:gd name="T17" fmla="*/ 0 h 8451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8451850"/>
                            <a:gd name="T29" fmla="*/ 5731510 w 5731510"/>
                            <a:gd name="T30" fmla="*/ 8451850 h 8451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8451850">
                              <a:moveTo>
                                <a:pt x="290989" y="0"/>
                              </a:moveTo>
                              <a:lnTo>
                                <a:pt x="5731510" y="0"/>
                              </a:lnTo>
                              <a:lnTo>
                                <a:pt x="5731510" y="8160861"/>
                              </a:lnTo>
                              <a:cubicBezTo>
                                <a:pt x="5731510" y="8321570"/>
                                <a:pt x="5601230" y="8451850"/>
                                <a:pt x="5440521" y="8451850"/>
                              </a:cubicBezTo>
                              <a:lnTo>
                                <a:pt x="0" y="8451850"/>
                              </a:lnTo>
                              <a:lnTo>
                                <a:pt x="0" y="290989"/>
                              </a:lnTo>
                              <a:cubicBezTo>
                                <a:pt x="0" y="130280"/>
                                <a:pt x="130280" y="0"/>
                                <a:pt x="290989"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71D4A" w:rsidRPr="00DD36A9" w:rsidRDefault="00471D4A" w:rsidP="006D4194">
                            <w:pPr>
                              <w:pStyle w:val="HHeading4"/>
                            </w:pPr>
                            <w:r>
                              <w:rPr>
                                <w:noProof/>
                                <w:lang w:val="en-GB" w:eastAsia="en-GB" w:bidi="ar-SA"/>
                              </w:rPr>
                              <w:drawing>
                                <wp:inline distT="0" distB="0" distL="0" distR="0" wp14:anchorId="209E2941" wp14:editId="6EA156C3">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GUIDE RAPIDE nº 3: Compromis dans le choix des méthodes d’évaluation</w:t>
                            </w:r>
                          </w:p>
                          <w:p w:rsidR="00471D4A" w:rsidRDefault="00471D4A" w:rsidP="006D4194">
                            <w:pPr>
                              <w:pStyle w:val="HStandard"/>
                              <w:spacing w:after="0"/>
                              <w:rPr>
                                <w:rFonts w:cs="Arial"/>
                                <w:color w:val="373737"/>
                                <w:sz w:val="18"/>
                                <w:szCs w:val="18"/>
                              </w:rPr>
                            </w:pPr>
                            <w:r>
                              <w:rPr>
                                <w:color w:val="373737"/>
                                <w:sz w:val="18"/>
                              </w:rPr>
                              <w:t>Dans les évaluations, les données non disponibles sont souvent considérées comme la principale contrainte limitant le choix des méthodes d’évaluation. L’application de techniques d’évaluation «naïves» (sans scénario contrefactuel) dans ces cas, toutefois, entraîne des faiblesses significatives en termes de crédibilité, de solidité,de validité et de rigueur méthodologique. Les parties prenantes sont par conséquent invitées à envisager des compromis entre la demande de données et le biais éventuel dans les résultats obtenus par des méthodes moins rigoureuses. Des méthodes d’évaluation qui garantissent une meilleure qualité des résultats ont tendance à être plus exigeantes en matière de données.</w:t>
                            </w:r>
                          </w:p>
                          <w:p w:rsidR="00471D4A" w:rsidRPr="006D4194" w:rsidRDefault="00471D4A" w:rsidP="006D4194">
                            <w:pPr>
                              <w:pStyle w:val="HStandard"/>
                              <w:spacing w:after="0"/>
                              <w:rPr>
                                <w:rFonts w:cs="Arial"/>
                                <w:color w:val="373737"/>
                                <w:sz w:val="18"/>
                                <w:szCs w:val="18"/>
                              </w:rPr>
                            </w:pPr>
                          </w:p>
                          <w:p w:rsidR="00471D4A" w:rsidRPr="009866F7" w:rsidRDefault="00471D4A" w:rsidP="006D4194">
                            <w:pPr>
                              <w:spacing w:before="0" w:after="0" w:line="240" w:lineRule="auto"/>
                              <w:rPr>
                                <w:rFonts w:cs="Arial"/>
                                <w:color w:val="373737"/>
                                <w:szCs w:val="18"/>
                                <w:highlight w:val="yellow"/>
                              </w:rPr>
                            </w:pPr>
                            <w:r>
                              <w:rPr>
                                <w:b/>
                              </w:rPr>
                              <w:t>C</w:t>
                            </w:r>
                            <w:r>
                              <w:rPr>
                                <w:b/>
                                <w:color w:val="373737"/>
                              </w:rPr>
                              <w:t>omparaison des méthodes</w:t>
                            </w:r>
                            <w:r>
                              <w:rPr>
                                <w:color w:val="373737"/>
                              </w:rPr>
                              <w:t xml:space="preserve"> (légende: +++++ = score le plus élevé; + = score le plus bas):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471D4A" w:rsidTr="00FC0850">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471D4A" w:rsidRPr="0025164E" w:rsidRDefault="00471D4A" w:rsidP="009811C2">
                                  <w:pPr>
                                    <w:jc w:val="center"/>
                                    <w:rPr>
                                      <w:rFonts w:cs="Arial"/>
                                      <w:szCs w:val="18"/>
                                    </w:rPr>
                                  </w:pPr>
                                  <w:r>
                                    <w:t>Méthode</w:t>
                                  </w:r>
                                </w:p>
                              </w:tc>
                              <w:tc>
                                <w:tcPr>
                                  <w:tcW w:w="1701" w:type="dxa"/>
                                </w:tcPr>
                                <w:p w:rsidR="00471D4A" w:rsidRPr="0025164E" w:rsidRDefault="00471D4A"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Crédibilité/rigueur, fiabilité, etc.</w:t>
                                  </w:r>
                                </w:p>
                              </w:tc>
                              <w:tc>
                                <w:tcPr>
                                  <w:tcW w:w="1701" w:type="dxa"/>
                                </w:tcPr>
                                <w:p w:rsidR="00471D4A" w:rsidRPr="0025164E" w:rsidRDefault="00471D4A"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Capacité à réduire la sélection- et autres biais</w:t>
                                  </w:r>
                                </w:p>
                              </w:tc>
                              <w:tc>
                                <w:tcPr>
                                  <w:tcW w:w="1417" w:type="dxa"/>
                                </w:tcPr>
                                <w:p w:rsidR="00471D4A" w:rsidRPr="0025164E" w:rsidRDefault="00471D4A"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Qualité de l’évaluation</w:t>
                                  </w:r>
                                </w:p>
                              </w:tc>
                              <w:tc>
                                <w:tcPr>
                                  <w:tcW w:w="1418" w:type="dxa"/>
                                </w:tcPr>
                                <w:p w:rsidR="00471D4A" w:rsidRPr="0025164E" w:rsidRDefault="00471D4A"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Demande de données</w:t>
                                  </w:r>
                                </w:p>
                              </w:tc>
                            </w:tr>
                            <w:tr w:rsidR="00471D4A" w:rsidTr="00FC0850">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471D4A" w:rsidRPr="009811C2" w:rsidRDefault="00471D4A" w:rsidP="00365997">
                                  <w:pPr>
                                    <w:jc w:val="left"/>
                                    <w:rPr>
                                      <w:rFonts w:cs="Arial"/>
                                      <w:szCs w:val="18"/>
                                    </w:rPr>
                                  </w:pPr>
                                  <w:r>
                                    <w:t>Approche expérimentale</w:t>
                                  </w:r>
                                </w:p>
                              </w:tc>
                              <w:tc>
                                <w:tcPr>
                                  <w:tcW w:w="1701"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71D4A" w:rsidTr="00FC0850">
                              <w:tc>
                                <w:tcPr>
                                  <w:cnfStyle w:val="001000000000" w:firstRow="0" w:lastRow="0" w:firstColumn="1" w:lastColumn="0" w:oddVBand="0" w:evenVBand="0" w:oddHBand="0" w:evenHBand="0" w:firstRowFirstColumn="0" w:firstRowLastColumn="0" w:lastRowFirstColumn="0" w:lastRowLastColumn="0"/>
                                  <w:tcW w:w="2093" w:type="dxa"/>
                                </w:tcPr>
                                <w:p w:rsidR="00471D4A" w:rsidRPr="009811C2" w:rsidRDefault="00471D4A" w:rsidP="00365997">
                                  <w:pPr>
                                    <w:jc w:val="left"/>
                                    <w:rPr>
                                      <w:rFonts w:cs="Arial"/>
                                      <w:szCs w:val="18"/>
                                    </w:rPr>
                                  </w:pPr>
                                  <w:r>
                                    <w:t>Approches quasi-expérimentales</w:t>
                                  </w:r>
                                </w:p>
                              </w:tc>
                              <w:tc>
                                <w:tcPr>
                                  <w:tcW w:w="1701"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71D4A" w:rsidTr="00FC0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71D4A" w:rsidRPr="009811C2" w:rsidRDefault="00471D4A" w:rsidP="00365997">
                                  <w:pPr>
                                    <w:jc w:val="left"/>
                                    <w:rPr>
                                      <w:rFonts w:cs="Arial"/>
                                      <w:szCs w:val="18"/>
                                    </w:rPr>
                                  </w:pPr>
                                  <w:r>
                                    <w:t>Approches d’appariement (associées à la méthode DiD)</w:t>
                                  </w:r>
                                </w:p>
                              </w:tc>
                              <w:tc>
                                <w:tcPr>
                                  <w:tcW w:w="1701"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71D4A" w:rsidTr="00FC0850">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471D4A" w:rsidRPr="009811C2" w:rsidRDefault="00471D4A" w:rsidP="00365997">
                                  <w:pPr>
                                    <w:jc w:val="left"/>
                                    <w:rPr>
                                      <w:rFonts w:cs="Arial"/>
                                      <w:szCs w:val="18"/>
                                    </w:rPr>
                                  </w:pPr>
                                  <w:r>
                                    <w:t>RDD</w:t>
                                  </w:r>
                                </w:p>
                              </w:tc>
                              <w:tc>
                                <w:tcPr>
                                  <w:tcW w:w="1701"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71D4A" w:rsidTr="00FC085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471D4A" w:rsidRPr="009811C2" w:rsidRDefault="00471D4A" w:rsidP="00365997">
                                  <w:pPr>
                                    <w:jc w:val="left"/>
                                    <w:rPr>
                                      <w:rFonts w:cs="Arial"/>
                                      <w:szCs w:val="18"/>
                                    </w:rPr>
                                  </w:pPr>
                                  <w:r>
                                    <w:t>Méthode des variables instrumentales</w:t>
                                  </w:r>
                                </w:p>
                              </w:tc>
                              <w:tc>
                                <w:tcPr>
                                  <w:tcW w:w="1701"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71D4A" w:rsidTr="00FC0850">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471D4A" w:rsidRPr="009811C2" w:rsidRDefault="00471D4A" w:rsidP="00365997">
                                  <w:pPr>
                                    <w:jc w:val="left"/>
                                    <w:rPr>
                                      <w:rFonts w:cs="Arial"/>
                                      <w:szCs w:val="18"/>
                                    </w:rPr>
                                  </w:pPr>
                                  <w:r>
                                    <w:t>Méthode DiD</w:t>
                                  </w:r>
                                </w:p>
                              </w:tc>
                              <w:tc>
                                <w:tcPr>
                                  <w:tcW w:w="1701"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71D4A" w:rsidTr="00FC0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71D4A" w:rsidRPr="009811C2" w:rsidRDefault="00471D4A" w:rsidP="00365997">
                                  <w:pPr>
                                    <w:jc w:val="left"/>
                                    <w:rPr>
                                      <w:rFonts w:cs="Arial"/>
                                      <w:szCs w:val="18"/>
                                    </w:rPr>
                                  </w:pPr>
                                  <w:r>
                                    <w:t>Comparaisons avec des non-bénéficiaires au cours d’une période de temps donnée (approche naïve)</w:t>
                                  </w:r>
                                </w:p>
                              </w:tc>
                              <w:tc>
                                <w:tcPr>
                                  <w:tcW w:w="1701"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71D4A" w:rsidTr="00FC0850">
                              <w:tc>
                                <w:tcPr>
                                  <w:cnfStyle w:val="001000000000" w:firstRow="0" w:lastRow="0" w:firstColumn="1" w:lastColumn="0" w:oddVBand="0" w:evenVBand="0" w:oddHBand="0" w:evenHBand="0" w:firstRowFirstColumn="0" w:firstRowLastColumn="0" w:lastRowFirstColumn="0" w:lastRowLastColumn="0"/>
                                  <w:tcW w:w="2093" w:type="dxa"/>
                                </w:tcPr>
                                <w:p w:rsidR="00471D4A" w:rsidRPr="009811C2" w:rsidRDefault="00471D4A" w:rsidP="00365997">
                                  <w:pPr>
                                    <w:jc w:val="left"/>
                                    <w:rPr>
                                      <w:rFonts w:cs="Arial"/>
                                      <w:szCs w:val="18"/>
                                    </w:rPr>
                                  </w:pPr>
                                  <w:r>
                                    <w:t>Comparaison avant-après des bénéficiaires du programme (approche naïve)</w:t>
                                  </w:r>
                                </w:p>
                              </w:tc>
                              <w:tc>
                                <w:tcPr>
                                  <w:tcW w:w="1701"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71D4A" w:rsidTr="00FC0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71D4A" w:rsidRPr="009811C2" w:rsidRDefault="00471D4A" w:rsidP="00365997">
                                  <w:pPr>
                                    <w:jc w:val="left"/>
                                    <w:rPr>
                                      <w:rFonts w:cs="Arial"/>
                                      <w:szCs w:val="18"/>
                                    </w:rPr>
                                  </w:pPr>
                                  <w:r>
                                    <w:t>Approches qualitatives appliquées à l’estimation des résultats/incidences du programme</w:t>
                                  </w:r>
                                </w:p>
                              </w:tc>
                              <w:tc>
                                <w:tcPr>
                                  <w:tcW w:w="1701"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471D4A" w:rsidRPr="00742E07" w:rsidRDefault="00471D4A" w:rsidP="00735F08">
                            <w:pPr>
                              <w:pStyle w:val="HStandard"/>
                              <w:jc w:val="center"/>
                              <w:rPr>
                                <w:i/>
                                <w:color w:val="F07E31" w:themeColor="accent1"/>
                              </w:rPr>
                            </w:pPr>
                            <w:r>
                              <w:rPr>
                                <w:i/>
                                <w:color w:val="F07E31" w:themeColor="accent1"/>
                                <w:sz w:val="18"/>
                              </w:rPr>
                              <w:t xml:space="preserve">Pour en savoir plus sur les critères permettant de choisir des approches d’évaluation </w:t>
                            </w:r>
                            <w:r>
                              <w:rPr>
                                <w:i/>
                                <w:color w:val="F07E31" w:themeColor="accent1"/>
                                <w:sz w:val="18"/>
                                <w:szCs w:val="18"/>
                              </w:rPr>
                              <w:br/>
                            </w:r>
                            <w:r>
                              <w:rPr>
                                <w:i/>
                                <w:color w:val="F07E31" w:themeColor="accent1"/>
                                <w:sz w:val="18"/>
                              </w:rPr>
                              <w:t>Consulter</w:t>
                            </w:r>
                            <w:r>
                              <w:t xml:space="preserve"> les </w:t>
                            </w:r>
                            <w:hyperlink r:id="rId45">
                              <w:r>
                                <w:rPr>
                                  <w:rStyle w:val="Hyperlink"/>
                                  <w:i/>
                                  <w:color w:val="F07E31" w:themeColor="accent1"/>
                                  <w:sz w:val="18"/>
                                </w:rPr>
                                <w:t>«Guidelines for ex-post evaluation of 2007-2013 RDPs»</w:t>
                              </w:r>
                            </w:hyperlink>
                            <w:r>
                              <w:rPr>
                                <w:rStyle w:val="Hyperlink"/>
                                <w:i/>
                                <w:color w:val="F07E31" w:themeColor="accent1"/>
                                <w:sz w:val="18"/>
                              </w:rPr>
                              <w:t>, chapitre 4.3.4.2.</w:t>
                            </w:r>
                          </w:p>
                        </w:txbxContent>
                      </wps:txbx>
                      <wps:bodyPr rot="0" vert="horz" wrap="square" lIns="91440" tIns="45720" rIns="91440" bIns="45720" anchor="ctr" anchorCtr="0" upright="1">
                        <a:noAutofit/>
                      </wps:bodyPr>
                    </wps:wsp>
                  </a:graphicData>
                </a:graphic>
              </wp:anchor>
            </w:drawing>
          </mc:Choice>
          <mc:Fallback>
            <w:pict>
              <v:shape w14:anchorId="6F09E31B" id="AutoShape 66" o:spid="_x0000_s1037" style="position:absolute;left:0;text-align:left;margin-left:0;margin-top:-16.2pt;width:451.3pt;height:708.6pt;z-index:251736576;visibility:visible;mso-wrap-style:square;mso-wrap-distance-left:9pt;mso-wrap-distance-top:0;mso-wrap-distance-right:9pt;mso-wrap-distance-bottom:0;mso-position-horizontal:absolute;mso-position-horizontal-relative:text;mso-position-vertical:absolute;mso-position-vertical-relative:text;v-text-anchor:middle" coordsize="5731510,845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" adj="-11796480,,5400" path="m290989,l5731510,r,8160861c5731510,8321570,5601230,8451850,5440521,8451850l,8451850,,290989c,130280,130280,,290989,xe" filled="f" strokecolor="#be4a35" strokeweight="2pt">
                <v:stroke joinstyle="miter"/>
                <v:formulas/>
                <v:path arrowok="t" o:connecttype="custom" o:connectlocs="290989,0;5731510,0;5731510,0;5731510,8689386;5440521,8999220;0,8999220;0,8999220;0,309834;290989,0" o:connectangles="0,0,0,0,0,0,0,0,0" textboxrect="0,0,5731510,8451850"/>
                <v:textbox>
                  <w:txbxContent>
                    <w:p w:rsidR="00471D4A" w:rsidRPr="00DD36A9" w:rsidRDefault="00471D4A" w:rsidP="006D4194">
                      <w:pPr>
                        <w:pStyle w:val="HHeading4"/>
                      </w:pPr>
                      <w:r>
                        <w:rPr>
                          <w:noProof/>
                          <w:lang w:val="en-GB" w:eastAsia="en-GB" w:bidi="ar-SA"/>
                        </w:rPr>
                        <w:drawing>
                          <wp:inline distT="0" distB="0" distL="0" distR="0" wp14:anchorId="209E2941" wp14:editId="6EA156C3">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GUIDE RAPIDE nº 3: Compromis dans le choix des méthodes d’évaluation</w:t>
                      </w:r>
                    </w:p>
                    <w:p w:rsidR="00471D4A" w:rsidRDefault="00471D4A" w:rsidP="006D4194">
                      <w:pPr>
                        <w:pStyle w:val="HStandard"/>
                        <w:spacing w:after="0"/>
                        <w:rPr>
                          <w:rFonts w:cs="Arial"/>
                          <w:color w:val="373737"/>
                          <w:sz w:val="18"/>
                          <w:szCs w:val="18"/>
                        </w:rPr>
                      </w:pPr>
                      <w:r>
                        <w:rPr>
                          <w:color w:val="373737"/>
                          <w:sz w:val="18"/>
                        </w:rPr>
                        <w:t>Dans les évaluations, les données non disponibles sont souvent considérées comme la principale contrainte limitant le choix des méthodes d’évaluation. L’application de techniques d’évaluation «naïves» (sans scénario contrefactuel) dans ces cas, toutefois, entraîne des faiblesses significatives en termes de crédibilité, de solidité,de validité et de rigueur méthodologique. Les parties prenantes sont par conséquent invitées à envisager des compromis entre la demande de données et le biais éventuel dans les résultats obtenus par des méthodes moins rigoureuses. Des méthodes d’évaluation qui garantissent une meilleure qualité des résultats ont tendance à être plus exigeantes en matière de données.</w:t>
                      </w:r>
                    </w:p>
                    <w:p w:rsidR="00471D4A" w:rsidRPr="006D4194" w:rsidRDefault="00471D4A" w:rsidP="006D4194">
                      <w:pPr>
                        <w:pStyle w:val="HStandard"/>
                        <w:spacing w:after="0"/>
                        <w:rPr>
                          <w:rFonts w:cs="Arial"/>
                          <w:color w:val="373737"/>
                          <w:sz w:val="18"/>
                          <w:szCs w:val="18"/>
                        </w:rPr>
                      </w:pPr>
                    </w:p>
                    <w:p w:rsidR="00471D4A" w:rsidRPr="009866F7" w:rsidRDefault="00471D4A" w:rsidP="006D4194">
                      <w:pPr>
                        <w:spacing w:before="0" w:after="0" w:line="240" w:lineRule="auto"/>
                        <w:rPr>
                          <w:rFonts w:cs="Arial"/>
                          <w:color w:val="373737"/>
                          <w:szCs w:val="18"/>
                          <w:highlight w:val="yellow"/>
                        </w:rPr>
                      </w:pPr>
                      <w:r>
                        <w:rPr>
                          <w:b/>
                        </w:rPr>
                        <w:t>C</w:t>
                      </w:r>
                      <w:r>
                        <w:rPr>
                          <w:b/>
                          <w:color w:val="373737"/>
                        </w:rPr>
                        <w:t>omparaison des méthodes</w:t>
                      </w:r>
                      <w:r>
                        <w:rPr>
                          <w:color w:val="373737"/>
                        </w:rPr>
                        <w:t xml:space="preserve"> (légende: +++++ = score le plus élevé; + = score le plus bas):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471D4A" w:rsidTr="00FC0850">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471D4A" w:rsidRPr="0025164E" w:rsidRDefault="00471D4A" w:rsidP="009811C2">
                            <w:pPr>
                              <w:jc w:val="center"/>
                              <w:rPr>
                                <w:rFonts w:cs="Arial"/>
                                <w:szCs w:val="18"/>
                              </w:rPr>
                            </w:pPr>
                            <w:r>
                              <w:t>Méthode</w:t>
                            </w:r>
                          </w:p>
                        </w:tc>
                        <w:tc>
                          <w:tcPr>
                            <w:tcW w:w="1701" w:type="dxa"/>
                          </w:tcPr>
                          <w:p w:rsidR="00471D4A" w:rsidRPr="0025164E" w:rsidRDefault="00471D4A"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Crédibilité/rigueur, fiabilité, etc.</w:t>
                            </w:r>
                          </w:p>
                        </w:tc>
                        <w:tc>
                          <w:tcPr>
                            <w:tcW w:w="1701" w:type="dxa"/>
                          </w:tcPr>
                          <w:p w:rsidR="00471D4A" w:rsidRPr="0025164E" w:rsidRDefault="00471D4A"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Capacité à réduire la sélection- et autres biais</w:t>
                            </w:r>
                          </w:p>
                        </w:tc>
                        <w:tc>
                          <w:tcPr>
                            <w:tcW w:w="1417" w:type="dxa"/>
                          </w:tcPr>
                          <w:p w:rsidR="00471D4A" w:rsidRPr="0025164E" w:rsidRDefault="00471D4A"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Qualité de l’évaluation</w:t>
                            </w:r>
                          </w:p>
                        </w:tc>
                        <w:tc>
                          <w:tcPr>
                            <w:tcW w:w="1418" w:type="dxa"/>
                          </w:tcPr>
                          <w:p w:rsidR="00471D4A" w:rsidRPr="0025164E" w:rsidRDefault="00471D4A"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Demande de données</w:t>
                            </w:r>
                          </w:p>
                        </w:tc>
                      </w:tr>
                      <w:tr w:rsidR="00471D4A" w:rsidTr="00FC0850">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471D4A" w:rsidRPr="009811C2" w:rsidRDefault="00471D4A" w:rsidP="00365997">
                            <w:pPr>
                              <w:jc w:val="left"/>
                              <w:rPr>
                                <w:rFonts w:cs="Arial"/>
                                <w:szCs w:val="18"/>
                              </w:rPr>
                            </w:pPr>
                            <w:r>
                              <w:t>Approche expérimentale</w:t>
                            </w:r>
                          </w:p>
                        </w:tc>
                        <w:tc>
                          <w:tcPr>
                            <w:tcW w:w="1701"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71D4A" w:rsidTr="00FC0850">
                        <w:tc>
                          <w:tcPr>
                            <w:cnfStyle w:val="001000000000" w:firstRow="0" w:lastRow="0" w:firstColumn="1" w:lastColumn="0" w:oddVBand="0" w:evenVBand="0" w:oddHBand="0" w:evenHBand="0" w:firstRowFirstColumn="0" w:firstRowLastColumn="0" w:lastRowFirstColumn="0" w:lastRowLastColumn="0"/>
                            <w:tcW w:w="2093" w:type="dxa"/>
                          </w:tcPr>
                          <w:p w:rsidR="00471D4A" w:rsidRPr="009811C2" w:rsidRDefault="00471D4A" w:rsidP="00365997">
                            <w:pPr>
                              <w:jc w:val="left"/>
                              <w:rPr>
                                <w:rFonts w:cs="Arial"/>
                                <w:szCs w:val="18"/>
                              </w:rPr>
                            </w:pPr>
                            <w:r>
                              <w:t>Approches quasi-expérimentales</w:t>
                            </w:r>
                          </w:p>
                        </w:tc>
                        <w:tc>
                          <w:tcPr>
                            <w:tcW w:w="1701"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71D4A" w:rsidTr="00FC0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71D4A" w:rsidRPr="009811C2" w:rsidRDefault="00471D4A" w:rsidP="00365997">
                            <w:pPr>
                              <w:jc w:val="left"/>
                              <w:rPr>
                                <w:rFonts w:cs="Arial"/>
                                <w:szCs w:val="18"/>
                              </w:rPr>
                            </w:pPr>
                            <w:r>
                              <w:t>Approches d’appariement (associées à la méthode DiD)</w:t>
                            </w:r>
                          </w:p>
                        </w:tc>
                        <w:tc>
                          <w:tcPr>
                            <w:tcW w:w="1701"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71D4A" w:rsidTr="00FC0850">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471D4A" w:rsidRPr="009811C2" w:rsidRDefault="00471D4A" w:rsidP="00365997">
                            <w:pPr>
                              <w:jc w:val="left"/>
                              <w:rPr>
                                <w:rFonts w:cs="Arial"/>
                                <w:szCs w:val="18"/>
                              </w:rPr>
                            </w:pPr>
                            <w:r>
                              <w:t>RDD</w:t>
                            </w:r>
                          </w:p>
                        </w:tc>
                        <w:tc>
                          <w:tcPr>
                            <w:tcW w:w="1701"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71D4A" w:rsidTr="00FC085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471D4A" w:rsidRPr="009811C2" w:rsidRDefault="00471D4A" w:rsidP="00365997">
                            <w:pPr>
                              <w:jc w:val="left"/>
                              <w:rPr>
                                <w:rFonts w:cs="Arial"/>
                                <w:szCs w:val="18"/>
                              </w:rPr>
                            </w:pPr>
                            <w:r>
                              <w:t>Méthode des variables instrumentales</w:t>
                            </w:r>
                          </w:p>
                        </w:tc>
                        <w:tc>
                          <w:tcPr>
                            <w:tcW w:w="1701"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71D4A" w:rsidTr="00FC0850">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471D4A" w:rsidRPr="009811C2" w:rsidRDefault="00471D4A" w:rsidP="00365997">
                            <w:pPr>
                              <w:jc w:val="left"/>
                              <w:rPr>
                                <w:rFonts w:cs="Arial"/>
                                <w:szCs w:val="18"/>
                              </w:rPr>
                            </w:pPr>
                            <w:r>
                              <w:t>Méthode DiD</w:t>
                            </w:r>
                          </w:p>
                        </w:tc>
                        <w:tc>
                          <w:tcPr>
                            <w:tcW w:w="1701"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71D4A" w:rsidTr="00FC0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71D4A" w:rsidRPr="009811C2" w:rsidRDefault="00471D4A" w:rsidP="00365997">
                            <w:pPr>
                              <w:jc w:val="left"/>
                              <w:rPr>
                                <w:rFonts w:cs="Arial"/>
                                <w:szCs w:val="18"/>
                              </w:rPr>
                            </w:pPr>
                            <w:r>
                              <w:t>Comparaisons avec des non-bénéficiaires au cours d’une période de temps donnée (approche naïve)</w:t>
                            </w:r>
                          </w:p>
                        </w:tc>
                        <w:tc>
                          <w:tcPr>
                            <w:tcW w:w="1701"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71D4A" w:rsidTr="00FC0850">
                        <w:tc>
                          <w:tcPr>
                            <w:cnfStyle w:val="001000000000" w:firstRow="0" w:lastRow="0" w:firstColumn="1" w:lastColumn="0" w:oddVBand="0" w:evenVBand="0" w:oddHBand="0" w:evenHBand="0" w:firstRowFirstColumn="0" w:firstRowLastColumn="0" w:lastRowFirstColumn="0" w:lastRowLastColumn="0"/>
                            <w:tcW w:w="2093" w:type="dxa"/>
                          </w:tcPr>
                          <w:p w:rsidR="00471D4A" w:rsidRPr="009811C2" w:rsidRDefault="00471D4A" w:rsidP="00365997">
                            <w:pPr>
                              <w:jc w:val="left"/>
                              <w:rPr>
                                <w:rFonts w:cs="Arial"/>
                                <w:szCs w:val="18"/>
                              </w:rPr>
                            </w:pPr>
                            <w:r>
                              <w:t>Comparaison avant-après des bénéficiaires du programme (approche naïve)</w:t>
                            </w:r>
                          </w:p>
                        </w:tc>
                        <w:tc>
                          <w:tcPr>
                            <w:tcW w:w="1701"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1D4A" w:rsidRPr="00B9614C" w:rsidRDefault="00471D4A"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71D4A" w:rsidTr="00FC0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71D4A" w:rsidRPr="009811C2" w:rsidRDefault="00471D4A" w:rsidP="00365997">
                            <w:pPr>
                              <w:jc w:val="left"/>
                              <w:rPr>
                                <w:rFonts w:cs="Arial"/>
                                <w:szCs w:val="18"/>
                              </w:rPr>
                            </w:pPr>
                            <w:r>
                              <w:t>Approches qualitatives appliquées à l’estimation des résultats/incidences du programme</w:t>
                            </w:r>
                          </w:p>
                        </w:tc>
                        <w:tc>
                          <w:tcPr>
                            <w:tcW w:w="1701"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1D4A" w:rsidRPr="00B9614C" w:rsidRDefault="00471D4A"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471D4A" w:rsidRPr="00742E07" w:rsidRDefault="00471D4A" w:rsidP="00735F08">
                      <w:pPr>
                        <w:pStyle w:val="HStandard"/>
                        <w:jc w:val="center"/>
                        <w:rPr>
                          <w:i/>
                          <w:color w:val="F07E31" w:themeColor="accent1"/>
                        </w:rPr>
                      </w:pPr>
                      <w:r>
                        <w:rPr>
                          <w:i/>
                          <w:color w:val="F07E31" w:themeColor="accent1"/>
                          <w:sz w:val="18"/>
                        </w:rPr>
                        <w:t xml:space="preserve">Pour en savoir plus sur les critères permettant de choisir des approches d’évaluation </w:t>
                      </w:r>
                      <w:r>
                        <w:rPr>
                          <w:i/>
                          <w:color w:val="F07E31" w:themeColor="accent1"/>
                          <w:sz w:val="18"/>
                          <w:szCs w:val="18"/>
                        </w:rPr>
                        <w:br/>
                      </w:r>
                      <w:r>
                        <w:rPr>
                          <w:i/>
                          <w:color w:val="F07E31" w:themeColor="accent1"/>
                          <w:sz w:val="18"/>
                        </w:rPr>
                        <w:t>Consulter</w:t>
                      </w:r>
                      <w:r>
                        <w:t xml:space="preserve"> les </w:t>
                      </w:r>
                      <w:hyperlink r:id="rId46">
                        <w:r>
                          <w:rPr>
                            <w:rStyle w:val="Hyperlink"/>
                            <w:i/>
                            <w:color w:val="F07E31" w:themeColor="accent1"/>
                            <w:sz w:val="18"/>
                          </w:rPr>
                          <w:t>«Guidelines for ex-post evaluation of 2007-2013 RDPs»</w:t>
                        </w:r>
                      </w:hyperlink>
                      <w:r>
                        <w:rPr>
                          <w:rStyle w:val="Hyperlink"/>
                          <w:i/>
                          <w:color w:val="F07E31" w:themeColor="accent1"/>
                          <w:sz w:val="18"/>
                        </w:rPr>
                        <w:t>, chapitre 4.3.4.2.</w:t>
                      </w:r>
                    </w:p>
                  </w:txbxContent>
                </v:textbox>
              </v:shape>
            </w:pict>
          </mc:Fallback>
        </mc:AlternateContent>
      </w:r>
    </w:p>
    <w:p w:rsidR="00820050" w:rsidRPr="001C6ACF" w:rsidRDefault="004A3547" w:rsidP="00820050">
      <w:pPr>
        <w:pStyle w:val="HHeading4"/>
      </w:pPr>
      <w:r>
        <w:br w:type="column"/>
      </w:r>
      <w:r>
        <w:lastRenderedPageBreak/>
        <w:t>Évaluation aux niveaux micro et macro et dégagement des incidences (</w:t>
      </w:r>
      <w:r w:rsidRPr="00C44B54">
        <w:t>3</w:t>
      </w:r>
      <w:r>
        <w:rPr>
          <w:vertAlign w:val="superscript"/>
        </w:rPr>
        <w:t>e</w:t>
      </w:r>
      <w:r>
        <w:t xml:space="preserve"> niveau)</w:t>
      </w:r>
    </w:p>
    <w:p w:rsidR="00820050" w:rsidRPr="00863E73" w:rsidRDefault="00820050" w:rsidP="00820050">
      <w:pPr>
        <w:pStyle w:val="HStandard"/>
        <w:rPr>
          <w:rFonts w:cs="Arial"/>
        </w:rPr>
      </w:pPr>
      <w:r>
        <w:t xml:space="preserve">On utilise ensuite le </w:t>
      </w:r>
      <w:r>
        <w:rPr>
          <w:b/>
        </w:rPr>
        <w:t>niveau micro ou macro</w:t>
      </w:r>
      <w:r>
        <w:t xml:space="preserve"> dans le modèle logique pour affiner les options d’évaluation. Le flux de travail pour les niveaux micro et macro mène l’évaluateur à des méthodes qui contribuent à une évaluation cohérente des </w:t>
      </w:r>
      <w:r>
        <w:rPr>
          <w:b/>
        </w:rPr>
        <w:t>incidences nettes aux niveaux micro et macro</w:t>
      </w:r>
      <w:r>
        <w:rPr>
          <w:rStyle w:val="FootnoteReference"/>
          <w:b/>
        </w:rPr>
        <w:footnoteReference w:id="28"/>
      </w:r>
      <w:r>
        <w:rPr>
          <w:b/>
        </w:rPr>
        <w:t>.</w:t>
      </w:r>
      <w:r>
        <w:t xml:space="preserve"> Pour la création de chacun des scénarios contrefactuels possibles, un modèle logique individuel au niveau micro est créé. Dans la conception de certaines évaluations, l'extrapolation des résultats obtenus au niveau micro constitue la base de l’évaluation effectuée au niveau macro. Dans la conception d’autres évaluations, les évaluations de niveau micro et macro se complètent mutuellement, ce qui nécessite un contrôle de cohérence. </w:t>
      </w:r>
    </w:p>
    <w:p w:rsidR="00C545E7" w:rsidRPr="00571D58" w:rsidRDefault="000B213F" w:rsidP="00820050">
      <w:pPr>
        <w:pStyle w:val="HStandard"/>
        <w:spacing w:after="0"/>
        <w:rPr>
          <w:rFonts w:cs="Arial"/>
        </w:rPr>
      </w:pPr>
      <w:r>
        <w:rPr>
          <w:b/>
          <w:i/>
          <w:noProof/>
          <w:color w:val="F07E31" w:themeColor="accent1"/>
          <w:lang w:val="en-GB" w:eastAsia="en-GB" w:bidi="ar-SA"/>
        </w:rPr>
        <mc:AlternateContent>
          <mc:Choice Requires="wps">
            <w:drawing>
              <wp:inline distT="0" distB="0" distL="0" distR="0" wp14:anchorId="3F607842" wp14:editId="72F248B3">
                <wp:extent cx="5731510" cy="1447165"/>
                <wp:effectExtent l="19050" t="19050" r="21590" b="19685"/>
                <wp:docPr id="90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447165"/>
                        </a:xfrm>
                        <a:custGeom>
                          <a:avLst/>
                          <a:gdLst>
                            <a:gd name="T0" fmla="*/ 126364 w 5731510"/>
                            <a:gd name="T1" fmla="*/ 0 h 1446971"/>
                            <a:gd name="T2" fmla="*/ 5731510 w 5731510"/>
                            <a:gd name="T3" fmla="*/ 0 h 1446971"/>
                            <a:gd name="T4" fmla="*/ 5731510 w 5731510"/>
                            <a:gd name="T5" fmla="*/ 0 h 1446971"/>
                            <a:gd name="T6" fmla="*/ 5731510 w 5731510"/>
                            <a:gd name="T7" fmla="*/ 1320607 h 1446971"/>
                            <a:gd name="T8" fmla="*/ 5605146 w 5731510"/>
                            <a:gd name="T9" fmla="*/ 1446971 h 1446971"/>
                            <a:gd name="T10" fmla="*/ 0 w 5731510"/>
                            <a:gd name="T11" fmla="*/ 1446971 h 1446971"/>
                            <a:gd name="T12" fmla="*/ 0 w 5731510"/>
                            <a:gd name="T13" fmla="*/ 1446971 h 1446971"/>
                            <a:gd name="T14" fmla="*/ 0 w 5731510"/>
                            <a:gd name="T15" fmla="*/ 126364 h 1446971"/>
                            <a:gd name="T16" fmla="*/ 126364 w 5731510"/>
                            <a:gd name="T17" fmla="*/ 0 h 14469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446971"/>
                            <a:gd name="T29" fmla="*/ 5731510 w 5731510"/>
                            <a:gd name="T30" fmla="*/ 1446971 h 144697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446971">
                              <a:moveTo>
                                <a:pt x="126364" y="0"/>
                              </a:moveTo>
                              <a:lnTo>
                                <a:pt x="5731510" y="0"/>
                              </a:lnTo>
                              <a:lnTo>
                                <a:pt x="5731510" y="1320607"/>
                              </a:lnTo>
                              <a:cubicBezTo>
                                <a:pt x="5731510" y="1390396"/>
                                <a:pt x="5674935" y="1446971"/>
                                <a:pt x="5605146" y="1446971"/>
                              </a:cubicBezTo>
                              <a:lnTo>
                                <a:pt x="0" y="1446971"/>
                              </a:lnTo>
                              <a:lnTo>
                                <a:pt x="0" y="126364"/>
                              </a:lnTo>
                              <a:cubicBezTo>
                                <a:pt x="0" y="56575"/>
                                <a:pt x="56575" y="0"/>
                                <a:pt x="126364"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71D4A" w:rsidRPr="00044269" w:rsidRDefault="00471D4A"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71C5A9AC" wp14:editId="470B15E2">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Les éléments quantitatifs devraient être interprétés de manière critique</w:t>
                            </w:r>
                            <w:r>
                              <w:rPr>
                                <w:rStyle w:val="CommentReference"/>
                                <w:color w:val="373737" w:themeColor="text1"/>
                              </w:rPr>
                              <w:t xml:space="preserve"> </w:t>
                            </w:r>
                            <w:r>
                              <w:rPr>
                                <w:color w:val="373737" w:themeColor="text1"/>
                              </w:rPr>
                              <w:t>à l’aide d’une évaluation qualitative.</w:t>
                            </w:r>
                            <w:r>
                              <w:rPr>
                                <w:b w:val="0"/>
                                <w:color w:val="373737" w:themeColor="text1"/>
                              </w:rPr>
                              <w:t xml:space="preserve"> En outre, l’évaluation qualitative peut également aider à compléter l’évaluation quantitative afin: a) d’évaluer le degré de représentativité des données disponibles, b) de recouper les résultats et c) d’explorer différentes dimensions du même phénomène.</w:t>
                            </w:r>
                          </w:p>
                        </w:txbxContent>
                      </wps:txbx>
                      <wps:bodyPr rot="0" vert="horz" wrap="square" lIns="91440" tIns="45720" rIns="91440" bIns="45720" anchor="ctr" anchorCtr="0" upright="1">
                        <a:noAutofit/>
                      </wps:bodyPr>
                    </wps:wsp>
                  </a:graphicData>
                </a:graphic>
              </wp:inline>
            </w:drawing>
          </mc:Choice>
          <mc:Fallback>
            <w:pict>
              <v:shape w14:anchorId="3F607842" id="AutoShape 65" o:spid="_x0000_s1038" style="width:451.3pt;height:113.95pt;visibility:visible;mso-wrap-style:square;mso-left-percent:-10001;mso-top-percent:-10001;mso-position-horizontal:absolute;mso-position-horizontal-relative:char;mso-position-vertical:absolute;mso-position-vertical-relative:line;mso-left-percent:-10001;mso-top-percent:-10001;v-text-anchor:middle" coordsize="5731510,144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" adj="-11796480,,5400" path="m126364,l5731510,r,1320607c5731510,1390396,5674935,1446971,5605146,1446971l,1446971,,126364c,56575,56575,,126364,xe" filled="f" strokecolor="#be4a35" strokeweight="2pt">
                <v:stroke joinstyle="miter"/>
                <v:formulas/>
                <v:path arrowok="t" o:connecttype="custom" o:connectlocs="126364,0;5731510,0;5731510,0;5731510,1320784;5605146,1447165;0,1447165;0,1447165;0,126381;126364,0" o:connectangles="0,0,0,0,0,0,0,0,0" textboxrect="0,0,5731510,1446971"/>
                <v:textbox>
                  <w:txbxContent>
                    <w:p w:rsidR="00471D4A" w:rsidRPr="00044269" w:rsidRDefault="00471D4A"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71C5A9AC" wp14:editId="470B15E2">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Les éléments quantitatifs devraient être interprétés de manière critique</w:t>
                      </w:r>
                      <w:r>
                        <w:rPr>
                          <w:rStyle w:val="CommentReference"/>
                          <w:color w:val="373737" w:themeColor="text1"/>
                        </w:rPr>
                        <w:t xml:space="preserve"> </w:t>
                      </w:r>
                      <w:r>
                        <w:rPr>
                          <w:color w:val="373737" w:themeColor="text1"/>
                        </w:rPr>
                        <w:t>à l’aide d’une évaluation qualitative.</w:t>
                      </w:r>
                      <w:r>
                        <w:rPr>
                          <w:b w:val="0"/>
                          <w:color w:val="373737" w:themeColor="text1"/>
                        </w:rPr>
                        <w:t xml:space="preserve"> En outre, l’évaluation qualitative peut également aider à compléter l’évaluation quantitative afin: a) d’évaluer le degré de représentativité des données disponibles, b) de recouper les résultats et c) d’explorer différentes dimensions du même phénomène.</w:t>
                      </w:r>
                    </w:p>
                  </w:txbxContent>
                </v:textbox>
                <w10:anchorlock/>
              </v:shape>
            </w:pict>
          </mc:Fallback>
        </mc:AlternateContent>
      </w:r>
    </w:p>
    <w:p w:rsidR="00820050" w:rsidRPr="007645B4" w:rsidRDefault="00820050" w:rsidP="00820050">
      <w:pPr>
        <w:pStyle w:val="HStandard"/>
        <w:spacing w:after="0"/>
        <w:rPr>
          <w:rFonts w:cs="Arial"/>
        </w:rPr>
      </w:pPr>
      <w:r>
        <w:t>L’application des étapes de l’arbre de décisions aux niveaux micro et macro aide à répondre aux questions suivantes dans la conception de l’approche d’évaluation:</w:t>
      </w:r>
    </w:p>
    <w:p w:rsidR="00820050" w:rsidRPr="001C6ACF" w:rsidRDefault="00820050" w:rsidP="00C42303">
      <w:pPr>
        <w:pStyle w:val="Hlistbullet"/>
      </w:pPr>
      <w:r>
        <w:t>Dois-je appliquer une méthode environnementale, sectorielle (économique agricole) ou socioéconomique spécifique pour quantifier les changements dans les valeurs des indicateurs ou puis-je utiliser directement les valeurs des indicateurs tout en utilisant les méthodes contrefactuelles?</w:t>
      </w:r>
    </w:p>
    <w:p w:rsidR="00820050" w:rsidRPr="001C6ACF" w:rsidRDefault="00820050" w:rsidP="00C42303">
      <w:pPr>
        <w:pStyle w:val="Hlistbullet"/>
      </w:pPr>
      <w:r>
        <w:t>Si une méthode spécifique devait être appliquée, les données sont-elles appropriées pour mettre en œuvre l’une des méthodes disponibles pour une évaluation de l’incidence environnementale, sectorielle ou socioéconomique.</w:t>
      </w:r>
    </w:p>
    <w:p w:rsidR="00820050" w:rsidRPr="001C6ACF" w:rsidRDefault="00820050" w:rsidP="00C42303">
      <w:pPr>
        <w:pStyle w:val="Hlistbullet"/>
      </w:pPr>
      <w:r>
        <w:t>Dois-je recueillir de nouvelles données primaires au moyen d’un échantillonnage statistique et quel en serait le coût?</w:t>
      </w:r>
    </w:p>
    <w:p w:rsidR="00820050" w:rsidRPr="001C6ACF" w:rsidRDefault="00820050" w:rsidP="00C42303">
      <w:pPr>
        <w:pStyle w:val="Hlistbullet"/>
      </w:pPr>
      <w:r>
        <w:t>Est-il nécessaire de réaliser des tâches spécifiques pour améliorer la qualité de l’enquête/des données de suivi?</w:t>
      </w:r>
    </w:p>
    <w:p w:rsidR="00820050" w:rsidRPr="001C6ACF" w:rsidRDefault="00820050" w:rsidP="00C42303">
      <w:pPr>
        <w:pStyle w:val="Hlistbullet"/>
      </w:pPr>
      <w:r>
        <w:t>Si je ne peux quantifier les changements dans les valeurs des indicateurs ou si le coût qui y est lié est trop élevé, quelles sont les autres méthodes (qualitatives) permettant d’évaluer les changements dans les valeurs des indicateurs?</w:t>
      </w:r>
    </w:p>
    <w:p w:rsidR="00B00451" w:rsidRPr="001C6ACF" w:rsidRDefault="00B00451" w:rsidP="003708EA">
      <w:pPr>
        <w:pStyle w:val="Hlistbullet"/>
        <w:numPr>
          <w:ilvl w:val="0"/>
          <w:numId w:val="0"/>
        </w:numPr>
      </w:pPr>
    </w:p>
    <w:p w:rsidR="006D6205" w:rsidRPr="001C6ACF" w:rsidRDefault="006D6205" w:rsidP="003708EA">
      <w:pPr>
        <w:pStyle w:val="Hlistbullet"/>
        <w:numPr>
          <w:ilvl w:val="0"/>
          <w:numId w:val="0"/>
        </w:numPr>
      </w:pPr>
    </w:p>
    <w:p w:rsidR="006D6205" w:rsidRPr="00571D58" w:rsidRDefault="006D6205" w:rsidP="003708EA">
      <w:pPr>
        <w:pStyle w:val="Hlistbullet"/>
        <w:numPr>
          <w:ilvl w:val="0"/>
          <w:numId w:val="0"/>
        </w:numPr>
      </w:pPr>
      <w:r>
        <w:br w:type="column"/>
      </w:r>
      <w:r>
        <w:rPr>
          <w:b/>
          <w:i/>
          <w:noProof/>
          <w:color w:val="F07E31" w:themeColor="accent1"/>
          <w:lang w:val="en-GB" w:eastAsia="en-GB" w:bidi="ar-SA"/>
        </w:rPr>
        <w:lastRenderedPageBreak/>
        <mc:AlternateContent>
          <mc:Choice Requires="wps">
            <w:drawing>
              <wp:inline distT="0" distB="0" distL="0" distR="0" wp14:anchorId="53DBFB3B" wp14:editId="3941D82E">
                <wp:extent cx="5931535" cy="10153213"/>
                <wp:effectExtent l="0" t="0" r="12065" b="19685"/>
                <wp:docPr id="90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1535" cy="10153213"/>
                        </a:xfrm>
                        <a:custGeom>
                          <a:avLst/>
                          <a:gdLst>
                            <a:gd name="T0" fmla="*/ 518013 w 5931673"/>
                            <a:gd name="T1" fmla="*/ 0 h 8670814"/>
                            <a:gd name="T2" fmla="*/ 5931673 w 5931673"/>
                            <a:gd name="T3" fmla="*/ 0 h 8670814"/>
                            <a:gd name="T4" fmla="*/ 5931673 w 5931673"/>
                            <a:gd name="T5" fmla="*/ 0 h 8670814"/>
                            <a:gd name="T6" fmla="*/ 5931673 w 5931673"/>
                            <a:gd name="T7" fmla="*/ 8152801 h 8670814"/>
                            <a:gd name="T8" fmla="*/ 5413660 w 5931673"/>
                            <a:gd name="T9" fmla="*/ 8670814 h 8670814"/>
                            <a:gd name="T10" fmla="*/ 0 w 5931673"/>
                            <a:gd name="T11" fmla="*/ 8670814 h 8670814"/>
                            <a:gd name="T12" fmla="*/ 0 w 5931673"/>
                            <a:gd name="T13" fmla="*/ 8670814 h 8670814"/>
                            <a:gd name="T14" fmla="*/ 0 w 5931673"/>
                            <a:gd name="T15" fmla="*/ 518013 h 8670814"/>
                            <a:gd name="T16" fmla="*/ 518013 w 5931673"/>
                            <a:gd name="T17" fmla="*/ 0 h 8670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31673"/>
                            <a:gd name="T28" fmla="*/ 0 h 8670814"/>
                            <a:gd name="T29" fmla="*/ 5931673 w 5931673"/>
                            <a:gd name="T30" fmla="*/ 8670814 h 8670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31673" h="8670814">
                              <a:moveTo>
                                <a:pt x="518013" y="0"/>
                              </a:moveTo>
                              <a:lnTo>
                                <a:pt x="5931673" y="0"/>
                              </a:lnTo>
                              <a:lnTo>
                                <a:pt x="5931673" y="8152801"/>
                              </a:lnTo>
                              <a:cubicBezTo>
                                <a:pt x="5931673" y="8438892"/>
                                <a:pt x="5699751" y="8670814"/>
                                <a:pt x="5413660" y="8670814"/>
                              </a:cubicBezTo>
                              <a:lnTo>
                                <a:pt x="0" y="8670814"/>
                              </a:lnTo>
                              <a:lnTo>
                                <a:pt x="0" y="518013"/>
                              </a:lnTo>
                              <a:cubicBezTo>
                                <a:pt x="0" y="231922"/>
                                <a:pt x="231922" y="0"/>
                                <a:pt x="518013"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71D4A" w:rsidRPr="00DD36A9" w:rsidRDefault="00471D4A" w:rsidP="006D6205">
                            <w:pPr>
                              <w:pStyle w:val="HHeading4"/>
                            </w:pPr>
                            <w:r>
                              <w:rPr>
                                <w:noProof/>
                                <w:lang w:val="en-GB" w:eastAsia="en-GB" w:bidi="ar-SA"/>
                              </w:rPr>
                              <w:drawing>
                                <wp:inline distT="0" distB="0" distL="0" distR="0" wp14:anchorId="4A777BFC" wp14:editId="64DC4D95">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GUIDE RAPIDE nº 4: Comment évaluer les effets nets du PDR? (en rapport avec le 3</w:t>
                            </w:r>
                            <w:r>
                              <w:rPr>
                                <w:vertAlign w:val="superscript"/>
                              </w:rPr>
                              <w:t>e</w:t>
                            </w:r>
                            <w:r>
                              <w:t xml:space="preserve"> niveau)</w:t>
                            </w:r>
                          </w:p>
                          <w:p w:rsidR="00471D4A" w:rsidRPr="00553149" w:rsidRDefault="00471D4A" w:rsidP="00AC0E3D">
                            <w:pPr>
                              <w:pStyle w:val="HStandard"/>
                              <w:spacing w:after="0"/>
                              <w:rPr>
                                <w:rFonts w:cs="Arial"/>
                                <w:szCs w:val="16"/>
                              </w:rPr>
                            </w:pPr>
                            <w:r>
                              <w:t xml:space="preserve">L’évaluation des effets nets du programme au </w:t>
                            </w:r>
                            <w:r>
                              <w:rPr>
                                <w:b/>
                              </w:rPr>
                              <w:t>niveau macro ou de la zone couverte par le programme</w:t>
                            </w:r>
                            <w:r>
                              <w:t xml:space="preserve"> tout en utilisant le scénario contrefactuel peut être réalisée à l’aide de deux approches principales: La </w:t>
                            </w:r>
                            <w:r>
                              <w:rPr>
                                <w:b/>
                              </w:rPr>
                              <w:t>première approche</w:t>
                            </w:r>
                            <w:r>
                              <w:t xml:space="preserve"> est fondée sur une analyse micro et une extrapolation de ses résultats au niveau macro (mise à l’échelle). La </w:t>
                            </w:r>
                            <w:r>
                              <w:rPr>
                                <w:b/>
                              </w:rPr>
                              <w:t>deuxième approche</w:t>
                            </w:r>
                            <w:r>
                              <w:t xml:space="preserve"> utilise des instruments analytiques, tels que les modèles d’</w:t>
                            </w:r>
                            <w:hyperlink r:id="rId47">
                              <w:r>
                                <w:rPr>
                                  <w:rStyle w:val="Hyperlink"/>
                                </w:rPr>
                                <w:t>équilibre général calculable</w:t>
                              </w:r>
                            </w:hyperlink>
                            <w:r>
                              <w:t xml:space="preserve">, d’équilibre partiel et économétriques spatiaux ou d’autres techniques de modélisation, dans lesquels les paramètres du modèle correspondants (par exemple, les coefficients de productivité ou d’émission) sont estimés économétriquement </w:t>
                            </w:r>
                            <w:r>
                              <w:rPr>
                                <w:b/>
                              </w:rPr>
                              <w:t>en tenant compte</w:t>
                            </w:r>
                            <w:r>
                              <w:t xml:space="preserve"> des liens de causalité solides, des éventuels biais liés à la sélection, de l’endogénéité et des dépendances spatiales. Cette approche comprend également l’association d’une approche «descendante» au niveau macro (par exemple des modèles d’une portée nationale ou régionale) pour évaluer les incidences du programme avec une approche «ascendante» au niveau micro pour évaluer les effets nets des différentes mesures ou des combinaisons de mesures.</w:t>
                            </w:r>
                          </w:p>
                          <w:p w:rsidR="00471D4A" w:rsidRPr="00553149" w:rsidRDefault="00471D4A" w:rsidP="00AC0E3D">
                            <w:pPr>
                              <w:pStyle w:val="HStandard"/>
                              <w:spacing w:after="0"/>
                              <w:rPr>
                                <w:rFonts w:cs="Arial"/>
                                <w:szCs w:val="16"/>
                              </w:rPr>
                            </w:pPr>
                          </w:p>
                          <w:p w:rsidR="00471D4A" w:rsidRPr="00553149" w:rsidRDefault="00471D4A" w:rsidP="00AC0E3D">
                            <w:pPr>
                              <w:pStyle w:val="HStandard"/>
                              <w:spacing w:after="0"/>
                              <w:rPr>
                                <w:rFonts w:cs="Arial"/>
                                <w:szCs w:val="16"/>
                              </w:rPr>
                            </w:pPr>
                            <w:r>
                              <w:t xml:space="preserve">Il convient de noter qu’indépendamment de l’approche choisie, l’analyse des effets nets d’un PDR n’est possible que si des données quantitatives suffisantes sont disponibles et si des techniques méthodologiques avancées sont appliquées. Le recours éventuel à des options d’évaluation quantitative naïve (par exemple, avant-après, utilisation de contrôles non appropriés, etc.) peut influencer significativement les résultats obtenus concernant les «incidences nettes» à la fois de manière positive ou négative. </w:t>
                            </w:r>
                          </w:p>
                          <w:p w:rsidR="00471D4A" w:rsidRPr="00553149" w:rsidRDefault="00471D4A" w:rsidP="00AC0E3D">
                            <w:pPr>
                              <w:pStyle w:val="HStandard"/>
                              <w:spacing w:after="0"/>
                              <w:rPr>
                                <w:rFonts w:cs="Arial"/>
                                <w:szCs w:val="16"/>
                              </w:rPr>
                            </w:pPr>
                          </w:p>
                          <w:p w:rsidR="00471D4A" w:rsidRPr="00502017" w:rsidRDefault="00471D4A" w:rsidP="00AC0E3D">
                            <w:pPr>
                              <w:pStyle w:val="HStandard"/>
                              <w:spacing w:after="0"/>
                              <w:rPr>
                                <w:rFonts w:cs="Arial"/>
                                <w:szCs w:val="16"/>
                              </w:rPr>
                            </w:pPr>
                            <w:r>
                              <w:t xml:space="preserve">Bien que la </w:t>
                            </w:r>
                            <w:r>
                              <w:rPr>
                                <w:b/>
                              </w:rPr>
                              <w:t>première approche</w:t>
                            </w:r>
                            <w:r>
                              <w:t xml:space="preserve"> (extrapolation d’une analyse au niveau micro à un niveau macro de la zone couverte par le programme macro) soit la plus facile et la plus prometteuse, nous en décrivons les étapes les plus importantes ci-dessous. L’approche consiste en cinq étapes principales applicables à la fois aux indicateurs d’incidence sectorielle ainsi qu’environnementale et socioéconomique. La différence fondamentale entre l’analyse de l’incidence nette du PDR menée dans ces trois domaines est la définition des unités sur laquelle l’analyse est fondée: par exemple, les exploitations (entreprises) agricoles ou les régions administratives (par exemple NUTS 4, NUTS 5, etc.) pour les indicateurs sectoriels; les parcelles de terre ou les petites régions géographiques (données spatiales régionales) pour les indicateurs environnementaux; et les régions administratives (par exemple, NUTS 3, NUTS 4 ou NUTS 5) pour les indicateurs socioéconomiques. Les étapes sont les suivantes:</w:t>
                            </w:r>
                          </w:p>
                          <w:p w:rsidR="00471D4A" w:rsidRPr="00502017" w:rsidRDefault="00471D4A" w:rsidP="00AC0E3D">
                            <w:pPr>
                              <w:pStyle w:val="HStandard"/>
                              <w:spacing w:after="0"/>
                              <w:rPr>
                                <w:rFonts w:cs="Arial"/>
                                <w:szCs w:val="16"/>
                              </w:rPr>
                            </w:pPr>
                          </w:p>
                          <w:p w:rsidR="00471D4A" w:rsidRPr="00735F08" w:rsidRDefault="00471D4A" w:rsidP="00AC0E3D">
                            <w:pPr>
                              <w:pStyle w:val="Hlistbullet"/>
                              <w:numPr>
                                <w:ilvl w:val="0"/>
                                <w:numId w:val="0"/>
                              </w:numPr>
                              <w:jc w:val="left"/>
                              <w:rPr>
                                <w:szCs w:val="16"/>
                              </w:rPr>
                            </w:pPr>
                            <w:r>
                              <w:rPr>
                                <w:b/>
                                <w:color w:val="F07E31" w:themeColor="accent1"/>
                              </w:rPr>
                              <w:t>Étape 1:</w:t>
                            </w:r>
                            <w:r>
                              <w:t xml:space="preserve"> Estimer les </w:t>
                            </w:r>
                            <w:r>
                              <w:rPr>
                                <w:b/>
                              </w:rPr>
                              <w:t>effets directs</w:t>
                            </w:r>
                            <w:r>
                              <w:t xml:space="preserve"> du PDR </w:t>
                            </w:r>
                            <w:r>
                              <w:rPr>
                                <w:b/>
                              </w:rPr>
                              <w:t>sur les bénéficiaires au niveau micro</w:t>
                            </w:r>
                            <w:r>
                              <w:t>:</w:t>
                            </w:r>
                          </w:p>
                          <w:p w:rsidR="00471D4A" w:rsidRPr="00553149" w:rsidRDefault="00471D4A" w:rsidP="00EC01C3">
                            <w:pPr>
                              <w:pStyle w:val="HStandard"/>
                              <w:numPr>
                                <w:ilvl w:val="1"/>
                                <w:numId w:val="13"/>
                              </w:numPr>
                              <w:spacing w:after="0"/>
                              <w:ind w:left="924" w:hanging="357"/>
                              <w:rPr>
                                <w:rFonts w:cs="Arial"/>
                                <w:szCs w:val="16"/>
                              </w:rPr>
                            </w:pPr>
                            <w:r>
                              <w:t>calculer au niveau micro, pour le groupe de bénéficiaires et le groupe de contrôle, la valeur moyenne des indicateurs d’impact communs et supplémentaires avant le soutien (par exemple au cours de l’année 2013) et après le soutien (par exemple en 2018 ou en 2019);</w:t>
                            </w:r>
                          </w:p>
                          <w:p w:rsidR="00471D4A" w:rsidRPr="00553149" w:rsidRDefault="00471D4A" w:rsidP="00EC01C3">
                            <w:pPr>
                              <w:pStyle w:val="HStandard"/>
                              <w:numPr>
                                <w:ilvl w:val="1"/>
                                <w:numId w:val="13"/>
                              </w:numPr>
                              <w:spacing w:after="0"/>
                              <w:ind w:left="924" w:hanging="357"/>
                              <w:rPr>
                                <w:rFonts w:cs="Arial"/>
                                <w:szCs w:val="16"/>
                              </w:rPr>
                            </w:pPr>
                            <w:r>
                              <w:t>calculer les indicateurs stratégiques spécifiques [par exemple les effets moyens sur les bénéficiaires de l'intervention (ATT)], en utilisant les indicateurs d’impact communs ou supplémentaires pertinents comme résultat. Calculer les</w:t>
                            </w:r>
                            <w:r>
                              <w:rPr>
                                <w:b/>
                              </w:rPr>
                              <w:t xml:space="preserve"> effets nets directs du PDR sur les indicateurs mentionnés</w:t>
                            </w:r>
                            <w:r>
                              <w:t xml:space="preserve"> ci-dessus en combinant les effets moyens sur les bénéficiaires de l'intervention avec la méthode des doubles différences.</w:t>
                            </w:r>
                          </w:p>
                          <w:p w:rsidR="00471D4A" w:rsidRPr="00553149" w:rsidRDefault="00471D4A" w:rsidP="00EC01C3">
                            <w:pPr>
                              <w:pStyle w:val="HStandard"/>
                              <w:numPr>
                                <w:ilvl w:val="1"/>
                                <w:numId w:val="13"/>
                              </w:numPr>
                              <w:spacing w:after="0"/>
                              <w:ind w:left="924" w:hanging="357"/>
                              <w:rPr>
                                <w:rFonts w:cs="Arial"/>
                                <w:szCs w:val="16"/>
                              </w:rPr>
                            </w:pPr>
                            <w:r>
                              <w:t>réaliser une analyse de sensibilité des résultats obtenus.</w:t>
                            </w:r>
                          </w:p>
                          <w:p w:rsidR="00471D4A" w:rsidRDefault="00471D4A" w:rsidP="00AC0E3D">
                            <w:pPr>
                              <w:pStyle w:val="Hlistbullet"/>
                              <w:numPr>
                                <w:ilvl w:val="0"/>
                                <w:numId w:val="0"/>
                              </w:numPr>
                              <w:spacing w:before="0" w:after="120" w:line="280" w:lineRule="atLeast"/>
                              <w:rPr>
                                <w:rFonts w:cs="Arial"/>
                                <w:szCs w:val="16"/>
                              </w:rPr>
                            </w:pPr>
                            <w:r>
                              <w:rPr>
                                <w:b/>
                                <w:color w:val="F07E31" w:themeColor="accent1"/>
                              </w:rPr>
                              <w:t>Étape </w:t>
                            </w:r>
                            <w:proofErr w:type="gramStart"/>
                            <w:r>
                              <w:rPr>
                                <w:b/>
                                <w:color w:val="F07E31" w:themeColor="accent1"/>
                              </w:rPr>
                              <w:t>2:</w:t>
                            </w:r>
                            <w:proofErr w:type="gramEnd"/>
                            <w:r>
                              <w:rPr>
                                <w:b/>
                                <w:color w:val="F07E31" w:themeColor="accent1"/>
                              </w:rPr>
                              <w:t xml:space="preserve"> </w:t>
                            </w:r>
                            <w:bookmarkStart w:id="0" w:name="_GoBack"/>
                            <w:r>
                              <w:t xml:space="preserve">Estimer les </w:t>
                            </w:r>
                            <w:r>
                              <w:rPr>
                                <w:b/>
                              </w:rPr>
                              <w:t>effets indirects</w:t>
                            </w:r>
                            <w:r>
                              <w:t xml:space="preserve"> du PDR </w:t>
                            </w:r>
                            <w:r>
                              <w:rPr>
                                <w:b/>
                              </w:rPr>
                              <w:t>sur les bénéficiaires</w:t>
                            </w:r>
                            <w:r>
                              <w:t xml:space="preserve"> </w:t>
                            </w:r>
                            <w:r>
                              <w:rPr>
                                <w:b/>
                              </w:rPr>
                              <w:t>au niveau micro</w:t>
                            </w:r>
                            <w:r>
                              <w:t>. Encore une fois, les changements observés dans la valeur des indicateurs devraient être répartis entre les changements provoqués par le programme (effet total des contributions primaires et secondaires) et changements causés par d’autres facteurs.</w:t>
                            </w:r>
                            <w:r>
                              <w:rPr>
                                <w:color w:val="auto"/>
                              </w:rPr>
                              <w:t xml:space="preserve"> </w:t>
                            </w:r>
                            <w:r>
                              <w:t xml:space="preserve">Les effets indirects du programme (par exemple substitution, déplacement, multiplicateur) du PDR devraient être calculés et présentés séparément. </w:t>
                            </w:r>
                          </w:p>
                          <w:bookmarkEnd w:id="0"/>
                          <w:p w:rsidR="00471D4A" w:rsidRPr="00027601" w:rsidRDefault="00471D4A" w:rsidP="00027601">
                            <w:pPr>
                              <w:pStyle w:val="Hlistbullet"/>
                              <w:numPr>
                                <w:ilvl w:val="0"/>
                                <w:numId w:val="0"/>
                              </w:numPr>
                              <w:spacing w:before="0" w:after="120" w:line="280" w:lineRule="atLeast"/>
                              <w:rPr>
                                <w:i/>
                                <w:color w:val="F07E31" w:themeColor="accent1"/>
                                <w:sz w:val="16"/>
                                <w:szCs w:val="16"/>
                              </w:rPr>
                            </w:pPr>
                          </w:p>
                        </w:txbxContent>
                      </wps:txbx>
                      <wps:bodyPr rot="0" vert="horz" wrap="square" lIns="91440" tIns="45720" rIns="91440" bIns="45720" anchor="ctr" anchorCtr="0" upright="1">
                        <a:noAutofit/>
                      </wps:bodyPr>
                    </wps:wsp>
                  </a:graphicData>
                </a:graphic>
              </wp:inline>
            </w:drawing>
          </mc:Choice>
          <mc:Fallback>
            <w:pict>
              <v:shape w14:anchorId="53DBFB3B" id="AutoShape 64" o:spid="_x0000_s1039" style="width:467.05pt;height:799.45pt;visibility:visible;mso-wrap-style:square;mso-left-percent:-10001;mso-top-percent:-10001;mso-position-horizontal:absolute;mso-position-horizontal-relative:char;mso-position-vertical:absolute;mso-position-vertical-relative:line;mso-left-percent:-10001;mso-top-percent:-10001;v-text-anchor:middle" coordsize="5931673,8670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" adj="-11796480,,5400" path="m518013,l5931673,r,8152801c5931673,8438892,5699751,8670814,5413660,8670814l,8670814,,518013c,231922,231922,,518013,xe" filled="f" strokecolor="#be4a35" strokeweight="2pt">
                <v:stroke joinstyle="miter"/>
                <v:formulas/>
                <v:path arrowok="t" o:connecttype="custom" o:connectlocs="518001,0;5931535,0;5931535,0;5931535,9546638;5413534,10153213;0,10153213;0,10153213;0,606575;518001,0" o:connectangles="0,0,0,0,0,0,0,0,0" textboxrect="0,0,5931673,8670814"/>
                <v:textbox>
                  <w:txbxContent>
                    <w:p w:rsidR="00471D4A" w:rsidRPr="00DD36A9" w:rsidRDefault="00471D4A" w:rsidP="006D6205">
                      <w:pPr>
                        <w:pStyle w:val="HHeading4"/>
                      </w:pPr>
                      <w:r>
                        <w:rPr>
                          <w:noProof/>
                          <w:lang w:val="en-GB" w:eastAsia="en-GB" w:bidi="ar-SA"/>
                        </w:rPr>
                        <w:drawing>
                          <wp:inline distT="0" distB="0" distL="0" distR="0" wp14:anchorId="4A777BFC" wp14:editId="64DC4D95">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GUIDE RAPIDE nº 4: Comment évaluer les effets nets du PDR? (en rapport avec le 3</w:t>
                      </w:r>
                      <w:r>
                        <w:rPr>
                          <w:vertAlign w:val="superscript"/>
                        </w:rPr>
                        <w:t>e</w:t>
                      </w:r>
                      <w:r>
                        <w:t xml:space="preserve"> niveau)</w:t>
                      </w:r>
                    </w:p>
                    <w:p w:rsidR="00471D4A" w:rsidRPr="00553149" w:rsidRDefault="00471D4A" w:rsidP="00AC0E3D">
                      <w:pPr>
                        <w:pStyle w:val="HStandard"/>
                        <w:spacing w:after="0"/>
                        <w:rPr>
                          <w:rFonts w:cs="Arial"/>
                          <w:szCs w:val="16"/>
                        </w:rPr>
                      </w:pPr>
                      <w:r>
                        <w:t xml:space="preserve">L’évaluation des effets nets du programme au </w:t>
                      </w:r>
                      <w:r>
                        <w:rPr>
                          <w:b/>
                        </w:rPr>
                        <w:t>niveau macro ou de la zone couverte par le programme</w:t>
                      </w:r>
                      <w:r>
                        <w:t xml:space="preserve"> tout en utilisant le scénario contrefactuel peut être réalisée à l’aide de deux approches principales: La </w:t>
                      </w:r>
                      <w:r>
                        <w:rPr>
                          <w:b/>
                        </w:rPr>
                        <w:t>première approche</w:t>
                      </w:r>
                      <w:r>
                        <w:t xml:space="preserve"> est fondée sur une analyse micro et une extrapolation de ses résultats au niveau macro (mise à l’échelle). La </w:t>
                      </w:r>
                      <w:r>
                        <w:rPr>
                          <w:b/>
                        </w:rPr>
                        <w:t>deuxième approche</w:t>
                      </w:r>
                      <w:r>
                        <w:t xml:space="preserve"> utilise des instruments analytiques, tels que les modèles d’</w:t>
                      </w:r>
                      <w:hyperlink r:id="rId48">
                        <w:r>
                          <w:rPr>
                            <w:rStyle w:val="Hyperlink"/>
                          </w:rPr>
                          <w:t>équilibre général calculable</w:t>
                        </w:r>
                      </w:hyperlink>
                      <w:r>
                        <w:t xml:space="preserve">, d’équilibre partiel et économétriques spatiaux ou d’autres techniques de modélisation, dans lesquels les paramètres du modèle correspondants (par exemple, les coefficients de productivité ou d’émission) sont estimés économétriquement </w:t>
                      </w:r>
                      <w:r>
                        <w:rPr>
                          <w:b/>
                        </w:rPr>
                        <w:t>en tenant compte</w:t>
                      </w:r>
                      <w:r>
                        <w:t xml:space="preserve"> des liens de causalité solides, des éventuels biais liés à la sélection, de l’endogénéité et des dépendances spatiales. Cette approche comprend également l’association d’une approche «descendante» au niveau macro (par exemple des modèles d’une portée nationale ou régionale) pour évaluer les incidences du programme avec une approche «ascendante» au niveau micro pour évaluer les effets nets des différentes mesures ou des combinaisons de mesures.</w:t>
                      </w:r>
                    </w:p>
                    <w:p w:rsidR="00471D4A" w:rsidRPr="00553149" w:rsidRDefault="00471D4A" w:rsidP="00AC0E3D">
                      <w:pPr>
                        <w:pStyle w:val="HStandard"/>
                        <w:spacing w:after="0"/>
                        <w:rPr>
                          <w:rFonts w:cs="Arial"/>
                          <w:szCs w:val="16"/>
                        </w:rPr>
                      </w:pPr>
                    </w:p>
                    <w:p w:rsidR="00471D4A" w:rsidRPr="00553149" w:rsidRDefault="00471D4A" w:rsidP="00AC0E3D">
                      <w:pPr>
                        <w:pStyle w:val="HStandard"/>
                        <w:spacing w:after="0"/>
                        <w:rPr>
                          <w:rFonts w:cs="Arial"/>
                          <w:szCs w:val="16"/>
                        </w:rPr>
                      </w:pPr>
                      <w:r>
                        <w:t xml:space="preserve">Il convient de noter qu’indépendamment de l’approche choisie, l’analyse des effets nets d’un PDR n’est possible que si des données quantitatives suffisantes sont disponibles et si des techniques méthodologiques avancées sont appliquées. Le recours éventuel à des options d’évaluation quantitative naïve (par exemple, avant-après, utilisation de contrôles non appropriés, etc.) peut influencer significativement les résultats obtenus concernant les «incidences nettes» à la fois de manière positive ou négative. </w:t>
                      </w:r>
                    </w:p>
                    <w:p w:rsidR="00471D4A" w:rsidRPr="00553149" w:rsidRDefault="00471D4A" w:rsidP="00AC0E3D">
                      <w:pPr>
                        <w:pStyle w:val="HStandard"/>
                        <w:spacing w:after="0"/>
                        <w:rPr>
                          <w:rFonts w:cs="Arial"/>
                          <w:szCs w:val="16"/>
                        </w:rPr>
                      </w:pPr>
                    </w:p>
                    <w:p w:rsidR="00471D4A" w:rsidRPr="00502017" w:rsidRDefault="00471D4A" w:rsidP="00AC0E3D">
                      <w:pPr>
                        <w:pStyle w:val="HStandard"/>
                        <w:spacing w:after="0"/>
                        <w:rPr>
                          <w:rFonts w:cs="Arial"/>
                          <w:szCs w:val="16"/>
                        </w:rPr>
                      </w:pPr>
                      <w:r>
                        <w:t xml:space="preserve">Bien que la </w:t>
                      </w:r>
                      <w:r>
                        <w:rPr>
                          <w:b/>
                        </w:rPr>
                        <w:t>première approche</w:t>
                      </w:r>
                      <w:r>
                        <w:t xml:space="preserve"> (extrapolation d’une analyse au niveau micro à un niveau macro de la zone couverte par le programme macro) soit la plus facile et la plus prometteuse, nous en décrivons les étapes les plus importantes ci-dessous. L’approche consiste en cinq étapes principales applicables à la fois aux indicateurs d’incidence sectorielle ainsi qu’environnementale et socioéconomique. La différence fondamentale entre l’analyse de l’incidence nette du PDR menée dans ces trois domaines est la définition des unités sur laquelle l’analyse est fondée: par exemple, les exploitations (entreprises) agricoles ou les régions administratives (par exemple NUTS 4, NUTS 5, etc.) pour les indicateurs sectoriels; les parcelles de terre ou les petites régions géographiques (données spatiales régionales) pour les indicateurs environnementaux; et les régions administratives (par exemple, NUTS 3, NUTS 4 ou NUTS 5) pour les indicateurs socioéconomiques. Les étapes sont les suivantes:</w:t>
                      </w:r>
                    </w:p>
                    <w:p w:rsidR="00471D4A" w:rsidRPr="00502017" w:rsidRDefault="00471D4A" w:rsidP="00AC0E3D">
                      <w:pPr>
                        <w:pStyle w:val="HStandard"/>
                        <w:spacing w:after="0"/>
                        <w:rPr>
                          <w:rFonts w:cs="Arial"/>
                          <w:szCs w:val="16"/>
                        </w:rPr>
                      </w:pPr>
                    </w:p>
                    <w:p w:rsidR="00471D4A" w:rsidRPr="00735F08" w:rsidRDefault="00471D4A" w:rsidP="00AC0E3D">
                      <w:pPr>
                        <w:pStyle w:val="Hlistbullet"/>
                        <w:numPr>
                          <w:ilvl w:val="0"/>
                          <w:numId w:val="0"/>
                        </w:numPr>
                        <w:jc w:val="left"/>
                        <w:rPr>
                          <w:szCs w:val="16"/>
                        </w:rPr>
                      </w:pPr>
                      <w:r>
                        <w:rPr>
                          <w:b/>
                          <w:color w:val="F07E31" w:themeColor="accent1"/>
                        </w:rPr>
                        <w:t>Étape 1:</w:t>
                      </w:r>
                      <w:r>
                        <w:t xml:space="preserve"> Estimer les </w:t>
                      </w:r>
                      <w:r>
                        <w:rPr>
                          <w:b/>
                        </w:rPr>
                        <w:t>effets directs</w:t>
                      </w:r>
                      <w:r>
                        <w:t xml:space="preserve"> du PDR </w:t>
                      </w:r>
                      <w:r>
                        <w:rPr>
                          <w:b/>
                        </w:rPr>
                        <w:t>sur les bénéficiaires au niveau micro</w:t>
                      </w:r>
                      <w:r>
                        <w:t>:</w:t>
                      </w:r>
                    </w:p>
                    <w:p w:rsidR="00471D4A" w:rsidRPr="00553149" w:rsidRDefault="00471D4A" w:rsidP="00EC01C3">
                      <w:pPr>
                        <w:pStyle w:val="HStandard"/>
                        <w:numPr>
                          <w:ilvl w:val="1"/>
                          <w:numId w:val="13"/>
                        </w:numPr>
                        <w:spacing w:after="0"/>
                        <w:ind w:left="924" w:hanging="357"/>
                        <w:rPr>
                          <w:rFonts w:cs="Arial"/>
                          <w:szCs w:val="16"/>
                        </w:rPr>
                      </w:pPr>
                      <w:r>
                        <w:t>calculer au niveau micro, pour le groupe de bénéficiaires et le groupe de contrôle, la valeur moyenne des indicateurs d’impact communs et supplémentaires avant le soutien (par exemple au cours de l’année 2013) et après le soutien (par exemple en 2018 ou en 2019);</w:t>
                      </w:r>
                    </w:p>
                    <w:p w:rsidR="00471D4A" w:rsidRPr="00553149" w:rsidRDefault="00471D4A" w:rsidP="00EC01C3">
                      <w:pPr>
                        <w:pStyle w:val="HStandard"/>
                        <w:numPr>
                          <w:ilvl w:val="1"/>
                          <w:numId w:val="13"/>
                        </w:numPr>
                        <w:spacing w:after="0"/>
                        <w:ind w:left="924" w:hanging="357"/>
                        <w:rPr>
                          <w:rFonts w:cs="Arial"/>
                          <w:szCs w:val="16"/>
                        </w:rPr>
                      </w:pPr>
                      <w:r>
                        <w:t>calculer les indicateurs stratégiques spécifiques [par exemple les effets moyens sur les bénéficiaires de l'intervention (ATT)], en utilisant les indicateurs d’impact communs ou supplémentaires pertinents comme résultat. Calculer les</w:t>
                      </w:r>
                      <w:r>
                        <w:rPr>
                          <w:b/>
                        </w:rPr>
                        <w:t xml:space="preserve"> effets nets directs du PDR sur les indicateurs mentionnés</w:t>
                      </w:r>
                      <w:r>
                        <w:t xml:space="preserve"> ci-dessus en combinant les effets moyens sur les bénéficiaires de l'intervention avec la méthode des doubles différences.</w:t>
                      </w:r>
                    </w:p>
                    <w:p w:rsidR="00471D4A" w:rsidRPr="00553149" w:rsidRDefault="00471D4A" w:rsidP="00EC01C3">
                      <w:pPr>
                        <w:pStyle w:val="HStandard"/>
                        <w:numPr>
                          <w:ilvl w:val="1"/>
                          <w:numId w:val="13"/>
                        </w:numPr>
                        <w:spacing w:after="0"/>
                        <w:ind w:left="924" w:hanging="357"/>
                        <w:rPr>
                          <w:rFonts w:cs="Arial"/>
                          <w:szCs w:val="16"/>
                        </w:rPr>
                      </w:pPr>
                      <w:r>
                        <w:t>réaliser une analyse de sensibilité des résultats obtenus.</w:t>
                      </w:r>
                    </w:p>
                    <w:p w:rsidR="00471D4A" w:rsidRDefault="00471D4A" w:rsidP="00AC0E3D">
                      <w:pPr>
                        <w:pStyle w:val="Hlistbullet"/>
                        <w:numPr>
                          <w:ilvl w:val="0"/>
                          <w:numId w:val="0"/>
                        </w:numPr>
                        <w:spacing w:before="0" w:after="120" w:line="280" w:lineRule="atLeast"/>
                        <w:rPr>
                          <w:rFonts w:cs="Arial"/>
                          <w:szCs w:val="16"/>
                        </w:rPr>
                      </w:pPr>
                      <w:r>
                        <w:rPr>
                          <w:b/>
                          <w:color w:val="F07E31" w:themeColor="accent1"/>
                        </w:rPr>
                        <w:t>Étape </w:t>
                      </w:r>
                      <w:proofErr w:type="gramStart"/>
                      <w:r>
                        <w:rPr>
                          <w:b/>
                          <w:color w:val="F07E31" w:themeColor="accent1"/>
                        </w:rPr>
                        <w:t>2:</w:t>
                      </w:r>
                      <w:proofErr w:type="gramEnd"/>
                      <w:r>
                        <w:rPr>
                          <w:b/>
                          <w:color w:val="F07E31" w:themeColor="accent1"/>
                        </w:rPr>
                        <w:t xml:space="preserve"> </w:t>
                      </w:r>
                      <w:bookmarkStart w:id="1" w:name="_GoBack"/>
                      <w:r>
                        <w:t xml:space="preserve">Estimer les </w:t>
                      </w:r>
                      <w:r>
                        <w:rPr>
                          <w:b/>
                        </w:rPr>
                        <w:t>effets indirects</w:t>
                      </w:r>
                      <w:r>
                        <w:t xml:space="preserve"> du PDR </w:t>
                      </w:r>
                      <w:r>
                        <w:rPr>
                          <w:b/>
                        </w:rPr>
                        <w:t>sur les bénéficiaires</w:t>
                      </w:r>
                      <w:r>
                        <w:t xml:space="preserve"> </w:t>
                      </w:r>
                      <w:r>
                        <w:rPr>
                          <w:b/>
                        </w:rPr>
                        <w:t>au niveau micro</w:t>
                      </w:r>
                      <w:r>
                        <w:t>. Encore une fois, les changements observés dans la valeur des indicateurs devraient être répartis entre les changements provoqués par le programme (effet total des contributions primaires et secondaires) et changements causés par d’autres facteurs.</w:t>
                      </w:r>
                      <w:r>
                        <w:rPr>
                          <w:color w:val="auto"/>
                        </w:rPr>
                        <w:t xml:space="preserve"> </w:t>
                      </w:r>
                      <w:r>
                        <w:t xml:space="preserve">Les effets indirects du programme (par exemple substitution, déplacement, multiplicateur) du PDR devraient être calculés et présentés séparément. </w:t>
                      </w:r>
                    </w:p>
                    <w:bookmarkEnd w:id="1"/>
                    <w:p w:rsidR="00471D4A" w:rsidRPr="00027601" w:rsidRDefault="00471D4A" w:rsidP="00027601">
                      <w:pPr>
                        <w:pStyle w:val="Hlistbullet"/>
                        <w:numPr>
                          <w:ilvl w:val="0"/>
                          <w:numId w:val="0"/>
                        </w:numPr>
                        <w:spacing w:before="0" w:after="120" w:line="280" w:lineRule="atLeast"/>
                        <w:rPr>
                          <w:i/>
                          <w:color w:val="F07E31" w:themeColor="accent1"/>
                          <w:sz w:val="16"/>
                          <w:szCs w:val="16"/>
                        </w:rPr>
                      </w:pPr>
                    </w:p>
                  </w:txbxContent>
                </v:textbox>
                <w10:anchorlock/>
              </v:shape>
            </w:pict>
          </mc:Fallback>
        </mc:AlternateContent>
      </w:r>
    </w:p>
    <w:p w:rsidR="00AC0E3D" w:rsidRPr="00571D58" w:rsidRDefault="00AC0E3D" w:rsidP="000B6372">
      <w:pPr>
        <w:pStyle w:val="HStandard"/>
      </w:pPr>
    </w:p>
    <w:p w:rsidR="00FC012D" w:rsidRPr="00336531" w:rsidRDefault="000B213F" w:rsidP="00FC012D">
      <w:pPr>
        <w:pStyle w:val="HHeading4"/>
      </w:pPr>
      <w:r>
        <w:rPr>
          <w:b w:val="0"/>
          <w:i/>
          <w:noProof/>
          <w:color w:val="F07E31" w:themeColor="accent1"/>
          <w:lang w:val="en-GB" w:eastAsia="en-GB" w:bidi="ar-SA"/>
        </w:rPr>
        <mc:AlternateContent>
          <mc:Choice Requires="wps">
            <w:drawing>
              <wp:inline distT="0" distB="0" distL="0" distR="0" wp14:anchorId="2E0F3D12" wp14:editId="19A6A5A5">
                <wp:extent cx="5731510" cy="5153891"/>
                <wp:effectExtent l="0" t="0" r="21590" b="27940"/>
                <wp:docPr id="90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5153891"/>
                        </a:xfrm>
                        <a:custGeom>
                          <a:avLst/>
                          <a:gdLst>
                            <a:gd name="T0" fmla="*/ 335330 w 5731510"/>
                            <a:gd name="T1" fmla="*/ 0 h 4712335"/>
                            <a:gd name="T2" fmla="*/ 5731510 w 5731510"/>
                            <a:gd name="T3" fmla="*/ 0 h 4712335"/>
                            <a:gd name="T4" fmla="*/ 5731510 w 5731510"/>
                            <a:gd name="T5" fmla="*/ 0 h 4712335"/>
                            <a:gd name="T6" fmla="*/ 5731510 w 5731510"/>
                            <a:gd name="T7" fmla="*/ 4377005 h 4712335"/>
                            <a:gd name="T8" fmla="*/ 5396180 w 5731510"/>
                            <a:gd name="T9" fmla="*/ 4712335 h 4712335"/>
                            <a:gd name="T10" fmla="*/ 0 w 5731510"/>
                            <a:gd name="T11" fmla="*/ 4712335 h 4712335"/>
                            <a:gd name="T12" fmla="*/ 0 w 5731510"/>
                            <a:gd name="T13" fmla="*/ 4712335 h 4712335"/>
                            <a:gd name="T14" fmla="*/ 0 w 5731510"/>
                            <a:gd name="T15" fmla="*/ 335330 h 4712335"/>
                            <a:gd name="T16" fmla="*/ 335330 w 5731510"/>
                            <a:gd name="T17" fmla="*/ 0 h 4712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4712335"/>
                            <a:gd name="T29" fmla="*/ 5731510 w 5731510"/>
                            <a:gd name="T30" fmla="*/ 4712335 h 47123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4712335">
                              <a:moveTo>
                                <a:pt x="335330" y="0"/>
                              </a:moveTo>
                              <a:lnTo>
                                <a:pt x="5731510" y="0"/>
                              </a:lnTo>
                              <a:lnTo>
                                <a:pt x="5731510" y="4377005"/>
                              </a:lnTo>
                              <a:cubicBezTo>
                                <a:pt x="5731510" y="4562203"/>
                                <a:pt x="5581378" y="4712335"/>
                                <a:pt x="5396180" y="4712335"/>
                              </a:cubicBezTo>
                              <a:lnTo>
                                <a:pt x="0" y="4712335"/>
                              </a:lnTo>
                              <a:lnTo>
                                <a:pt x="0" y="335330"/>
                              </a:lnTo>
                              <a:cubicBezTo>
                                <a:pt x="0" y="150132"/>
                                <a:pt x="150132" y="0"/>
                                <a:pt x="335330"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71D4A" w:rsidRPr="005945BB" w:rsidRDefault="00471D4A" w:rsidP="00AC0E3D">
                            <w:pPr>
                              <w:pStyle w:val="Hlistbullet"/>
                              <w:numPr>
                                <w:ilvl w:val="0"/>
                                <w:numId w:val="0"/>
                              </w:numPr>
                              <w:spacing w:before="0" w:after="120" w:line="280" w:lineRule="atLeast"/>
                              <w:rPr>
                                <w:rFonts w:cs="Arial"/>
                                <w:szCs w:val="16"/>
                              </w:rPr>
                            </w:pPr>
                            <w:r>
                              <w:rPr>
                                <w:b/>
                                <w:color w:val="F07E31" w:themeColor="accent1"/>
                              </w:rPr>
                              <w:t xml:space="preserve">Étape 3: </w:t>
                            </w:r>
                            <w:r>
                              <w:t xml:space="preserve">Calculer les </w:t>
                            </w:r>
                            <w:r>
                              <w:rPr>
                                <w:b/>
                              </w:rPr>
                              <w:t>effets indirects sur les non-bénéficiaires</w:t>
                            </w:r>
                            <w:r>
                              <w:t xml:space="preserve"> </w:t>
                            </w:r>
                            <w:r>
                              <w:rPr>
                                <w:b/>
                              </w:rPr>
                              <w:t>au niveau micro</w:t>
                            </w:r>
                            <w:r>
                              <w:t xml:space="preserve">. Ici, les changements observés dans la valeur des indicateurs devraient également être répartis en deux catégories: les changements provoqués par le programme (incidence globale des contributions primaires et secondaires) et les changements causés par d’autres facteurs. Cette étape renvoie aux prévisions selon lesquelles le soutien octroyé aux bénéficiaires des mesures du PDR peut avoir des effets sur l'équilibre général «attendus/inattendus» (par exemple des effets négatifs sur les non-bénéficiaires situés dans le voisinage proche des bénéficiaires du programme). </w:t>
                            </w:r>
                          </w:p>
                          <w:p w:rsidR="00471D4A" w:rsidRPr="005945BB" w:rsidRDefault="00471D4A" w:rsidP="00AC0E3D">
                            <w:pPr>
                              <w:pStyle w:val="HStandard"/>
                              <w:rPr>
                                <w:rFonts w:cs="Arial"/>
                                <w:szCs w:val="16"/>
                              </w:rPr>
                            </w:pPr>
                            <w:r>
                              <w:t>À cette étape de l’évaluation, une évaluation qualitative préliminaire est essentielle, car elle permet de présenter le point de vue précieux des initiés et peut mener à l’élaboration de questions d’évaluation spécifiques à un programme axées sur la performance du programme, en particulier en ce qui concerne les effets positifs, négatifs, attendus et inattendus sur les non-bénéficiaires. L’utilisation de questions d’évaluation spécifiques à un programme est volontaire, mais il convient d’y répondre si une question de ce type est formulée. Pour effectuer une analyse préliminaire des synergies ou des effets négatifs transversaux éventuels, les évaluateurs peuvent également avoir recours à des outils d’évaluation qualitatifs.</w:t>
                            </w:r>
                          </w:p>
                          <w:p w:rsidR="00471D4A" w:rsidRPr="005945BB" w:rsidRDefault="00471D4A" w:rsidP="00AC0E3D">
                            <w:pPr>
                              <w:pStyle w:val="Hlistbullet"/>
                              <w:numPr>
                                <w:ilvl w:val="0"/>
                                <w:numId w:val="0"/>
                              </w:numPr>
                              <w:spacing w:before="0" w:after="120" w:line="280" w:lineRule="atLeast"/>
                              <w:rPr>
                                <w:rFonts w:cs="Arial"/>
                                <w:szCs w:val="16"/>
                              </w:rPr>
                            </w:pPr>
                            <w:r>
                              <w:rPr>
                                <w:b/>
                                <w:color w:val="F07E31" w:themeColor="accent1"/>
                              </w:rPr>
                              <w:t xml:space="preserve">Étape 4: </w:t>
                            </w:r>
                            <w:r>
                              <w:rPr>
                                <w:b/>
                              </w:rPr>
                              <w:t>Agréger les résultats et calculer les effets du PDR sur les indicateurs d’impact analysés au niveau macro et de la zone couverte par le programme.</w:t>
                            </w:r>
                            <w:r>
                              <w:t xml:space="preserve"> À cette étape, l’évaluateur devrait calculer les effets directs nets du PDR sur les indicateurs d’impact au niveau de la zone couverte par le programme en appliquant des techniques d’extrapolation (c’est-à-dire en multipliant les micro-résultats moyens calculés au niveau micro par le nombre de bénéficiaires/non-bénéficiaires).</w:t>
                            </w:r>
                          </w:p>
                          <w:p w:rsidR="00471D4A" w:rsidRPr="005945BB" w:rsidRDefault="00471D4A" w:rsidP="00AC0E3D">
                            <w:pPr>
                              <w:pStyle w:val="HStandard"/>
                              <w:rPr>
                                <w:color w:val="auto"/>
                                <w:szCs w:val="16"/>
                              </w:rPr>
                            </w:pPr>
                            <w:r>
                              <w:rPr>
                                <w:b/>
                                <w:color w:val="F07E31" w:themeColor="accent1"/>
                              </w:rPr>
                              <w:t xml:space="preserve">Étape 5: </w:t>
                            </w:r>
                            <w:r>
                              <w:rPr>
                                <w:b/>
                              </w:rPr>
                              <w:t>Appliquer des méthodes qualitatives</w:t>
                            </w:r>
                            <w:r>
                              <w:t xml:space="preserve"> pour contrôler et vérifier les résultats obtenus (triangulation).</w:t>
                            </w:r>
                          </w:p>
                          <w:p w:rsidR="00471D4A" w:rsidRPr="005945BB" w:rsidRDefault="00471D4A" w:rsidP="00735F08">
                            <w:pPr>
                              <w:pStyle w:val="Hlistbullet"/>
                              <w:numPr>
                                <w:ilvl w:val="0"/>
                                <w:numId w:val="0"/>
                              </w:numPr>
                              <w:jc w:val="center"/>
                              <w:rPr>
                                <w:i/>
                                <w:color w:val="F07E31" w:themeColor="accent1"/>
                                <w:szCs w:val="18"/>
                              </w:rPr>
                            </w:pPr>
                            <w:r>
                              <w:rPr>
                                <w:i/>
                                <w:color w:val="F07E31" w:themeColor="accent1"/>
                              </w:rPr>
                              <w:t>Pour en savoir plus sur le dégagement des effets du programme, consulter les</w:t>
                            </w:r>
                            <w:r>
                              <w:rPr>
                                <w:i/>
                                <w:color w:val="F07E31" w:themeColor="accent1"/>
                                <w:szCs w:val="18"/>
                              </w:rPr>
                              <w:br/>
                            </w:r>
                            <w:r>
                              <w:rPr>
                                <w:i/>
                                <w:color w:val="F07E31" w:themeColor="accent1"/>
                              </w:rPr>
                              <w:t xml:space="preserve"> </w:t>
                            </w:r>
                            <w:hyperlink r:id="rId49" w:history="1">
                              <w:r>
                                <w:rPr>
                                  <w:rStyle w:val="Hyperlink"/>
                                  <w:i/>
                                  <w:color w:val="F07E31" w:themeColor="accent1"/>
                                </w:rPr>
                                <w:t xml:space="preserve">«Guidelines for ex post </w:t>
                              </w:r>
                              <w:proofErr w:type="spellStart"/>
                              <w:r>
                                <w:rPr>
                                  <w:rStyle w:val="Hyperlink"/>
                                  <w:i/>
                                  <w:color w:val="F07E31" w:themeColor="accent1"/>
                                </w:rPr>
                                <w:t>evaluation</w:t>
                              </w:r>
                              <w:proofErr w:type="spellEnd"/>
                              <w:r>
                                <w:rPr>
                                  <w:rStyle w:val="Hyperlink"/>
                                  <w:i/>
                                  <w:color w:val="F07E31" w:themeColor="accent1"/>
                                </w:rPr>
                                <w:t xml:space="preserve"> of 2007-2013 </w:t>
                              </w:r>
                              <w:proofErr w:type="spellStart"/>
                              <w:r>
                                <w:rPr>
                                  <w:rStyle w:val="Hyperlink"/>
                                  <w:i/>
                                  <w:color w:val="F07E31" w:themeColor="accent1"/>
                                </w:rPr>
                                <w:t>RDPs</w:t>
                              </w:r>
                              <w:proofErr w:type="spellEnd"/>
                              <w:r>
                                <w:rPr>
                                  <w:rStyle w:val="Hyperlink"/>
                                  <w:i/>
                                  <w:color w:val="F07E31" w:themeColor="accent1"/>
                                </w:rPr>
                                <w:t>»</w:t>
                              </w:r>
                            </w:hyperlink>
                            <w:r>
                              <w:rPr>
                                <w:rStyle w:val="Hyperlink"/>
                                <w:i/>
                                <w:color w:val="F07E31" w:themeColor="accent1"/>
                              </w:rPr>
                              <w:t>, chapitre 4.2 et chapitre 4.3.3 pour l’équilibre général calculable</w:t>
                            </w:r>
                          </w:p>
                        </w:txbxContent>
                      </wps:txbx>
                      <wps:bodyPr rot="0" vert="horz" wrap="square" lIns="91440" tIns="45720" rIns="91440" bIns="45720" anchor="t" anchorCtr="0" upright="1">
                        <a:noAutofit/>
                      </wps:bodyPr>
                    </wps:wsp>
                  </a:graphicData>
                </a:graphic>
              </wp:inline>
            </w:drawing>
          </mc:Choice>
          <mc:Fallback>
            <w:pict>
              <v:shape w14:anchorId="2E0F3D12" id="AutoShape 63" o:spid="_x0000_s1040" style="width:451.3pt;height:405.8pt;visibility:visible;mso-wrap-style:square;mso-left-percent:-10001;mso-top-percent:-10001;mso-position-horizontal:absolute;mso-position-horizontal-relative:char;mso-position-vertical:absolute;mso-position-vertical-relative:line;mso-left-percent:-10001;mso-top-percent:-10001;v-text-anchor:top" coordsize="5731510,471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" adj="-11796480,,5400" path="m335330,l5731510,r,4377005c5731510,4562203,5581378,4712335,5396180,4712335l,4712335,,335330c,150132,150132,,335330,xe" filled="f" strokecolor="#be4a35" strokeweight="2pt">
                <v:stroke joinstyle="miter"/>
                <v:formulas/>
                <v:path arrowok="t" o:connecttype="custom" o:connectlocs="335330,0;5731510,0;5731510,0;5731510,4787140;5396180,5153891;0,5153891;0,5153891;0,366751;335330,0" o:connectangles="0,0,0,0,0,0,0,0,0" textboxrect="0,0,5731510,4712335"/>
                <v:textbox>
                  <w:txbxContent>
                    <w:p w:rsidR="00471D4A" w:rsidRPr="005945BB" w:rsidRDefault="00471D4A" w:rsidP="00AC0E3D">
                      <w:pPr>
                        <w:pStyle w:val="Hlistbullet"/>
                        <w:numPr>
                          <w:ilvl w:val="0"/>
                          <w:numId w:val="0"/>
                        </w:numPr>
                        <w:spacing w:before="0" w:after="120" w:line="280" w:lineRule="atLeast"/>
                        <w:rPr>
                          <w:rFonts w:cs="Arial"/>
                          <w:szCs w:val="16"/>
                        </w:rPr>
                      </w:pPr>
                      <w:r>
                        <w:rPr>
                          <w:b/>
                          <w:color w:val="F07E31" w:themeColor="accent1"/>
                        </w:rPr>
                        <w:t xml:space="preserve">Étape 3: </w:t>
                      </w:r>
                      <w:r>
                        <w:t xml:space="preserve">Calculer les </w:t>
                      </w:r>
                      <w:r>
                        <w:rPr>
                          <w:b/>
                        </w:rPr>
                        <w:t>effets indirects sur les non-bénéficiaires</w:t>
                      </w:r>
                      <w:r>
                        <w:t xml:space="preserve"> </w:t>
                      </w:r>
                      <w:r>
                        <w:rPr>
                          <w:b/>
                        </w:rPr>
                        <w:t>au niveau micro</w:t>
                      </w:r>
                      <w:r>
                        <w:t xml:space="preserve">. Ici, les changements observés dans la valeur des indicateurs devraient également être répartis en deux catégories: les changements provoqués par le programme (incidence globale des contributions primaires et secondaires) et les changements causés par d’autres facteurs. Cette étape renvoie aux prévisions selon lesquelles le soutien octroyé aux bénéficiaires des mesures du PDR peut avoir des effets sur l'équilibre général «attendus/inattendus» (par exemple des effets négatifs sur les non-bénéficiaires situés dans le voisinage proche des bénéficiaires du programme). </w:t>
                      </w:r>
                    </w:p>
                    <w:p w:rsidR="00471D4A" w:rsidRPr="005945BB" w:rsidRDefault="00471D4A" w:rsidP="00AC0E3D">
                      <w:pPr>
                        <w:pStyle w:val="HStandard"/>
                        <w:rPr>
                          <w:rFonts w:cs="Arial"/>
                          <w:szCs w:val="16"/>
                        </w:rPr>
                      </w:pPr>
                      <w:r>
                        <w:t>À cette étape de l’évaluation, une évaluation qualitative préliminaire est essentielle, car elle permet de présenter le point de vue précieux des initiés et peut mener à l’élaboration de questions d’évaluation spécifiques à un programme axées sur la performance du programme, en particulier en ce qui concerne les effets positifs, négatifs, attendus et inattendus sur les non-bénéficiaires. L’utilisation de questions d’évaluation spécifiques à un programme est volontaire, mais il convient d’y répondre si une question de ce type est formulée. Pour effectuer une analyse préliminaire des synergies ou des effets négatifs transversaux éventuels, les évaluateurs peuvent également avoir recours à des outils d’évaluation qualitatifs.</w:t>
                      </w:r>
                    </w:p>
                    <w:p w:rsidR="00471D4A" w:rsidRPr="005945BB" w:rsidRDefault="00471D4A" w:rsidP="00AC0E3D">
                      <w:pPr>
                        <w:pStyle w:val="Hlistbullet"/>
                        <w:numPr>
                          <w:ilvl w:val="0"/>
                          <w:numId w:val="0"/>
                        </w:numPr>
                        <w:spacing w:before="0" w:after="120" w:line="280" w:lineRule="atLeast"/>
                        <w:rPr>
                          <w:rFonts w:cs="Arial"/>
                          <w:szCs w:val="16"/>
                        </w:rPr>
                      </w:pPr>
                      <w:r>
                        <w:rPr>
                          <w:b/>
                          <w:color w:val="F07E31" w:themeColor="accent1"/>
                        </w:rPr>
                        <w:t xml:space="preserve">Étape 4: </w:t>
                      </w:r>
                      <w:r>
                        <w:rPr>
                          <w:b/>
                        </w:rPr>
                        <w:t>Agréger les résultats et calculer les effets du PDR sur les indicateurs d’impact analysés au niveau macro et de la zone couverte par le programme.</w:t>
                      </w:r>
                      <w:r>
                        <w:t xml:space="preserve"> À cette étape, l’évaluateur devrait calculer les effets directs nets du PDR sur les indicateurs d’impact au niveau de la zone couverte par le programme en appliquant des techniques d’extrapolation (c’est-à-dire en multipliant les micro-résultats moyens calculés au niveau micro par le nombre de bénéficiaires/non-bénéficiaires).</w:t>
                      </w:r>
                    </w:p>
                    <w:p w:rsidR="00471D4A" w:rsidRPr="005945BB" w:rsidRDefault="00471D4A" w:rsidP="00AC0E3D">
                      <w:pPr>
                        <w:pStyle w:val="HStandard"/>
                        <w:rPr>
                          <w:color w:val="auto"/>
                          <w:szCs w:val="16"/>
                        </w:rPr>
                      </w:pPr>
                      <w:r>
                        <w:rPr>
                          <w:b/>
                          <w:color w:val="F07E31" w:themeColor="accent1"/>
                        </w:rPr>
                        <w:t xml:space="preserve">Étape 5: </w:t>
                      </w:r>
                      <w:r>
                        <w:rPr>
                          <w:b/>
                        </w:rPr>
                        <w:t>Appliquer des méthodes qualitatives</w:t>
                      </w:r>
                      <w:r>
                        <w:t xml:space="preserve"> pour contrôler et vérifier les résultats obtenus (triangulation).</w:t>
                      </w:r>
                    </w:p>
                    <w:p w:rsidR="00471D4A" w:rsidRPr="005945BB" w:rsidRDefault="00471D4A" w:rsidP="00735F08">
                      <w:pPr>
                        <w:pStyle w:val="Hlistbullet"/>
                        <w:numPr>
                          <w:ilvl w:val="0"/>
                          <w:numId w:val="0"/>
                        </w:numPr>
                        <w:jc w:val="center"/>
                        <w:rPr>
                          <w:i/>
                          <w:color w:val="F07E31" w:themeColor="accent1"/>
                          <w:szCs w:val="18"/>
                        </w:rPr>
                      </w:pPr>
                      <w:r>
                        <w:rPr>
                          <w:i/>
                          <w:color w:val="F07E31" w:themeColor="accent1"/>
                        </w:rPr>
                        <w:t>Pour en savoir plus sur le dégagement des effets du programme, consulter les</w:t>
                      </w:r>
                      <w:r>
                        <w:rPr>
                          <w:i/>
                          <w:color w:val="F07E31" w:themeColor="accent1"/>
                          <w:szCs w:val="18"/>
                        </w:rPr>
                        <w:br/>
                      </w:r>
                      <w:r>
                        <w:rPr>
                          <w:i/>
                          <w:color w:val="F07E31" w:themeColor="accent1"/>
                        </w:rPr>
                        <w:t xml:space="preserve"> </w:t>
                      </w:r>
                      <w:hyperlink r:id="rId50" w:history="1">
                        <w:r>
                          <w:rPr>
                            <w:rStyle w:val="Hyperlink"/>
                            <w:i/>
                            <w:color w:val="F07E31" w:themeColor="accent1"/>
                          </w:rPr>
                          <w:t xml:space="preserve">«Guidelines for ex post </w:t>
                        </w:r>
                        <w:proofErr w:type="spellStart"/>
                        <w:r>
                          <w:rPr>
                            <w:rStyle w:val="Hyperlink"/>
                            <w:i/>
                            <w:color w:val="F07E31" w:themeColor="accent1"/>
                          </w:rPr>
                          <w:t>evaluation</w:t>
                        </w:r>
                        <w:proofErr w:type="spellEnd"/>
                        <w:r>
                          <w:rPr>
                            <w:rStyle w:val="Hyperlink"/>
                            <w:i/>
                            <w:color w:val="F07E31" w:themeColor="accent1"/>
                          </w:rPr>
                          <w:t xml:space="preserve"> of 2007-2013 </w:t>
                        </w:r>
                        <w:proofErr w:type="spellStart"/>
                        <w:r>
                          <w:rPr>
                            <w:rStyle w:val="Hyperlink"/>
                            <w:i/>
                            <w:color w:val="F07E31" w:themeColor="accent1"/>
                          </w:rPr>
                          <w:t>RDPs</w:t>
                        </w:r>
                        <w:proofErr w:type="spellEnd"/>
                        <w:r>
                          <w:rPr>
                            <w:rStyle w:val="Hyperlink"/>
                            <w:i/>
                            <w:color w:val="F07E31" w:themeColor="accent1"/>
                          </w:rPr>
                          <w:t>»</w:t>
                        </w:r>
                      </w:hyperlink>
                      <w:r>
                        <w:rPr>
                          <w:rStyle w:val="Hyperlink"/>
                          <w:i/>
                          <w:color w:val="F07E31" w:themeColor="accent1"/>
                        </w:rPr>
                        <w:t>, chapitre 4.2 et chapitre 4.3.3 pour l’équilibre général calculable</w:t>
                      </w:r>
                    </w:p>
                  </w:txbxContent>
                </v:textbox>
                <w10:anchorlock/>
              </v:shape>
            </w:pict>
          </mc:Fallback>
        </mc:AlternateContent>
      </w:r>
      <w:r>
        <w:br w:type="column"/>
      </w:r>
      <w:r>
        <w:lastRenderedPageBreak/>
        <w:t>Validation et contrôle de cohérence au niveau micro et macro (</w:t>
      </w:r>
      <w:r w:rsidRPr="00C44B54">
        <w:t>4</w:t>
      </w:r>
      <w:r>
        <w:rPr>
          <w:vertAlign w:val="superscript"/>
        </w:rPr>
        <w:t>e</w:t>
      </w:r>
      <w:r>
        <w:t xml:space="preserve"> niveau)</w:t>
      </w:r>
    </w:p>
    <w:p w:rsidR="00FC012D" w:rsidRPr="00336531" w:rsidRDefault="000B213F" w:rsidP="00FC012D">
      <w:pPr>
        <w:pStyle w:val="HStandard"/>
        <w:rPr>
          <w:rFonts w:cs="Arial"/>
        </w:rPr>
      </w:pPr>
      <w:r>
        <w:rPr>
          <w:b/>
          <w:i/>
          <w:noProof/>
          <w:color w:val="F07E31" w:themeColor="accent1"/>
          <w:lang w:val="en-GB" w:eastAsia="en-GB" w:bidi="ar-SA"/>
        </w:rPr>
        <mc:AlternateContent>
          <mc:Choice Requires="wps">
            <w:drawing>
              <wp:inline distT="0" distB="0" distL="0" distR="0" wp14:anchorId="3E63F8BF" wp14:editId="1C4A7B33">
                <wp:extent cx="5731510" cy="1221740"/>
                <wp:effectExtent l="19050" t="19050" r="21590" b="16510"/>
                <wp:docPr id="89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21740"/>
                        </a:xfrm>
                        <a:custGeom>
                          <a:avLst/>
                          <a:gdLst>
                            <a:gd name="T0" fmla="*/ 106671 w 5731510"/>
                            <a:gd name="T1" fmla="*/ 0 h 1221469"/>
                            <a:gd name="T2" fmla="*/ 5731510 w 5731510"/>
                            <a:gd name="T3" fmla="*/ 0 h 1221469"/>
                            <a:gd name="T4" fmla="*/ 5731510 w 5731510"/>
                            <a:gd name="T5" fmla="*/ 0 h 1221469"/>
                            <a:gd name="T6" fmla="*/ 5731510 w 5731510"/>
                            <a:gd name="T7" fmla="*/ 1114798 h 1221469"/>
                            <a:gd name="T8" fmla="*/ 5624839 w 5731510"/>
                            <a:gd name="T9" fmla="*/ 1221469 h 1221469"/>
                            <a:gd name="T10" fmla="*/ 0 w 5731510"/>
                            <a:gd name="T11" fmla="*/ 1221469 h 1221469"/>
                            <a:gd name="T12" fmla="*/ 0 w 5731510"/>
                            <a:gd name="T13" fmla="*/ 1221469 h 1221469"/>
                            <a:gd name="T14" fmla="*/ 0 w 5731510"/>
                            <a:gd name="T15" fmla="*/ 106671 h 1221469"/>
                            <a:gd name="T16" fmla="*/ 106671 w 5731510"/>
                            <a:gd name="T17" fmla="*/ 0 h 12214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221469"/>
                            <a:gd name="T29" fmla="*/ 5731510 w 5731510"/>
                            <a:gd name="T30" fmla="*/ 1221469 h 12214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221469">
                              <a:moveTo>
                                <a:pt x="106671" y="0"/>
                              </a:moveTo>
                              <a:lnTo>
                                <a:pt x="5731510" y="0"/>
                              </a:lnTo>
                              <a:lnTo>
                                <a:pt x="5731510" y="1114798"/>
                              </a:lnTo>
                              <a:cubicBezTo>
                                <a:pt x="5731510" y="1173711"/>
                                <a:pt x="5683752" y="1221469"/>
                                <a:pt x="5624839" y="1221469"/>
                              </a:cubicBezTo>
                              <a:lnTo>
                                <a:pt x="0" y="1221469"/>
                              </a:lnTo>
                              <a:lnTo>
                                <a:pt x="0" y="106671"/>
                              </a:lnTo>
                              <a:cubicBezTo>
                                <a:pt x="0" y="47758"/>
                                <a:pt x="47758" y="0"/>
                                <a:pt x="106671"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71D4A" w:rsidRPr="00044269" w:rsidRDefault="00471D4A"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2917BE67" wp14:editId="0EF03975">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Pour l’évaluation de l’incidence nette</w:t>
                            </w:r>
                            <w:r>
                              <w:rPr>
                                <w:b w:val="0"/>
                                <w:color w:val="373737" w:themeColor="text1"/>
                              </w:rPr>
                              <w:t>, il est important de vérifier la cohérence des résultats issus de l’évaluation aux niveaux micro et macro afin de les valider. La cohérence est établie lorsque les résultats obtenus aux deux niveaux ne sont pas contradictoires.</w:t>
                            </w:r>
                          </w:p>
                        </w:txbxContent>
                      </wps:txbx>
                      <wps:bodyPr rot="0" vert="horz" wrap="square" lIns="91440" tIns="45720" rIns="91440" bIns="45720" anchor="ctr" anchorCtr="0" upright="1">
                        <a:noAutofit/>
                      </wps:bodyPr>
                    </wps:wsp>
                  </a:graphicData>
                </a:graphic>
              </wp:inline>
            </w:drawing>
          </mc:Choice>
          <mc:Fallback>
            <w:pict>
              <v:shape w14:anchorId="3E63F8BF" id="AutoShape 62" o:spid="_x0000_s1041" style="width:451.3pt;height:96.2pt;visibility:visible;mso-wrap-style:square;mso-left-percent:-10001;mso-top-percent:-10001;mso-position-horizontal:absolute;mso-position-horizontal-relative:char;mso-position-vertical:absolute;mso-position-vertical-relative:line;mso-left-percent:-10001;mso-top-percent:-10001;v-text-anchor:middle" coordsize="5731510,12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" adj="-11796480,,5400" path="m106671,l5731510,r,1114798c5731510,1173711,5683752,1221469,5624839,1221469l,1221469,,106671c,47758,47758,,106671,xe" filled="f" strokecolor="#be4a35" strokeweight="2pt">
                <v:stroke joinstyle="miter"/>
                <v:formulas/>
                <v:path arrowok="t" o:connecttype="custom" o:connectlocs="106671,0;5731510,0;5731510,0;5731510,1115045;5624839,1221740;0,1221740;0,1221740;0,106695;106671,0" o:connectangles="0,0,0,0,0,0,0,0,0" textboxrect="0,0,5731510,1221469"/>
                <v:textbox>
                  <w:txbxContent>
                    <w:p w:rsidR="00471D4A" w:rsidRPr="00044269" w:rsidRDefault="00471D4A"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2917BE67" wp14:editId="0EF03975">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Pour l’évaluation de l’incidence nette</w:t>
                      </w:r>
                      <w:r>
                        <w:rPr>
                          <w:b w:val="0"/>
                          <w:color w:val="373737" w:themeColor="text1"/>
                        </w:rPr>
                        <w:t>, il est important de vérifier la cohérence des résultats issus de l’évaluation aux niveaux micro et macro afin de les valider. La cohérence est établie lorsque les résultats obtenus aux deux niveaux ne sont pas contradictoires.</w:t>
                      </w:r>
                    </w:p>
                  </w:txbxContent>
                </v:textbox>
                <w10:anchorlock/>
              </v:shape>
            </w:pict>
          </mc:Fallback>
        </mc:AlternateContent>
      </w:r>
      <w:r>
        <w:t xml:space="preserve">Dans le cas d’une évaluation quantitative ascendante, la cohérence est justifiée par l’extrapolation des données du niveau micro au niveau macro. </w:t>
      </w:r>
    </w:p>
    <w:p w:rsidR="00FC012D" w:rsidRPr="001C6ACF" w:rsidRDefault="00FC012D" w:rsidP="001E5FC4">
      <w:pPr>
        <w:spacing w:after="120" w:line="280" w:lineRule="atLeast"/>
        <w:rPr>
          <w:rFonts w:cs="Arial"/>
          <w:color w:val="373737"/>
          <w:sz w:val="20"/>
          <w:szCs w:val="20"/>
        </w:rPr>
      </w:pPr>
      <w:r>
        <w:rPr>
          <w:color w:val="373737" w:themeColor="text1"/>
          <w:sz w:val="20"/>
        </w:rPr>
        <w:t xml:space="preserve">Pour les effets </w:t>
      </w:r>
      <w:r>
        <w:rPr>
          <w:i/>
          <w:color w:val="373737" w:themeColor="text1"/>
          <w:sz w:val="20"/>
        </w:rPr>
        <w:t>directs</w:t>
      </w:r>
      <w:r>
        <w:rPr>
          <w:color w:val="373737" w:themeColor="text1"/>
          <w:sz w:val="20"/>
        </w:rPr>
        <w:t xml:space="preserve"> du programme sur les unités soutenues, les effets directs nets du programme calculés à l’aide des </w:t>
      </w:r>
      <w:r>
        <w:rPr>
          <w:b/>
          <w:color w:val="373737" w:themeColor="text1"/>
          <w:sz w:val="20"/>
        </w:rPr>
        <w:t>indicateurs de résultat</w:t>
      </w:r>
      <w:r>
        <w:rPr>
          <w:color w:val="373737" w:themeColor="text1"/>
          <w:sz w:val="20"/>
        </w:rPr>
        <w:t xml:space="preserve"> devraient en principe être cohérents et indiquer la même tendance que les effets nets du programme calculés au moyen des indicateurs d’</w:t>
      </w:r>
      <w:r>
        <w:rPr>
          <w:b/>
          <w:color w:val="373737" w:themeColor="text1"/>
          <w:sz w:val="20"/>
        </w:rPr>
        <w:t>impact</w:t>
      </w:r>
      <w:r>
        <w:rPr>
          <w:color w:val="373737" w:themeColor="text1"/>
          <w:sz w:val="20"/>
        </w:rPr>
        <w:t>. Toutefois, selon la taille et le sens des effets indirects, les résultats au niveau macro peuvent, en principe, aussi présenter une incidence allant dans le sens opposé à celui des  effets observés au niveau micro. Dans ces cas, cependant, ces incidences allant dans un sens opposé doivent être expliquées par des éléments de causalité et/ou quantifiés des effets indirects. Un contrôle de cohérence des résultats aux niveaux micro et macro nécessite une bonne compréhension des principaux facteurs ayant une incidence sur chaque indicateur.</w:t>
      </w:r>
    </w:p>
    <w:p w:rsidR="00FC012D" w:rsidRPr="001C6ACF" w:rsidRDefault="00FC012D" w:rsidP="00FC012D">
      <w:pPr>
        <w:pStyle w:val="HStandard"/>
        <w:rPr>
          <w:rFonts w:cs="Arial"/>
        </w:rPr>
      </w:pPr>
      <w:r>
        <w:t xml:space="preserve">En ce qui concerne les </w:t>
      </w:r>
      <w:r>
        <w:rPr>
          <w:i/>
        </w:rPr>
        <w:t>effets indirects</w:t>
      </w:r>
      <w:r>
        <w:t xml:space="preserve"> du programme sur les exploitations agricoles bénéficiant ou non d’un soutien, les résultats microéconomiques, après leur agrégation, ne peuvent que donner une idée approximative de l’ampleur de tous les effets indirects possibles du PDR (y compris ceux calculés au moyen de modèles sectoriels). Cette approximation est principalement due à la difficulté de modéliser </w:t>
      </w:r>
      <w:r>
        <w:rPr>
          <w:b/>
        </w:rPr>
        <w:t>l’ensemble</w:t>
      </w:r>
      <w:r>
        <w:t xml:space="preserve"> des effets indirects potentiels auxquels les unités bénéficiant ou non d’un soutien auraient pu «au moins théoriquement» être confrontées. </w:t>
      </w:r>
    </w:p>
    <w:p w:rsidR="00FC012D" w:rsidRPr="00571D58" w:rsidRDefault="00FC012D" w:rsidP="00FC012D">
      <w:pPr>
        <w:pStyle w:val="HStandard"/>
        <w:rPr>
          <w:rFonts w:cs="Arial"/>
        </w:rPr>
      </w:pPr>
      <w:r>
        <w:t xml:space="preserve">L’évaluation ascendante fondée sur l’agrégation de différentes sources de données avec des mesures et une terminologie différentes peut être source d’ambiguïté. L’une des principales difficultés liées au contrôle de cohérence pour les niveaux macro et micro est de déterminer le lien de causalité entre les changements et les incidences mesurés au niveau de l’exploitation ou de la parcelle et les changements et incidences enregistrés au-delà du changement de la délimitation de l’exploitation (par exemple, au niveau NUTS </w:t>
      </w:r>
      <w:r w:rsidRPr="00C44B54">
        <w:t>3</w:t>
      </w:r>
      <w:r>
        <w:t xml:space="preserve"> et au niveau du programme).</w:t>
      </w:r>
      <w:r>
        <w:rPr>
          <w:color w:val="373737"/>
        </w:rPr>
        <w:t xml:space="preserve"> Dans ce contexte, il est important que les unités d’analyse et les échelles appliquées tiennent compte de l’échelle et du niveau auxquels les effets sont susceptibles de se produire. Le simple fait d’appliquer des limites administratives fixes peut fausser les résultats. </w:t>
      </w:r>
      <w:r>
        <w:t>Des efforts peuvent être réalisés pour appliquer des méthodes d’échantillonnage de manière cohérente à l’échelle du champ, de l’exploitation et du paysage pour tenir compte des différents types de taxonomie étudiés et des interactions entre les variables décrivant le climat, la topographie, l’utilisation du sol et les conditions socioéconomiques et du sol</w:t>
      </w:r>
      <w:r>
        <w:rPr>
          <w:rStyle w:val="FootnoteReference"/>
        </w:rPr>
        <w:footnoteReference w:id="29"/>
      </w:r>
      <w:r>
        <w:t>. L’«approche ascendante», avec une zone étudiée au niveau de la parcelle ou du champ, permet d’obtenir des résultats grâce à la collecte de données à partir d’enquêtes spécifiques à un site selon des protocoles expérimentaux et de les extrapoler du niveau micro au niveau macro par des systèmes d’information géographique (SIG), des images satellites ou une analyse spatiale</w:t>
      </w:r>
      <w:r>
        <w:rPr>
          <w:rStyle w:val="FootnoteReference"/>
        </w:rPr>
        <w:footnoteReference w:id="30"/>
      </w:r>
      <w:r>
        <w:t>.</w:t>
      </w:r>
    </w:p>
    <w:p w:rsidR="00FC012D" w:rsidRPr="00571D58" w:rsidRDefault="00535279" w:rsidP="00FC012D">
      <w:pPr>
        <w:pStyle w:val="HStandard"/>
        <w:rPr>
          <w:rFonts w:cs="Arial"/>
        </w:rPr>
      </w:pPr>
      <w: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C012D" w:rsidRPr="001C6ACF" w:rsidTr="00FC012D">
        <w:tc>
          <w:tcPr>
            <w:tcW w:w="9016" w:type="dxa"/>
          </w:tcPr>
          <w:p w:rsidR="00FC012D" w:rsidRPr="00336531" w:rsidRDefault="00C44B54" w:rsidP="00EC01C3">
            <w:pPr>
              <w:pStyle w:val="HHeading4"/>
              <w:jc w:val="both"/>
              <w:rPr>
                <w:rFonts w:cs="Arial"/>
              </w:rPr>
            </w:pPr>
            <w:r>
              <w:rPr>
                <w:noProof/>
                <w:lang w:val="en-GB" w:eastAsia="en-GB" w:bidi="ar-SA"/>
              </w:rPr>
              <mc:AlternateContent>
                <mc:Choice Requires="wps">
                  <w:drawing>
                    <wp:anchor distT="0" distB="0" distL="114300" distR="114300" simplePos="0" relativeHeight="251673088" behindDoc="0" locked="0" layoutInCell="1" allowOverlap="1" wp14:anchorId="49C7CDAA" wp14:editId="1129C089">
                      <wp:simplePos x="0" y="0"/>
                      <wp:positionH relativeFrom="column">
                        <wp:posOffset>-119380</wp:posOffset>
                      </wp:positionH>
                      <wp:positionV relativeFrom="paragraph">
                        <wp:posOffset>-52705</wp:posOffset>
                      </wp:positionV>
                      <wp:extent cx="6038850" cy="5046980"/>
                      <wp:effectExtent l="0" t="0" r="19050" b="20320"/>
                      <wp:wrapNone/>
                      <wp:docPr id="898" name="Rectangle: Diagonal Corners Round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5046980"/>
                              </a:xfrm>
                              <a:prstGeom prst="round2DiagRect">
                                <a:avLst>
                                  <a:gd name="adj1" fmla="val 820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06E3F" id="Rectangle: Diagonal Corners Rounded 15" o:spid="_x0000_s1026" style="position:absolute;margin-left:-9.4pt;margin-top:-4.15pt;width:475.5pt;height:397.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504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" path="m414004,l6038850,r,l6038850,4632976v,228648,-185356,414004,-414004,414004l,5046980r,l,414004c,185356,185356,,414004,xe" filled="f" strokecolor="#be4a35 [3205]" strokeweight="2pt">
                      <v:path arrowok="t" o:connecttype="custom" o:connectlocs="414004,0;6038850,0;6038850,0;6038850,4632976;5624846,5046980;0,5046980;0,5046980;0,414004;414004,0" o:connectangles="0,0,0,0,0,0,0,0,0"/>
                    </v:shape>
                  </w:pict>
                </mc:Fallback>
              </mc:AlternateContent>
            </w:r>
            <w:r w:rsidR="00FC012D">
              <w:rPr>
                <w:noProof/>
                <w:color w:val="373737"/>
                <w:lang w:val="en-GB" w:eastAsia="en-GB" w:bidi="ar-SA"/>
              </w:rPr>
              <w:drawing>
                <wp:inline distT="0" distB="0" distL="0" distR="0" wp14:anchorId="09CC1014" wp14:editId="74918D9A">
                  <wp:extent cx="664845" cy="487680"/>
                  <wp:effectExtent l="0" t="0" r="0" b="7620"/>
                  <wp:docPr id="1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00FC012D">
              <w:t xml:space="preserve"> GUIDE RAPIDE nº </w:t>
            </w:r>
            <w:r w:rsidR="00FC012D" w:rsidRPr="00C44B54">
              <w:t>5</w:t>
            </w:r>
            <w:r w:rsidR="00FC012D">
              <w:t>: Comment tirer le meilleur parti des approches qualitatives?</w:t>
            </w:r>
          </w:p>
        </w:tc>
      </w:tr>
    </w:tbl>
    <w:p w:rsidR="00696B10" w:rsidRDefault="00696B10" w:rsidP="00EC01C3">
      <w:pPr>
        <w:pStyle w:val="HStandard"/>
        <w:spacing w:after="0"/>
        <w:ind w:left="709" w:hanging="709"/>
        <w:rPr>
          <w:rFonts w:cs="Arial"/>
          <w:sz w:val="18"/>
          <w:szCs w:val="18"/>
        </w:rPr>
      </w:pPr>
      <w:r>
        <w:t xml:space="preserve">Les </w:t>
      </w:r>
      <w:r>
        <w:rPr>
          <w:b/>
          <w:sz w:val="18"/>
        </w:rPr>
        <w:t>approches qualitatives</w:t>
      </w:r>
      <w:r>
        <w:rPr>
          <w:sz w:val="18"/>
        </w:rPr>
        <w:t xml:space="preserve"> peuvent être appliquées avec un triple objectif:</w:t>
      </w:r>
    </w:p>
    <w:p w:rsidR="00310B39" w:rsidRPr="001C6ACF" w:rsidRDefault="00310B39" w:rsidP="00EC01C3">
      <w:pPr>
        <w:pStyle w:val="HStandard"/>
        <w:spacing w:after="0"/>
        <w:ind w:left="709" w:hanging="709"/>
        <w:rPr>
          <w:rFonts w:cs="Arial"/>
          <w:sz w:val="18"/>
          <w:szCs w:val="18"/>
        </w:rPr>
      </w:pPr>
    </w:p>
    <w:p w:rsidR="00696B10"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Comme alternative aux méthodes quantitatives</w:t>
      </w:r>
      <w:r>
        <w:rPr>
          <w:rFonts w:ascii="Arial" w:hAnsi="Arial"/>
          <w:color w:val="373737" w:themeColor="text1"/>
          <w:sz w:val="18"/>
        </w:rPr>
        <w:t xml:space="preserve"> en l’absence de données. Par exemple, l’évaluation qualitative fondée sur la théorie peut être utilisée pour indiquer de quelle manière et pour quelle raison le programme fonctionnera et devrait aboutir aux résultats escomptés. Ce type d’évaluation suit chaque étape de la logique d’intervention du programme en recensant les liens de causalité et les mécanismes de changement, pour aboutir aux résultats et aux incidences. Les différents liens de la logique d’intervention peuvent être analysés à l’aide de plusieurs méthodes. Dans les présentes lignes directrices, nous proposons des groupes de discussion (notamment la méthode MAPP) ou des entretiens avec des parties prenantes/experts. </w:t>
      </w:r>
    </w:p>
    <w:p w:rsidR="00310B39" w:rsidRPr="00FB6C06" w:rsidRDefault="00310B39" w:rsidP="00EC01C3">
      <w:pPr>
        <w:pStyle w:val="ListParagraph"/>
        <w:autoSpaceDE w:val="0"/>
        <w:autoSpaceDN w:val="0"/>
        <w:adjustRightInd w:val="0"/>
        <w:spacing w:after="0" w:line="280" w:lineRule="atLeast"/>
        <w:ind w:left="426"/>
        <w:jc w:val="both"/>
        <w:rPr>
          <w:rFonts w:ascii="Arial" w:hAnsi="Arial" w:cs="Arial"/>
          <w:color w:val="373737" w:themeColor="text1"/>
          <w:sz w:val="18"/>
          <w:szCs w:val="18"/>
        </w:rPr>
      </w:pPr>
    </w:p>
    <w:p w:rsid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En complément de l’évaluation contrefactuelle quantitative</w:t>
      </w:r>
      <w:r>
        <w:rPr>
          <w:rFonts w:ascii="Arial" w:hAnsi="Arial"/>
          <w:color w:val="373737" w:themeColor="text1"/>
          <w:sz w:val="18"/>
        </w:rPr>
        <w:t xml:space="preserve"> pour mieux déterminer pourquoi et la manière dont les incidences ont été générées</w:t>
      </w:r>
      <w:r>
        <w:t>.</w:t>
      </w:r>
      <w:r>
        <w:rPr>
          <w:rFonts w:ascii="Arial" w:hAnsi="Arial"/>
          <w:color w:val="373737" w:themeColor="text1"/>
          <w:sz w:val="18"/>
        </w:rPr>
        <w:t xml:space="preserve"> Il convient de noter que l’évaluation qualitative fondée sur la théorie ne peut ni examiner l’«incidence nette» (c’est-à-dire la mesure dans laquelle le changement observé dans la zone couverte par le programme peut être attribué au programme) ni dissocier les effets du programme de la contribution d’autres facteurs.</w:t>
      </w:r>
    </w:p>
    <w:p w:rsidR="00310B39" w:rsidRPr="00310B39" w:rsidRDefault="00310B39" w:rsidP="00EC01C3">
      <w:pPr>
        <w:pStyle w:val="ListParagraph"/>
        <w:jc w:val="both"/>
        <w:rPr>
          <w:rFonts w:ascii="Arial" w:hAnsi="Arial" w:cs="Arial"/>
          <w:color w:val="373737" w:themeColor="text1"/>
          <w:sz w:val="18"/>
          <w:szCs w:val="18"/>
        </w:rPr>
      </w:pPr>
    </w:p>
    <w:p w:rsidR="00696B10" w:rsidRP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Dans le cadre de la triangulation</w:t>
      </w:r>
      <w:r>
        <w:rPr>
          <w:rFonts w:ascii="Arial" w:hAnsi="Arial"/>
          <w:color w:val="373737" w:themeColor="text1"/>
          <w:sz w:val="18"/>
        </w:rPr>
        <w:t xml:space="preserve"> pour valider les résultats des méthodes quantitatives.</w:t>
      </w:r>
    </w:p>
    <w:p w:rsidR="00310B39" w:rsidRPr="001C6ACF" w:rsidRDefault="00310B39" w:rsidP="00310B39">
      <w:pPr>
        <w:pStyle w:val="ListParagraph"/>
        <w:autoSpaceDE w:val="0"/>
        <w:autoSpaceDN w:val="0"/>
        <w:adjustRightInd w:val="0"/>
        <w:spacing w:after="0" w:line="280" w:lineRule="atLeast"/>
        <w:ind w:left="426"/>
        <w:rPr>
          <w:rFonts w:ascii="Arial" w:hAnsi="Arial" w:cs="Arial"/>
          <w:color w:val="373737" w:themeColor="text1"/>
          <w:sz w:val="18"/>
          <w:szCs w:val="18"/>
        </w:rPr>
      </w:pPr>
    </w:p>
    <w:p w:rsidR="0050142E" w:rsidRPr="001C6ACF" w:rsidRDefault="0050142E" w:rsidP="006A6A61">
      <w:pPr>
        <w:pStyle w:val="HStandard"/>
        <w:jc w:val="center"/>
        <w:rPr>
          <w:i/>
          <w:color w:val="F07E31" w:themeColor="accent1"/>
          <w:sz w:val="18"/>
        </w:rPr>
      </w:pPr>
      <w:r>
        <w:rPr>
          <w:i/>
          <w:color w:val="F07E31" w:themeColor="accent1"/>
          <w:sz w:val="18"/>
        </w:rPr>
        <w:t>Pour en savoir plus sur l’évaluation fondée sur la théorie, consulter «</w:t>
      </w:r>
      <w:hyperlink r:id="rId51">
        <w:r>
          <w:rPr>
            <w:rStyle w:val="Hyperlink"/>
            <w:i/>
            <w:sz w:val="18"/>
          </w:rPr>
          <w:t>Investment Support under Rural Development Policy»</w:t>
        </w:r>
      </w:hyperlink>
      <w:r>
        <w:rPr>
          <w:i/>
          <w:color w:val="F07E31" w:themeColor="accent1"/>
          <w:sz w:val="18"/>
        </w:rPr>
        <w:t>, chapitre </w:t>
      </w:r>
      <w:r w:rsidRPr="00C44B54">
        <w:rPr>
          <w:i/>
          <w:color w:val="F07E31" w:themeColor="accent1"/>
          <w:sz w:val="18"/>
        </w:rPr>
        <w:t>3</w:t>
      </w:r>
      <w:r>
        <w:rPr>
          <w:i/>
          <w:color w:val="F07E31" w:themeColor="accent1"/>
          <w:sz w:val="18"/>
        </w:rPr>
        <w:t>.</w:t>
      </w:r>
      <w:r w:rsidRPr="00C44B54">
        <w:rPr>
          <w:i/>
          <w:color w:val="F07E31" w:themeColor="accent1"/>
          <w:sz w:val="18"/>
        </w:rPr>
        <w:t>3</w:t>
      </w:r>
      <w:r>
        <w:rPr>
          <w:i/>
          <w:color w:val="F07E31" w:themeColor="accent1"/>
          <w:sz w:val="18"/>
        </w:rPr>
        <w:t>.</w:t>
      </w:r>
      <w:r w:rsidRPr="00C44B54">
        <w:rPr>
          <w:i/>
          <w:color w:val="F07E31" w:themeColor="accent1"/>
          <w:sz w:val="18"/>
        </w:rPr>
        <w:t>4</w:t>
      </w:r>
      <w:r>
        <w:rPr>
          <w:i/>
          <w:color w:val="F07E31" w:themeColor="accent1"/>
          <w:sz w:val="18"/>
        </w:rPr>
        <w:t xml:space="preserve"> (CE, </w:t>
      </w:r>
      <w:r w:rsidRPr="00C44B54">
        <w:rPr>
          <w:i/>
          <w:color w:val="F07E31" w:themeColor="accent1"/>
          <w:sz w:val="18"/>
        </w:rPr>
        <w:t>2014</w:t>
      </w:r>
      <w:r>
        <w:rPr>
          <w:i/>
          <w:color w:val="F07E31" w:themeColor="accent1"/>
          <w:sz w:val="18"/>
        </w:rPr>
        <w:t xml:space="preserve">) et, concernant la manière dont les méthodes qualitatives peuvent être utilisées pour collecter des données quantitatives, </w:t>
      </w:r>
      <w:hyperlink r:id="rId52" w:anchor="v=onepage&amp;amp;q=distinguishing%20between%20types%20of%20data%20and%20methods%20of%20collecting%20them%2C&amp;amp;f=false">
        <w:r>
          <w:rPr>
            <w:rStyle w:val="Hyperlink"/>
            <w:i/>
            <w:sz w:val="18"/>
          </w:rPr>
          <w:t>«Distinguishing Between Types of Data and Methods of Collecting Them</w:t>
        </w:r>
      </w:hyperlink>
      <w:r>
        <w:rPr>
          <w:i/>
          <w:color w:val="F07E31" w:themeColor="accent1"/>
          <w:sz w:val="18"/>
        </w:rPr>
        <w:t xml:space="preserve">» (Hentschel, </w:t>
      </w:r>
      <w:r w:rsidRPr="00C44B54">
        <w:rPr>
          <w:i/>
          <w:color w:val="F07E31" w:themeColor="accent1"/>
          <w:sz w:val="18"/>
        </w:rPr>
        <w:t>1998</w:t>
      </w:r>
      <w:r>
        <w:rPr>
          <w:i/>
          <w:color w:val="F07E31" w:themeColor="accent1"/>
          <w:sz w:val="18"/>
        </w:rPr>
        <w:t xml:space="preserve">). </w:t>
      </w:r>
    </w:p>
    <w:p w:rsidR="006D4194" w:rsidRPr="001C6ACF" w:rsidRDefault="006D4194" w:rsidP="006D4194">
      <w:pPr>
        <w:pStyle w:val="HStandard"/>
        <w:rPr>
          <w:sz w:val="22"/>
        </w:rPr>
      </w:pPr>
    </w:p>
    <w:p w:rsidR="00A24D39" w:rsidRPr="001C6ACF" w:rsidRDefault="0095652F" w:rsidP="00B63445">
      <w:pPr>
        <w:pStyle w:val="HHeading3"/>
      </w:pPr>
      <w:r>
        <w:t>Aperçu des approches recommandées pour évaluer les indicateurs d’impact de la PAC</w:t>
      </w:r>
    </w:p>
    <w:p w:rsidR="00186FCF" w:rsidRPr="00336531" w:rsidRDefault="00186FCF" w:rsidP="00186FCF">
      <w:pPr>
        <w:pStyle w:val="HStandard"/>
        <w:rPr>
          <w:rFonts w:cs="Arial"/>
        </w:rPr>
      </w:pPr>
      <w:r>
        <w:t>Au cours de la période de programmation </w:t>
      </w:r>
      <w:r w:rsidRPr="00C44B54">
        <w:t>2014</w:t>
      </w:r>
      <w:r>
        <w:t>-</w:t>
      </w:r>
      <w:r w:rsidRPr="00C44B54">
        <w:t>2020</w:t>
      </w:r>
      <w:r>
        <w:t>, l’évaluation des incidences du PDR sera réalisée pour la première fois en </w:t>
      </w:r>
      <w:r w:rsidRPr="00C44B54">
        <w:t>2019</w:t>
      </w:r>
      <w:r>
        <w:t>, soit à un moment où les lacunes en matière de données peuvent encore poser problème pour plusieurs PDR, en raison de la faible utilisation ou de l’utilisation tardive de certaines mesures ou du manque de données statistiques à évaluer. Étant donné que les lacunes en matière de données compliquent grandement l’observation des incidences du PDR, les présentes lignes directrices proposent au moins deux approches différentes pour calculer chacun des indicateurs d’impact communs du deuxième pilier de la PAC.</w:t>
      </w:r>
    </w:p>
    <w:p w:rsidR="00186FCF" w:rsidRPr="00FB6C06" w:rsidRDefault="00186FCF" w:rsidP="00C42303">
      <w:pPr>
        <w:pStyle w:val="Hlistbullet"/>
      </w:pPr>
      <w:r>
        <w:t>L’</w:t>
      </w:r>
      <w:r>
        <w:rPr>
          <w:b/>
        </w:rPr>
        <w:t>approche A</w:t>
      </w:r>
      <w:r>
        <w:t xml:space="preserve"> constitue un bon exemple d’</w:t>
      </w:r>
      <w:r>
        <w:rPr>
          <w:b/>
        </w:rPr>
        <w:t xml:space="preserve">approche d’évaluation dans une situation optimale en matière de données. </w:t>
      </w:r>
      <w:r>
        <w:t>Elle peut être utilisée en </w:t>
      </w:r>
      <w:r w:rsidRPr="00C44B54">
        <w:t>2019</w:t>
      </w:r>
      <w:r>
        <w:t xml:space="preserve"> et/ou faire l’objet d’une évaluation ex post. L’approche A est plus avancée que l’approche B et est également plus rigoureuse. </w:t>
      </w:r>
    </w:p>
    <w:p w:rsidR="00186FCF" w:rsidRPr="001C6ACF" w:rsidRDefault="00186FCF" w:rsidP="00C42303">
      <w:pPr>
        <w:pStyle w:val="Hlistbullet"/>
      </w:pPr>
      <w:r>
        <w:t>L’</w:t>
      </w:r>
      <w:r>
        <w:rPr>
          <w:b/>
        </w:rPr>
        <w:t>approche B</w:t>
      </w:r>
      <w:r>
        <w:t xml:space="preserve"> constitue un bon exemple d’</w:t>
      </w:r>
      <w:r>
        <w:rPr>
          <w:b/>
        </w:rPr>
        <w:t>approche d’évaluation différente en cas de lacunes en matière de données</w:t>
      </w:r>
      <w:r>
        <w:t xml:space="preserve"> (par exemple, en raison de la lenteur dans l’adoption du programme, qui ne permet pas d’observer les incidences du PDR) ou si d’autres facteurs (ressources, temps, compétences) entravent l’application d’une approche plus poussée. Dans plusieurs cas, l’approche B comporte une composante qualitative. </w:t>
      </w:r>
    </w:p>
    <w:p w:rsidR="00186FCF" w:rsidRPr="00336531" w:rsidRDefault="00CB3881" w:rsidP="00186FCF">
      <w:pPr>
        <w:pStyle w:val="HStandard"/>
        <w:rPr>
          <w:rFonts w:cs="Arial"/>
        </w:rPr>
      </w:pPr>
      <w:r>
        <w:rPr>
          <w:b/>
        </w:rPr>
        <w:lastRenderedPageBreak/>
        <w:t>Les approches A et B sont conformes aux normes d’évaluation</w:t>
      </w:r>
      <w:r>
        <w:t>. L’approche A est définie comme l’approche qui fournit les résultats d’évaluation les plus fiables dans une situation idéale en matière de données. Compte tenu de la situation en matière de données en </w:t>
      </w:r>
      <w:r w:rsidRPr="00C44B54">
        <w:t>2019</w:t>
      </w:r>
      <w:r>
        <w:t>, il est reconnu que pour de nombreux PDR, l’approche A n’est pourtant pas la plus pratique (voir: tableaux sur le degré d’adéquation des approches d’évaluation proposées aux chapitres </w:t>
      </w:r>
      <w:r w:rsidRPr="00C44B54">
        <w:t>4</w:t>
      </w:r>
      <w:r>
        <w:t>.</w:t>
      </w:r>
      <w:r w:rsidRPr="00C44B54">
        <w:t>1</w:t>
      </w:r>
      <w:r>
        <w:t xml:space="preserve"> à </w:t>
      </w:r>
      <w:r w:rsidRPr="00C44B54">
        <w:t>4</w:t>
      </w:r>
      <w:r>
        <w:t>.</w:t>
      </w:r>
      <w:r w:rsidRPr="00C44B54">
        <w:t>7</w:t>
      </w:r>
      <w:r>
        <w:t xml:space="preserve"> de l’annexe technique). D’autres exemples de méthodes d’évaluation sont présentés dans les schémas respectifs du modèle logique pour chaque indicateur d’impact. </w:t>
      </w:r>
    </w:p>
    <w:p w:rsidR="0095652F" w:rsidRPr="001C6ACF" w:rsidRDefault="008F39E9" w:rsidP="00E35440">
      <w:pPr>
        <w:pStyle w:val="HHeadingtables"/>
      </w:pPr>
      <w:r>
        <w:br w:type="column"/>
      </w:r>
      <w:r>
        <w:lastRenderedPageBreak/>
        <w:t xml:space="preserve">Exemples d’approches recommandées pour évaluer les indicateurs d’impact de la PAC </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417"/>
        <w:gridCol w:w="1701"/>
        <w:gridCol w:w="1701"/>
        <w:gridCol w:w="1701"/>
        <w:gridCol w:w="1701"/>
      </w:tblGrid>
      <w:tr w:rsidR="00515FD4" w:rsidRPr="001C6ACF" w:rsidTr="005F69E8">
        <w:trPr>
          <w:trHeight w:val="289"/>
          <w:tblHeader/>
        </w:trPr>
        <w:tc>
          <w:tcPr>
            <w:tcW w:w="9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rPr>
            </w:pPr>
            <w:r>
              <w:rPr>
                <w:b/>
                <w:color w:val="FFFFFF" w:themeColor="background1"/>
                <w:sz w:val="16"/>
              </w:rPr>
              <w:t>Code</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sz w:val="16"/>
              </w:rPr>
            </w:pPr>
            <w:r>
              <w:rPr>
                <w:b/>
                <w:color w:val="FFFFFF" w:themeColor="background1"/>
                <w:sz w:val="16"/>
              </w:rPr>
              <w:t>Indicateur</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D4934">
            <w:pPr>
              <w:pStyle w:val="HStandard"/>
              <w:spacing w:line="240" w:lineRule="atLeast"/>
              <w:jc w:val="center"/>
              <w:rPr>
                <w:color w:val="FFFFFF" w:themeColor="background1"/>
                <w:sz w:val="16"/>
              </w:rPr>
            </w:pPr>
            <w:r>
              <w:rPr>
                <w:b/>
                <w:color w:val="FFFFFF" w:themeColor="background1"/>
              </w:rPr>
              <w:t>Approche A</w:t>
            </w:r>
            <w:r>
              <w:rPr>
                <w:color w:val="FFFFFF" w:themeColor="background1"/>
              </w:rPr>
              <w:t xml:space="preserve"> </w:t>
            </w:r>
            <w:r>
              <w:rPr>
                <w:color w:val="FFFFFF" w:themeColor="background1"/>
                <w:sz w:val="16"/>
              </w:rPr>
              <w:br/>
              <w:t>Exemple d’approche dans une situation optimale en matière de données</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9010B">
            <w:pPr>
              <w:pStyle w:val="HStandard"/>
              <w:spacing w:line="240" w:lineRule="atLeast"/>
              <w:jc w:val="center"/>
              <w:rPr>
                <w:color w:val="FFFFFF" w:themeColor="background1"/>
                <w:sz w:val="16"/>
              </w:rPr>
            </w:pPr>
            <w:r>
              <w:rPr>
                <w:b/>
                <w:color w:val="FFFFFF" w:themeColor="background1"/>
              </w:rPr>
              <w:t>Approche B</w:t>
            </w:r>
            <w:r>
              <w:rPr>
                <w:color w:val="FFFFFF" w:themeColor="background1"/>
              </w:rPr>
              <w:t xml:space="preserve"> </w:t>
            </w:r>
            <w:r>
              <w:rPr>
                <w:color w:val="FFFFFF" w:themeColor="background1"/>
              </w:rPr>
              <w:br/>
            </w:r>
            <w:r>
              <w:rPr>
                <w:color w:val="FFFFFF" w:themeColor="background1"/>
                <w:sz w:val="16"/>
              </w:rPr>
              <w:t>Exemple d’approche différente dans une situation présentant des lacunes en matière de données</w:t>
            </w:r>
          </w:p>
        </w:tc>
      </w:tr>
      <w:tr w:rsidR="00515FD4" w:rsidRPr="001C6ACF" w:rsidTr="005F69E8">
        <w:trPr>
          <w:trHeight w:val="289"/>
          <w:tblHeader/>
        </w:trPr>
        <w:tc>
          <w:tcPr>
            <w:tcW w:w="9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sz w:val="1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Niveau micro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Niveau macro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Niveau micro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Niveau macro</w:t>
            </w:r>
          </w:p>
        </w:tc>
      </w:tr>
      <w:tr w:rsidR="00515FD4" w:rsidRPr="001C6ACF" w:rsidTr="00670F92">
        <w:trPr>
          <w:trHeight w:val="255"/>
        </w:trPr>
        <w:tc>
          <w:tcPr>
            <w:tcW w:w="9209" w:type="dxa"/>
            <w:gridSpan w:val="6"/>
            <w:tcBorders>
              <w:top w:val="single" w:sz="4" w:space="0" w:color="FFFFFF" w:themeColor="background1"/>
            </w:tcBorders>
            <w:shd w:val="clear" w:color="auto" w:fill="BE4A35" w:themeFill="accent2"/>
            <w:hideMark/>
          </w:tcPr>
          <w:p w:rsidR="00515FD4" w:rsidRPr="001C6ACF" w:rsidRDefault="00515FD4" w:rsidP="008D4934">
            <w:pPr>
              <w:pStyle w:val="HStandard"/>
              <w:spacing w:line="240" w:lineRule="atLeast"/>
              <w:rPr>
                <w:b/>
                <w:bCs/>
                <w:color w:val="FFFFFF" w:themeColor="background1"/>
                <w:sz w:val="16"/>
              </w:rPr>
            </w:pPr>
            <w:r>
              <w:rPr>
                <w:b/>
                <w:color w:val="FFFFFF" w:themeColor="background1"/>
                <w:sz w:val="16"/>
              </w:rPr>
              <w:t>Incidences liées au secteur</w:t>
            </w:r>
          </w:p>
        </w:tc>
      </w:tr>
      <w:tr w:rsidR="00515FD4" w:rsidRPr="001C6ACF" w:rsidTr="005F69E8">
        <w:trPr>
          <w:trHeight w:val="1193"/>
        </w:trPr>
        <w:tc>
          <w:tcPr>
            <w:tcW w:w="988" w:type="dxa"/>
            <w:tcBorders>
              <w:bottom w:val="single" w:sz="4" w:space="0" w:color="808080" w:themeColor="background1" w:themeShade="80"/>
              <w:right w:val="nil"/>
            </w:tcBorders>
            <w:hideMark/>
          </w:tcPr>
          <w:p w:rsidR="00515FD4" w:rsidRPr="00571D58" w:rsidRDefault="00515FD4" w:rsidP="00887886">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13024" behindDoc="1" locked="0" layoutInCell="1" allowOverlap="1" wp14:anchorId="73016988" wp14:editId="183A7B39">
                  <wp:simplePos x="0" y="0"/>
                  <wp:positionH relativeFrom="column">
                    <wp:posOffset>-233</wp:posOffset>
                  </wp:positionH>
                  <wp:positionV relativeFrom="paragraph">
                    <wp:posOffset>185115</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0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w:t>
            </w:r>
            <w:r w:rsidRPr="00C44B54">
              <w:rPr>
                <w:b/>
                <w:color w:val="BE4A35" w:themeColor="accent2"/>
              </w:rPr>
              <w:t>01</w:t>
            </w:r>
          </w:p>
        </w:tc>
        <w:tc>
          <w:tcPr>
            <w:tcW w:w="1417" w:type="dxa"/>
            <w:tcBorders>
              <w:left w:val="nil"/>
              <w:bottom w:val="single" w:sz="4" w:space="0" w:color="808080" w:themeColor="background1" w:themeShade="80"/>
            </w:tcBorders>
            <w:vAlign w:val="center"/>
            <w:hideMark/>
          </w:tcPr>
          <w:p w:rsidR="00515FD4" w:rsidRPr="00FB6C06" w:rsidRDefault="00515FD4" w:rsidP="007B323D">
            <w:pPr>
              <w:pStyle w:val="HStandard"/>
              <w:spacing w:after="0"/>
              <w:jc w:val="left"/>
              <w:rPr>
                <w:b/>
                <w:color w:val="BE4A35" w:themeColor="accent2"/>
                <w:sz w:val="16"/>
                <w:szCs w:val="18"/>
              </w:rPr>
            </w:pPr>
            <w:r>
              <w:rPr>
                <w:b/>
                <w:color w:val="BE4A35" w:themeColor="accent2"/>
                <w:sz w:val="16"/>
              </w:rPr>
              <w:t>Revenu d’entreprise agricole</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Association entre les méthodes d’appariement des scores de propension avec la méthode des doubles différences (PSM-DiD)</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 xml:space="preserve">Approches ascendantes extrapolant les résultats obtenus au niveau micro </w:t>
            </w:r>
            <w:r>
              <w:rPr>
                <w:sz w:val="16"/>
                <w:szCs w:val="18"/>
              </w:rPr>
              <w:br/>
            </w:r>
            <w:r>
              <w:rPr>
                <w:sz w:val="16"/>
                <w:szCs w:val="18"/>
              </w:rPr>
              <w:br/>
            </w:r>
            <w:r>
              <w:rPr>
                <w:sz w:val="16"/>
              </w:rPr>
              <w:t>Application d’un modèle sectoriel</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Méthode de régression sur la discontinuité (RDD)</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Approches ascendantes extrapolant les résultats obtenus au niveau micro</w:t>
            </w:r>
          </w:p>
        </w:tc>
      </w:tr>
      <w:tr w:rsidR="00515FD4" w:rsidRPr="001C6ACF" w:rsidTr="005F69E8">
        <w:trPr>
          <w:trHeight w:val="1167"/>
        </w:trPr>
        <w:tc>
          <w:tcPr>
            <w:tcW w:w="988" w:type="dxa"/>
            <w:tcBorders>
              <w:right w:val="nil"/>
            </w:tcBorders>
            <w:hideMark/>
          </w:tcPr>
          <w:p w:rsidR="00515FD4" w:rsidRPr="00336531" w:rsidRDefault="008D4934" w:rsidP="008D4934">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27360" behindDoc="0" locked="0" layoutInCell="1" allowOverlap="1" wp14:anchorId="2869885D" wp14:editId="73A12CAD">
                  <wp:simplePos x="0" y="0"/>
                  <wp:positionH relativeFrom="column">
                    <wp:posOffset>31750</wp:posOffset>
                  </wp:positionH>
                  <wp:positionV relativeFrom="paragraph">
                    <wp:posOffset>215394</wp:posOffset>
                  </wp:positionV>
                  <wp:extent cx="489600" cy="489600"/>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0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BE4A35" w:themeColor="accent2"/>
              </w:rPr>
              <w:t>I.</w:t>
            </w:r>
            <w:r w:rsidRPr="00C44B54">
              <w:rPr>
                <w:b/>
                <w:color w:val="BE4A35" w:themeColor="accent2"/>
              </w:rPr>
              <w:t>02</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Revenu des facteurs agricoles</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5F69E8">
        <w:trPr>
          <w:trHeight w:val="1163"/>
        </w:trPr>
        <w:tc>
          <w:tcPr>
            <w:tcW w:w="988" w:type="dxa"/>
            <w:tcBorders>
              <w:right w:val="nil"/>
            </w:tcBorders>
            <w:hideMark/>
          </w:tcPr>
          <w:p w:rsidR="00515FD4" w:rsidRPr="00571D58" w:rsidRDefault="00515FD4" w:rsidP="004A2D39">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12000" behindDoc="1" locked="0" layoutInCell="1" allowOverlap="1" wp14:anchorId="79314D26" wp14:editId="73699B9B">
                  <wp:simplePos x="0" y="0"/>
                  <wp:positionH relativeFrom="column">
                    <wp:posOffset>63428</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03.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w:t>
            </w:r>
            <w:r w:rsidRPr="00C44B54">
              <w:rPr>
                <w:b/>
                <w:color w:val="BE4A35" w:themeColor="accent2"/>
              </w:rPr>
              <w:t>03</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Productivité totale des facteurs dans l’agriculture</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670F92">
        <w:trPr>
          <w:trHeight w:val="255"/>
        </w:trPr>
        <w:tc>
          <w:tcPr>
            <w:tcW w:w="9209" w:type="dxa"/>
            <w:gridSpan w:val="6"/>
            <w:shd w:val="clear" w:color="auto" w:fill="57825E" w:themeFill="accent4"/>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Incidences environnementales</w:t>
            </w:r>
          </w:p>
        </w:tc>
      </w:tr>
      <w:tr w:rsidR="00515FD4" w:rsidRPr="001C6ACF" w:rsidTr="005F69E8">
        <w:trPr>
          <w:trHeight w:val="1068"/>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4048" behindDoc="1" locked="0" layoutInCell="1" allowOverlap="1" wp14:anchorId="0F887F81" wp14:editId="02903D40">
                  <wp:simplePos x="0" y="0"/>
                  <wp:positionH relativeFrom="column">
                    <wp:posOffset>63572</wp:posOffset>
                  </wp:positionH>
                  <wp:positionV relativeFrom="paragraph">
                    <wp:posOffset>202983</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w:t>
            </w:r>
            <w:r w:rsidRPr="00C44B54">
              <w:rPr>
                <w:b/>
                <w:color w:val="57825E" w:themeColor="accent4"/>
              </w:rPr>
              <w:t>07</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 xml:space="preserve">Émissions d’origine agricole </w:t>
            </w:r>
          </w:p>
        </w:tc>
        <w:tc>
          <w:tcPr>
            <w:tcW w:w="1701" w:type="dxa"/>
            <w:vAlign w:val="center"/>
            <w:hideMark/>
          </w:tcPr>
          <w:p w:rsidR="00515FD4" w:rsidRPr="007645B4" w:rsidRDefault="00BB68D4" w:rsidP="007008C0">
            <w:pPr>
              <w:pStyle w:val="HStandard"/>
              <w:spacing w:line="240" w:lineRule="auto"/>
              <w:jc w:val="center"/>
              <w:rPr>
                <w:rFonts w:cs="Arial"/>
                <w:sz w:val="16"/>
                <w:szCs w:val="18"/>
              </w:rPr>
            </w:pPr>
            <w:r>
              <w:rPr>
                <w:sz w:val="16"/>
              </w:rPr>
              <w:t>Techniques de régression et d’appariement</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Appariement des scores de propension généralisés (GPSM) à l’aide de NUTS </w:t>
            </w:r>
            <w:r w:rsidRPr="00C44B54">
              <w:rPr>
                <w:sz w:val="16"/>
              </w:rPr>
              <w:t>3</w:t>
            </w:r>
            <w:r>
              <w:rPr>
                <w:sz w:val="16"/>
              </w:rPr>
              <w:t xml:space="preserve"> ou d’autres données spatiales</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Nulles</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Valeurs de référence naïves </w:t>
            </w:r>
            <w:r>
              <w:rPr>
                <w:rFonts w:cs="Arial"/>
                <w:sz w:val="16"/>
                <w:szCs w:val="18"/>
              </w:rPr>
              <w:br/>
            </w:r>
            <w:r>
              <w:rPr>
                <w:sz w:val="16"/>
              </w:rPr>
              <w:t>Comparaisons (y compris méthodes qualitatives)</w:t>
            </w:r>
          </w:p>
        </w:tc>
      </w:tr>
      <w:tr w:rsidR="00515FD4" w:rsidRPr="001C6ACF" w:rsidTr="005F69E8">
        <w:trPr>
          <w:trHeight w:val="630"/>
        </w:trPr>
        <w:tc>
          <w:tcPr>
            <w:tcW w:w="988" w:type="dxa"/>
            <w:tcBorders>
              <w:right w:val="nil"/>
            </w:tcBorders>
            <w:hideMark/>
          </w:tcPr>
          <w:p w:rsidR="00515FD4" w:rsidRPr="00571D58" w:rsidRDefault="008D493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0976" behindDoc="1" locked="0" layoutInCell="1" allowOverlap="1" wp14:anchorId="2D3674E4" wp14:editId="1D2F0B13">
                  <wp:simplePos x="0" y="0"/>
                  <wp:positionH relativeFrom="column">
                    <wp:posOffset>34290</wp:posOffset>
                  </wp:positionH>
                  <wp:positionV relativeFrom="paragraph">
                    <wp:posOffset>215136</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0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w:t>
            </w:r>
            <w:r w:rsidRPr="00C44B54">
              <w:rPr>
                <w:b/>
                <w:color w:val="57825E" w:themeColor="accent4"/>
              </w:rPr>
              <w:t>08</w:t>
            </w:r>
          </w:p>
        </w:tc>
        <w:tc>
          <w:tcPr>
            <w:tcW w:w="1417" w:type="dxa"/>
            <w:tcBorders>
              <w:left w:val="nil"/>
            </w:tcBorders>
            <w:vAlign w:val="center"/>
            <w:hideMark/>
          </w:tcPr>
          <w:p w:rsidR="00515FD4" w:rsidRPr="00FB6C06" w:rsidRDefault="00515FD4" w:rsidP="00670F92">
            <w:pPr>
              <w:pStyle w:val="HStandard"/>
              <w:jc w:val="left"/>
              <w:rPr>
                <w:rFonts w:cs="Arial"/>
                <w:b/>
                <w:color w:val="57825E" w:themeColor="accent4"/>
                <w:sz w:val="16"/>
                <w:szCs w:val="18"/>
              </w:rPr>
            </w:pPr>
            <w:r>
              <w:rPr>
                <w:b/>
                <w:color w:val="57825E" w:themeColor="accent4"/>
                <w:sz w:val="16"/>
              </w:rPr>
              <w:t>Indice des populations d’oiseaux en milieu agricole</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Appariement des scores de propension (PSM) et doubles différences (DiD)</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Appariement des scores de propension (PSM) et doubles différences (DiD)</w:t>
            </w:r>
          </w:p>
          <w:p w:rsidR="00515FD4" w:rsidRPr="001C6ACF" w:rsidRDefault="00515FD4" w:rsidP="007008C0">
            <w:pPr>
              <w:pStyle w:val="HStandard"/>
              <w:spacing w:line="240" w:lineRule="auto"/>
              <w:jc w:val="center"/>
              <w:rPr>
                <w:rFonts w:cs="Arial"/>
                <w:sz w:val="16"/>
                <w:szCs w:val="18"/>
              </w:rPr>
            </w:pPr>
            <w:r>
              <w:rPr>
                <w:sz w:val="16"/>
              </w:rPr>
              <w:t>Modèles économétriques spatiaux aux zones biogéographiques</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Analyse statistique de comparaisons ad hoc par paires ou de groupes de comparaison multiples au moyen de la méthode DiD</w:t>
            </w:r>
            <w:r>
              <w:rPr>
                <w:color w:val="373737"/>
                <w:sz w:val="16"/>
              </w:rPr>
              <w:t xml:space="preserve"> associée à des évaluations qualitatives</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Approches ascendantes extrapolant les résultats obtenus au niveau micro, </w:t>
            </w:r>
            <w:r>
              <w:rPr>
                <w:color w:val="373737"/>
                <w:sz w:val="16"/>
              </w:rPr>
              <w:t>accompagnées d’évaluations qualitatives</w:t>
            </w:r>
          </w:p>
        </w:tc>
      </w:tr>
      <w:tr w:rsidR="00515FD4" w:rsidRPr="001C6ACF" w:rsidTr="005F69E8">
        <w:trPr>
          <w:trHeight w:val="1083"/>
        </w:trPr>
        <w:tc>
          <w:tcPr>
            <w:tcW w:w="988" w:type="dxa"/>
            <w:tcBorders>
              <w:right w:val="nil"/>
            </w:tcBorders>
            <w:hideMark/>
          </w:tcPr>
          <w:p w:rsidR="00515FD4" w:rsidRPr="00571D58" w:rsidRDefault="00515FD4" w:rsidP="004A2D39">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09952" behindDoc="1" locked="0" layoutInCell="1" allowOverlap="1" wp14:anchorId="22A0BB44" wp14:editId="0B3CEE62">
                  <wp:simplePos x="0" y="0"/>
                  <wp:positionH relativeFrom="column">
                    <wp:posOffset>63500</wp:posOffset>
                  </wp:positionH>
                  <wp:positionV relativeFrom="paragraph">
                    <wp:posOffset>183627</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09.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w:t>
            </w:r>
            <w:r w:rsidRPr="00C44B54">
              <w:rPr>
                <w:b/>
                <w:color w:val="57825E" w:themeColor="accent4"/>
              </w:rPr>
              <w:t>09</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Agriculture à haute valeur naturelle</w:t>
            </w: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r>
      <w:tr w:rsidR="00273775" w:rsidRPr="001C6ACF" w:rsidTr="005F69E8">
        <w:trPr>
          <w:trHeight w:val="1082"/>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22240" behindDoc="1" locked="0" layoutInCell="1" allowOverlap="1" wp14:anchorId="16CD7F2D" wp14:editId="64949DF6">
                  <wp:simplePos x="0" y="0"/>
                  <wp:positionH relativeFrom="column">
                    <wp:posOffset>63572</wp:posOffset>
                  </wp:positionH>
                  <wp:positionV relativeFrom="paragraph">
                    <wp:posOffset>208481</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10.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w:t>
            </w:r>
            <w:r w:rsidRPr="00C44B54">
              <w:rPr>
                <w:b/>
                <w:color w:val="57825E" w:themeColor="accent4"/>
              </w:rPr>
              <w:t>10</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Captage d’eau dans l’agriculture </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Techniques de régression et d’appariement pour I.</w:t>
            </w:r>
            <w:r w:rsidRPr="00C44B54">
              <w:rPr>
                <w:sz w:val="16"/>
              </w:rPr>
              <w:t>10</w:t>
            </w:r>
            <w:r>
              <w:rPr>
                <w:sz w:val="16"/>
              </w:rPr>
              <w:t>, I.</w:t>
            </w:r>
            <w:r w:rsidRPr="00C44B54">
              <w:rPr>
                <w:sz w:val="16"/>
              </w:rPr>
              <w:t>11</w:t>
            </w:r>
            <w:r>
              <w:rPr>
                <w:sz w:val="16"/>
              </w:rPr>
              <w:t>-</w:t>
            </w:r>
            <w:r w:rsidRPr="00C44B54">
              <w:rPr>
                <w:sz w:val="16"/>
              </w:rPr>
              <w:t>1</w:t>
            </w:r>
            <w:r>
              <w:rPr>
                <w:sz w:val="16"/>
              </w:rPr>
              <w:t xml:space="preserve"> et, selon les données disponibles, pour I.</w:t>
            </w:r>
            <w:r w:rsidRPr="00C44B54">
              <w:rPr>
                <w:sz w:val="16"/>
              </w:rPr>
              <w:t>11</w:t>
            </w:r>
            <w:r>
              <w:rPr>
                <w:sz w:val="16"/>
              </w:rPr>
              <w:t>-</w:t>
            </w:r>
            <w:r w:rsidRPr="00C44B54">
              <w:rPr>
                <w:sz w:val="16"/>
              </w:rPr>
              <w:t>2</w:t>
            </w:r>
            <w:r>
              <w:rPr>
                <w:rFonts w:cs="Arial"/>
                <w:sz w:val="16"/>
                <w:szCs w:val="18"/>
              </w:rPr>
              <w:br/>
            </w:r>
            <w:r>
              <w:rPr>
                <w:sz w:val="16"/>
              </w:rPr>
              <w:t>Simulation d’une «étude de cas» relative au réseau de bassins hydrographiques ou de sa sous-unité pour I.</w:t>
            </w:r>
            <w:r w:rsidRPr="00C44B54">
              <w:rPr>
                <w:sz w:val="16"/>
              </w:rPr>
              <w:t>11</w:t>
            </w:r>
            <w:r>
              <w:rPr>
                <w:sz w:val="16"/>
              </w:rPr>
              <w:t>-</w:t>
            </w:r>
            <w:r w:rsidRPr="00C44B54">
              <w:rPr>
                <w:sz w:val="16"/>
              </w:rPr>
              <w:t>2</w:t>
            </w:r>
            <w:r>
              <w:rPr>
                <w:sz w:val="16"/>
              </w:rPr>
              <w:t xml:space="preserve"> uniquement</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 xml:space="preserve">Appariement des scores de propension généralisés (GPSM) </w:t>
            </w:r>
            <w:r>
              <w:rPr>
                <w:rFonts w:cs="Arial"/>
                <w:sz w:val="16"/>
                <w:szCs w:val="18"/>
              </w:rPr>
              <w:br/>
            </w:r>
            <w:r>
              <w:rPr>
                <w:rFonts w:cs="Arial"/>
                <w:sz w:val="16"/>
                <w:szCs w:val="18"/>
              </w:rPr>
              <w:br/>
            </w:r>
            <w:r>
              <w:rPr>
                <w:sz w:val="16"/>
              </w:rPr>
              <w:t>Méthodes économétriques spatiales</w:t>
            </w:r>
          </w:p>
        </w:tc>
        <w:tc>
          <w:tcPr>
            <w:tcW w:w="1701" w:type="dxa"/>
            <w:vMerge w:val="restart"/>
            <w:vAlign w:val="center"/>
            <w:hideMark/>
          </w:tcPr>
          <w:p w:rsidR="00273775" w:rsidRPr="001C6ACF" w:rsidRDefault="00B9614C" w:rsidP="007008C0">
            <w:pPr>
              <w:pStyle w:val="HStandard"/>
              <w:spacing w:line="240" w:lineRule="auto"/>
              <w:jc w:val="center"/>
              <w:rPr>
                <w:rFonts w:cs="Arial"/>
                <w:sz w:val="16"/>
                <w:szCs w:val="18"/>
              </w:rPr>
            </w:pPr>
            <w:r>
              <w:rPr>
                <w:sz w:val="16"/>
              </w:rPr>
              <w:t>Méthodes qualitatives</w:t>
            </w:r>
          </w:p>
        </w:tc>
        <w:tc>
          <w:tcPr>
            <w:tcW w:w="1701" w:type="dxa"/>
            <w:vMerge w:val="restart"/>
            <w:vAlign w:val="center"/>
          </w:tcPr>
          <w:p w:rsidR="00273775" w:rsidRPr="001C6ACF" w:rsidRDefault="001043CE" w:rsidP="007008C0">
            <w:pPr>
              <w:pStyle w:val="HStandard"/>
              <w:spacing w:line="240" w:lineRule="auto"/>
              <w:jc w:val="center"/>
              <w:rPr>
                <w:rFonts w:cs="Arial"/>
                <w:sz w:val="16"/>
                <w:szCs w:val="18"/>
              </w:rPr>
            </w:pPr>
            <w:r>
              <w:rPr>
                <w:sz w:val="16"/>
              </w:rPr>
              <w:t>Comparaisons naïves des groupes soutenues par des méthodes qualitatives</w:t>
            </w:r>
          </w:p>
        </w:tc>
      </w:tr>
      <w:tr w:rsidR="00273775" w:rsidRPr="001C6ACF" w:rsidTr="005F69E8">
        <w:trPr>
          <w:trHeight w:val="984"/>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21216" behindDoc="1" locked="0" layoutInCell="1" allowOverlap="1" wp14:anchorId="21CF3DF9" wp14:editId="2689401E">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1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w:t>
            </w:r>
            <w:r w:rsidRPr="00C44B54">
              <w:rPr>
                <w:b/>
                <w:color w:val="57825E" w:themeColor="accent4"/>
              </w:rPr>
              <w:t>11</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Qualité de l’eau </w:t>
            </w: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tcPr>
          <w:p w:rsidR="00273775" w:rsidRPr="001C6ACF" w:rsidRDefault="00273775" w:rsidP="007008C0">
            <w:pPr>
              <w:pStyle w:val="HStandard"/>
              <w:spacing w:line="240" w:lineRule="auto"/>
              <w:jc w:val="center"/>
              <w:rPr>
                <w:rFonts w:cs="Arial"/>
                <w:sz w:val="16"/>
                <w:szCs w:val="18"/>
              </w:rPr>
            </w:pPr>
          </w:p>
        </w:tc>
      </w:tr>
      <w:tr w:rsidR="00515FD4" w:rsidRPr="001C6ACF" w:rsidTr="005F69E8">
        <w:trPr>
          <w:trHeight w:val="1214"/>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lastRenderedPageBreak/>
              <w:drawing>
                <wp:anchor distT="0" distB="0" distL="114300" distR="114300" simplePos="0" relativeHeight="251715072" behindDoc="1" locked="0" layoutInCell="1" allowOverlap="1" wp14:anchorId="65DE445B" wp14:editId="1AF155EA">
                  <wp:simplePos x="0" y="0"/>
                  <wp:positionH relativeFrom="column">
                    <wp:posOffset>33944</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w:t>
            </w:r>
            <w:r w:rsidRPr="00C44B54">
              <w:rPr>
                <w:b/>
                <w:color w:val="57825E" w:themeColor="accent4"/>
              </w:rPr>
              <w:t>12</w:t>
            </w:r>
          </w:p>
        </w:tc>
        <w:tc>
          <w:tcPr>
            <w:tcW w:w="1417" w:type="dxa"/>
            <w:tcBorders>
              <w:left w:val="nil"/>
            </w:tcBorders>
            <w:vAlign w:val="center"/>
            <w:hideMark/>
          </w:tcPr>
          <w:p w:rsidR="00515FD4" w:rsidRPr="00336531" w:rsidRDefault="00515FD4" w:rsidP="001B04F9">
            <w:pPr>
              <w:pStyle w:val="HStandard"/>
              <w:jc w:val="left"/>
              <w:rPr>
                <w:rFonts w:cs="Arial"/>
                <w:b/>
                <w:color w:val="57825E" w:themeColor="accent4"/>
                <w:sz w:val="16"/>
                <w:szCs w:val="18"/>
              </w:rPr>
            </w:pPr>
            <w:r>
              <w:rPr>
                <w:b/>
                <w:color w:val="57825E" w:themeColor="accent4"/>
                <w:sz w:val="16"/>
              </w:rPr>
              <w:t xml:space="preserve">Matière organique dans le sol des terres arables </w:t>
            </w:r>
          </w:p>
        </w:tc>
        <w:tc>
          <w:tcPr>
            <w:tcW w:w="1701" w:type="dxa"/>
            <w:vAlign w:val="center"/>
            <w:hideMark/>
          </w:tcPr>
          <w:p w:rsidR="00515FD4" w:rsidRPr="001C6ACF" w:rsidRDefault="00FF2060" w:rsidP="007008C0">
            <w:pPr>
              <w:pStyle w:val="HStandard"/>
              <w:spacing w:line="240" w:lineRule="auto"/>
              <w:jc w:val="center"/>
              <w:rPr>
                <w:rFonts w:cs="Arial"/>
                <w:sz w:val="16"/>
                <w:szCs w:val="18"/>
              </w:rPr>
            </w:pPr>
            <w:r>
              <w:rPr>
                <w:sz w:val="16"/>
              </w:rPr>
              <w:t xml:space="preserve">Évaluation de la matière organique du sol (MOS) sur la base d’une profondeur de sol comprise entre </w:t>
            </w:r>
            <w:r w:rsidRPr="00C44B54">
              <w:rPr>
                <w:sz w:val="16"/>
              </w:rPr>
              <w:t>0</w:t>
            </w:r>
            <w:r>
              <w:rPr>
                <w:sz w:val="16"/>
              </w:rPr>
              <w:t xml:space="preserve"> et </w:t>
            </w:r>
            <w:r w:rsidRPr="00C44B54">
              <w:rPr>
                <w:sz w:val="16"/>
              </w:rPr>
              <w:t>60</w:t>
            </w:r>
            <w:r>
              <w:rPr>
                <w:sz w:val="16"/>
              </w:rPr>
              <w:t> cm</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Nulle</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Évaluation de la MOS </w:t>
            </w:r>
            <w:r>
              <w:rPr>
                <w:rFonts w:cs="Arial"/>
                <w:sz w:val="16"/>
                <w:szCs w:val="18"/>
              </w:rPr>
              <w:br/>
            </w:r>
            <w:r>
              <w:rPr>
                <w:sz w:val="16"/>
              </w:rPr>
              <w:t>sur la base de programmes de suivi du sol simplifiés</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Évaluation de la MOS fondée sur </w:t>
            </w:r>
            <w:r>
              <w:rPr>
                <w:rFonts w:cs="Arial"/>
                <w:sz w:val="16"/>
                <w:szCs w:val="18"/>
              </w:rPr>
              <w:br/>
            </w:r>
            <w:r>
              <w:rPr>
                <w:sz w:val="16"/>
              </w:rPr>
              <w:t>la base de données LUCAS</w:t>
            </w:r>
          </w:p>
        </w:tc>
      </w:tr>
      <w:tr w:rsidR="00515FD4" w:rsidRPr="001C6ACF" w:rsidTr="006A4FC1">
        <w:trPr>
          <w:trHeight w:val="43"/>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6096" behindDoc="1" locked="0" layoutInCell="1" allowOverlap="1" wp14:anchorId="5C54FD23" wp14:editId="437FFF75">
                  <wp:simplePos x="0" y="0"/>
                  <wp:positionH relativeFrom="column">
                    <wp:posOffset>62881</wp:posOffset>
                  </wp:positionH>
                  <wp:positionV relativeFrom="paragraph">
                    <wp:posOffset>198321</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3.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w:t>
            </w:r>
            <w:r w:rsidRPr="00C44B54">
              <w:rPr>
                <w:b/>
                <w:color w:val="57825E" w:themeColor="accent4"/>
              </w:rPr>
              <w:t>13</w:t>
            </w:r>
          </w:p>
        </w:tc>
        <w:tc>
          <w:tcPr>
            <w:tcW w:w="1417" w:type="dxa"/>
            <w:tcBorders>
              <w:left w:val="nil"/>
            </w:tcBorders>
            <w:vAlign w:val="center"/>
            <w:hideMark/>
          </w:tcPr>
          <w:p w:rsidR="006E3A77" w:rsidRPr="00FB6C06" w:rsidRDefault="00515FD4" w:rsidP="001B04F9">
            <w:pPr>
              <w:pStyle w:val="HStandard"/>
              <w:jc w:val="left"/>
              <w:rPr>
                <w:rFonts w:cs="Arial"/>
                <w:b/>
                <w:color w:val="57825E" w:themeColor="accent4"/>
                <w:sz w:val="16"/>
                <w:szCs w:val="18"/>
              </w:rPr>
            </w:pPr>
            <w:r>
              <w:rPr>
                <w:b/>
                <w:color w:val="57825E" w:themeColor="accent4"/>
                <w:sz w:val="16"/>
              </w:rPr>
              <w:t>Érosion du sol par l’eau</w:t>
            </w:r>
          </w:p>
        </w:tc>
        <w:tc>
          <w:tcPr>
            <w:tcW w:w="1701" w:type="dxa"/>
            <w:vAlign w:val="center"/>
            <w:hideMark/>
          </w:tcPr>
          <w:p w:rsidR="00515FD4" w:rsidRPr="00863E73" w:rsidRDefault="00BB68D4" w:rsidP="007008C0">
            <w:pPr>
              <w:pStyle w:val="NormalWeb"/>
              <w:jc w:val="center"/>
              <w:rPr>
                <w:rFonts w:ascii="Arial" w:hAnsi="Arial" w:cs="Arial"/>
                <w:color w:val="373737" w:themeColor="text1"/>
                <w:sz w:val="16"/>
                <w:szCs w:val="18"/>
              </w:rPr>
            </w:pPr>
            <w:r>
              <w:rPr>
                <w:rFonts w:ascii="Arial" w:hAnsi="Arial"/>
                <w:color w:val="373737" w:themeColor="text1"/>
                <w:sz w:val="16"/>
              </w:rPr>
              <w:t>Techniques d’évaluation fondées sur les statistiques</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GPSM économétrique spatiale soutenu par la DiD</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Comparaisons naïves des valeurs de référence ou des groupes dynamiques</w:t>
            </w:r>
          </w:p>
        </w:tc>
        <w:tc>
          <w:tcPr>
            <w:tcW w:w="1701" w:type="dxa"/>
            <w:vAlign w:val="center"/>
            <w:hideMark/>
          </w:tcPr>
          <w:p w:rsidR="00B52E11" w:rsidRPr="001C6ACF" w:rsidRDefault="00515FD4" w:rsidP="007008C0">
            <w:pPr>
              <w:pStyle w:val="HStandard"/>
              <w:spacing w:line="240" w:lineRule="auto"/>
              <w:jc w:val="center"/>
              <w:rPr>
                <w:rFonts w:cs="Arial"/>
                <w:sz w:val="16"/>
                <w:szCs w:val="18"/>
              </w:rPr>
            </w:pPr>
            <w:r>
              <w:rPr>
                <w:sz w:val="16"/>
              </w:rPr>
              <w:t>Évaluation quantitative naïve entre les unités spatiales et la moyenne nationale</w:t>
            </w:r>
          </w:p>
          <w:p w:rsidR="00735F08" w:rsidRPr="001C6ACF" w:rsidRDefault="00735F08" w:rsidP="007008C0">
            <w:pPr>
              <w:pStyle w:val="HStandard"/>
              <w:spacing w:line="240" w:lineRule="auto"/>
              <w:jc w:val="center"/>
              <w:rPr>
                <w:rFonts w:cs="Arial"/>
                <w:sz w:val="16"/>
                <w:szCs w:val="18"/>
              </w:rPr>
            </w:pPr>
          </w:p>
        </w:tc>
      </w:tr>
      <w:tr w:rsidR="00515FD4" w:rsidRPr="001C6ACF" w:rsidTr="00670F92">
        <w:trPr>
          <w:trHeight w:val="255"/>
        </w:trPr>
        <w:tc>
          <w:tcPr>
            <w:tcW w:w="9209" w:type="dxa"/>
            <w:gridSpan w:val="6"/>
            <w:tcBorders>
              <w:top w:val="single" w:sz="4" w:space="0" w:color="FFFFFF" w:themeColor="background1"/>
            </w:tcBorders>
            <w:shd w:val="clear" w:color="auto" w:fill="59638E" w:themeFill="accent3"/>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Incidences socioéconomiques</w:t>
            </w:r>
          </w:p>
        </w:tc>
      </w:tr>
      <w:tr w:rsidR="00515FD4" w:rsidRPr="001C6ACF" w:rsidTr="005F69E8">
        <w:trPr>
          <w:trHeight w:val="1189"/>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ar-SA"/>
              </w:rPr>
              <w:drawing>
                <wp:anchor distT="0" distB="0" distL="114300" distR="114300" simplePos="0" relativeHeight="251717120" behindDoc="1" locked="0" layoutInCell="1" allowOverlap="1" wp14:anchorId="429E601B" wp14:editId="50D9D262">
                  <wp:simplePos x="0" y="0"/>
                  <wp:positionH relativeFrom="column">
                    <wp:posOffset>11414</wp:posOffset>
                  </wp:positionH>
                  <wp:positionV relativeFrom="paragraph">
                    <wp:posOffset>184351</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14.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9638E" w:themeColor="accent3"/>
              </w:rPr>
              <w:t>I.</w:t>
            </w:r>
            <w:r w:rsidRPr="00C44B54">
              <w:rPr>
                <w:b/>
                <w:color w:val="59638E" w:themeColor="accent3"/>
              </w:rPr>
              <w:t>14</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Taux d’emploi en milieu rural </w:t>
            </w:r>
          </w:p>
        </w:tc>
        <w:tc>
          <w:tcPr>
            <w:tcW w:w="1701" w:type="dxa"/>
            <w:vMerge w:val="restart"/>
            <w:vAlign w:val="center"/>
            <w:hideMark/>
          </w:tcPr>
          <w:p w:rsidR="00515FD4" w:rsidRPr="00FB6C06" w:rsidRDefault="00515FD4" w:rsidP="007008C0">
            <w:pPr>
              <w:pStyle w:val="HStandard"/>
              <w:spacing w:line="240" w:lineRule="auto"/>
              <w:jc w:val="center"/>
              <w:rPr>
                <w:sz w:val="16"/>
                <w:szCs w:val="18"/>
              </w:rPr>
            </w:pPr>
            <w:r>
              <w:rPr>
                <w:sz w:val="16"/>
              </w:rPr>
              <w:t>Nul</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 xml:space="preserve">Modèle d’équilibre général calculable (CGE) récursif dynamique </w:t>
            </w:r>
            <w:r>
              <w:rPr>
                <w:sz w:val="16"/>
                <w:szCs w:val="18"/>
              </w:rPr>
              <w:br/>
            </w:r>
            <w:r>
              <w:rPr>
                <w:sz w:val="16"/>
                <w:szCs w:val="18"/>
              </w:rPr>
              <w:br/>
            </w:r>
            <w:r>
              <w:rPr>
                <w:sz w:val="16"/>
              </w:rPr>
              <w:t>Appariement des scores de propension (PSM) et appariement des scores de propension généralisés (GPSM)</w:t>
            </w:r>
          </w:p>
        </w:tc>
        <w:tc>
          <w:tcPr>
            <w:tcW w:w="1701" w:type="dxa"/>
            <w:vMerge w:val="restart"/>
            <w:noWrap/>
            <w:vAlign w:val="center"/>
            <w:hideMark/>
          </w:tcPr>
          <w:p w:rsidR="00515FD4" w:rsidRPr="001C6ACF" w:rsidRDefault="00515FD4" w:rsidP="007008C0">
            <w:pPr>
              <w:pStyle w:val="HStandard"/>
              <w:spacing w:line="240" w:lineRule="auto"/>
              <w:jc w:val="center"/>
              <w:rPr>
                <w:sz w:val="16"/>
                <w:szCs w:val="18"/>
              </w:rPr>
            </w:pPr>
            <w:r>
              <w:rPr>
                <w:sz w:val="16"/>
              </w:rPr>
              <w:t>Nul</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 xml:space="preserve">Analyse </w:t>
            </w:r>
            <w:r w:rsidRPr="0063106E">
              <w:rPr>
                <w:sz w:val="16"/>
              </w:rPr>
              <w:t>entrées-sorties</w:t>
            </w:r>
            <w:r>
              <w:rPr>
                <w:sz w:val="16"/>
              </w:rPr>
              <w:t xml:space="preserve"> (IO)</w:t>
            </w:r>
          </w:p>
          <w:p w:rsidR="00186FCF" w:rsidRPr="001C6ACF" w:rsidRDefault="00186FCF" w:rsidP="007008C0">
            <w:pPr>
              <w:pStyle w:val="HStandard"/>
              <w:spacing w:line="240" w:lineRule="auto"/>
              <w:jc w:val="center"/>
              <w:rPr>
                <w:sz w:val="16"/>
                <w:szCs w:val="18"/>
              </w:rPr>
            </w:pPr>
            <w:r>
              <w:rPr>
                <w:sz w:val="16"/>
              </w:rPr>
              <w:t>(soutenue par une analyse qualitative)</w:t>
            </w:r>
          </w:p>
        </w:tc>
      </w:tr>
      <w:tr w:rsidR="00515FD4" w:rsidRPr="001C6ACF" w:rsidTr="005F69E8">
        <w:trPr>
          <w:trHeight w:val="1405"/>
        </w:trPr>
        <w:tc>
          <w:tcPr>
            <w:tcW w:w="988" w:type="dxa"/>
            <w:tcBorders>
              <w:right w:val="nil"/>
            </w:tcBorders>
            <w:hideMark/>
          </w:tcPr>
          <w:p w:rsidR="00515FD4" w:rsidRPr="00571D58" w:rsidRDefault="00515FD4" w:rsidP="00B91C1E">
            <w:pPr>
              <w:pStyle w:val="HStandard"/>
              <w:jc w:val="center"/>
              <w:rPr>
                <w:b/>
                <w:bCs/>
                <w:color w:val="59638E" w:themeColor="accent3"/>
              </w:rPr>
            </w:pPr>
            <w:r>
              <w:rPr>
                <w:b/>
                <w:color w:val="59638E" w:themeColor="accent3"/>
              </w:rPr>
              <w:t>I.</w:t>
            </w:r>
            <w:r w:rsidRPr="00C44B54">
              <w:rPr>
                <w:b/>
                <w:color w:val="59638E" w:themeColor="accent3"/>
              </w:rPr>
              <w:t>15</w:t>
            </w:r>
            <w:r>
              <w:rPr>
                <w:b/>
                <w:bCs/>
                <w:noProof/>
                <w:color w:val="59638E" w:themeColor="accent3"/>
                <w:lang w:val="en-GB" w:eastAsia="en-GB" w:bidi="ar-SA"/>
              </w:rPr>
              <w:drawing>
                <wp:inline distT="0" distB="0" distL="0" distR="0" wp14:anchorId="29BC3C06" wp14:editId="355786C6">
                  <wp:extent cx="490220" cy="490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feeding_Blu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inline>
              </w:drawing>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Niveau de la pauvreté en milieu rural</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r w:rsidR="00515FD4" w:rsidRPr="001C6ACF" w:rsidTr="005F69E8">
        <w:trPr>
          <w:trHeight w:val="1413"/>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ar-SA"/>
              </w:rPr>
              <w:drawing>
                <wp:anchor distT="0" distB="0" distL="114300" distR="114300" simplePos="0" relativeHeight="251719168" behindDoc="1" locked="0" layoutInCell="1" allowOverlap="1" wp14:anchorId="79DA368A" wp14:editId="436B3974">
                  <wp:simplePos x="0" y="0"/>
                  <wp:positionH relativeFrom="column">
                    <wp:posOffset>63500</wp:posOffset>
                  </wp:positionH>
                  <wp:positionV relativeFrom="paragraph">
                    <wp:posOffset>224139</wp:posOffset>
                  </wp:positionV>
                  <wp:extent cx="489600" cy="489600"/>
                  <wp:effectExtent l="0" t="0" r="5715" b="5715"/>
                  <wp:wrapTight wrapText="bothSides">
                    <wp:wrapPolygon edited="0">
                      <wp:start x="0" y="0"/>
                      <wp:lineTo x="0" y="21012"/>
                      <wp:lineTo x="21012" y="21012"/>
                      <wp:lineTo x="21012"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007-nail.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59638E" w:themeColor="accent3"/>
              </w:rPr>
              <w:t>I.</w:t>
            </w:r>
            <w:r w:rsidRPr="00C44B54">
              <w:rPr>
                <w:b/>
                <w:color w:val="59638E" w:themeColor="accent3"/>
              </w:rPr>
              <w:t>16</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Produit intérieur brut (PIB) par habitant en milieu rural </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bl>
    <w:p w:rsidR="00186FCF" w:rsidRPr="001C6ACF" w:rsidRDefault="00186FCF" w:rsidP="00186FCF">
      <w:pPr>
        <w:pStyle w:val="HStandard"/>
        <w:rPr>
          <w:rFonts w:cs="Arial"/>
        </w:rPr>
      </w:pPr>
    </w:p>
    <w:p w:rsidR="00186FCF" w:rsidRPr="001C6ACF" w:rsidRDefault="00186FCF" w:rsidP="00186FCF">
      <w:pPr>
        <w:pStyle w:val="HStandard"/>
        <w:rPr>
          <w:rFonts w:cs="Arial"/>
        </w:rPr>
      </w:pPr>
      <w:r>
        <w:t>Le tableau ci-dessus présente, pour chacun des indicateurs d’impact du deuxième pilier de la PAC, un aperçu des approches d’évaluation recommandées pour l’évaluation aux niveaux micro et macro, qui sont décrites plus en détail aux chapitres </w:t>
      </w:r>
      <w:r w:rsidRPr="00C44B54">
        <w:t>2</w:t>
      </w:r>
      <w:r>
        <w:t>.</w:t>
      </w:r>
      <w:r w:rsidRPr="00C44B54">
        <w:t>2</w:t>
      </w:r>
      <w:r>
        <w:t xml:space="preserve"> à </w:t>
      </w:r>
      <w:r w:rsidRPr="00C44B54">
        <w:t>2</w:t>
      </w:r>
      <w:r>
        <w:t>.</w:t>
      </w:r>
      <w:r w:rsidRPr="00C44B54">
        <w:t>9</w:t>
      </w:r>
      <w:r>
        <w:t xml:space="preserve"> des lignes directrices, ainsi que dans l’annexe technique. </w:t>
      </w:r>
    </w:p>
    <w:p w:rsidR="00186FCF" w:rsidRPr="001C6ACF" w:rsidRDefault="00186FCF"/>
    <w:p w:rsidR="008D4934" w:rsidRPr="00571D58" w:rsidRDefault="000B213F" w:rsidP="00B34DDC">
      <w:pPr>
        <w:pStyle w:val="HStandard"/>
        <w:jc w:val="center"/>
      </w:pPr>
      <w:r>
        <w:rPr>
          <w:b/>
          <w:i/>
          <w:noProof/>
          <w:color w:val="F07E31" w:themeColor="accent1"/>
          <w:lang w:val="en-GB" w:eastAsia="en-GB" w:bidi="ar-SA"/>
        </w:rPr>
        <w:lastRenderedPageBreak/>
        <mc:AlternateContent>
          <mc:Choice Requires="wps">
            <w:drawing>
              <wp:inline distT="0" distB="0" distL="0" distR="0" wp14:anchorId="00E1CACC" wp14:editId="17E0884F">
                <wp:extent cx="5819775" cy="2568777"/>
                <wp:effectExtent l="0" t="0" r="28575" b="22225"/>
                <wp:docPr id="89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2568777"/>
                        </a:xfrm>
                        <a:custGeom>
                          <a:avLst/>
                          <a:gdLst>
                            <a:gd name="T0" fmla="*/ 157545 w 5819775"/>
                            <a:gd name="T1" fmla="*/ 0 h 1804016"/>
                            <a:gd name="T2" fmla="*/ 5819775 w 5819775"/>
                            <a:gd name="T3" fmla="*/ 0 h 1804016"/>
                            <a:gd name="T4" fmla="*/ 5819775 w 5819775"/>
                            <a:gd name="T5" fmla="*/ 0 h 1804016"/>
                            <a:gd name="T6" fmla="*/ 5819775 w 5819775"/>
                            <a:gd name="T7" fmla="*/ 1646471 h 1804016"/>
                            <a:gd name="T8" fmla="*/ 5662230 w 5819775"/>
                            <a:gd name="T9" fmla="*/ 1804016 h 1804016"/>
                            <a:gd name="T10" fmla="*/ 0 w 5819775"/>
                            <a:gd name="T11" fmla="*/ 1804016 h 1804016"/>
                            <a:gd name="T12" fmla="*/ 0 w 5819775"/>
                            <a:gd name="T13" fmla="*/ 1804016 h 1804016"/>
                            <a:gd name="T14" fmla="*/ 0 w 5819775"/>
                            <a:gd name="T15" fmla="*/ 157545 h 1804016"/>
                            <a:gd name="T16" fmla="*/ 157545 w 5819775"/>
                            <a:gd name="T17" fmla="*/ 0 h 1804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19775"/>
                            <a:gd name="T28" fmla="*/ 0 h 1804016"/>
                            <a:gd name="T29" fmla="*/ 5819775 w 5819775"/>
                            <a:gd name="T30" fmla="*/ 1804016 h 1804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19775" h="1804016">
                              <a:moveTo>
                                <a:pt x="157545" y="0"/>
                              </a:moveTo>
                              <a:lnTo>
                                <a:pt x="5819775" y="0"/>
                              </a:lnTo>
                              <a:lnTo>
                                <a:pt x="5819775" y="1646471"/>
                              </a:lnTo>
                              <a:cubicBezTo>
                                <a:pt x="5819775" y="1733481"/>
                                <a:pt x="5749240" y="1804016"/>
                                <a:pt x="5662230" y="1804016"/>
                              </a:cubicBezTo>
                              <a:lnTo>
                                <a:pt x="0" y="1804016"/>
                              </a:lnTo>
                              <a:lnTo>
                                <a:pt x="0" y="157545"/>
                              </a:lnTo>
                              <a:cubicBezTo>
                                <a:pt x="0" y="70535"/>
                                <a:pt x="70535" y="0"/>
                                <a:pt x="157545"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71D4A" w:rsidRPr="00D43E45" w:rsidRDefault="00471D4A"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7C6E184" wp14:editId="43C63B2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Les méthodes d’évaluation</w:t>
                            </w:r>
                            <w:r>
                              <w:rPr>
                                <w:b w:val="0"/>
                                <w:color w:val="373737" w:themeColor="text1"/>
                              </w:rPr>
                              <w:t xml:space="preserve"> décrites dans les lignes directrices sont des exemples d’options possibles, mais il en existe d’autres. Les évaluateurs peuvent choisir d’autres approches pour évaluer les incidences du PDR, en tenant compte de la meilleure option pour recueillir des éléments solides, mais aussi en respectant </w:t>
                            </w:r>
                            <w:r>
                              <w:rPr>
                                <w:color w:val="373737" w:themeColor="text1"/>
                              </w:rPr>
                              <w:t>la situation particulière du PDR</w:t>
                            </w:r>
                            <w:r>
                              <w:rPr>
                                <w:b w:val="0"/>
                                <w:color w:val="373737" w:themeColor="text1"/>
                              </w:rPr>
                              <w:t xml:space="preserve"> concernant:</w:t>
                            </w:r>
                          </w:p>
                          <w:p w:rsidR="00471D4A" w:rsidRPr="00D43E45" w:rsidRDefault="00471D4A" w:rsidP="00EC01C3">
                            <w:pPr>
                              <w:pStyle w:val="Hlistbullet"/>
                              <w:rPr>
                                <w:i/>
                                <w:sz w:val="18"/>
                              </w:rPr>
                            </w:pPr>
                            <w:r>
                              <w:t xml:space="preserve">l’ampleur du PDR; </w:t>
                            </w:r>
                          </w:p>
                          <w:p w:rsidR="00471D4A" w:rsidRPr="00D43E45" w:rsidRDefault="00471D4A" w:rsidP="00EC01C3">
                            <w:pPr>
                              <w:pStyle w:val="Hlistbullet"/>
                              <w:rPr>
                                <w:i/>
                                <w:sz w:val="18"/>
                              </w:rPr>
                            </w:pPr>
                            <w:r>
                              <w:t xml:space="preserve">l’utilisation du PDR; </w:t>
                            </w:r>
                          </w:p>
                          <w:p w:rsidR="00471D4A" w:rsidRPr="00D43E45" w:rsidRDefault="00471D4A" w:rsidP="00EC01C3">
                            <w:pPr>
                              <w:pStyle w:val="Hlistbullet"/>
                              <w:rPr>
                                <w:i/>
                                <w:sz w:val="18"/>
                              </w:rPr>
                            </w:pPr>
                            <w:r>
                              <w:t>la disponibilité et la qualité des données pour l’évaluation.</w:t>
                            </w:r>
                          </w:p>
                          <w:p w:rsidR="00471D4A" w:rsidRPr="00E53246" w:rsidRDefault="00471D4A" w:rsidP="00EC01C3">
                            <w:pPr>
                              <w:pStyle w:val="HHeading4"/>
                              <w:spacing w:before="0"/>
                              <w:jc w:val="both"/>
                              <w:rPr>
                                <w:b w:val="0"/>
                                <w:color w:val="373737" w:themeColor="text1"/>
                              </w:rPr>
                            </w:pPr>
                            <w:r>
                              <w:rPr>
                                <w:b w:val="0"/>
                                <w:color w:val="373737" w:themeColor="text1"/>
                              </w:rPr>
                              <w:t>Les modèles logiques présentés dans les présentes lignes directrices devraient servir d’outils utiles aux évaluateurs pour recenser les options d’évaluation possibles dans un contexte réel donné.</w:t>
                            </w:r>
                          </w:p>
                        </w:txbxContent>
                      </wps:txbx>
                      <wps:bodyPr rot="0" vert="horz" wrap="square" lIns="91440" tIns="45720" rIns="91440" bIns="45720" anchor="ctr" anchorCtr="0" upright="1">
                        <a:noAutofit/>
                      </wps:bodyPr>
                    </wps:wsp>
                  </a:graphicData>
                </a:graphic>
              </wp:inline>
            </w:drawing>
          </mc:Choice>
          <mc:Fallback>
            <w:pict>
              <v:shape w14:anchorId="00E1CACC" id="AutoShape 61" o:spid="_x0000_s1042" style="width:458.25pt;height:202.25pt;visibility:visible;mso-wrap-style:square;mso-left-percent:-10001;mso-top-percent:-10001;mso-position-horizontal:absolute;mso-position-horizontal-relative:char;mso-position-vertical:absolute;mso-position-vertical-relative:line;mso-left-percent:-10001;mso-top-percent:-10001;v-text-anchor:middle" coordsize="5819775,1804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" adj="-11796480,,5400" path="m157545,l5819775,r,1646471c5819775,1733481,5749240,1804016,5662230,1804016l,1804016,,157545c,70535,70535,,157545,xe" filled="f" strokecolor="#be4a35" strokeweight="2pt">
                <v:stroke joinstyle="miter"/>
                <v:formulas/>
                <v:path arrowok="t" o:connecttype="custom" o:connectlocs="157545,0;5819775,0;5819775,0;5819775,2344445;5662230,2568777;0,2568777;0,2568777;0,224332;157545,0" o:connectangles="0,0,0,0,0,0,0,0,0" textboxrect="0,0,5819775,1804016"/>
                <v:textbox>
                  <w:txbxContent>
                    <w:p w:rsidR="00471D4A" w:rsidRPr="00D43E45" w:rsidRDefault="00471D4A"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7C6E184" wp14:editId="43C63B2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Les méthodes d’évaluation</w:t>
                      </w:r>
                      <w:r>
                        <w:rPr>
                          <w:b w:val="0"/>
                          <w:color w:val="373737" w:themeColor="text1"/>
                        </w:rPr>
                        <w:t xml:space="preserve"> décrites dans les lignes directrices sont des exemples d’options possibles, mais il en existe d’autres. Les évaluateurs peuvent choisir d’autres approches pour évaluer les incidences du PDR, en tenant compte de la meilleure option pour recueillir des éléments solides, mais aussi en respectant </w:t>
                      </w:r>
                      <w:r>
                        <w:rPr>
                          <w:color w:val="373737" w:themeColor="text1"/>
                        </w:rPr>
                        <w:t>la situation particulière du PDR</w:t>
                      </w:r>
                      <w:r>
                        <w:rPr>
                          <w:b w:val="0"/>
                          <w:color w:val="373737" w:themeColor="text1"/>
                        </w:rPr>
                        <w:t xml:space="preserve"> concernant:</w:t>
                      </w:r>
                    </w:p>
                    <w:p w:rsidR="00471D4A" w:rsidRPr="00D43E45" w:rsidRDefault="00471D4A" w:rsidP="00EC01C3">
                      <w:pPr>
                        <w:pStyle w:val="Hlistbullet"/>
                        <w:rPr>
                          <w:i/>
                          <w:sz w:val="18"/>
                        </w:rPr>
                      </w:pPr>
                      <w:r>
                        <w:t xml:space="preserve">l’ampleur du PDR; </w:t>
                      </w:r>
                    </w:p>
                    <w:p w:rsidR="00471D4A" w:rsidRPr="00D43E45" w:rsidRDefault="00471D4A" w:rsidP="00EC01C3">
                      <w:pPr>
                        <w:pStyle w:val="Hlistbullet"/>
                        <w:rPr>
                          <w:i/>
                          <w:sz w:val="18"/>
                        </w:rPr>
                      </w:pPr>
                      <w:r>
                        <w:t xml:space="preserve">l’utilisation du PDR; </w:t>
                      </w:r>
                    </w:p>
                    <w:p w:rsidR="00471D4A" w:rsidRPr="00D43E45" w:rsidRDefault="00471D4A" w:rsidP="00EC01C3">
                      <w:pPr>
                        <w:pStyle w:val="Hlistbullet"/>
                        <w:rPr>
                          <w:i/>
                          <w:sz w:val="18"/>
                        </w:rPr>
                      </w:pPr>
                      <w:r>
                        <w:t>la disponibilité et la qualité des données pour l’évaluation.</w:t>
                      </w:r>
                    </w:p>
                    <w:p w:rsidR="00471D4A" w:rsidRPr="00E53246" w:rsidRDefault="00471D4A" w:rsidP="00EC01C3">
                      <w:pPr>
                        <w:pStyle w:val="HHeading4"/>
                        <w:spacing w:before="0"/>
                        <w:jc w:val="both"/>
                        <w:rPr>
                          <w:b w:val="0"/>
                          <w:color w:val="373737" w:themeColor="text1"/>
                        </w:rPr>
                      </w:pPr>
                      <w:r>
                        <w:rPr>
                          <w:b w:val="0"/>
                          <w:color w:val="373737" w:themeColor="text1"/>
                        </w:rPr>
                        <w:t>Les modèles logiques présentés dans les présentes lignes directrices devraient servir d’outils utiles aux évaluateurs pour recenser les options d’évaluation possibles dans un contexte réel donné.</w:t>
                      </w:r>
                    </w:p>
                  </w:txbxContent>
                </v:textbox>
                <w10:anchorlock/>
              </v:shape>
            </w:pict>
          </mc:Fallback>
        </mc:AlternateContent>
      </w:r>
    </w:p>
    <w:p w:rsidR="003F30B5" w:rsidRDefault="003F30B5">
      <w:pPr>
        <w:spacing w:before="0" w:after="0" w:line="240" w:lineRule="auto"/>
        <w:jc w:val="left"/>
        <w:rPr>
          <w:color w:val="373737" w:themeColor="text1"/>
          <w:sz w:val="20"/>
          <w:szCs w:val="20"/>
        </w:rPr>
      </w:pPr>
    </w:p>
    <w:sectPr w:rsidR="003F30B5" w:rsidSect="005F79DE">
      <w:headerReference w:type="default" r:id="rId66"/>
      <w:pgSz w:w="11906" w:h="16838" w:code="9"/>
      <w:pgMar w:top="1440" w:right="1440" w:bottom="1134" w:left="144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3ED8" w:rsidRDefault="001D3ED8">
      <w:pPr>
        <w:spacing w:before="0" w:after="0" w:line="240" w:lineRule="auto"/>
      </w:pPr>
      <w:r>
        <w:separator/>
      </w:r>
    </w:p>
  </w:endnote>
  <w:endnote w:type="continuationSeparator" w:id="0">
    <w:p w:rsidR="001D3ED8" w:rsidRDefault="001D3E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27707"/>
      <w:docPartObj>
        <w:docPartGallery w:val="Page Numbers (Bottom of Page)"/>
        <w:docPartUnique/>
      </w:docPartObj>
    </w:sdtPr>
    <w:sdtEndPr>
      <w:rPr>
        <w:noProof/>
      </w:rPr>
    </w:sdtEndPr>
    <w:sdtContent>
      <w:p w:rsidR="00471D4A" w:rsidRDefault="00471D4A">
        <w:pPr>
          <w:pStyle w:val="Footer"/>
        </w:pPr>
        <w:r>
          <w:fldChar w:fldCharType="begin"/>
        </w:r>
        <w:r>
          <w:instrText xml:space="preserve"> PAGE   \* MERGEFORMAT </w:instrText>
        </w:r>
        <w:r>
          <w:fldChar w:fldCharType="separate"/>
        </w:r>
        <w:r>
          <w:rPr>
            <w:noProof/>
          </w:rPr>
          <w:t>1</w:t>
        </w:r>
        <w:r>
          <w:rPr>
            <w:noProof/>
          </w:rPr>
          <w:fldChar w:fldCharType="end"/>
        </w:r>
      </w:p>
    </w:sdtContent>
  </w:sdt>
  <w:p w:rsidR="00471D4A" w:rsidRDefault="00471D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1D4A" w:rsidRDefault="00471D4A">
    <w:pPr>
      <w:pStyle w:val="Footer"/>
    </w:pPr>
  </w:p>
  <w:p w:rsidR="00471D4A" w:rsidRDefault="00471D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635045"/>
      <w:docPartObj>
        <w:docPartGallery w:val="Page Numbers (Bottom of Page)"/>
        <w:docPartUnique/>
      </w:docPartObj>
    </w:sdtPr>
    <w:sdtEndPr>
      <w:rPr>
        <w:noProof/>
      </w:rPr>
    </w:sdtEndPr>
    <w:sdtContent>
      <w:p w:rsidR="00471D4A" w:rsidRDefault="00471D4A">
        <w:pPr>
          <w:pStyle w:val="Footer"/>
        </w:pPr>
        <w:r>
          <w:fldChar w:fldCharType="begin"/>
        </w:r>
        <w:r>
          <w:instrText xml:space="preserve"> PAGE   \* MERGEFORMAT </w:instrText>
        </w:r>
        <w:r>
          <w:fldChar w:fldCharType="separate"/>
        </w:r>
        <w:r>
          <w:rPr>
            <w:noProof/>
          </w:rPr>
          <w:t>30</w:t>
        </w:r>
        <w:r>
          <w:rPr>
            <w:noProof/>
          </w:rPr>
          <w:fldChar w:fldCharType="end"/>
        </w:r>
      </w:p>
    </w:sdtContent>
  </w:sdt>
  <w:p w:rsidR="00471D4A" w:rsidRDefault="00471D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787632"/>
      <w:docPartObj>
        <w:docPartGallery w:val="Page Numbers (Bottom of Page)"/>
        <w:docPartUnique/>
      </w:docPartObj>
    </w:sdtPr>
    <w:sdtEndPr>
      <w:rPr>
        <w:noProof/>
      </w:rPr>
    </w:sdtEndPr>
    <w:sdtContent>
      <w:p w:rsidR="00471D4A" w:rsidRDefault="00471D4A">
        <w:pPr>
          <w:pStyle w:val="Footer"/>
        </w:pPr>
        <w:r>
          <w:fldChar w:fldCharType="begin"/>
        </w:r>
        <w:r>
          <w:instrText xml:space="preserve"> PAGE   \* MERGEFORMAT </w:instrText>
        </w:r>
        <w:r>
          <w:fldChar w:fldCharType="separate"/>
        </w:r>
        <w:r>
          <w:rPr>
            <w:noProof/>
          </w:rPr>
          <w:t>1</w:t>
        </w:r>
        <w:r>
          <w:rPr>
            <w:noProof/>
          </w:rPr>
          <w:fldChar w:fldCharType="end"/>
        </w:r>
      </w:p>
    </w:sdtContent>
  </w:sdt>
  <w:p w:rsidR="00471D4A" w:rsidRDefault="00471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3ED8" w:rsidRPr="005B2AAC" w:rsidRDefault="001D3ED8">
      <w:pPr>
        <w:spacing w:before="0" w:after="0" w:line="240" w:lineRule="auto"/>
        <w:rPr>
          <w:color w:val="F07E31" w:themeColor="accent1"/>
        </w:rPr>
      </w:pPr>
      <w:r w:rsidRPr="005B2AAC">
        <w:rPr>
          <w:color w:val="F07E31" w:themeColor="accent1"/>
        </w:rPr>
        <w:separator/>
      </w:r>
    </w:p>
  </w:footnote>
  <w:footnote w:type="continuationSeparator" w:id="0">
    <w:p w:rsidR="001D3ED8" w:rsidRDefault="001D3ED8">
      <w:pPr>
        <w:spacing w:before="0" w:after="0" w:line="240" w:lineRule="auto"/>
      </w:pPr>
      <w:r>
        <w:continuationSeparator/>
      </w:r>
    </w:p>
  </w:footnote>
  <w:footnote w:id="1">
    <w:p w:rsidR="00471D4A" w:rsidRPr="003563F4" w:rsidRDefault="00471D4A">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Article </w:t>
      </w:r>
      <w:r w:rsidRPr="00C44B54">
        <w:rPr>
          <w:color w:val="878787" w:themeColor="text2" w:themeTint="99"/>
        </w:rPr>
        <w:t>54</w:t>
      </w:r>
      <w:r>
        <w:rPr>
          <w:color w:val="878787" w:themeColor="text2" w:themeTint="99"/>
        </w:rPr>
        <w:t xml:space="preserve"> et article </w:t>
      </w:r>
      <w:r w:rsidRPr="00C44B54">
        <w:rPr>
          <w:color w:val="878787" w:themeColor="text2" w:themeTint="99"/>
        </w:rPr>
        <w:t>56</w:t>
      </w:r>
      <w:r>
        <w:rPr>
          <w:color w:val="878787" w:themeColor="text2" w:themeTint="99"/>
        </w:rPr>
        <w:t>, paragraphe </w:t>
      </w:r>
      <w:r w:rsidRPr="00C44B54">
        <w:rPr>
          <w:color w:val="878787" w:themeColor="text2" w:themeTint="99"/>
        </w:rPr>
        <w:t>3</w:t>
      </w:r>
      <w:r>
        <w:rPr>
          <w:color w:val="878787" w:themeColor="text2" w:themeTint="99"/>
        </w:rPr>
        <w:t>, du règlement (UE) nº </w:t>
      </w:r>
      <w:r w:rsidRPr="00C44B54">
        <w:rPr>
          <w:color w:val="878787" w:themeColor="text2" w:themeTint="99"/>
        </w:rPr>
        <w:t>1303</w:t>
      </w:r>
      <w:r>
        <w:rPr>
          <w:color w:val="878787" w:themeColor="text2" w:themeTint="99"/>
        </w:rPr>
        <w:t>/</w:t>
      </w:r>
      <w:r w:rsidRPr="00C44B54">
        <w:rPr>
          <w:color w:val="878787" w:themeColor="text2" w:themeTint="99"/>
        </w:rPr>
        <w:t>2013</w:t>
      </w:r>
      <w:r>
        <w:rPr>
          <w:color w:val="878787" w:themeColor="text2" w:themeTint="99"/>
        </w:rPr>
        <w:t>.</w:t>
      </w:r>
    </w:p>
  </w:footnote>
  <w:footnote w:id="2">
    <w:p w:rsidR="00471D4A" w:rsidRPr="00E53246" w:rsidRDefault="00471D4A" w:rsidP="00CD63F6">
      <w:pPr>
        <w:pStyle w:val="FootnoteText"/>
      </w:pPr>
      <w:r>
        <w:rPr>
          <w:rStyle w:val="FootnoteReference"/>
          <w:color w:val="878787" w:themeColor="text2" w:themeTint="99"/>
        </w:rPr>
        <w:footnoteRef/>
      </w:r>
      <w:r>
        <w:rPr>
          <w:color w:val="878787" w:themeColor="text2" w:themeTint="99"/>
        </w:rPr>
        <w:t xml:space="preserve"> Annexe VII du règlement (UE) nº </w:t>
      </w:r>
      <w:r w:rsidRPr="00C44B54">
        <w:rPr>
          <w:color w:val="878787" w:themeColor="text2" w:themeTint="99"/>
        </w:rPr>
        <w:t>808</w:t>
      </w:r>
      <w:r>
        <w:rPr>
          <w:color w:val="878787" w:themeColor="text2" w:themeTint="99"/>
        </w:rPr>
        <w:t>/</w:t>
      </w:r>
      <w:r w:rsidRPr="00C44B54">
        <w:rPr>
          <w:color w:val="878787" w:themeColor="text2" w:themeTint="99"/>
        </w:rPr>
        <w:t>2014</w:t>
      </w:r>
      <w:r>
        <w:rPr>
          <w:color w:val="878787" w:themeColor="text2" w:themeTint="99"/>
        </w:rPr>
        <w:t>.</w:t>
      </w:r>
    </w:p>
  </w:footnote>
  <w:footnote w:id="3">
    <w:p w:rsidR="00471D4A" w:rsidRPr="003563F4" w:rsidRDefault="00471D4A" w:rsidP="001C2076">
      <w:pPr>
        <w:pStyle w:val="FootnoteText"/>
        <w:rPr>
          <w:color w:val="878787" w:themeColor="text2" w:themeTint="99"/>
        </w:rPr>
      </w:pPr>
      <w:r>
        <w:rPr>
          <w:color w:val="878787" w:themeColor="text2" w:themeTint="99"/>
          <w:vertAlign w:val="superscript"/>
        </w:rPr>
        <w:footnoteRef/>
      </w:r>
      <w:r>
        <w:rPr>
          <w:color w:val="878787" w:themeColor="text2" w:themeTint="99"/>
        </w:rPr>
        <w:t xml:space="preserve"> Article </w:t>
      </w:r>
      <w:r w:rsidRPr="00C44B54">
        <w:rPr>
          <w:color w:val="878787" w:themeColor="text2" w:themeTint="99"/>
        </w:rPr>
        <w:t>75</w:t>
      </w:r>
      <w:r>
        <w:rPr>
          <w:color w:val="878787" w:themeColor="text2" w:themeTint="99"/>
        </w:rPr>
        <w:t xml:space="preserve"> du </w:t>
      </w:r>
      <w:hyperlink r:id="rId1">
        <w:r>
          <w:rPr>
            <w:color w:val="878787" w:themeColor="text2" w:themeTint="99"/>
          </w:rPr>
          <w:t>règlement (UE) nº </w:t>
        </w:r>
        <w:r w:rsidRPr="00C44B54">
          <w:rPr>
            <w:color w:val="878787" w:themeColor="text2" w:themeTint="99"/>
          </w:rPr>
          <w:t>1305</w:t>
        </w:r>
        <w:r>
          <w:rPr>
            <w:color w:val="878787" w:themeColor="text2" w:themeTint="99"/>
          </w:rPr>
          <w:t>/</w:t>
        </w:r>
        <w:r w:rsidRPr="00C44B54">
          <w:rPr>
            <w:color w:val="878787" w:themeColor="text2" w:themeTint="99"/>
          </w:rPr>
          <w:t>2013</w:t>
        </w:r>
      </w:hyperlink>
      <w:r>
        <w:rPr>
          <w:color w:val="878787" w:themeColor="text2" w:themeTint="99"/>
        </w:rPr>
        <w:t>.</w:t>
      </w:r>
    </w:p>
  </w:footnote>
  <w:footnote w:id="4">
    <w:p w:rsidR="00471D4A" w:rsidRPr="003750F8" w:rsidRDefault="00471D4A" w:rsidP="00BA41C1">
      <w:pPr>
        <w:pStyle w:val="FootnoteText"/>
        <w:rPr>
          <w:color w:val="878787" w:themeColor="text2" w:themeTint="99"/>
          <w:lang w:val="en-GB"/>
        </w:rPr>
      </w:pPr>
      <w:r>
        <w:rPr>
          <w:color w:val="878787" w:themeColor="text2" w:themeTint="99"/>
          <w:vertAlign w:val="superscript"/>
        </w:rPr>
        <w:footnoteRef/>
      </w:r>
      <w:r w:rsidRPr="003750F8">
        <w:rPr>
          <w:color w:val="878787" w:themeColor="text2" w:themeTint="99"/>
          <w:vertAlign w:val="superscript"/>
          <w:lang w:val="en-GB"/>
        </w:rPr>
        <w:t xml:space="preserve"> </w:t>
      </w:r>
      <w:hyperlink r:id="rId2">
        <w:proofErr w:type="spellStart"/>
        <w:r w:rsidRPr="003750F8">
          <w:rPr>
            <w:rStyle w:val="Hyperlink"/>
            <w:color w:val="878787" w:themeColor="text2" w:themeTint="99"/>
            <w:sz w:val="16"/>
            <w:u w:val="none"/>
            <w:lang w:val="en-GB"/>
          </w:rPr>
          <w:t>Lignes</w:t>
        </w:r>
        <w:proofErr w:type="spellEnd"/>
        <w:r w:rsidRPr="003750F8">
          <w:rPr>
            <w:rStyle w:val="Hyperlink"/>
            <w:color w:val="878787" w:themeColor="text2" w:themeTint="99"/>
            <w:sz w:val="16"/>
            <w:u w:val="none"/>
            <w:lang w:val="en-GB"/>
          </w:rPr>
          <w:t xml:space="preserve"> directrices </w:t>
        </w:r>
        <w:proofErr w:type="spellStart"/>
        <w:r w:rsidRPr="003750F8">
          <w:rPr>
            <w:rStyle w:val="Hyperlink"/>
            <w:color w:val="878787" w:themeColor="text2" w:themeTint="99"/>
            <w:sz w:val="16"/>
            <w:u w:val="none"/>
            <w:lang w:val="en-GB"/>
          </w:rPr>
          <w:t>intitulées</w:t>
        </w:r>
        <w:proofErr w:type="spellEnd"/>
        <w:r w:rsidRPr="003750F8">
          <w:rPr>
            <w:rStyle w:val="Hyperlink"/>
            <w:color w:val="878787" w:themeColor="text2" w:themeTint="99"/>
            <w:sz w:val="16"/>
            <w:u w:val="none"/>
            <w:lang w:val="en-GB"/>
          </w:rPr>
          <w:t xml:space="preserve"> «Establishing and implementing the Evaluation Plan of </w:t>
        </w:r>
        <w:r w:rsidRPr="00C44B54">
          <w:rPr>
            <w:rStyle w:val="Hyperlink"/>
            <w:color w:val="878787" w:themeColor="text2" w:themeTint="99"/>
            <w:sz w:val="16"/>
            <w:u w:val="none"/>
            <w:lang w:val="en-GB"/>
          </w:rPr>
          <w:t>2014</w:t>
        </w:r>
        <w:r w:rsidRPr="003750F8">
          <w:rPr>
            <w:rStyle w:val="Hyperlink"/>
            <w:color w:val="878787" w:themeColor="text2" w:themeTint="99"/>
            <w:sz w:val="16"/>
            <w:u w:val="none"/>
            <w:lang w:val="en-GB"/>
          </w:rPr>
          <w:t xml:space="preserve">- </w:t>
        </w:r>
        <w:r w:rsidRPr="00C44B54">
          <w:rPr>
            <w:rStyle w:val="Hyperlink"/>
            <w:color w:val="878787" w:themeColor="text2" w:themeTint="99"/>
            <w:sz w:val="16"/>
            <w:u w:val="none"/>
            <w:lang w:val="en-GB"/>
          </w:rPr>
          <w:t>2020</w:t>
        </w:r>
        <w:r w:rsidRPr="003750F8">
          <w:rPr>
            <w:rStyle w:val="Hyperlink"/>
            <w:color w:val="878787" w:themeColor="text2" w:themeTint="99"/>
            <w:sz w:val="16"/>
            <w:u w:val="none"/>
            <w:lang w:val="en-GB"/>
          </w:rPr>
          <w:t xml:space="preserve"> RDPs». </w:t>
        </w:r>
      </w:hyperlink>
    </w:p>
  </w:footnote>
  <w:footnote w:id="5">
    <w:p w:rsidR="00471D4A" w:rsidRPr="003563F4" w:rsidRDefault="00471D4A" w:rsidP="00BA41C1">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hyperlink r:id="rId3">
        <w:r>
          <w:rPr>
            <w:rStyle w:val="Hyperlink"/>
            <w:color w:val="878787" w:themeColor="text2" w:themeTint="99"/>
            <w:sz w:val="16"/>
            <w:u w:val="none"/>
          </w:rPr>
          <w:t>Annexe I, point </w:t>
        </w:r>
        <w:r w:rsidRPr="00C44B54">
          <w:rPr>
            <w:rStyle w:val="Hyperlink"/>
            <w:color w:val="878787" w:themeColor="text2" w:themeTint="99"/>
            <w:sz w:val="16"/>
            <w:u w:val="none"/>
          </w:rPr>
          <w:t>9</w:t>
        </w:r>
        <w:r>
          <w:rPr>
            <w:rStyle w:val="Hyperlink"/>
            <w:color w:val="878787" w:themeColor="text2" w:themeTint="99"/>
            <w:sz w:val="16"/>
            <w:u w:val="none"/>
          </w:rPr>
          <w:t>, et annexe VII, point </w:t>
        </w:r>
        <w:r w:rsidRPr="00C44B54">
          <w:rPr>
            <w:rStyle w:val="Hyperlink"/>
            <w:color w:val="878787" w:themeColor="text2" w:themeTint="99"/>
            <w:sz w:val="16"/>
            <w:u w:val="none"/>
          </w:rPr>
          <w:t>7</w:t>
        </w:r>
        <w:r>
          <w:rPr>
            <w:rStyle w:val="Hyperlink"/>
            <w:color w:val="878787" w:themeColor="text2" w:themeTint="99"/>
            <w:sz w:val="16"/>
            <w:u w:val="none"/>
          </w:rPr>
          <w:t>, du règlement d’exécution (UE) nº </w:t>
        </w:r>
        <w:r w:rsidRPr="00C44B54">
          <w:rPr>
            <w:rStyle w:val="Hyperlink"/>
            <w:color w:val="878787" w:themeColor="text2" w:themeTint="99"/>
            <w:sz w:val="16"/>
            <w:u w:val="none"/>
          </w:rPr>
          <w:t>808</w:t>
        </w:r>
        <w:r>
          <w:rPr>
            <w:rStyle w:val="Hyperlink"/>
            <w:color w:val="878787" w:themeColor="text2" w:themeTint="99"/>
            <w:sz w:val="16"/>
            <w:u w:val="none"/>
          </w:rPr>
          <w:t>/</w:t>
        </w:r>
        <w:r w:rsidRPr="00C44B54">
          <w:rPr>
            <w:rStyle w:val="Hyperlink"/>
            <w:color w:val="878787" w:themeColor="text2" w:themeTint="99"/>
            <w:sz w:val="16"/>
            <w:u w:val="none"/>
          </w:rPr>
          <w:t>2014</w:t>
        </w:r>
        <w:r>
          <w:rPr>
            <w:rStyle w:val="Hyperlink"/>
            <w:color w:val="878787" w:themeColor="text2" w:themeTint="99"/>
            <w:sz w:val="16"/>
            <w:u w:val="none"/>
          </w:rPr>
          <w:t xml:space="preserve"> de la Commission</w:t>
        </w:r>
      </w:hyperlink>
      <w:r>
        <w:rPr>
          <w:rStyle w:val="Hyperlink"/>
          <w:color w:val="878787" w:themeColor="text2" w:themeTint="99"/>
          <w:sz w:val="16"/>
          <w:u w:val="none"/>
        </w:rPr>
        <w:t>.</w:t>
      </w:r>
    </w:p>
  </w:footnote>
  <w:footnote w:id="6">
    <w:p w:rsidR="00471D4A" w:rsidRPr="003563F4" w:rsidRDefault="00471D4A" w:rsidP="000D3DB8">
      <w:pPr>
        <w:pStyle w:val="FootnoteText"/>
        <w:ind w:left="142" w:hanging="142"/>
        <w:rPr>
          <w:color w:val="878787" w:themeColor="text2" w:themeTint="99"/>
        </w:rPr>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Le Helpdesk Évaluation a résumé les conclusions des RAM présentés en </w:t>
      </w:r>
      <w:r w:rsidRPr="00C44B54">
        <w:rPr>
          <w:color w:val="878787" w:themeColor="text2" w:themeTint="99"/>
        </w:rPr>
        <w:t>2017</w:t>
      </w:r>
      <w:r>
        <w:rPr>
          <w:color w:val="878787" w:themeColor="text2" w:themeTint="99"/>
        </w:rPr>
        <w:t xml:space="preserve"> dans le </w:t>
      </w:r>
      <w:hyperlink r:id="rId4">
        <w:r>
          <w:rPr>
            <w:color w:val="878787" w:themeColor="text2" w:themeTint="99"/>
          </w:rPr>
          <w:t xml:space="preserve">«Summary Report Synthesis of the Evaluation Components of the </w:t>
        </w:r>
        <w:r w:rsidRPr="00C44B54">
          <w:rPr>
            <w:color w:val="878787" w:themeColor="text2" w:themeTint="99"/>
          </w:rPr>
          <w:t>2017</w:t>
        </w:r>
        <w:r>
          <w:rPr>
            <w:color w:val="878787" w:themeColor="text2" w:themeTint="99"/>
          </w:rPr>
          <w:t xml:space="preserve"> Enhanced AIR: Chapter </w:t>
        </w:r>
        <w:r w:rsidRPr="00C44B54">
          <w:rPr>
            <w:color w:val="878787" w:themeColor="text2" w:themeTint="99"/>
          </w:rPr>
          <w:t>7</w:t>
        </w:r>
        <w:r>
          <w:rPr>
            <w:color w:val="878787" w:themeColor="text2" w:themeTint="99"/>
          </w:rPr>
          <w:t>»</w:t>
        </w:r>
      </w:hyperlink>
      <w:r>
        <w:rPr>
          <w:color w:val="878787" w:themeColor="text2" w:themeTint="99"/>
        </w:rPr>
        <w:t>.</w:t>
      </w:r>
    </w:p>
  </w:footnote>
  <w:footnote w:id="7">
    <w:p w:rsidR="00471D4A" w:rsidRPr="00E53246" w:rsidRDefault="00471D4A">
      <w:pPr>
        <w:pStyle w:val="FootnoteText"/>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Annexe VII du règlement (UE) nº </w:t>
      </w:r>
      <w:r w:rsidRPr="00C44B54">
        <w:rPr>
          <w:color w:val="878787" w:themeColor="text2" w:themeTint="99"/>
        </w:rPr>
        <w:t>808</w:t>
      </w:r>
      <w:r>
        <w:rPr>
          <w:color w:val="878787" w:themeColor="text2" w:themeTint="99"/>
        </w:rPr>
        <w:t>/</w:t>
      </w:r>
      <w:r w:rsidRPr="00C44B54">
        <w:rPr>
          <w:color w:val="878787" w:themeColor="text2" w:themeTint="99"/>
        </w:rPr>
        <w:t>2014</w:t>
      </w:r>
      <w:r>
        <w:rPr>
          <w:color w:val="878787" w:themeColor="text2" w:themeTint="99"/>
        </w:rPr>
        <w:t>.</w:t>
      </w:r>
    </w:p>
  </w:footnote>
  <w:footnote w:id="8">
    <w:p w:rsidR="00471D4A" w:rsidRPr="003563F4" w:rsidRDefault="00471D4A" w:rsidP="00BA41C1">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hyperlink r:id="rId5">
        <w:r>
          <w:rPr>
            <w:color w:val="878787" w:themeColor="text2" w:themeTint="99"/>
          </w:rPr>
          <w:t>Articles </w:t>
        </w:r>
        <w:r w:rsidRPr="00C44B54">
          <w:rPr>
            <w:color w:val="878787" w:themeColor="text2" w:themeTint="99"/>
          </w:rPr>
          <w:t>67</w:t>
        </w:r>
        <w:r>
          <w:rPr>
            <w:color w:val="878787" w:themeColor="text2" w:themeTint="99"/>
          </w:rPr>
          <w:t xml:space="preserve"> à </w:t>
        </w:r>
        <w:r w:rsidRPr="00C44B54">
          <w:rPr>
            <w:color w:val="878787" w:themeColor="text2" w:themeTint="99"/>
          </w:rPr>
          <w:t>79</w:t>
        </w:r>
        <w:r>
          <w:rPr>
            <w:color w:val="878787" w:themeColor="text2" w:themeTint="99"/>
          </w:rPr>
          <w:t xml:space="preserve"> du règlement (UE) nº </w:t>
        </w:r>
        <w:r w:rsidRPr="00C44B54">
          <w:rPr>
            <w:color w:val="878787" w:themeColor="text2" w:themeTint="99"/>
          </w:rPr>
          <w:t>1305</w:t>
        </w:r>
        <w:r>
          <w:rPr>
            <w:color w:val="878787" w:themeColor="text2" w:themeTint="99"/>
          </w:rPr>
          <w:t>/</w:t>
        </w:r>
        <w:r w:rsidRPr="00C44B54">
          <w:rPr>
            <w:color w:val="878787" w:themeColor="text2" w:themeTint="99"/>
          </w:rPr>
          <w:t>2014</w:t>
        </w:r>
      </w:hyperlink>
      <w:r>
        <w:rPr>
          <w:color w:val="878787" w:themeColor="text2" w:themeTint="99"/>
        </w:rPr>
        <w:t xml:space="preserve">, </w:t>
      </w:r>
      <w:hyperlink r:id="rId6">
        <w:r>
          <w:rPr>
            <w:color w:val="878787" w:themeColor="text2" w:themeTint="99"/>
          </w:rPr>
          <w:t>article </w:t>
        </w:r>
        <w:r w:rsidRPr="00C44B54">
          <w:rPr>
            <w:color w:val="878787" w:themeColor="text2" w:themeTint="99"/>
          </w:rPr>
          <w:t>110</w:t>
        </w:r>
        <w:r>
          <w:rPr>
            <w:color w:val="878787" w:themeColor="text2" w:themeTint="99"/>
          </w:rPr>
          <w:t xml:space="preserve"> du règlement (UE) nº </w:t>
        </w:r>
        <w:r w:rsidRPr="00C44B54">
          <w:rPr>
            <w:color w:val="878787" w:themeColor="text2" w:themeTint="99"/>
          </w:rPr>
          <w:t>1306</w:t>
        </w:r>
        <w:r>
          <w:rPr>
            <w:color w:val="878787" w:themeColor="text2" w:themeTint="99"/>
          </w:rPr>
          <w:t>/</w:t>
        </w:r>
        <w:r w:rsidRPr="00C44B54">
          <w:rPr>
            <w:color w:val="878787" w:themeColor="text2" w:themeTint="99"/>
          </w:rPr>
          <w:t>2013</w:t>
        </w:r>
        <w:r>
          <w:rPr>
            <w:color w:val="878787" w:themeColor="text2" w:themeTint="99"/>
          </w:rPr>
          <w:t>,</w:t>
        </w:r>
      </w:hyperlink>
      <w:r>
        <w:rPr>
          <w:color w:val="878787" w:themeColor="text2" w:themeTint="99"/>
        </w:rPr>
        <w:t xml:space="preserve"> </w:t>
      </w:r>
      <w:hyperlink r:id="rId7">
        <w:r>
          <w:rPr>
            <w:color w:val="878787" w:themeColor="text2" w:themeTint="99"/>
          </w:rPr>
          <w:t>article </w:t>
        </w:r>
        <w:r w:rsidRPr="00C44B54">
          <w:rPr>
            <w:color w:val="878787" w:themeColor="text2" w:themeTint="99"/>
          </w:rPr>
          <w:t>1</w:t>
        </w:r>
        <w:r>
          <w:rPr>
            <w:color w:val="878787" w:themeColor="text2" w:themeTint="99"/>
          </w:rPr>
          <w:t>, point a) et annexe I, du règlement (UE) nº </w:t>
        </w:r>
        <w:r w:rsidRPr="00C44B54">
          <w:rPr>
            <w:color w:val="878787" w:themeColor="text2" w:themeTint="99"/>
          </w:rPr>
          <w:t>834</w:t>
        </w:r>
        <w:r>
          <w:rPr>
            <w:color w:val="878787" w:themeColor="text2" w:themeTint="99"/>
          </w:rPr>
          <w:t>/</w:t>
        </w:r>
        <w:r w:rsidRPr="00C44B54">
          <w:rPr>
            <w:color w:val="878787" w:themeColor="text2" w:themeTint="99"/>
          </w:rPr>
          <w:t>2014</w:t>
        </w:r>
      </w:hyperlink>
      <w:r>
        <w:rPr>
          <w:color w:val="878787" w:themeColor="text2" w:themeTint="99"/>
        </w:rPr>
        <w:t xml:space="preserve">, </w:t>
      </w:r>
      <w:hyperlink r:id="rId8">
        <w:r>
          <w:rPr>
            <w:color w:val="878787" w:themeColor="text2" w:themeTint="99"/>
          </w:rPr>
          <w:t>article </w:t>
        </w:r>
        <w:r w:rsidRPr="00C44B54">
          <w:rPr>
            <w:color w:val="878787" w:themeColor="text2" w:themeTint="99"/>
          </w:rPr>
          <w:t>14</w:t>
        </w:r>
        <w:r>
          <w:rPr>
            <w:color w:val="878787" w:themeColor="text2" w:themeTint="99"/>
          </w:rPr>
          <w:t xml:space="preserve"> et annexes IV, V, VI et VII, du règlement (UE) nº </w:t>
        </w:r>
        <w:r w:rsidRPr="00C44B54">
          <w:rPr>
            <w:color w:val="878787" w:themeColor="text2" w:themeTint="99"/>
          </w:rPr>
          <w:t>808</w:t>
        </w:r>
        <w:r>
          <w:rPr>
            <w:color w:val="878787" w:themeColor="text2" w:themeTint="99"/>
          </w:rPr>
          <w:t>/</w:t>
        </w:r>
        <w:r w:rsidRPr="00C44B54">
          <w:rPr>
            <w:color w:val="878787" w:themeColor="text2" w:themeTint="99"/>
          </w:rPr>
          <w:t>2014</w:t>
        </w:r>
      </w:hyperlink>
      <w:r>
        <w:rPr>
          <w:color w:val="878787" w:themeColor="text2" w:themeTint="99"/>
        </w:rPr>
        <w:t>.</w:t>
      </w:r>
    </w:p>
  </w:footnote>
  <w:footnote w:id="9">
    <w:p w:rsidR="00471D4A" w:rsidRPr="003563F4" w:rsidRDefault="00471D4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Article </w:t>
      </w:r>
      <w:r w:rsidRPr="00C44B54">
        <w:rPr>
          <w:color w:val="878787" w:themeColor="text2" w:themeTint="99"/>
        </w:rPr>
        <w:t>54</w:t>
      </w:r>
      <w:r>
        <w:rPr>
          <w:color w:val="878787" w:themeColor="text2" w:themeTint="99"/>
        </w:rPr>
        <w:t xml:space="preserve"> du règlement (UE) nº </w:t>
      </w:r>
      <w:r w:rsidRPr="00C44B54">
        <w:rPr>
          <w:color w:val="878787" w:themeColor="text2" w:themeTint="99"/>
        </w:rPr>
        <w:t>1303</w:t>
      </w:r>
      <w:r>
        <w:rPr>
          <w:color w:val="878787" w:themeColor="text2" w:themeTint="99"/>
        </w:rPr>
        <w:t>/</w:t>
      </w:r>
      <w:r w:rsidRPr="00C44B54">
        <w:rPr>
          <w:color w:val="878787" w:themeColor="text2" w:themeTint="99"/>
        </w:rPr>
        <w:t>2013</w:t>
      </w:r>
      <w:r>
        <w:rPr>
          <w:color w:val="878787" w:themeColor="text2" w:themeTint="99"/>
        </w:rPr>
        <w:t>.</w:t>
      </w:r>
    </w:p>
  </w:footnote>
  <w:footnote w:id="10">
    <w:p w:rsidR="00471D4A" w:rsidRPr="003563F4" w:rsidRDefault="00471D4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Article </w:t>
      </w:r>
      <w:r w:rsidRPr="00C44B54">
        <w:rPr>
          <w:color w:val="878787" w:themeColor="text2" w:themeTint="99"/>
        </w:rPr>
        <w:t>56</w:t>
      </w:r>
      <w:r>
        <w:rPr>
          <w:color w:val="878787" w:themeColor="text2" w:themeTint="99"/>
        </w:rPr>
        <w:t xml:space="preserve"> du règlement (UE) nº </w:t>
      </w:r>
      <w:r w:rsidRPr="00C44B54">
        <w:rPr>
          <w:color w:val="878787" w:themeColor="text2" w:themeTint="99"/>
        </w:rPr>
        <w:t>1303</w:t>
      </w:r>
      <w:r>
        <w:rPr>
          <w:color w:val="878787" w:themeColor="text2" w:themeTint="99"/>
        </w:rPr>
        <w:t>/</w:t>
      </w:r>
      <w:r w:rsidRPr="00C44B54">
        <w:rPr>
          <w:color w:val="878787" w:themeColor="text2" w:themeTint="99"/>
        </w:rPr>
        <w:t>2013</w:t>
      </w:r>
      <w:r>
        <w:rPr>
          <w:color w:val="878787" w:themeColor="text2" w:themeTint="99"/>
        </w:rPr>
        <w:t>.</w:t>
      </w:r>
    </w:p>
  </w:footnote>
  <w:footnote w:id="11">
    <w:p w:rsidR="00471D4A" w:rsidRPr="003563F4" w:rsidRDefault="00471D4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Article </w:t>
      </w:r>
      <w:r w:rsidRPr="00C44B54">
        <w:rPr>
          <w:color w:val="878787" w:themeColor="text2" w:themeTint="99"/>
        </w:rPr>
        <w:t>110</w:t>
      </w:r>
      <w:r>
        <w:rPr>
          <w:color w:val="878787" w:themeColor="text2" w:themeTint="99"/>
        </w:rPr>
        <w:t xml:space="preserve"> du règlement (UE) nº </w:t>
      </w:r>
      <w:r w:rsidRPr="00C44B54">
        <w:rPr>
          <w:color w:val="878787" w:themeColor="text2" w:themeTint="99"/>
        </w:rPr>
        <w:t>1306</w:t>
      </w:r>
      <w:r>
        <w:rPr>
          <w:color w:val="878787" w:themeColor="text2" w:themeTint="99"/>
        </w:rPr>
        <w:t>/</w:t>
      </w:r>
      <w:r w:rsidRPr="00C44B54">
        <w:rPr>
          <w:color w:val="878787" w:themeColor="text2" w:themeTint="99"/>
        </w:rPr>
        <w:t>2013</w:t>
      </w:r>
      <w:r>
        <w:rPr>
          <w:color w:val="878787" w:themeColor="text2" w:themeTint="99"/>
        </w:rPr>
        <w:t>.</w:t>
      </w:r>
    </w:p>
  </w:footnote>
  <w:footnote w:id="12">
    <w:p w:rsidR="00471D4A" w:rsidRPr="003563F4" w:rsidRDefault="00471D4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Article </w:t>
      </w:r>
      <w:r w:rsidRPr="00C44B54">
        <w:rPr>
          <w:color w:val="878787" w:themeColor="text2" w:themeTint="99"/>
        </w:rPr>
        <w:t>110</w:t>
      </w:r>
      <w:r>
        <w:rPr>
          <w:color w:val="878787" w:themeColor="text2" w:themeTint="99"/>
        </w:rPr>
        <w:t>, paragraphe </w:t>
      </w:r>
      <w:r w:rsidRPr="00C44B54">
        <w:rPr>
          <w:color w:val="878787" w:themeColor="text2" w:themeTint="99"/>
        </w:rPr>
        <w:t>3</w:t>
      </w:r>
      <w:r>
        <w:rPr>
          <w:color w:val="878787" w:themeColor="text2" w:themeTint="99"/>
        </w:rPr>
        <w:t xml:space="preserve"> et article </w:t>
      </w:r>
      <w:r w:rsidRPr="00C44B54">
        <w:rPr>
          <w:color w:val="878787" w:themeColor="text2" w:themeTint="99"/>
        </w:rPr>
        <w:t>110</w:t>
      </w:r>
      <w:r>
        <w:rPr>
          <w:color w:val="878787" w:themeColor="text2" w:themeTint="99"/>
        </w:rPr>
        <w:t>, paragraphe </w:t>
      </w:r>
      <w:r w:rsidRPr="00C44B54">
        <w:rPr>
          <w:color w:val="878787" w:themeColor="text2" w:themeTint="99"/>
        </w:rPr>
        <w:t>4</w:t>
      </w:r>
      <w:r>
        <w:rPr>
          <w:color w:val="878787" w:themeColor="text2" w:themeTint="99"/>
        </w:rPr>
        <w:t>, du règlement (UE) nº </w:t>
      </w:r>
      <w:r w:rsidRPr="00C44B54">
        <w:rPr>
          <w:color w:val="878787" w:themeColor="text2" w:themeTint="99"/>
        </w:rPr>
        <w:t>1306</w:t>
      </w:r>
      <w:r>
        <w:rPr>
          <w:color w:val="878787" w:themeColor="text2" w:themeTint="99"/>
        </w:rPr>
        <w:t>/</w:t>
      </w:r>
      <w:r w:rsidRPr="00C44B54">
        <w:rPr>
          <w:color w:val="878787" w:themeColor="text2" w:themeTint="99"/>
        </w:rPr>
        <w:t>2013</w:t>
      </w:r>
      <w:r>
        <w:rPr>
          <w:color w:val="878787" w:themeColor="text2" w:themeTint="99"/>
        </w:rPr>
        <w:t>.</w:t>
      </w:r>
    </w:p>
  </w:footnote>
  <w:footnote w:id="13">
    <w:p w:rsidR="00471D4A" w:rsidRPr="003563F4" w:rsidRDefault="00471D4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Articles </w:t>
      </w:r>
      <w:r w:rsidRPr="00C44B54">
        <w:rPr>
          <w:color w:val="878787" w:themeColor="text2" w:themeTint="99"/>
        </w:rPr>
        <w:t>67</w:t>
      </w:r>
      <w:r>
        <w:rPr>
          <w:color w:val="878787" w:themeColor="text2" w:themeTint="99"/>
        </w:rPr>
        <w:t xml:space="preserve"> et </w:t>
      </w:r>
      <w:r w:rsidRPr="00C44B54">
        <w:rPr>
          <w:color w:val="878787" w:themeColor="text2" w:themeTint="99"/>
        </w:rPr>
        <w:t>68</w:t>
      </w:r>
      <w:r>
        <w:rPr>
          <w:color w:val="878787" w:themeColor="text2" w:themeTint="99"/>
        </w:rPr>
        <w:t xml:space="preserve"> du règlement (UE) nº </w:t>
      </w:r>
      <w:r w:rsidRPr="00C44B54">
        <w:rPr>
          <w:color w:val="878787" w:themeColor="text2" w:themeTint="99"/>
        </w:rPr>
        <w:t>1305</w:t>
      </w:r>
      <w:r>
        <w:rPr>
          <w:color w:val="878787" w:themeColor="text2" w:themeTint="99"/>
        </w:rPr>
        <w:t>/</w:t>
      </w:r>
      <w:r w:rsidRPr="00C44B54">
        <w:rPr>
          <w:color w:val="878787" w:themeColor="text2" w:themeTint="99"/>
        </w:rPr>
        <w:t>2013</w:t>
      </w:r>
      <w:r>
        <w:rPr>
          <w:color w:val="878787" w:themeColor="text2" w:themeTint="99"/>
        </w:rPr>
        <w:t>.</w:t>
      </w:r>
    </w:p>
  </w:footnote>
  <w:footnote w:id="14">
    <w:p w:rsidR="00471D4A" w:rsidRPr="00E53246" w:rsidRDefault="00471D4A" w:rsidP="001C2076">
      <w:pPr>
        <w:pStyle w:val="FootnoteText"/>
      </w:pPr>
      <w:r>
        <w:rPr>
          <w:rStyle w:val="FootnoteReference"/>
          <w:color w:val="878787" w:themeColor="text2" w:themeTint="99"/>
        </w:rPr>
        <w:footnoteRef/>
      </w:r>
      <w:r>
        <w:rPr>
          <w:color w:val="878787" w:themeColor="text2" w:themeTint="99"/>
        </w:rPr>
        <w:t xml:space="preserve"> Article </w:t>
      </w:r>
      <w:r w:rsidRPr="00C44B54">
        <w:rPr>
          <w:color w:val="878787" w:themeColor="text2" w:themeTint="99"/>
        </w:rPr>
        <w:t>69</w:t>
      </w:r>
      <w:r>
        <w:rPr>
          <w:color w:val="878787" w:themeColor="text2" w:themeTint="99"/>
        </w:rPr>
        <w:t xml:space="preserve"> du règlement (UE) nº </w:t>
      </w:r>
      <w:r w:rsidRPr="00C44B54">
        <w:rPr>
          <w:color w:val="878787" w:themeColor="text2" w:themeTint="99"/>
        </w:rPr>
        <w:t>1305</w:t>
      </w:r>
      <w:r>
        <w:rPr>
          <w:color w:val="878787" w:themeColor="text2" w:themeTint="99"/>
        </w:rPr>
        <w:t>/</w:t>
      </w:r>
      <w:r w:rsidRPr="00C44B54">
        <w:rPr>
          <w:color w:val="878787" w:themeColor="text2" w:themeTint="99"/>
        </w:rPr>
        <w:t>2013</w:t>
      </w:r>
      <w:r>
        <w:rPr>
          <w:color w:val="878787" w:themeColor="text2" w:themeTint="99"/>
        </w:rPr>
        <w:t>.</w:t>
      </w:r>
    </w:p>
  </w:footnote>
  <w:footnote w:id="15">
    <w:p w:rsidR="00471D4A" w:rsidRPr="003750F8" w:rsidRDefault="00471D4A" w:rsidP="00693C0D">
      <w:pPr>
        <w:pStyle w:val="FootnoteText"/>
        <w:rPr>
          <w:color w:val="878787" w:themeColor="text2" w:themeTint="99"/>
          <w:lang w:val="en-GB"/>
        </w:rPr>
      </w:pPr>
      <w:r>
        <w:rPr>
          <w:rStyle w:val="FootnoteReference"/>
          <w:i w:val="0"/>
          <w:color w:val="878787" w:themeColor="text2" w:themeTint="99"/>
          <w:position w:val="0"/>
        </w:rPr>
        <w:footnoteRef/>
      </w:r>
      <w:r w:rsidRPr="003750F8">
        <w:rPr>
          <w:color w:val="878787" w:themeColor="text2" w:themeTint="99"/>
          <w:lang w:val="en-GB"/>
        </w:rPr>
        <w:t xml:space="preserve"> </w:t>
      </w:r>
      <w:hyperlink r:id="rId9">
        <w:r w:rsidRPr="003750F8">
          <w:rPr>
            <w:color w:val="878787" w:themeColor="text2" w:themeTint="99"/>
            <w:lang w:val="en-GB"/>
          </w:rPr>
          <w:t xml:space="preserve"> Technical Handbook on the Monitoring and Evaluation of the Common Agriculture Policy </w:t>
        </w:r>
        <w:r w:rsidRPr="00C44B54">
          <w:rPr>
            <w:color w:val="878787" w:themeColor="text2" w:themeTint="99"/>
            <w:lang w:val="en-GB"/>
          </w:rPr>
          <w:t>2014</w:t>
        </w:r>
        <w:r w:rsidRPr="003750F8">
          <w:rPr>
            <w:color w:val="878787" w:themeColor="text2" w:themeTint="99"/>
            <w:lang w:val="en-GB"/>
          </w:rPr>
          <w:t>-</w:t>
        </w:r>
        <w:r w:rsidRPr="00C44B54">
          <w:rPr>
            <w:color w:val="878787" w:themeColor="text2" w:themeTint="99"/>
            <w:lang w:val="en-GB"/>
          </w:rPr>
          <w:t>2020</w:t>
        </w:r>
        <w:r w:rsidRPr="003750F8">
          <w:rPr>
            <w:color w:val="878787" w:themeColor="text2" w:themeTint="99"/>
            <w:lang w:val="en-GB"/>
          </w:rPr>
          <w:t xml:space="preserve">, Commission </w:t>
        </w:r>
        <w:proofErr w:type="spellStart"/>
        <w:r w:rsidRPr="003750F8">
          <w:rPr>
            <w:color w:val="878787" w:themeColor="text2" w:themeTint="99"/>
            <w:lang w:val="en-GB"/>
          </w:rPr>
          <w:t>européenne</w:t>
        </w:r>
        <w:proofErr w:type="spellEnd"/>
        <w:r w:rsidRPr="003750F8">
          <w:rPr>
            <w:color w:val="878787" w:themeColor="text2" w:themeTint="99"/>
            <w:lang w:val="en-GB"/>
          </w:rPr>
          <w:t xml:space="preserve">, </w:t>
        </w:r>
        <w:proofErr w:type="spellStart"/>
        <w:r w:rsidRPr="003750F8">
          <w:rPr>
            <w:color w:val="878787" w:themeColor="text2" w:themeTint="99"/>
            <w:lang w:val="en-GB"/>
          </w:rPr>
          <w:t>juin</w:t>
        </w:r>
        <w:proofErr w:type="spellEnd"/>
        <w:r w:rsidRPr="003750F8">
          <w:rPr>
            <w:color w:val="878787" w:themeColor="text2" w:themeTint="99"/>
            <w:lang w:val="en-GB"/>
          </w:rPr>
          <w:t> </w:t>
        </w:r>
        <w:r w:rsidRPr="00C44B54">
          <w:rPr>
            <w:color w:val="878787" w:themeColor="text2" w:themeTint="99"/>
            <w:lang w:val="en-GB"/>
          </w:rPr>
          <w:t>2017</w:t>
        </w:r>
      </w:hyperlink>
      <w:r w:rsidRPr="003750F8">
        <w:rPr>
          <w:rStyle w:val="Hyperlink"/>
          <w:color w:val="878787" w:themeColor="text2" w:themeTint="99"/>
          <w:sz w:val="16"/>
          <w:u w:val="none"/>
          <w:lang w:val="en-GB"/>
        </w:rPr>
        <w:t>.</w:t>
      </w:r>
    </w:p>
  </w:footnote>
  <w:footnote w:id="16">
    <w:p w:rsidR="00471D4A" w:rsidRPr="003563F4" w:rsidRDefault="00471D4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Article </w:t>
      </w:r>
      <w:r w:rsidRPr="00C44B54">
        <w:rPr>
          <w:color w:val="878787" w:themeColor="text2" w:themeTint="99"/>
        </w:rPr>
        <w:t>14</w:t>
      </w:r>
      <w:r>
        <w:rPr>
          <w:color w:val="878787" w:themeColor="text2" w:themeTint="99"/>
        </w:rPr>
        <w:t xml:space="preserve"> du règlement (UE) nº </w:t>
      </w:r>
      <w:r w:rsidRPr="00C44B54">
        <w:rPr>
          <w:color w:val="878787" w:themeColor="text2" w:themeTint="99"/>
        </w:rPr>
        <w:t>808</w:t>
      </w:r>
      <w:r>
        <w:rPr>
          <w:color w:val="878787" w:themeColor="text2" w:themeTint="99"/>
        </w:rPr>
        <w:t>/</w:t>
      </w:r>
      <w:r w:rsidRPr="00C44B54">
        <w:rPr>
          <w:color w:val="878787" w:themeColor="text2" w:themeTint="99"/>
        </w:rPr>
        <w:t>2014</w:t>
      </w:r>
      <w:r>
        <w:rPr>
          <w:color w:val="878787" w:themeColor="text2" w:themeTint="99"/>
        </w:rPr>
        <w:t>.</w:t>
      </w:r>
    </w:p>
  </w:footnote>
  <w:footnote w:id="17">
    <w:p w:rsidR="00471D4A" w:rsidRPr="003563F4" w:rsidRDefault="00471D4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Annexe IV du règlement (UE) nº </w:t>
      </w:r>
      <w:r w:rsidRPr="00C44B54">
        <w:rPr>
          <w:color w:val="878787" w:themeColor="text2" w:themeTint="99"/>
        </w:rPr>
        <w:t>808</w:t>
      </w:r>
      <w:r>
        <w:rPr>
          <w:color w:val="878787" w:themeColor="text2" w:themeTint="99"/>
        </w:rPr>
        <w:t>/</w:t>
      </w:r>
      <w:r w:rsidRPr="00C44B54">
        <w:rPr>
          <w:color w:val="878787" w:themeColor="text2" w:themeTint="99"/>
        </w:rPr>
        <w:t>2014</w:t>
      </w:r>
      <w:r>
        <w:rPr>
          <w:color w:val="878787" w:themeColor="text2" w:themeTint="99"/>
        </w:rPr>
        <w:t>.</w:t>
      </w:r>
    </w:p>
  </w:footnote>
  <w:footnote w:id="18">
    <w:p w:rsidR="00471D4A" w:rsidRPr="003563F4" w:rsidRDefault="00471D4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Annexe V du règlement (UE) nº </w:t>
      </w:r>
      <w:r w:rsidRPr="00C44B54">
        <w:rPr>
          <w:color w:val="878787" w:themeColor="text2" w:themeTint="99"/>
        </w:rPr>
        <w:t>808</w:t>
      </w:r>
      <w:r>
        <w:rPr>
          <w:color w:val="878787" w:themeColor="text2" w:themeTint="99"/>
        </w:rPr>
        <w:t>/</w:t>
      </w:r>
      <w:r w:rsidRPr="00C44B54">
        <w:rPr>
          <w:color w:val="878787" w:themeColor="text2" w:themeTint="99"/>
        </w:rPr>
        <w:t>2014</w:t>
      </w:r>
      <w:r>
        <w:rPr>
          <w:color w:val="878787" w:themeColor="text2" w:themeTint="99"/>
        </w:rPr>
        <w:t>.</w:t>
      </w:r>
    </w:p>
  </w:footnote>
  <w:footnote w:id="19">
    <w:p w:rsidR="00471D4A" w:rsidRPr="003563F4" w:rsidRDefault="00471D4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Annexe VII, point </w:t>
      </w:r>
      <w:r w:rsidRPr="00C44B54">
        <w:rPr>
          <w:color w:val="878787" w:themeColor="text2" w:themeTint="99"/>
        </w:rPr>
        <w:t>2</w:t>
      </w:r>
      <w:r>
        <w:rPr>
          <w:color w:val="878787" w:themeColor="text2" w:themeTint="99"/>
        </w:rPr>
        <w:t>, du règlement (UE) nº </w:t>
      </w:r>
      <w:r w:rsidRPr="00C44B54">
        <w:rPr>
          <w:color w:val="878787" w:themeColor="text2" w:themeTint="99"/>
        </w:rPr>
        <w:t>808</w:t>
      </w:r>
      <w:r>
        <w:rPr>
          <w:color w:val="878787" w:themeColor="text2" w:themeTint="99"/>
        </w:rPr>
        <w:t>/</w:t>
      </w:r>
      <w:r w:rsidRPr="00C44B54">
        <w:rPr>
          <w:color w:val="878787" w:themeColor="text2" w:themeTint="99"/>
        </w:rPr>
        <w:t>2014</w:t>
      </w:r>
      <w:r>
        <w:rPr>
          <w:color w:val="878787" w:themeColor="text2" w:themeTint="99"/>
        </w:rPr>
        <w:t>.</w:t>
      </w:r>
    </w:p>
  </w:footnote>
  <w:footnote w:id="20">
    <w:p w:rsidR="00471D4A" w:rsidRPr="003563F4" w:rsidRDefault="00471D4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Annexe I, partie I, point </w:t>
      </w:r>
      <w:r w:rsidRPr="00C44B54">
        <w:rPr>
          <w:color w:val="878787" w:themeColor="text2" w:themeTint="99"/>
        </w:rPr>
        <w:t>9</w:t>
      </w:r>
      <w:r>
        <w:rPr>
          <w:color w:val="878787" w:themeColor="text2" w:themeTint="99"/>
        </w:rPr>
        <w:t>, du règlement (UE) nº </w:t>
      </w:r>
      <w:r w:rsidRPr="00C44B54">
        <w:rPr>
          <w:color w:val="878787" w:themeColor="text2" w:themeTint="99"/>
        </w:rPr>
        <w:t>808</w:t>
      </w:r>
      <w:r>
        <w:rPr>
          <w:color w:val="878787" w:themeColor="text2" w:themeTint="99"/>
        </w:rPr>
        <w:t>/</w:t>
      </w:r>
      <w:r w:rsidRPr="00C44B54">
        <w:rPr>
          <w:color w:val="878787" w:themeColor="text2" w:themeTint="99"/>
        </w:rPr>
        <w:t>2014</w:t>
      </w:r>
      <w:r>
        <w:rPr>
          <w:color w:val="878787" w:themeColor="text2" w:themeTint="99"/>
        </w:rPr>
        <w:t>.</w:t>
      </w:r>
    </w:p>
  </w:footnote>
  <w:footnote w:id="21">
    <w:p w:rsidR="00471D4A" w:rsidRPr="003563F4" w:rsidRDefault="00471D4A"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Annexe VII, point </w:t>
      </w:r>
      <w:r w:rsidRPr="00C44B54">
        <w:rPr>
          <w:color w:val="878787" w:themeColor="text2" w:themeTint="99"/>
        </w:rPr>
        <w:t>7</w:t>
      </w:r>
      <w:r>
        <w:rPr>
          <w:color w:val="878787" w:themeColor="text2" w:themeTint="99"/>
        </w:rPr>
        <w:t>, du règlement (UE) nº </w:t>
      </w:r>
      <w:r w:rsidRPr="00C44B54">
        <w:rPr>
          <w:color w:val="878787" w:themeColor="text2" w:themeTint="99"/>
        </w:rPr>
        <w:t>808</w:t>
      </w:r>
      <w:r>
        <w:rPr>
          <w:color w:val="878787" w:themeColor="text2" w:themeTint="99"/>
        </w:rPr>
        <w:t>/</w:t>
      </w:r>
      <w:r w:rsidRPr="00C44B54">
        <w:rPr>
          <w:color w:val="878787" w:themeColor="text2" w:themeTint="99"/>
        </w:rPr>
        <w:t>2014</w:t>
      </w:r>
      <w:r>
        <w:rPr>
          <w:color w:val="878787" w:themeColor="text2" w:themeTint="99"/>
        </w:rPr>
        <w:t>.</w:t>
      </w:r>
    </w:p>
  </w:footnote>
  <w:footnote w:id="22">
    <w:p w:rsidR="00471D4A" w:rsidRPr="00E53246" w:rsidRDefault="00471D4A" w:rsidP="00FC0340">
      <w:pPr>
        <w:pStyle w:val="FootnoteText"/>
      </w:pPr>
      <w:r>
        <w:rPr>
          <w:rStyle w:val="FootnoteReference"/>
          <w:color w:val="878787" w:themeColor="text2" w:themeTint="99"/>
        </w:rPr>
        <w:footnoteRef/>
      </w:r>
      <w:r>
        <w:rPr>
          <w:color w:val="878787" w:themeColor="text2" w:themeTint="99"/>
        </w:rPr>
        <w:t xml:space="preserve"> Annexe VII du règlement (UE) nº </w:t>
      </w:r>
      <w:r w:rsidRPr="00C44B54">
        <w:rPr>
          <w:color w:val="878787" w:themeColor="text2" w:themeTint="99"/>
        </w:rPr>
        <w:t>808</w:t>
      </w:r>
      <w:r>
        <w:rPr>
          <w:color w:val="878787" w:themeColor="text2" w:themeTint="99"/>
        </w:rPr>
        <w:t>/</w:t>
      </w:r>
      <w:r w:rsidRPr="00C44B54">
        <w:rPr>
          <w:color w:val="878787" w:themeColor="text2" w:themeTint="99"/>
        </w:rPr>
        <w:t>2014</w:t>
      </w:r>
      <w:r>
        <w:rPr>
          <w:color w:val="878787" w:themeColor="text2" w:themeTint="99"/>
        </w:rPr>
        <w:t>.</w:t>
      </w:r>
    </w:p>
  </w:footnote>
  <w:footnote w:id="23">
    <w:p w:rsidR="00471D4A" w:rsidRPr="003750F8" w:rsidRDefault="00471D4A">
      <w:pPr>
        <w:pStyle w:val="FootnoteText"/>
        <w:rPr>
          <w:lang w:val="en-GB"/>
        </w:rPr>
      </w:pPr>
      <w:r>
        <w:rPr>
          <w:rStyle w:val="FootnoteReference"/>
          <w:color w:val="878787" w:themeColor="text2" w:themeTint="99"/>
        </w:rPr>
        <w:footnoteRef/>
      </w:r>
      <w:r w:rsidRPr="003750F8">
        <w:rPr>
          <w:color w:val="878787" w:themeColor="text2" w:themeTint="99"/>
          <w:lang w:val="en-GB"/>
        </w:rPr>
        <w:t xml:space="preserve"> </w:t>
      </w:r>
      <w:hyperlink r:id="rId10">
        <w:r w:rsidRPr="003750F8">
          <w:rPr>
            <w:color w:val="878787" w:themeColor="text2" w:themeTint="99"/>
            <w:lang w:val="en-GB"/>
          </w:rPr>
          <w:t xml:space="preserve"> Technical Handbook on the Monitoring and Evaluation of the Common Agriculture Policy </w:t>
        </w:r>
        <w:r w:rsidRPr="00C44B54">
          <w:rPr>
            <w:color w:val="878787" w:themeColor="text2" w:themeTint="99"/>
            <w:lang w:val="en-GB"/>
          </w:rPr>
          <w:t>2014</w:t>
        </w:r>
        <w:r w:rsidRPr="003750F8">
          <w:rPr>
            <w:color w:val="878787" w:themeColor="text2" w:themeTint="99"/>
            <w:lang w:val="en-GB"/>
          </w:rPr>
          <w:t>-</w:t>
        </w:r>
        <w:r w:rsidRPr="00C44B54">
          <w:rPr>
            <w:color w:val="878787" w:themeColor="text2" w:themeTint="99"/>
            <w:lang w:val="en-GB"/>
          </w:rPr>
          <w:t>2020</w:t>
        </w:r>
        <w:r w:rsidRPr="003750F8">
          <w:rPr>
            <w:color w:val="878787" w:themeColor="text2" w:themeTint="99"/>
            <w:lang w:val="en-GB"/>
          </w:rPr>
          <w:t xml:space="preserve">, Commission </w:t>
        </w:r>
        <w:proofErr w:type="spellStart"/>
        <w:r w:rsidRPr="003750F8">
          <w:rPr>
            <w:color w:val="878787" w:themeColor="text2" w:themeTint="99"/>
            <w:lang w:val="en-GB"/>
          </w:rPr>
          <w:t>européenne</w:t>
        </w:r>
        <w:proofErr w:type="spellEnd"/>
        <w:r w:rsidRPr="003750F8">
          <w:rPr>
            <w:color w:val="878787" w:themeColor="text2" w:themeTint="99"/>
            <w:lang w:val="en-GB"/>
          </w:rPr>
          <w:t xml:space="preserve">, </w:t>
        </w:r>
        <w:proofErr w:type="spellStart"/>
        <w:r w:rsidRPr="003750F8">
          <w:rPr>
            <w:color w:val="878787" w:themeColor="text2" w:themeTint="99"/>
            <w:lang w:val="en-GB"/>
          </w:rPr>
          <w:t>juin</w:t>
        </w:r>
        <w:proofErr w:type="spellEnd"/>
        <w:r w:rsidRPr="003750F8">
          <w:rPr>
            <w:color w:val="878787" w:themeColor="text2" w:themeTint="99"/>
            <w:lang w:val="en-GB"/>
          </w:rPr>
          <w:t> </w:t>
        </w:r>
        <w:r w:rsidRPr="00C44B54">
          <w:rPr>
            <w:color w:val="878787" w:themeColor="text2" w:themeTint="99"/>
            <w:lang w:val="en-GB"/>
          </w:rPr>
          <w:t>2017</w:t>
        </w:r>
      </w:hyperlink>
      <w:r w:rsidRPr="003750F8">
        <w:rPr>
          <w:rStyle w:val="Hyperlink"/>
          <w:color w:val="878787" w:themeColor="text2" w:themeTint="99"/>
          <w:sz w:val="16"/>
          <w:u w:val="none"/>
          <w:lang w:val="en-GB"/>
        </w:rPr>
        <w:t>.</w:t>
      </w:r>
    </w:p>
  </w:footnote>
  <w:footnote w:id="24">
    <w:p w:rsidR="00471D4A" w:rsidRPr="000D3DB8" w:rsidRDefault="00471D4A" w:rsidP="00176032">
      <w:pPr>
        <w:pStyle w:val="FootnoteText"/>
        <w:rPr>
          <w:rStyle w:val="Hyperlink"/>
          <w:sz w:val="16"/>
          <w:szCs w:val="16"/>
        </w:rPr>
      </w:pPr>
      <w:r>
        <w:rPr>
          <w:rStyle w:val="FootnoteReference"/>
          <w:color w:val="878787" w:themeColor="text2" w:themeTint="99"/>
        </w:rPr>
        <w:footnoteRef/>
      </w:r>
      <w:r>
        <w:rPr>
          <w:color w:val="878787" w:themeColor="text2" w:themeTint="99"/>
        </w:rPr>
        <w:t xml:space="preserve"> Consulter les lignes directrices </w:t>
      </w:r>
      <w:hyperlink r:id="rId11">
        <w:r>
          <w:rPr>
            <w:rStyle w:val="Hyperlink"/>
            <w:sz w:val="16"/>
          </w:rPr>
          <w:t>«Évaluation des résultats du PDR: Comment établir le rapport sur l’évaluation en </w:t>
        </w:r>
        <w:r w:rsidRPr="00C44B54">
          <w:rPr>
            <w:rStyle w:val="Hyperlink"/>
            <w:sz w:val="16"/>
          </w:rPr>
          <w:t>2017</w:t>
        </w:r>
        <w:r>
          <w:rPr>
            <w:rStyle w:val="Hyperlink"/>
            <w:sz w:val="16"/>
          </w:rPr>
          <w:t>»</w:t>
        </w:r>
      </w:hyperlink>
      <w:r>
        <w:t xml:space="preserve"> pour plus d’informations sur le cycle d’évaluation</w:t>
      </w:r>
      <w:r>
        <w:rPr>
          <w:rStyle w:val="Hyperlink"/>
          <w:sz w:val="16"/>
        </w:rPr>
        <w:t>.</w:t>
      </w:r>
    </w:p>
  </w:footnote>
  <w:footnote w:id="25">
    <w:p w:rsidR="00471D4A" w:rsidRPr="00E53246" w:rsidRDefault="00471D4A" w:rsidP="000D3DB8">
      <w:pPr>
        <w:pStyle w:val="FootnoteText"/>
      </w:pPr>
      <w:r>
        <w:rPr>
          <w:rStyle w:val="FootnoteReference"/>
          <w:color w:val="878787" w:themeColor="text2" w:themeTint="99"/>
        </w:rPr>
        <w:footnoteRef/>
      </w:r>
      <w:r>
        <w:t xml:space="preserve"> AG: autorité de gestion, CS: comité de suivi, OP: organisme payeur, EvU: unité d’évaluation (le cas échéant), GPE: groupe de pilotage «évaluation» (le cas échéant), évaluateurs (Ev), fournisseurs de données (DP) et autres parties prenantes pertinentes intervenant dans l’évaluation (O).</w:t>
      </w:r>
    </w:p>
  </w:footnote>
  <w:footnote w:id="26">
    <w:p w:rsidR="00471D4A" w:rsidRPr="00274AB7" w:rsidRDefault="00471D4A">
      <w:pPr>
        <w:pStyle w:val="FootnoteText"/>
      </w:pPr>
      <w:r>
        <w:rPr>
          <w:rStyle w:val="FootnoteReference"/>
          <w:color w:val="878787" w:themeColor="text2" w:themeTint="99"/>
        </w:rPr>
        <w:footnoteRef/>
      </w:r>
      <w:r>
        <w:rPr>
          <w:color w:val="878787" w:themeColor="text2" w:themeTint="99"/>
        </w:rPr>
        <w:t xml:space="preserve"> ENVIEVAL était un projet collaboratif de l’UE (convention de subvention nº </w:t>
      </w:r>
      <w:r w:rsidRPr="00C44B54">
        <w:rPr>
          <w:color w:val="878787" w:themeColor="text2" w:themeTint="99"/>
        </w:rPr>
        <w:t>312071</w:t>
      </w:r>
      <w:r>
        <w:rPr>
          <w:color w:val="878787" w:themeColor="text2" w:themeTint="99"/>
        </w:rPr>
        <w:t xml:space="preserve">) qui a bénéficié du financement du </w:t>
      </w:r>
      <w:r w:rsidRPr="00C44B54">
        <w:rPr>
          <w:color w:val="878787" w:themeColor="text2" w:themeTint="99"/>
        </w:rPr>
        <w:t>7</w:t>
      </w:r>
      <w:r>
        <w:rPr>
          <w:color w:val="878787" w:themeColor="text2" w:themeTint="99"/>
          <w:vertAlign w:val="superscript"/>
        </w:rPr>
        <w:t>e</w:t>
      </w:r>
      <w:r>
        <w:rPr>
          <w:color w:val="878787" w:themeColor="text2" w:themeTint="99"/>
        </w:rPr>
        <w:t> programme-cadre de l’Union européenne pour des actions de recherche, de développement technologique et de démonstration de janvier </w:t>
      </w:r>
      <w:r w:rsidRPr="00C44B54">
        <w:rPr>
          <w:color w:val="878787" w:themeColor="text2" w:themeTint="99"/>
        </w:rPr>
        <w:t>2013</w:t>
      </w:r>
      <w:r>
        <w:rPr>
          <w:color w:val="878787" w:themeColor="text2" w:themeTint="99"/>
        </w:rPr>
        <w:t xml:space="preserve"> à décembre </w:t>
      </w:r>
      <w:r w:rsidRPr="00C44B54">
        <w:rPr>
          <w:color w:val="878787" w:themeColor="text2" w:themeTint="99"/>
        </w:rPr>
        <w:t>2015</w:t>
      </w:r>
      <w:r>
        <w:rPr>
          <w:color w:val="878787" w:themeColor="text2" w:themeTint="99"/>
        </w:rPr>
        <w:t>.</w:t>
      </w:r>
    </w:p>
  </w:footnote>
  <w:footnote w:id="27">
    <w:p w:rsidR="00471D4A" w:rsidRPr="00E53246" w:rsidRDefault="00471D4A">
      <w:pPr>
        <w:pStyle w:val="FootnoteText"/>
      </w:pPr>
      <w:r>
        <w:rPr>
          <w:rStyle w:val="FootnoteReference"/>
          <w:color w:val="878787" w:themeColor="text2" w:themeTint="99"/>
        </w:rPr>
        <w:footnoteRef/>
      </w:r>
      <w:r w:rsidRPr="00471D4A">
        <w:rPr>
          <w:lang w:val="en-GB"/>
        </w:rPr>
        <w:t xml:space="preserve"> Methodological Handbook for the evaluation of environmental impacts of RDPs: Report D9.5, </w:t>
      </w:r>
      <w:proofErr w:type="spellStart"/>
      <w:r w:rsidRPr="00471D4A">
        <w:rPr>
          <w:lang w:val="en-GB"/>
        </w:rPr>
        <w:t>Projet</w:t>
      </w:r>
      <w:proofErr w:type="spellEnd"/>
      <w:r w:rsidRPr="00471D4A">
        <w:rPr>
          <w:lang w:val="en-GB"/>
        </w:rPr>
        <w:t xml:space="preserve"> ENVIEVAL (convention de subvention nº 312071). </w:t>
      </w:r>
      <w:proofErr w:type="spellStart"/>
      <w:r w:rsidRPr="00471D4A">
        <w:rPr>
          <w:lang w:val="en-GB"/>
        </w:rPr>
        <w:t>Bruxelles</w:t>
      </w:r>
      <w:proofErr w:type="spellEnd"/>
      <w:r w:rsidRPr="00471D4A">
        <w:rPr>
          <w:lang w:val="en-GB"/>
        </w:rPr>
        <w:t xml:space="preserve">: Commission </w:t>
      </w:r>
      <w:proofErr w:type="spellStart"/>
      <w:r w:rsidRPr="00471D4A">
        <w:rPr>
          <w:lang w:val="en-GB"/>
        </w:rPr>
        <w:t>européenne</w:t>
      </w:r>
      <w:proofErr w:type="spellEnd"/>
      <w:r w:rsidRPr="00471D4A">
        <w:rPr>
          <w:lang w:val="en-GB"/>
        </w:rPr>
        <w:t xml:space="preserve">, </w:t>
      </w:r>
      <w:proofErr w:type="spellStart"/>
      <w:r w:rsidRPr="00471D4A">
        <w:rPr>
          <w:lang w:val="en-GB"/>
        </w:rPr>
        <w:t>Morkvenas</w:t>
      </w:r>
      <w:proofErr w:type="spellEnd"/>
      <w:r w:rsidRPr="00471D4A">
        <w:rPr>
          <w:lang w:val="en-GB"/>
        </w:rPr>
        <w:t xml:space="preserve"> Z, </w:t>
      </w:r>
      <w:proofErr w:type="spellStart"/>
      <w:r w:rsidRPr="00471D4A">
        <w:rPr>
          <w:lang w:val="en-GB"/>
        </w:rPr>
        <w:t>Navickas</w:t>
      </w:r>
      <w:proofErr w:type="spellEnd"/>
      <w:r w:rsidRPr="00471D4A">
        <w:rPr>
          <w:lang w:val="en-GB"/>
        </w:rPr>
        <w:t xml:space="preserve"> K, </w:t>
      </w:r>
      <w:proofErr w:type="spellStart"/>
      <w:r w:rsidRPr="00471D4A">
        <w:rPr>
          <w:lang w:val="en-GB"/>
        </w:rPr>
        <w:t>Gulbinas</w:t>
      </w:r>
      <w:proofErr w:type="spellEnd"/>
      <w:r w:rsidRPr="00471D4A">
        <w:rPr>
          <w:lang w:val="en-GB"/>
        </w:rPr>
        <w:t xml:space="preserve"> J, </w:t>
      </w:r>
      <w:proofErr w:type="spellStart"/>
      <w:r w:rsidRPr="00471D4A">
        <w:rPr>
          <w:lang w:val="en-GB"/>
        </w:rPr>
        <w:t>Jefanovas</w:t>
      </w:r>
      <w:proofErr w:type="spellEnd"/>
      <w:r w:rsidRPr="00471D4A">
        <w:rPr>
          <w:lang w:val="en-GB"/>
        </w:rPr>
        <w:t xml:space="preserve"> A, Schwarz G, Wolff A, </w:t>
      </w:r>
      <w:proofErr w:type="spellStart"/>
      <w:r w:rsidRPr="00471D4A">
        <w:rPr>
          <w:lang w:val="en-GB"/>
        </w:rPr>
        <w:t>Offermann</w:t>
      </w:r>
      <w:proofErr w:type="spellEnd"/>
      <w:r w:rsidRPr="00471D4A">
        <w:rPr>
          <w:lang w:val="en-GB"/>
        </w:rPr>
        <w:t xml:space="preserve"> F, </w:t>
      </w:r>
      <w:proofErr w:type="spellStart"/>
      <w:r w:rsidRPr="00471D4A">
        <w:rPr>
          <w:lang w:val="en-GB"/>
        </w:rPr>
        <w:t>Osterburg</w:t>
      </w:r>
      <w:proofErr w:type="spellEnd"/>
      <w:r w:rsidRPr="00471D4A">
        <w:rPr>
          <w:lang w:val="en-GB"/>
        </w:rPr>
        <w:t xml:space="preserve"> B, </w:t>
      </w:r>
      <w:proofErr w:type="spellStart"/>
      <w:r w:rsidRPr="00471D4A">
        <w:rPr>
          <w:lang w:val="en-GB"/>
        </w:rPr>
        <w:t>Aalders</w:t>
      </w:r>
      <w:proofErr w:type="spellEnd"/>
      <w:r w:rsidRPr="00471D4A">
        <w:rPr>
          <w:lang w:val="en-GB"/>
        </w:rPr>
        <w:t xml:space="preserve"> I, Miller D, Morrice J, Vlahos G, </w:t>
      </w:r>
      <w:proofErr w:type="spellStart"/>
      <w:r w:rsidRPr="00471D4A">
        <w:rPr>
          <w:lang w:val="en-GB"/>
        </w:rPr>
        <w:t>Smyrniotopoulou</w:t>
      </w:r>
      <w:proofErr w:type="spellEnd"/>
      <w:r w:rsidRPr="00471D4A">
        <w:rPr>
          <w:lang w:val="en-GB"/>
        </w:rPr>
        <w:t xml:space="preserve"> A, </w:t>
      </w:r>
      <w:proofErr w:type="spellStart"/>
      <w:r w:rsidRPr="00471D4A">
        <w:rPr>
          <w:lang w:val="en-GB"/>
        </w:rPr>
        <w:t>Artell</w:t>
      </w:r>
      <w:proofErr w:type="spellEnd"/>
      <w:r w:rsidRPr="00471D4A">
        <w:rPr>
          <w:lang w:val="en-GB"/>
        </w:rPr>
        <w:t xml:space="preserve"> J, </w:t>
      </w:r>
      <w:proofErr w:type="spellStart"/>
      <w:r w:rsidRPr="00471D4A">
        <w:rPr>
          <w:lang w:val="en-GB"/>
        </w:rPr>
        <w:t>Aakkula</w:t>
      </w:r>
      <w:proofErr w:type="spellEnd"/>
      <w:r w:rsidRPr="00471D4A">
        <w:rPr>
          <w:lang w:val="en-GB"/>
        </w:rPr>
        <w:t xml:space="preserve"> J, </w:t>
      </w:r>
      <w:proofErr w:type="spellStart"/>
      <w:r w:rsidRPr="00471D4A">
        <w:rPr>
          <w:lang w:val="en-GB"/>
        </w:rPr>
        <w:t>Toikkanen</w:t>
      </w:r>
      <w:proofErr w:type="spellEnd"/>
      <w:r w:rsidRPr="00471D4A">
        <w:rPr>
          <w:lang w:val="en-GB"/>
        </w:rPr>
        <w:t xml:space="preserve"> H, </w:t>
      </w:r>
      <w:proofErr w:type="spellStart"/>
      <w:r w:rsidRPr="00471D4A">
        <w:rPr>
          <w:lang w:val="en-GB"/>
        </w:rPr>
        <w:t>Povellato</w:t>
      </w:r>
      <w:proofErr w:type="spellEnd"/>
      <w:r w:rsidRPr="00471D4A">
        <w:rPr>
          <w:lang w:val="en-GB"/>
        </w:rPr>
        <w:t xml:space="preserve"> A, </w:t>
      </w:r>
      <w:proofErr w:type="spellStart"/>
      <w:r w:rsidRPr="00471D4A">
        <w:rPr>
          <w:lang w:val="en-GB"/>
        </w:rPr>
        <w:t>Longhitano</w:t>
      </w:r>
      <w:proofErr w:type="spellEnd"/>
      <w:r w:rsidRPr="00471D4A">
        <w:rPr>
          <w:lang w:val="en-GB"/>
        </w:rPr>
        <w:t xml:space="preserve"> D, </w:t>
      </w:r>
      <w:proofErr w:type="spellStart"/>
      <w:r w:rsidRPr="00471D4A">
        <w:rPr>
          <w:lang w:val="en-GB"/>
        </w:rPr>
        <w:t>Lasorella</w:t>
      </w:r>
      <w:proofErr w:type="spellEnd"/>
      <w:r w:rsidRPr="00471D4A">
        <w:rPr>
          <w:lang w:val="en-GB"/>
        </w:rPr>
        <w:t xml:space="preserve"> V, </w:t>
      </w:r>
      <w:proofErr w:type="spellStart"/>
      <w:r w:rsidRPr="00471D4A">
        <w:rPr>
          <w:lang w:val="en-GB"/>
        </w:rPr>
        <w:t>Balazs</w:t>
      </w:r>
      <w:proofErr w:type="spellEnd"/>
      <w:r w:rsidRPr="00471D4A">
        <w:rPr>
          <w:lang w:val="en-GB"/>
        </w:rPr>
        <w:t xml:space="preserve"> K, et al. </w:t>
      </w:r>
      <w:r>
        <w:t>(</w:t>
      </w:r>
      <w:r w:rsidRPr="00C44B54">
        <w:t>2015</w:t>
      </w:r>
      <w:r>
        <w:t>), p. </w:t>
      </w:r>
      <w:r w:rsidRPr="00C44B54">
        <w:t>152</w:t>
      </w:r>
      <w:r>
        <w:t>.</w:t>
      </w:r>
    </w:p>
  </w:footnote>
  <w:footnote w:id="28">
    <w:p w:rsidR="00471D4A" w:rsidRPr="00E53246" w:rsidRDefault="00471D4A" w:rsidP="00820050">
      <w:pPr>
        <w:pStyle w:val="FootnoteText"/>
      </w:pPr>
      <w:r>
        <w:rPr>
          <w:rStyle w:val="FootnoteReference"/>
          <w:color w:val="878787" w:themeColor="text2" w:themeTint="99"/>
        </w:rPr>
        <w:footnoteRef/>
      </w:r>
      <w:r>
        <w:rPr>
          <w:color w:val="878787" w:themeColor="text2" w:themeTint="99"/>
        </w:rPr>
        <w:t xml:space="preserve"> </w:t>
      </w:r>
      <w:r>
        <w:t>Les étapes à suivre pour l’évaluation nette des incidences du PDR sont décrites plus en détail dans «</w:t>
      </w:r>
      <w:hyperlink r:id="rId12">
        <w:r>
          <w:rPr>
            <w:rStyle w:val="Hyperlink"/>
            <w:sz w:val="16"/>
          </w:rPr>
          <w:t xml:space="preserve">Guidelines for the ex post evaluation of </w:t>
        </w:r>
        <w:r w:rsidRPr="00C44B54">
          <w:rPr>
            <w:rStyle w:val="Hyperlink"/>
            <w:sz w:val="16"/>
          </w:rPr>
          <w:t>2007</w:t>
        </w:r>
        <w:r>
          <w:rPr>
            <w:rStyle w:val="Hyperlink"/>
            <w:sz w:val="16"/>
          </w:rPr>
          <w:t>-</w:t>
        </w:r>
        <w:r w:rsidRPr="00C44B54">
          <w:rPr>
            <w:rStyle w:val="Hyperlink"/>
            <w:sz w:val="16"/>
          </w:rPr>
          <w:t>2013</w:t>
        </w:r>
        <w:r>
          <w:rPr>
            <w:rStyle w:val="Hyperlink"/>
            <w:sz w:val="16"/>
          </w:rPr>
          <w:t xml:space="preserve"> RDPs</w:t>
        </w:r>
      </w:hyperlink>
      <w:r>
        <w:t>», aux chapitres </w:t>
      </w:r>
      <w:r w:rsidRPr="00C44B54">
        <w:t>4</w:t>
      </w:r>
      <w:r>
        <w:t>.</w:t>
      </w:r>
      <w:r w:rsidRPr="00C44B54">
        <w:t>2</w:t>
      </w:r>
      <w:r>
        <w:t>.</w:t>
      </w:r>
      <w:r w:rsidRPr="00C44B54">
        <w:t>3</w:t>
      </w:r>
      <w:r>
        <w:t xml:space="preserve"> et </w:t>
      </w:r>
      <w:r w:rsidRPr="00C44B54">
        <w:t>4</w:t>
      </w:r>
      <w:r>
        <w:t>.</w:t>
      </w:r>
      <w:r w:rsidRPr="00C44B54">
        <w:t>2</w:t>
      </w:r>
      <w:r>
        <w:t>.</w:t>
      </w:r>
      <w:r w:rsidRPr="00C44B54">
        <w:t>4</w:t>
      </w:r>
      <w:r>
        <w:t>.</w:t>
      </w:r>
    </w:p>
  </w:footnote>
  <w:footnote w:id="29">
    <w:p w:rsidR="00471D4A" w:rsidRPr="00471D4A" w:rsidRDefault="00471D4A" w:rsidP="00B9614C">
      <w:pPr>
        <w:pStyle w:val="FootnoteText"/>
        <w:rPr>
          <w:lang w:val="en-GB"/>
        </w:rPr>
      </w:pPr>
      <w:r>
        <w:rPr>
          <w:rStyle w:val="FootnoteReference"/>
          <w:color w:val="878787" w:themeColor="text2" w:themeTint="99"/>
        </w:rPr>
        <w:footnoteRef/>
      </w:r>
      <w:r w:rsidRPr="00471D4A">
        <w:rPr>
          <w:lang w:val="en-GB"/>
        </w:rPr>
        <w:t xml:space="preserve"> Pour </w:t>
      </w:r>
      <w:proofErr w:type="spellStart"/>
      <w:r w:rsidRPr="00471D4A">
        <w:rPr>
          <w:lang w:val="en-GB"/>
        </w:rPr>
        <w:t>en</w:t>
      </w:r>
      <w:proofErr w:type="spellEnd"/>
      <w:r w:rsidRPr="00471D4A">
        <w:rPr>
          <w:lang w:val="en-GB"/>
        </w:rPr>
        <w:t xml:space="preserve"> savoir plus: «Landscape-moderated biodiversity effects of </w:t>
      </w:r>
      <w:proofErr w:type="spellStart"/>
      <w:r w:rsidRPr="00471D4A">
        <w:rPr>
          <w:lang w:val="en-GB"/>
        </w:rPr>
        <w:t>agri</w:t>
      </w:r>
      <w:proofErr w:type="spellEnd"/>
      <w:r w:rsidRPr="00471D4A">
        <w:rPr>
          <w:lang w:val="en-GB"/>
        </w:rPr>
        <w:t xml:space="preserve">-environmental management: a meta-analysis», Proceedings. Biological sciences / The Royal Society, 278(1713): 1894–1902, </w:t>
      </w:r>
      <w:proofErr w:type="spellStart"/>
      <w:r w:rsidRPr="00471D4A">
        <w:rPr>
          <w:lang w:val="en-GB"/>
        </w:rPr>
        <w:t>Batáry</w:t>
      </w:r>
      <w:proofErr w:type="spellEnd"/>
      <w:r w:rsidRPr="00471D4A">
        <w:rPr>
          <w:lang w:val="en-GB"/>
        </w:rPr>
        <w:t xml:space="preserve"> P, </w:t>
      </w:r>
      <w:proofErr w:type="spellStart"/>
      <w:r w:rsidRPr="00471D4A">
        <w:rPr>
          <w:lang w:val="en-GB"/>
        </w:rPr>
        <w:t>Báldi</w:t>
      </w:r>
      <w:proofErr w:type="spellEnd"/>
      <w:r w:rsidRPr="00471D4A">
        <w:rPr>
          <w:lang w:val="en-GB"/>
        </w:rPr>
        <w:t xml:space="preserve"> A, Kleijn D, </w:t>
      </w:r>
      <w:proofErr w:type="spellStart"/>
      <w:r w:rsidRPr="00471D4A">
        <w:rPr>
          <w:lang w:val="en-GB"/>
        </w:rPr>
        <w:t>Tscharntke</w:t>
      </w:r>
      <w:proofErr w:type="spellEnd"/>
      <w:r w:rsidRPr="00471D4A">
        <w:rPr>
          <w:lang w:val="en-GB"/>
        </w:rPr>
        <w:t xml:space="preserve"> T, (2011). </w:t>
      </w:r>
    </w:p>
  </w:footnote>
  <w:footnote w:id="30">
    <w:p w:rsidR="00471D4A" w:rsidRPr="00471D4A" w:rsidRDefault="00471D4A" w:rsidP="00FC012D">
      <w:pPr>
        <w:pStyle w:val="FootnoteText"/>
        <w:rPr>
          <w:lang w:val="en-GB"/>
        </w:rPr>
      </w:pPr>
      <w:r>
        <w:rPr>
          <w:rStyle w:val="FootnoteReference"/>
          <w:color w:val="878787" w:themeColor="text2" w:themeTint="99"/>
        </w:rPr>
        <w:footnoteRef/>
      </w:r>
      <w:r w:rsidRPr="00471D4A">
        <w:rPr>
          <w:color w:val="878787" w:themeColor="text2" w:themeTint="99"/>
          <w:lang w:val="en-GB"/>
        </w:rPr>
        <w:t xml:space="preserve"> </w:t>
      </w:r>
      <w:r w:rsidRPr="00471D4A">
        <w:rPr>
          <w:lang w:val="en-GB"/>
        </w:rPr>
        <w:t xml:space="preserve">Pour </w:t>
      </w:r>
      <w:proofErr w:type="spellStart"/>
      <w:r w:rsidRPr="00471D4A">
        <w:rPr>
          <w:lang w:val="en-GB"/>
        </w:rPr>
        <w:t>en</w:t>
      </w:r>
      <w:proofErr w:type="spellEnd"/>
      <w:r w:rsidRPr="00471D4A">
        <w:rPr>
          <w:lang w:val="en-GB"/>
        </w:rPr>
        <w:t xml:space="preserve"> savoir plus: «Organic farming at local and landscape scales benefits plant diversity», </w:t>
      </w:r>
      <w:proofErr w:type="spellStart"/>
      <w:r w:rsidRPr="00471D4A">
        <w:rPr>
          <w:lang w:val="en-GB"/>
        </w:rPr>
        <w:t>Ecography</w:t>
      </w:r>
      <w:proofErr w:type="spellEnd"/>
      <w:r w:rsidRPr="00471D4A">
        <w:rPr>
          <w:lang w:val="en-GB"/>
        </w:rPr>
        <w:t xml:space="preserve"> 33(3): 514- 522, </w:t>
      </w:r>
      <w:proofErr w:type="spellStart"/>
      <w:r w:rsidRPr="00471D4A">
        <w:rPr>
          <w:lang w:val="en-GB"/>
        </w:rPr>
        <w:t>Rundlöf</w:t>
      </w:r>
      <w:proofErr w:type="spellEnd"/>
      <w:r w:rsidRPr="00471D4A">
        <w:rPr>
          <w:lang w:val="en-GB"/>
        </w:rPr>
        <w:t xml:space="preserve"> M, </w:t>
      </w:r>
      <w:proofErr w:type="spellStart"/>
      <w:r w:rsidRPr="00471D4A">
        <w:rPr>
          <w:lang w:val="en-GB"/>
        </w:rPr>
        <w:t>Edlund</w:t>
      </w:r>
      <w:proofErr w:type="spellEnd"/>
      <w:r w:rsidRPr="00471D4A">
        <w:rPr>
          <w:lang w:val="en-GB"/>
        </w:rPr>
        <w:t xml:space="preserve"> M, Smith HG,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1D4A" w:rsidRPr="00E4509B" w:rsidRDefault="00471D4A" w:rsidP="008D52EA">
    <w:pPr>
      <w:pStyle w:val="Header"/>
    </w:pPr>
    <w:r>
      <w:tab/>
      <w:t>Partie I – Que faut-il communiquer concernant l’évaluation dans le RAM présenté en 2019?</w:t>
    </w:r>
  </w:p>
  <w:p w:rsidR="00471D4A" w:rsidRPr="002C3379" w:rsidRDefault="00471D4A" w:rsidP="00E450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1D4A" w:rsidRDefault="00471D4A" w:rsidP="000412E5">
    <w:pPr>
      <w:pStyle w:val="Header"/>
      <w:tabs>
        <w:tab w:val="clear" w:pos="9072"/>
        <w:tab w:val="right" w:pos="14175"/>
      </w:tabs>
    </w:pPr>
    <w:r>
      <w:tab/>
      <w:t>Partie III – Fiches de réponse aux QEC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12F6D094">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pStyle w:val="Subtitle"/>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F342A9"/>
    <w:multiLevelType w:val="hybridMultilevel"/>
    <w:tmpl w:val="F04C2544"/>
    <w:lvl w:ilvl="0" w:tplc="8C24ADFE">
      <w:start w:val="1"/>
      <w:numFmt w:val="decimal"/>
      <w:lvlText w:val="%1."/>
      <w:lvlJc w:val="left"/>
      <w:pPr>
        <w:ind w:left="720" w:hanging="360"/>
      </w:pPr>
      <w:rPr>
        <w:rFonts w:hint="default"/>
        <w:u w:val="single"/>
      </w:rPr>
    </w:lvl>
    <w:lvl w:ilvl="1" w:tplc="041B0019">
      <w:start w:val="1"/>
      <w:numFmt w:val="lowerLetter"/>
      <w:lvlText w:val="%2."/>
      <w:lvlJc w:val="left"/>
      <w:pPr>
        <w:ind w:left="1440" w:hanging="360"/>
      </w:pPr>
    </w:lvl>
    <w:lvl w:ilvl="2" w:tplc="F7D8BF0E">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CB28B3"/>
    <w:multiLevelType w:val="hybridMultilevel"/>
    <w:tmpl w:val="4A3C5D2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7"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57825E"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373737"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27FC8"/>
    <w:multiLevelType w:val="hybridMultilevel"/>
    <w:tmpl w:val="FA02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4DA5"/>
    <w:multiLevelType w:val="multilevel"/>
    <w:tmpl w:val="0E4CF658"/>
    <w:styleLink w:v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3FF8"/>
    <w:multiLevelType w:val="hybridMultilevel"/>
    <w:tmpl w:val="B9964EBC"/>
    <w:lvl w:ilvl="0" w:tplc="041B0001">
      <w:start w:val="1"/>
      <w:numFmt w:val="bullet"/>
      <w:lvlText w:val=""/>
      <w:lvlJc w:val="left"/>
      <w:pPr>
        <w:ind w:left="775" w:hanging="360"/>
      </w:pPr>
      <w:rPr>
        <w:rFonts w:ascii="Symbol" w:hAnsi="Symbol"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12" w15:restartNumberingAfterBreak="0">
    <w:nsid w:val="310547BD"/>
    <w:multiLevelType w:val="hybridMultilevel"/>
    <w:tmpl w:val="70BAE8C6"/>
    <w:lvl w:ilvl="0" w:tplc="7264BFF4">
      <w:start w:val="1"/>
      <w:numFmt w:val="decimal"/>
      <w:pStyle w:val="HHeadingfigures"/>
      <w:lvlText w:val="Figure %1."/>
      <w:lvlJc w:val="left"/>
      <w:pPr>
        <w:tabs>
          <w:tab w:val="num" w:pos="964"/>
        </w:tabs>
        <w:ind w:left="964" w:hanging="964"/>
      </w:pPr>
      <w:rPr>
        <w:rFonts w:hint="default"/>
        <w:b/>
        <w:bCs w:val="0"/>
        <w:i w:val="0"/>
        <w:iCs w:val="0"/>
        <w:caps w:val="0"/>
        <w:smallCaps w:val="0"/>
        <w:strike w:val="0"/>
        <w:dstrike w:val="0"/>
        <w:noProof w:val="0"/>
        <w:vanish w:val="0"/>
        <w:color w:val="373737" w:themeColor="tex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BC6932"/>
    <w:multiLevelType w:val="hybridMultilevel"/>
    <w:tmpl w:val="BBBE01C4"/>
    <w:lvl w:ilvl="0" w:tplc="91608FB0">
      <w:start w:val="1"/>
      <w:numFmt w:val="bullet"/>
      <w:pStyle w:val="Hlist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77474"/>
    <w:multiLevelType w:val="hybridMultilevel"/>
    <w:tmpl w:val="9DC6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53EAC4D6"/>
    <w:lvl w:ilvl="0" w:tplc="E8C0D4C0">
      <w:start w:val="1"/>
      <w:numFmt w:val="decimal"/>
      <w:pStyle w:val="HHeadingtables"/>
      <w:lvlText w:val="Table %1."/>
      <w:lvlJc w:val="left"/>
      <w:pPr>
        <w:ind w:left="360" w:hanging="360"/>
      </w:pPr>
      <w:rPr>
        <w:specVanish w:val="0"/>
      </w:rPr>
    </w:lvl>
    <w:lvl w:ilvl="1" w:tplc="04070019" w:tentative="1">
      <w:start w:val="1"/>
      <w:numFmt w:val="lowerLetter"/>
      <w:lvlText w:val="%2."/>
      <w:lvlJc w:val="left"/>
      <w:pPr>
        <w:ind w:left="-829" w:hanging="360"/>
      </w:pPr>
    </w:lvl>
    <w:lvl w:ilvl="2" w:tplc="0407001B" w:tentative="1">
      <w:start w:val="1"/>
      <w:numFmt w:val="lowerRoman"/>
      <w:lvlText w:val="%3."/>
      <w:lvlJc w:val="right"/>
      <w:pPr>
        <w:ind w:left="-109" w:hanging="180"/>
      </w:pPr>
    </w:lvl>
    <w:lvl w:ilvl="3" w:tplc="0407000F" w:tentative="1">
      <w:start w:val="1"/>
      <w:numFmt w:val="decimal"/>
      <w:lvlText w:val="%4."/>
      <w:lvlJc w:val="left"/>
      <w:pPr>
        <w:ind w:left="611" w:hanging="360"/>
      </w:pPr>
    </w:lvl>
    <w:lvl w:ilvl="4" w:tplc="04070019" w:tentative="1">
      <w:start w:val="1"/>
      <w:numFmt w:val="lowerLetter"/>
      <w:lvlText w:val="%5."/>
      <w:lvlJc w:val="left"/>
      <w:pPr>
        <w:ind w:left="1331" w:hanging="360"/>
      </w:pPr>
    </w:lvl>
    <w:lvl w:ilvl="5" w:tplc="0407001B" w:tentative="1">
      <w:start w:val="1"/>
      <w:numFmt w:val="lowerRoman"/>
      <w:lvlText w:val="%6."/>
      <w:lvlJc w:val="right"/>
      <w:pPr>
        <w:ind w:left="2051" w:hanging="180"/>
      </w:pPr>
    </w:lvl>
    <w:lvl w:ilvl="6" w:tplc="0407000F" w:tentative="1">
      <w:start w:val="1"/>
      <w:numFmt w:val="decimal"/>
      <w:lvlText w:val="%7."/>
      <w:lvlJc w:val="left"/>
      <w:pPr>
        <w:ind w:left="2771" w:hanging="360"/>
      </w:pPr>
    </w:lvl>
    <w:lvl w:ilvl="7" w:tplc="04070019" w:tentative="1">
      <w:start w:val="1"/>
      <w:numFmt w:val="lowerLetter"/>
      <w:lvlText w:val="%8."/>
      <w:lvlJc w:val="left"/>
      <w:pPr>
        <w:ind w:left="3491" w:hanging="360"/>
      </w:pPr>
    </w:lvl>
    <w:lvl w:ilvl="8" w:tplc="0407001B" w:tentative="1">
      <w:start w:val="1"/>
      <w:numFmt w:val="lowerRoman"/>
      <w:lvlText w:val="%9."/>
      <w:lvlJc w:val="right"/>
      <w:pPr>
        <w:ind w:left="4211" w:hanging="180"/>
      </w:pPr>
    </w:lvl>
  </w:abstractNum>
  <w:abstractNum w:abstractNumId="16" w15:restartNumberingAfterBreak="0">
    <w:nsid w:val="446B7352"/>
    <w:multiLevelType w:val="hybridMultilevel"/>
    <w:tmpl w:val="E758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F8294A"/>
    <w:multiLevelType w:val="hybridMultilevel"/>
    <w:tmpl w:val="A61044DA"/>
    <w:lvl w:ilvl="0" w:tplc="C1BE37B8">
      <w:start w:val="1"/>
      <w:numFmt w:val="lowerLetter"/>
      <w:pStyle w:val="Hlistabc"/>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C663347"/>
    <w:multiLevelType w:val="hybridMultilevel"/>
    <w:tmpl w:val="BEE86F04"/>
    <w:lvl w:ilvl="0" w:tplc="EAF66E3A">
      <w:start w:val="1"/>
      <w:numFmt w:val="bullet"/>
      <w:pStyle w:val="Hlistbullet2"/>
      <w:lvlText w:val="o"/>
      <w:lvlJc w:val="left"/>
      <w:pPr>
        <w:ind w:left="720" w:hanging="360"/>
      </w:pPr>
      <w:rPr>
        <w:rFonts w:ascii="Courier New" w:hAnsi="Courier New" w:hint="default"/>
        <w:color w:val="F07E31"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33F93"/>
    <w:multiLevelType w:val="hybridMultilevel"/>
    <w:tmpl w:val="3EFCB27A"/>
    <w:lvl w:ilvl="0" w:tplc="0809000F">
      <w:start w:val="1"/>
      <w:numFmt w:val="decimal"/>
      <w:lvlText w:val="%1."/>
      <w:lvlJc w:val="left"/>
      <w:pPr>
        <w:ind w:left="928" w:hanging="360"/>
      </w:pPr>
      <w:rPr>
        <w:rFonts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973CF"/>
    <w:multiLevelType w:val="hybridMultilevel"/>
    <w:tmpl w:val="471E9ED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3FC3597"/>
    <w:multiLevelType w:val="hybridMultilevel"/>
    <w:tmpl w:val="33407086"/>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2" w15:restartNumberingAfterBreak="0">
    <w:nsid w:val="66691E4D"/>
    <w:multiLevelType w:val="hybridMultilevel"/>
    <w:tmpl w:val="4FC82400"/>
    <w:lvl w:ilvl="0" w:tplc="663C7372">
      <w:numFmt w:val="bullet"/>
      <w:lvlText w:val=""/>
      <w:lvlJc w:val="left"/>
      <w:pPr>
        <w:ind w:left="720" w:hanging="360"/>
      </w:pPr>
      <w:rPr>
        <w:rFonts w:ascii="Wingdings 3" w:eastAsia="Times New Roman" w:hAnsi="Wingdings 3" w:cs="Times New Roman" w:hint="default"/>
        <w:color w:val="F07E3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14428"/>
    <w:multiLevelType w:val="hybridMultilevel"/>
    <w:tmpl w:val="ED0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72A78"/>
    <w:multiLevelType w:val="hybridMultilevel"/>
    <w:tmpl w:val="0A80453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15:restartNumberingAfterBreak="0">
    <w:nsid w:val="6C4D270F"/>
    <w:multiLevelType w:val="hybridMultilevel"/>
    <w:tmpl w:val="5B761532"/>
    <w:lvl w:ilvl="0" w:tplc="C0A2A0CC">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8090001">
      <w:start w:val="1"/>
      <w:numFmt w:val="bullet"/>
      <w:lvlText w:val=""/>
      <w:lvlJc w:val="left"/>
      <w:pPr>
        <w:ind w:left="1457" w:hanging="180"/>
      </w:pPr>
      <w:rPr>
        <w:rFonts w:ascii="Symbol" w:hAnsi="Symbol" w:hint="default"/>
        <w:color w:val="F07E31" w:themeColor="accen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B3440"/>
    <w:multiLevelType w:val="hybridMultilevel"/>
    <w:tmpl w:val="D624ACF8"/>
    <w:lvl w:ilvl="0" w:tplc="3BC8D07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D15F02"/>
    <w:multiLevelType w:val="hybridMultilevel"/>
    <w:tmpl w:val="3374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6E6D"/>
    <w:multiLevelType w:val="hybridMultilevel"/>
    <w:tmpl w:val="1970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D33D3"/>
    <w:multiLevelType w:val="multilevel"/>
    <w:tmpl w:val="EC66BD2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146"/>
        </w:tabs>
        <w:ind w:left="426"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15:restartNumberingAfterBreak="0">
    <w:nsid w:val="7E752836"/>
    <w:multiLevelType w:val="hybridMultilevel"/>
    <w:tmpl w:val="EA7050F0"/>
    <w:lvl w:ilvl="0" w:tplc="7A1AAC92">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7"/>
  </w:num>
  <w:num w:numId="4">
    <w:abstractNumId w:val="8"/>
  </w:num>
  <w:num w:numId="5">
    <w:abstractNumId w:val="30"/>
  </w:num>
  <w:num w:numId="6">
    <w:abstractNumId w:val="29"/>
  </w:num>
  <w:num w:numId="7">
    <w:abstractNumId w:val="15"/>
  </w:num>
  <w:num w:numId="8">
    <w:abstractNumId w:val="12"/>
  </w:num>
  <w:num w:numId="9">
    <w:abstractNumId w:val="3"/>
  </w:num>
  <w:num w:numId="10">
    <w:abstractNumId w:val="0"/>
  </w:num>
  <w:num w:numId="11">
    <w:abstractNumId w:val="7"/>
  </w:num>
  <w:num w:numId="12">
    <w:abstractNumId w:val="18"/>
  </w:num>
  <w:num w:numId="13">
    <w:abstractNumId w:val="4"/>
  </w:num>
  <w:num w:numId="14">
    <w:abstractNumId w:val="17"/>
    <w:lvlOverride w:ilvl="0">
      <w:startOverride w:val="1"/>
    </w:lvlOverride>
  </w:num>
  <w:num w:numId="15">
    <w:abstractNumId w:val="10"/>
  </w:num>
  <w:num w:numId="16">
    <w:abstractNumId w:val="1"/>
  </w:num>
  <w:num w:numId="17">
    <w:abstractNumId w:val="26"/>
  </w:num>
  <w:num w:numId="18">
    <w:abstractNumId w:val="25"/>
  </w:num>
  <w:num w:numId="19">
    <w:abstractNumId w:val="2"/>
  </w:num>
  <w:num w:numId="20">
    <w:abstractNumId w:val="5"/>
  </w:num>
  <w:num w:numId="21">
    <w:abstractNumId w:val="20"/>
  </w:num>
  <w:num w:numId="22">
    <w:abstractNumId w:val="12"/>
  </w:num>
  <w:num w:numId="23">
    <w:abstractNumId w:val="22"/>
  </w:num>
  <w:num w:numId="24">
    <w:abstractNumId w:val="21"/>
  </w:num>
  <w:num w:numId="25">
    <w:abstractNumId w:val="19"/>
  </w:num>
  <w:num w:numId="26">
    <w:abstractNumId w:val="9"/>
  </w:num>
  <w:num w:numId="27">
    <w:abstractNumId w:val="28"/>
  </w:num>
  <w:num w:numId="28">
    <w:abstractNumId w:val="23"/>
  </w:num>
  <w:num w:numId="29">
    <w:abstractNumId w:val="24"/>
  </w:num>
  <w:num w:numId="30">
    <w:abstractNumId w:val="27"/>
  </w:num>
  <w:num w:numId="31">
    <w:abstractNumId w:val="16"/>
  </w:num>
  <w:num w:numId="32">
    <w:abstractNumId w:val="14"/>
  </w:num>
  <w:num w:numId="33">
    <w:abstractNumId w:val="13"/>
  </w:num>
  <w:num w:numId="3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WTEMPLATE_ORANGE_2017"/>
  </w:docVars>
  <w:rsids>
    <w:rsidRoot w:val="00CD63F6"/>
    <w:rsid w:val="0000007B"/>
    <w:rsid w:val="000001D4"/>
    <w:rsid w:val="0000104B"/>
    <w:rsid w:val="00002482"/>
    <w:rsid w:val="000026A3"/>
    <w:rsid w:val="00002A15"/>
    <w:rsid w:val="00002FFD"/>
    <w:rsid w:val="00003C64"/>
    <w:rsid w:val="00004E4F"/>
    <w:rsid w:val="000068EF"/>
    <w:rsid w:val="00006B47"/>
    <w:rsid w:val="00010136"/>
    <w:rsid w:val="00010901"/>
    <w:rsid w:val="00010981"/>
    <w:rsid w:val="00010A66"/>
    <w:rsid w:val="00010B08"/>
    <w:rsid w:val="00011CD6"/>
    <w:rsid w:val="00011DC7"/>
    <w:rsid w:val="0001214D"/>
    <w:rsid w:val="000128D8"/>
    <w:rsid w:val="00012BA4"/>
    <w:rsid w:val="00012F22"/>
    <w:rsid w:val="00013C3D"/>
    <w:rsid w:val="0001428E"/>
    <w:rsid w:val="000142AB"/>
    <w:rsid w:val="00015D95"/>
    <w:rsid w:val="00016061"/>
    <w:rsid w:val="00016C49"/>
    <w:rsid w:val="00017C34"/>
    <w:rsid w:val="000200FC"/>
    <w:rsid w:val="0002085D"/>
    <w:rsid w:val="0002086B"/>
    <w:rsid w:val="00021325"/>
    <w:rsid w:val="0002177B"/>
    <w:rsid w:val="0002182E"/>
    <w:rsid w:val="0002341F"/>
    <w:rsid w:val="00023F16"/>
    <w:rsid w:val="0002477B"/>
    <w:rsid w:val="00025015"/>
    <w:rsid w:val="00025148"/>
    <w:rsid w:val="00025E70"/>
    <w:rsid w:val="000266E6"/>
    <w:rsid w:val="00026F9F"/>
    <w:rsid w:val="0002704D"/>
    <w:rsid w:val="0002732C"/>
    <w:rsid w:val="00027601"/>
    <w:rsid w:val="00031E67"/>
    <w:rsid w:val="0003232A"/>
    <w:rsid w:val="000325AF"/>
    <w:rsid w:val="00032732"/>
    <w:rsid w:val="000330AD"/>
    <w:rsid w:val="0003333B"/>
    <w:rsid w:val="00033ACC"/>
    <w:rsid w:val="00033B15"/>
    <w:rsid w:val="0003500B"/>
    <w:rsid w:val="0003605E"/>
    <w:rsid w:val="00041200"/>
    <w:rsid w:val="000412E5"/>
    <w:rsid w:val="00041A27"/>
    <w:rsid w:val="000420F9"/>
    <w:rsid w:val="0004231E"/>
    <w:rsid w:val="00043C2A"/>
    <w:rsid w:val="00044397"/>
    <w:rsid w:val="00044CBB"/>
    <w:rsid w:val="00045382"/>
    <w:rsid w:val="000457A0"/>
    <w:rsid w:val="0004609A"/>
    <w:rsid w:val="00047532"/>
    <w:rsid w:val="00047872"/>
    <w:rsid w:val="000506E2"/>
    <w:rsid w:val="00050912"/>
    <w:rsid w:val="00050D72"/>
    <w:rsid w:val="00050EA9"/>
    <w:rsid w:val="00051E23"/>
    <w:rsid w:val="00051EEE"/>
    <w:rsid w:val="0005260E"/>
    <w:rsid w:val="00052870"/>
    <w:rsid w:val="0005382D"/>
    <w:rsid w:val="00054C75"/>
    <w:rsid w:val="00055507"/>
    <w:rsid w:val="000561D6"/>
    <w:rsid w:val="000574E7"/>
    <w:rsid w:val="00057D3C"/>
    <w:rsid w:val="000601FF"/>
    <w:rsid w:val="00060339"/>
    <w:rsid w:val="00060AFC"/>
    <w:rsid w:val="00061150"/>
    <w:rsid w:val="00061838"/>
    <w:rsid w:val="000624B0"/>
    <w:rsid w:val="00062CD2"/>
    <w:rsid w:val="00063251"/>
    <w:rsid w:val="00063276"/>
    <w:rsid w:val="00063B79"/>
    <w:rsid w:val="000650BF"/>
    <w:rsid w:val="000670A3"/>
    <w:rsid w:val="00067C10"/>
    <w:rsid w:val="00070475"/>
    <w:rsid w:val="0007095D"/>
    <w:rsid w:val="00072032"/>
    <w:rsid w:val="0007283B"/>
    <w:rsid w:val="00074916"/>
    <w:rsid w:val="00074F33"/>
    <w:rsid w:val="0007598A"/>
    <w:rsid w:val="00075CA3"/>
    <w:rsid w:val="00076652"/>
    <w:rsid w:val="00076C57"/>
    <w:rsid w:val="000771E1"/>
    <w:rsid w:val="0007726F"/>
    <w:rsid w:val="00077AF9"/>
    <w:rsid w:val="000804B0"/>
    <w:rsid w:val="00081280"/>
    <w:rsid w:val="00081736"/>
    <w:rsid w:val="000833CD"/>
    <w:rsid w:val="000836F2"/>
    <w:rsid w:val="00083705"/>
    <w:rsid w:val="0008418C"/>
    <w:rsid w:val="0008437E"/>
    <w:rsid w:val="00084915"/>
    <w:rsid w:val="00084CD6"/>
    <w:rsid w:val="00084EBA"/>
    <w:rsid w:val="000852E7"/>
    <w:rsid w:val="000856AA"/>
    <w:rsid w:val="00085EAA"/>
    <w:rsid w:val="00087412"/>
    <w:rsid w:val="00087931"/>
    <w:rsid w:val="00087ABB"/>
    <w:rsid w:val="00087F85"/>
    <w:rsid w:val="00090ACF"/>
    <w:rsid w:val="0009119D"/>
    <w:rsid w:val="00092C7D"/>
    <w:rsid w:val="000936B3"/>
    <w:rsid w:val="00093CBB"/>
    <w:rsid w:val="00096C99"/>
    <w:rsid w:val="00096E8E"/>
    <w:rsid w:val="0009736F"/>
    <w:rsid w:val="00097A53"/>
    <w:rsid w:val="000A1917"/>
    <w:rsid w:val="000A2A5A"/>
    <w:rsid w:val="000A3F19"/>
    <w:rsid w:val="000A428E"/>
    <w:rsid w:val="000A49DA"/>
    <w:rsid w:val="000A4B75"/>
    <w:rsid w:val="000A6EDF"/>
    <w:rsid w:val="000A72D0"/>
    <w:rsid w:val="000A7970"/>
    <w:rsid w:val="000A7E25"/>
    <w:rsid w:val="000B00DB"/>
    <w:rsid w:val="000B0B8B"/>
    <w:rsid w:val="000B1405"/>
    <w:rsid w:val="000B213F"/>
    <w:rsid w:val="000B2933"/>
    <w:rsid w:val="000B2A17"/>
    <w:rsid w:val="000B30FF"/>
    <w:rsid w:val="000B3BF2"/>
    <w:rsid w:val="000B3D31"/>
    <w:rsid w:val="000B434D"/>
    <w:rsid w:val="000B4920"/>
    <w:rsid w:val="000B4B84"/>
    <w:rsid w:val="000B567F"/>
    <w:rsid w:val="000B5726"/>
    <w:rsid w:val="000B5C67"/>
    <w:rsid w:val="000B5E5F"/>
    <w:rsid w:val="000B62C2"/>
    <w:rsid w:val="000B6372"/>
    <w:rsid w:val="000B7376"/>
    <w:rsid w:val="000C0BB1"/>
    <w:rsid w:val="000C2540"/>
    <w:rsid w:val="000C2567"/>
    <w:rsid w:val="000C3B60"/>
    <w:rsid w:val="000C3D9D"/>
    <w:rsid w:val="000C43F0"/>
    <w:rsid w:val="000C4695"/>
    <w:rsid w:val="000C499A"/>
    <w:rsid w:val="000C49F1"/>
    <w:rsid w:val="000C5796"/>
    <w:rsid w:val="000C5F42"/>
    <w:rsid w:val="000C65CB"/>
    <w:rsid w:val="000C6873"/>
    <w:rsid w:val="000C6FAB"/>
    <w:rsid w:val="000C7C56"/>
    <w:rsid w:val="000D01D5"/>
    <w:rsid w:val="000D07C2"/>
    <w:rsid w:val="000D1414"/>
    <w:rsid w:val="000D1B19"/>
    <w:rsid w:val="000D251E"/>
    <w:rsid w:val="000D3DB8"/>
    <w:rsid w:val="000D476B"/>
    <w:rsid w:val="000D57BD"/>
    <w:rsid w:val="000D5A8C"/>
    <w:rsid w:val="000D6488"/>
    <w:rsid w:val="000D6757"/>
    <w:rsid w:val="000D7A58"/>
    <w:rsid w:val="000D7AB8"/>
    <w:rsid w:val="000D7F4E"/>
    <w:rsid w:val="000E0A0A"/>
    <w:rsid w:val="000E223C"/>
    <w:rsid w:val="000E3057"/>
    <w:rsid w:val="000E31A7"/>
    <w:rsid w:val="000E375A"/>
    <w:rsid w:val="000E420E"/>
    <w:rsid w:val="000E436F"/>
    <w:rsid w:val="000E5513"/>
    <w:rsid w:val="000E6F6F"/>
    <w:rsid w:val="000E787D"/>
    <w:rsid w:val="000E7F1D"/>
    <w:rsid w:val="000F0463"/>
    <w:rsid w:val="000F07C1"/>
    <w:rsid w:val="000F086F"/>
    <w:rsid w:val="000F1DDC"/>
    <w:rsid w:val="000F3028"/>
    <w:rsid w:val="000F4BEA"/>
    <w:rsid w:val="000F4F4F"/>
    <w:rsid w:val="000F5315"/>
    <w:rsid w:val="000F570B"/>
    <w:rsid w:val="000F5CC2"/>
    <w:rsid w:val="000F5E15"/>
    <w:rsid w:val="000F77F0"/>
    <w:rsid w:val="000F7876"/>
    <w:rsid w:val="00100A1E"/>
    <w:rsid w:val="00100B02"/>
    <w:rsid w:val="0010132E"/>
    <w:rsid w:val="001018C4"/>
    <w:rsid w:val="001018DD"/>
    <w:rsid w:val="001028FE"/>
    <w:rsid w:val="00102C05"/>
    <w:rsid w:val="00102C6A"/>
    <w:rsid w:val="00103E79"/>
    <w:rsid w:val="001040A8"/>
    <w:rsid w:val="001040F8"/>
    <w:rsid w:val="001043CE"/>
    <w:rsid w:val="001061CD"/>
    <w:rsid w:val="00106C0A"/>
    <w:rsid w:val="00113A37"/>
    <w:rsid w:val="00113F8C"/>
    <w:rsid w:val="00115ED4"/>
    <w:rsid w:val="0011661B"/>
    <w:rsid w:val="00116912"/>
    <w:rsid w:val="00116A79"/>
    <w:rsid w:val="00116CCB"/>
    <w:rsid w:val="001170FF"/>
    <w:rsid w:val="001174CF"/>
    <w:rsid w:val="00117E78"/>
    <w:rsid w:val="00120BAA"/>
    <w:rsid w:val="00120EA9"/>
    <w:rsid w:val="00121696"/>
    <w:rsid w:val="00122285"/>
    <w:rsid w:val="00123367"/>
    <w:rsid w:val="001247FE"/>
    <w:rsid w:val="00125341"/>
    <w:rsid w:val="00126224"/>
    <w:rsid w:val="00131592"/>
    <w:rsid w:val="001315A5"/>
    <w:rsid w:val="001316FD"/>
    <w:rsid w:val="0013249F"/>
    <w:rsid w:val="00132E89"/>
    <w:rsid w:val="0013332D"/>
    <w:rsid w:val="00133C0C"/>
    <w:rsid w:val="00134E3F"/>
    <w:rsid w:val="00134F6F"/>
    <w:rsid w:val="001355C4"/>
    <w:rsid w:val="00135778"/>
    <w:rsid w:val="00135951"/>
    <w:rsid w:val="00135B4A"/>
    <w:rsid w:val="0013678F"/>
    <w:rsid w:val="001367B9"/>
    <w:rsid w:val="00136C15"/>
    <w:rsid w:val="00137201"/>
    <w:rsid w:val="00137828"/>
    <w:rsid w:val="00140380"/>
    <w:rsid w:val="0014085A"/>
    <w:rsid w:val="00140A22"/>
    <w:rsid w:val="00140F4E"/>
    <w:rsid w:val="00141199"/>
    <w:rsid w:val="0014235A"/>
    <w:rsid w:val="00143D51"/>
    <w:rsid w:val="00144841"/>
    <w:rsid w:val="00146C75"/>
    <w:rsid w:val="00150D5B"/>
    <w:rsid w:val="00150E9E"/>
    <w:rsid w:val="00151F61"/>
    <w:rsid w:val="0015205D"/>
    <w:rsid w:val="001524F2"/>
    <w:rsid w:val="0015333B"/>
    <w:rsid w:val="00154C43"/>
    <w:rsid w:val="00156B10"/>
    <w:rsid w:val="0015708F"/>
    <w:rsid w:val="00157A50"/>
    <w:rsid w:val="00157DA4"/>
    <w:rsid w:val="00160E60"/>
    <w:rsid w:val="00161851"/>
    <w:rsid w:val="00162193"/>
    <w:rsid w:val="0016310E"/>
    <w:rsid w:val="001631F8"/>
    <w:rsid w:val="00164401"/>
    <w:rsid w:val="00164E60"/>
    <w:rsid w:val="00170920"/>
    <w:rsid w:val="00171AB2"/>
    <w:rsid w:val="00172554"/>
    <w:rsid w:val="00173923"/>
    <w:rsid w:val="00174DB8"/>
    <w:rsid w:val="00175DAE"/>
    <w:rsid w:val="00176032"/>
    <w:rsid w:val="0017622B"/>
    <w:rsid w:val="00176555"/>
    <w:rsid w:val="001773C8"/>
    <w:rsid w:val="00180B7A"/>
    <w:rsid w:val="001814C1"/>
    <w:rsid w:val="0018197E"/>
    <w:rsid w:val="00182991"/>
    <w:rsid w:val="00183503"/>
    <w:rsid w:val="00183988"/>
    <w:rsid w:val="00183DEC"/>
    <w:rsid w:val="00183FE7"/>
    <w:rsid w:val="00184AD2"/>
    <w:rsid w:val="0018534D"/>
    <w:rsid w:val="001854A1"/>
    <w:rsid w:val="001856B4"/>
    <w:rsid w:val="00185910"/>
    <w:rsid w:val="00185B1D"/>
    <w:rsid w:val="001862E5"/>
    <w:rsid w:val="00186543"/>
    <w:rsid w:val="00186A1A"/>
    <w:rsid w:val="00186FCF"/>
    <w:rsid w:val="00187445"/>
    <w:rsid w:val="00187945"/>
    <w:rsid w:val="00187DD0"/>
    <w:rsid w:val="001900F6"/>
    <w:rsid w:val="00190D63"/>
    <w:rsid w:val="00190F9A"/>
    <w:rsid w:val="00191106"/>
    <w:rsid w:val="00191253"/>
    <w:rsid w:val="00192333"/>
    <w:rsid w:val="00194978"/>
    <w:rsid w:val="00194BE6"/>
    <w:rsid w:val="0019588B"/>
    <w:rsid w:val="0019599B"/>
    <w:rsid w:val="001962E1"/>
    <w:rsid w:val="00196C94"/>
    <w:rsid w:val="00196DF6"/>
    <w:rsid w:val="00197783"/>
    <w:rsid w:val="00197E1C"/>
    <w:rsid w:val="001A088C"/>
    <w:rsid w:val="001A12ED"/>
    <w:rsid w:val="001A1ABF"/>
    <w:rsid w:val="001A2395"/>
    <w:rsid w:val="001A2E63"/>
    <w:rsid w:val="001A2EC3"/>
    <w:rsid w:val="001A3195"/>
    <w:rsid w:val="001A36F4"/>
    <w:rsid w:val="001A3B8C"/>
    <w:rsid w:val="001A424D"/>
    <w:rsid w:val="001A4A92"/>
    <w:rsid w:val="001A51C8"/>
    <w:rsid w:val="001B04F9"/>
    <w:rsid w:val="001B0B03"/>
    <w:rsid w:val="001B0E2D"/>
    <w:rsid w:val="001B1731"/>
    <w:rsid w:val="001B1831"/>
    <w:rsid w:val="001B1DC6"/>
    <w:rsid w:val="001B2DB2"/>
    <w:rsid w:val="001B383F"/>
    <w:rsid w:val="001B42E2"/>
    <w:rsid w:val="001B53E3"/>
    <w:rsid w:val="001B5B15"/>
    <w:rsid w:val="001B5F5A"/>
    <w:rsid w:val="001B62AB"/>
    <w:rsid w:val="001B6888"/>
    <w:rsid w:val="001B6B1D"/>
    <w:rsid w:val="001B70AC"/>
    <w:rsid w:val="001B749E"/>
    <w:rsid w:val="001C10A8"/>
    <w:rsid w:val="001C159A"/>
    <w:rsid w:val="001C2076"/>
    <w:rsid w:val="001C2A72"/>
    <w:rsid w:val="001C31EB"/>
    <w:rsid w:val="001C4CA3"/>
    <w:rsid w:val="001C4D03"/>
    <w:rsid w:val="001C4E09"/>
    <w:rsid w:val="001C4F2E"/>
    <w:rsid w:val="001C6679"/>
    <w:rsid w:val="001C6ACF"/>
    <w:rsid w:val="001C704F"/>
    <w:rsid w:val="001C71BC"/>
    <w:rsid w:val="001C763B"/>
    <w:rsid w:val="001C7730"/>
    <w:rsid w:val="001D0014"/>
    <w:rsid w:val="001D1659"/>
    <w:rsid w:val="001D32F7"/>
    <w:rsid w:val="001D3ED8"/>
    <w:rsid w:val="001D4EDE"/>
    <w:rsid w:val="001D5984"/>
    <w:rsid w:val="001D5A8C"/>
    <w:rsid w:val="001D644A"/>
    <w:rsid w:val="001D6736"/>
    <w:rsid w:val="001D74AA"/>
    <w:rsid w:val="001E0DCE"/>
    <w:rsid w:val="001E17B2"/>
    <w:rsid w:val="001E1E51"/>
    <w:rsid w:val="001E24F4"/>
    <w:rsid w:val="001E36C8"/>
    <w:rsid w:val="001E51CE"/>
    <w:rsid w:val="001E5FC4"/>
    <w:rsid w:val="001F126C"/>
    <w:rsid w:val="001F1A2D"/>
    <w:rsid w:val="001F1DD1"/>
    <w:rsid w:val="001F25E0"/>
    <w:rsid w:val="001F485E"/>
    <w:rsid w:val="001F4DFD"/>
    <w:rsid w:val="001F52E4"/>
    <w:rsid w:val="001F5F53"/>
    <w:rsid w:val="001F6320"/>
    <w:rsid w:val="001F6572"/>
    <w:rsid w:val="001F7942"/>
    <w:rsid w:val="001F7B17"/>
    <w:rsid w:val="002000FD"/>
    <w:rsid w:val="00200679"/>
    <w:rsid w:val="0020196C"/>
    <w:rsid w:val="002047BF"/>
    <w:rsid w:val="0020488A"/>
    <w:rsid w:val="0020546C"/>
    <w:rsid w:val="00206921"/>
    <w:rsid w:val="00207FC1"/>
    <w:rsid w:val="00211573"/>
    <w:rsid w:val="002118E2"/>
    <w:rsid w:val="0021206F"/>
    <w:rsid w:val="00212EFF"/>
    <w:rsid w:val="002132F1"/>
    <w:rsid w:val="00213571"/>
    <w:rsid w:val="00213D26"/>
    <w:rsid w:val="00214324"/>
    <w:rsid w:val="00214FBE"/>
    <w:rsid w:val="00217482"/>
    <w:rsid w:val="0021750E"/>
    <w:rsid w:val="00217A65"/>
    <w:rsid w:val="00217C27"/>
    <w:rsid w:val="002208C7"/>
    <w:rsid w:val="00220B99"/>
    <w:rsid w:val="00220D70"/>
    <w:rsid w:val="00221159"/>
    <w:rsid w:val="002212DB"/>
    <w:rsid w:val="0022256C"/>
    <w:rsid w:val="002227D4"/>
    <w:rsid w:val="00223B64"/>
    <w:rsid w:val="00224BEB"/>
    <w:rsid w:val="0022630A"/>
    <w:rsid w:val="00226826"/>
    <w:rsid w:val="00227C57"/>
    <w:rsid w:val="00231360"/>
    <w:rsid w:val="00231C9C"/>
    <w:rsid w:val="002331B4"/>
    <w:rsid w:val="00233DA6"/>
    <w:rsid w:val="00235026"/>
    <w:rsid w:val="00235402"/>
    <w:rsid w:val="00235C84"/>
    <w:rsid w:val="002419CA"/>
    <w:rsid w:val="002426BA"/>
    <w:rsid w:val="00244620"/>
    <w:rsid w:val="0024762A"/>
    <w:rsid w:val="002479D6"/>
    <w:rsid w:val="00247F5A"/>
    <w:rsid w:val="002506A5"/>
    <w:rsid w:val="00250C24"/>
    <w:rsid w:val="0025123F"/>
    <w:rsid w:val="0025164E"/>
    <w:rsid w:val="002520A7"/>
    <w:rsid w:val="00252E56"/>
    <w:rsid w:val="002535D9"/>
    <w:rsid w:val="002553C6"/>
    <w:rsid w:val="00255E6A"/>
    <w:rsid w:val="00256636"/>
    <w:rsid w:val="002573E7"/>
    <w:rsid w:val="00260D48"/>
    <w:rsid w:val="00261A45"/>
    <w:rsid w:val="00263267"/>
    <w:rsid w:val="002643D5"/>
    <w:rsid w:val="00264C41"/>
    <w:rsid w:val="0026686F"/>
    <w:rsid w:val="0026726B"/>
    <w:rsid w:val="00267555"/>
    <w:rsid w:val="002709BC"/>
    <w:rsid w:val="0027196C"/>
    <w:rsid w:val="0027225E"/>
    <w:rsid w:val="00272AD5"/>
    <w:rsid w:val="00272E24"/>
    <w:rsid w:val="002730B0"/>
    <w:rsid w:val="00273775"/>
    <w:rsid w:val="0027414F"/>
    <w:rsid w:val="00274AB7"/>
    <w:rsid w:val="00274FF5"/>
    <w:rsid w:val="002751CF"/>
    <w:rsid w:val="00275616"/>
    <w:rsid w:val="00275838"/>
    <w:rsid w:val="002762F1"/>
    <w:rsid w:val="00276DE0"/>
    <w:rsid w:val="00276E62"/>
    <w:rsid w:val="00277A78"/>
    <w:rsid w:val="00280163"/>
    <w:rsid w:val="00280314"/>
    <w:rsid w:val="002807CD"/>
    <w:rsid w:val="002807DC"/>
    <w:rsid w:val="002808E9"/>
    <w:rsid w:val="00281058"/>
    <w:rsid w:val="00281530"/>
    <w:rsid w:val="002826E2"/>
    <w:rsid w:val="002829E5"/>
    <w:rsid w:val="00282BE1"/>
    <w:rsid w:val="00284356"/>
    <w:rsid w:val="00285170"/>
    <w:rsid w:val="0028553B"/>
    <w:rsid w:val="002865CA"/>
    <w:rsid w:val="00287179"/>
    <w:rsid w:val="002904B1"/>
    <w:rsid w:val="002909D3"/>
    <w:rsid w:val="00294410"/>
    <w:rsid w:val="0029590F"/>
    <w:rsid w:val="002963CB"/>
    <w:rsid w:val="00296609"/>
    <w:rsid w:val="002A0062"/>
    <w:rsid w:val="002A09A3"/>
    <w:rsid w:val="002A0D72"/>
    <w:rsid w:val="002A164E"/>
    <w:rsid w:val="002A16B7"/>
    <w:rsid w:val="002A2B60"/>
    <w:rsid w:val="002A2CB4"/>
    <w:rsid w:val="002A326C"/>
    <w:rsid w:val="002A37A1"/>
    <w:rsid w:val="002A42D8"/>
    <w:rsid w:val="002A48A4"/>
    <w:rsid w:val="002A4913"/>
    <w:rsid w:val="002A535A"/>
    <w:rsid w:val="002A6107"/>
    <w:rsid w:val="002A67B2"/>
    <w:rsid w:val="002A72C5"/>
    <w:rsid w:val="002B13CC"/>
    <w:rsid w:val="002B2700"/>
    <w:rsid w:val="002B2AAB"/>
    <w:rsid w:val="002B2E53"/>
    <w:rsid w:val="002B3E82"/>
    <w:rsid w:val="002B4474"/>
    <w:rsid w:val="002B6205"/>
    <w:rsid w:val="002B62FD"/>
    <w:rsid w:val="002B680E"/>
    <w:rsid w:val="002C0CD1"/>
    <w:rsid w:val="002C0D68"/>
    <w:rsid w:val="002C1A6B"/>
    <w:rsid w:val="002C1B75"/>
    <w:rsid w:val="002C1EAB"/>
    <w:rsid w:val="002C3379"/>
    <w:rsid w:val="002C3BA0"/>
    <w:rsid w:val="002C57D4"/>
    <w:rsid w:val="002C5A13"/>
    <w:rsid w:val="002C60AE"/>
    <w:rsid w:val="002C6565"/>
    <w:rsid w:val="002D2801"/>
    <w:rsid w:val="002D2EB0"/>
    <w:rsid w:val="002D4AB7"/>
    <w:rsid w:val="002D4C66"/>
    <w:rsid w:val="002D6124"/>
    <w:rsid w:val="002D6766"/>
    <w:rsid w:val="002D74F7"/>
    <w:rsid w:val="002D778C"/>
    <w:rsid w:val="002E08CE"/>
    <w:rsid w:val="002E0F7E"/>
    <w:rsid w:val="002E13D1"/>
    <w:rsid w:val="002E14FE"/>
    <w:rsid w:val="002E1759"/>
    <w:rsid w:val="002E1E69"/>
    <w:rsid w:val="002E20C6"/>
    <w:rsid w:val="002E27EE"/>
    <w:rsid w:val="002E3569"/>
    <w:rsid w:val="002E46A5"/>
    <w:rsid w:val="002E5877"/>
    <w:rsid w:val="002E5EA6"/>
    <w:rsid w:val="002E6C3C"/>
    <w:rsid w:val="002E709A"/>
    <w:rsid w:val="002E7109"/>
    <w:rsid w:val="002E7348"/>
    <w:rsid w:val="002F172A"/>
    <w:rsid w:val="002F3E31"/>
    <w:rsid w:val="002F4800"/>
    <w:rsid w:val="002F5537"/>
    <w:rsid w:val="002F6F83"/>
    <w:rsid w:val="002F7855"/>
    <w:rsid w:val="003005E4"/>
    <w:rsid w:val="00300A0C"/>
    <w:rsid w:val="00300C4A"/>
    <w:rsid w:val="00301751"/>
    <w:rsid w:val="00301CBD"/>
    <w:rsid w:val="003030C5"/>
    <w:rsid w:val="003039E0"/>
    <w:rsid w:val="00304630"/>
    <w:rsid w:val="003047C9"/>
    <w:rsid w:val="00304E6A"/>
    <w:rsid w:val="0030598E"/>
    <w:rsid w:val="00306F55"/>
    <w:rsid w:val="00307FDF"/>
    <w:rsid w:val="00310961"/>
    <w:rsid w:val="00310B39"/>
    <w:rsid w:val="00310EEB"/>
    <w:rsid w:val="00312415"/>
    <w:rsid w:val="0031268C"/>
    <w:rsid w:val="00313290"/>
    <w:rsid w:val="00313561"/>
    <w:rsid w:val="00314452"/>
    <w:rsid w:val="003146E6"/>
    <w:rsid w:val="0031628C"/>
    <w:rsid w:val="00317BC3"/>
    <w:rsid w:val="00320592"/>
    <w:rsid w:val="00320E03"/>
    <w:rsid w:val="0032154C"/>
    <w:rsid w:val="00321FB3"/>
    <w:rsid w:val="0032242C"/>
    <w:rsid w:val="0032258B"/>
    <w:rsid w:val="003234A8"/>
    <w:rsid w:val="0032386B"/>
    <w:rsid w:val="00325734"/>
    <w:rsid w:val="003262F1"/>
    <w:rsid w:val="00326630"/>
    <w:rsid w:val="003304E5"/>
    <w:rsid w:val="003304F7"/>
    <w:rsid w:val="003308AB"/>
    <w:rsid w:val="003322CE"/>
    <w:rsid w:val="0033248F"/>
    <w:rsid w:val="00332915"/>
    <w:rsid w:val="003334FB"/>
    <w:rsid w:val="00333D04"/>
    <w:rsid w:val="003342D8"/>
    <w:rsid w:val="003360F6"/>
    <w:rsid w:val="00336531"/>
    <w:rsid w:val="00336F23"/>
    <w:rsid w:val="0034132F"/>
    <w:rsid w:val="00341AC1"/>
    <w:rsid w:val="00342A8A"/>
    <w:rsid w:val="00342B5A"/>
    <w:rsid w:val="003433D2"/>
    <w:rsid w:val="003444BB"/>
    <w:rsid w:val="0034673C"/>
    <w:rsid w:val="00346A39"/>
    <w:rsid w:val="00350695"/>
    <w:rsid w:val="003506D4"/>
    <w:rsid w:val="00351B7E"/>
    <w:rsid w:val="003526FE"/>
    <w:rsid w:val="00352B28"/>
    <w:rsid w:val="00354817"/>
    <w:rsid w:val="003563F4"/>
    <w:rsid w:val="00357222"/>
    <w:rsid w:val="003604BB"/>
    <w:rsid w:val="00360775"/>
    <w:rsid w:val="00360800"/>
    <w:rsid w:val="003609A4"/>
    <w:rsid w:val="00362CC6"/>
    <w:rsid w:val="00362D7C"/>
    <w:rsid w:val="00362F04"/>
    <w:rsid w:val="0036326E"/>
    <w:rsid w:val="003646A8"/>
    <w:rsid w:val="0036483B"/>
    <w:rsid w:val="00364BFD"/>
    <w:rsid w:val="00364E0B"/>
    <w:rsid w:val="0036520B"/>
    <w:rsid w:val="00365997"/>
    <w:rsid w:val="003667BE"/>
    <w:rsid w:val="0036731C"/>
    <w:rsid w:val="003708EA"/>
    <w:rsid w:val="0037178D"/>
    <w:rsid w:val="003718F4"/>
    <w:rsid w:val="0037198A"/>
    <w:rsid w:val="00371D33"/>
    <w:rsid w:val="00372358"/>
    <w:rsid w:val="00372C7C"/>
    <w:rsid w:val="00372F8A"/>
    <w:rsid w:val="00373455"/>
    <w:rsid w:val="00373586"/>
    <w:rsid w:val="003742AF"/>
    <w:rsid w:val="003744E0"/>
    <w:rsid w:val="00374906"/>
    <w:rsid w:val="003750F8"/>
    <w:rsid w:val="0037516F"/>
    <w:rsid w:val="0037519D"/>
    <w:rsid w:val="003754A1"/>
    <w:rsid w:val="00375DBD"/>
    <w:rsid w:val="00376861"/>
    <w:rsid w:val="003819D9"/>
    <w:rsid w:val="00383CF1"/>
    <w:rsid w:val="00386332"/>
    <w:rsid w:val="003865B0"/>
    <w:rsid w:val="00386750"/>
    <w:rsid w:val="00386E14"/>
    <w:rsid w:val="00386F36"/>
    <w:rsid w:val="0039118F"/>
    <w:rsid w:val="00391ECD"/>
    <w:rsid w:val="0039265F"/>
    <w:rsid w:val="003928D8"/>
    <w:rsid w:val="0039390F"/>
    <w:rsid w:val="00393D5C"/>
    <w:rsid w:val="00393ED7"/>
    <w:rsid w:val="0039432F"/>
    <w:rsid w:val="0039455E"/>
    <w:rsid w:val="00394B3E"/>
    <w:rsid w:val="00395B45"/>
    <w:rsid w:val="00397169"/>
    <w:rsid w:val="003A110E"/>
    <w:rsid w:val="003A1F60"/>
    <w:rsid w:val="003A2E83"/>
    <w:rsid w:val="003A2FDD"/>
    <w:rsid w:val="003A379A"/>
    <w:rsid w:val="003A3B66"/>
    <w:rsid w:val="003A3C55"/>
    <w:rsid w:val="003A49FD"/>
    <w:rsid w:val="003A4B15"/>
    <w:rsid w:val="003A5175"/>
    <w:rsid w:val="003A53D8"/>
    <w:rsid w:val="003A5C74"/>
    <w:rsid w:val="003A6298"/>
    <w:rsid w:val="003A6F22"/>
    <w:rsid w:val="003A6F67"/>
    <w:rsid w:val="003B2309"/>
    <w:rsid w:val="003B25C7"/>
    <w:rsid w:val="003B26C5"/>
    <w:rsid w:val="003B2A7B"/>
    <w:rsid w:val="003B2FA7"/>
    <w:rsid w:val="003B2FE5"/>
    <w:rsid w:val="003B357E"/>
    <w:rsid w:val="003B3CE9"/>
    <w:rsid w:val="003B3F22"/>
    <w:rsid w:val="003B4CB5"/>
    <w:rsid w:val="003B5787"/>
    <w:rsid w:val="003B6354"/>
    <w:rsid w:val="003B6B53"/>
    <w:rsid w:val="003B6E52"/>
    <w:rsid w:val="003B7B0F"/>
    <w:rsid w:val="003B7F5F"/>
    <w:rsid w:val="003C0D75"/>
    <w:rsid w:val="003C0F40"/>
    <w:rsid w:val="003C1C67"/>
    <w:rsid w:val="003C228A"/>
    <w:rsid w:val="003C2430"/>
    <w:rsid w:val="003C28C3"/>
    <w:rsid w:val="003C33F0"/>
    <w:rsid w:val="003C4B2B"/>
    <w:rsid w:val="003C4F13"/>
    <w:rsid w:val="003C5026"/>
    <w:rsid w:val="003C5FCE"/>
    <w:rsid w:val="003C6475"/>
    <w:rsid w:val="003D070A"/>
    <w:rsid w:val="003D1461"/>
    <w:rsid w:val="003D200A"/>
    <w:rsid w:val="003D3565"/>
    <w:rsid w:val="003D40C3"/>
    <w:rsid w:val="003D5AB8"/>
    <w:rsid w:val="003D6A06"/>
    <w:rsid w:val="003D7A70"/>
    <w:rsid w:val="003D7AFB"/>
    <w:rsid w:val="003E2691"/>
    <w:rsid w:val="003E5C3B"/>
    <w:rsid w:val="003F08B4"/>
    <w:rsid w:val="003F106A"/>
    <w:rsid w:val="003F117D"/>
    <w:rsid w:val="003F1454"/>
    <w:rsid w:val="003F1536"/>
    <w:rsid w:val="003F1EA5"/>
    <w:rsid w:val="003F30B5"/>
    <w:rsid w:val="003F3926"/>
    <w:rsid w:val="003F3E89"/>
    <w:rsid w:val="003F40E6"/>
    <w:rsid w:val="003F4AB9"/>
    <w:rsid w:val="003F4B4E"/>
    <w:rsid w:val="003F4E33"/>
    <w:rsid w:val="003F501D"/>
    <w:rsid w:val="003F5C2B"/>
    <w:rsid w:val="003F601B"/>
    <w:rsid w:val="003F61FF"/>
    <w:rsid w:val="003F6950"/>
    <w:rsid w:val="003F7DB2"/>
    <w:rsid w:val="00400A77"/>
    <w:rsid w:val="0040345E"/>
    <w:rsid w:val="00403E15"/>
    <w:rsid w:val="00404040"/>
    <w:rsid w:val="00404FC6"/>
    <w:rsid w:val="00406364"/>
    <w:rsid w:val="004067FF"/>
    <w:rsid w:val="00407ED8"/>
    <w:rsid w:val="0041033D"/>
    <w:rsid w:val="00410580"/>
    <w:rsid w:val="00411F48"/>
    <w:rsid w:val="00413AE5"/>
    <w:rsid w:val="00413BDA"/>
    <w:rsid w:val="00414AD9"/>
    <w:rsid w:val="0041616A"/>
    <w:rsid w:val="00416466"/>
    <w:rsid w:val="004173FB"/>
    <w:rsid w:val="0041795F"/>
    <w:rsid w:val="00421009"/>
    <w:rsid w:val="00421D80"/>
    <w:rsid w:val="00421DB0"/>
    <w:rsid w:val="00422EA8"/>
    <w:rsid w:val="00423424"/>
    <w:rsid w:val="00423A3A"/>
    <w:rsid w:val="00424BAF"/>
    <w:rsid w:val="00425D88"/>
    <w:rsid w:val="00426861"/>
    <w:rsid w:val="00426AED"/>
    <w:rsid w:val="00430AB4"/>
    <w:rsid w:val="00430DE3"/>
    <w:rsid w:val="004323A7"/>
    <w:rsid w:val="00432D50"/>
    <w:rsid w:val="00433112"/>
    <w:rsid w:val="004335B0"/>
    <w:rsid w:val="004345FA"/>
    <w:rsid w:val="00434BEF"/>
    <w:rsid w:val="0043501C"/>
    <w:rsid w:val="00435E8D"/>
    <w:rsid w:val="00435F02"/>
    <w:rsid w:val="00437273"/>
    <w:rsid w:val="00437B5C"/>
    <w:rsid w:val="0044050B"/>
    <w:rsid w:val="00441DEC"/>
    <w:rsid w:val="00443640"/>
    <w:rsid w:val="00443659"/>
    <w:rsid w:val="004439B8"/>
    <w:rsid w:val="004453B3"/>
    <w:rsid w:val="0044617D"/>
    <w:rsid w:val="004461C7"/>
    <w:rsid w:val="00446502"/>
    <w:rsid w:val="00446E89"/>
    <w:rsid w:val="0044721B"/>
    <w:rsid w:val="004473A6"/>
    <w:rsid w:val="004474CE"/>
    <w:rsid w:val="00447D01"/>
    <w:rsid w:val="00447E5C"/>
    <w:rsid w:val="00450EE6"/>
    <w:rsid w:val="00452515"/>
    <w:rsid w:val="004527EE"/>
    <w:rsid w:val="00452E3F"/>
    <w:rsid w:val="00454A07"/>
    <w:rsid w:val="00456C47"/>
    <w:rsid w:val="0046042F"/>
    <w:rsid w:val="00461FB0"/>
    <w:rsid w:val="00462B63"/>
    <w:rsid w:val="00463DC8"/>
    <w:rsid w:val="00463F10"/>
    <w:rsid w:val="0046410C"/>
    <w:rsid w:val="004649DE"/>
    <w:rsid w:val="00465025"/>
    <w:rsid w:val="00465153"/>
    <w:rsid w:val="004651E1"/>
    <w:rsid w:val="00465864"/>
    <w:rsid w:val="00466142"/>
    <w:rsid w:val="00466223"/>
    <w:rsid w:val="0046767D"/>
    <w:rsid w:val="0046781E"/>
    <w:rsid w:val="00467BFC"/>
    <w:rsid w:val="004705CC"/>
    <w:rsid w:val="0047118A"/>
    <w:rsid w:val="00471D4A"/>
    <w:rsid w:val="00471DAE"/>
    <w:rsid w:val="00471F90"/>
    <w:rsid w:val="004755EF"/>
    <w:rsid w:val="00475EC5"/>
    <w:rsid w:val="00476117"/>
    <w:rsid w:val="004773BB"/>
    <w:rsid w:val="00477420"/>
    <w:rsid w:val="004777C4"/>
    <w:rsid w:val="00477FF9"/>
    <w:rsid w:val="004812F7"/>
    <w:rsid w:val="00481C2E"/>
    <w:rsid w:val="00482ABA"/>
    <w:rsid w:val="00483660"/>
    <w:rsid w:val="00483B02"/>
    <w:rsid w:val="00483FCD"/>
    <w:rsid w:val="00484705"/>
    <w:rsid w:val="00484D72"/>
    <w:rsid w:val="004865BD"/>
    <w:rsid w:val="0048695C"/>
    <w:rsid w:val="0048782B"/>
    <w:rsid w:val="00491794"/>
    <w:rsid w:val="00491B60"/>
    <w:rsid w:val="004925DA"/>
    <w:rsid w:val="00492C4D"/>
    <w:rsid w:val="00492FAE"/>
    <w:rsid w:val="004934E9"/>
    <w:rsid w:val="0049483C"/>
    <w:rsid w:val="00495BF0"/>
    <w:rsid w:val="004965AA"/>
    <w:rsid w:val="0049661F"/>
    <w:rsid w:val="00496FDC"/>
    <w:rsid w:val="00497784"/>
    <w:rsid w:val="00497CFD"/>
    <w:rsid w:val="004A0AB3"/>
    <w:rsid w:val="004A132E"/>
    <w:rsid w:val="004A16E0"/>
    <w:rsid w:val="004A24A5"/>
    <w:rsid w:val="004A2960"/>
    <w:rsid w:val="004A2D39"/>
    <w:rsid w:val="004A33E5"/>
    <w:rsid w:val="004A3547"/>
    <w:rsid w:val="004A3955"/>
    <w:rsid w:val="004A4352"/>
    <w:rsid w:val="004A43E8"/>
    <w:rsid w:val="004A5414"/>
    <w:rsid w:val="004A7896"/>
    <w:rsid w:val="004B10DA"/>
    <w:rsid w:val="004B1636"/>
    <w:rsid w:val="004B222D"/>
    <w:rsid w:val="004B2840"/>
    <w:rsid w:val="004B348E"/>
    <w:rsid w:val="004B4061"/>
    <w:rsid w:val="004B42AD"/>
    <w:rsid w:val="004B44AA"/>
    <w:rsid w:val="004B5DE7"/>
    <w:rsid w:val="004B6A60"/>
    <w:rsid w:val="004B77E4"/>
    <w:rsid w:val="004B7A61"/>
    <w:rsid w:val="004C06A1"/>
    <w:rsid w:val="004C08F8"/>
    <w:rsid w:val="004C1E98"/>
    <w:rsid w:val="004C3C30"/>
    <w:rsid w:val="004C44CE"/>
    <w:rsid w:val="004C4A52"/>
    <w:rsid w:val="004C4B4D"/>
    <w:rsid w:val="004C4F4C"/>
    <w:rsid w:val="004C59A4"/>
    <w:rsid w:val="004C5ACF"/>
    <w:rsid w:val="004C6EF8"/>
    <w:rsid w:val="004C6FF6"/>
    <w:rsid w:val="004C7653"/>
    <w:rsid w:val="004D0BAE"/>
    <w:rsid w:val="004D1723"/>
    <w:rsid w:val="004D2906"/>
    <w:rsid w:val="004D2B11"/>
    <w:rsid w:val="004D3447"/>
    <w:rsid w:val="004D4FF6"/>
    <w:rsid w:val="004D5689"/>
    <w:rsid w:val="004D5692"/>
    <w:rsid w:val="004D57FE"/>
    <w:rsid w:val="004D5C1F"/>
    <w:rsid w:val="004D6AC1"/>
    <w:rsid w:val="004D6E73"/>
    <w:rsid w:val="004D7345"/>
    <w:rsid w:val="004D79F3"/>
    <w:rsid w:val="004D7BB6"/>
    <w:rsid w:val="004E0319"/>
    <w:rsid w:val="004E0648"/>
    <w:rsid w:val="004E0724"/>
    <w:rsid w:val="004E091D"/>
    <w:rsid w:val="004E0985"/>
    <w:rsid w:val="004E19D7"/>
    <w:rsid w:val="004E29DD"/>
    <w:rsid w:val="004E3A6F"/>
    <w:rsid w:val="004E4636"/>
    <w:rsid w:val="004E527B"/>
    <w:rsid w:val="004E664A"/>
    <w:rsid w:val="004E7EDC"/>
    <w:rsid w:val="004F0150"/>
    <w:rsid w:val="004F0929"/>
    <w:rsid w:val="004F0BF4"/>
    <w:rsid w:val="004F10F5"/>
    <w:rsid w:val="004F1819"/>
    <w:rsid w:val="004F1D6E"/>
    <w:rsid w:val="004F2ED8"/>
    <w:rsid w:val="004F314E"/>
    <w:rsid w:val="004F322E"/>
    <w:rsid w:val="004F349E"/>
    <w:rsid w:val="004F365B"/>
    <w:rsid w:val="004F3B5C"/>
    <w:rsid w:val="004F4B67"/>
    <w:rsid w:val="004F4FDD"/>
    <w:rsid w:val="004F51AF"/>
    <w:rsid w:val="004F5BAA"/>
    <w:rsid w:val="004F6370"/>
    <w:rsid w:val="004F69B8"/>
    <w:rsid w:val="004F7020"/>
    <w:rsid w:val="004F7306"/>
    <w:rsid w:val="0050142E"/>
    <w:rsid w:val="0050158A"/>
    <w:rsid w:val="00501D64"/>
    <w:rsid w:val="00502017"/>
    <w:rsid w:val="00502B3F"/>
    <w:rsid w:val="00502C9E"/>
    <w:rsid w:val="00503332"/>
    <w:rsid w:val="00503F73"/>
    <w:rsid w:val="00503F99"/>
    <w:rsid w:val="005104CA"/>
    <w:rsid w:val="00510C28"/>
    <w:rsid w:val="005117EB"/>
    <w:rsid w:val="00512350"/>
    <w:rsid w:val="005138A3"/>
    <w:rsid w:val="00514A9F"/>
    <w:rsid w:val="00514AB5"/>
    <w:rsid w:val="00514D77"/>
    <w:rsid w:val="005158CE"/>
    <w:rsid w:val="00515ED6"/>
    <w:rsid w:val="00515FD4"/>
    <w:rsid w:val="00516483"/>
    <w:rsid w:val="005165F1"/>
    <w:rsid w:val="005166DD"/>
    <w:rsid w:val="005166F3"/>
    <w:rsid w:val="0051724E"/>
    <w:rsid w:val="005173D1"/>
    <w:rsid w:val="00517FEC"/>
    <w:rsid w:val="00520687"/>
    <w:rsid w:val="0052084B"/>
    <w:rsid w:val="00520B9D"/>
    <w:rsid w:val="00521895"/>
    <w:rsid w:val="005223AB"/>
    <w:rsid w:val="00522ECF"/>
    <w:rsid w:val="005239C9"/>
    <w:rsid w:val="005247AD"/>
    <w:rsid w:val="00524CF2"/>
    <w:rsid w:val="005255CD"/>
    <w:rsid w:val="00527888"/>
    <w:rsid w:val="00531500"/>
    <w:rsid w:val="00533757"/>
    <w:rsid w:val="00533777"/>
    <w:rsid w:val="00534340"/>
    <w:rsid w:val="00535279"/>
    <w:rsid w:val="00535481"/>
    <w:rsid w:val="005356E4"/>
    <w:rsid w:val="00536141"/>
    <w:rsid w:val="00536AFE"/>
    <w:rsid w:val="0053733F"/>
    <w:rsid w:val="00537B0D"/>
    <w:rsid w:val="00537EBC"/>
    <w:rsid w:val="00542440"/>
    <w:rsid w:val="00542EEC"/>
    <w:rsid w:val="00543013"/>
    <w:rsid w:val="0054567B"/>
    <w:rsid w:val="00545A56"/>
    <w:rsid w:val="00546E33"/>
    <w:rsid w:val="00547BB4"/>
    <w:rsid w:val="00550332"/>
    <w:rsid w:val="005507A6"/>
    <w:rsid w:val="0055345A"/>
    <w:rsid w:val="00553915"/>
    <w:rsid w:val="005546D1"/>
    <w:rsid w:val="00554A32"/>
    <w:rsid w:val="00555210"/>
    <w:rsid w:val="00555AA1"/>
    <w:rsid w:val="00555DA7"/>
    <w:rsid w:val="00556469"/>
    <w:rsid w:val="0055677E"/>
    <w:rsid w:val="00556A9A"/>
    <w:rsid w:val="00560A1E"/>
    <w:rsid w:val="00560DF5"/>
    <w:rsid w:val="00560ECF"/>
    <w:rsid w:val="0056161A"/>
    <w:rsid w:val="0056232B"/>
    <w:rsid w:val="0056274E"/>
    <w:rsid w:val="00562E1A"/>
    <w:rsid w:val="00562F2A"/>
    <w:rsid w:val="00563906"/>
    <w:rsid w:val="005641D5"/>
    <w:rsid w:val="005645FD"/>
    <w:rsid w:val="00564F7D"/>
    <w:rsid w:val="005650CE"/>
    <w:rsid w:val="00565101"/>
    <w:rsid w:val="005662B6"/>
    <w:rsid w:val="00571A15"/>
    <w:rsid w:val="00571D58"/>
    <w:rsid w:val="00571F7C"/>
    <w:rsid w:val="00572283"/>
    <w:rsid w:val="005733DB"/>
    <w:rsid w:val="00573780"/>
    <w:rsid w:val="00573DB8"/>
    <w:rsid w:val="00574AC5"/>
    <w:rsid w:val="00574BCD"/>
    <w:rsid w:val="00574CEA"/>
    <w:rsid w:val="005759B5"/>
    <w:rsid w:val="00576309"/>
    <w:rsid w:val="005766B3"/>
    <w:rsid w:val="00576C0B"/>
    <w:rsid w:val="00576CDF"/>
    <w:rsid w:val="0058036D"/>
    <w:rsid w:val="00581384"/>
    <w:rsid w:val="0058178E"/>
    <w:rsid w:val="00581970"/>
    <w:rsid w:val="00583DFB"/>
    <w:rsid w:val="00583F78"/>
    <w:rsid w:val="005840C7"/>
    <w:rsid w:val="00584712"/>
    <w:rsid w:val="00584CA5"/>
    <w:rsid w:val="005851EE"/>
    <w:rsid w:val="00585A51"/>
    <w:rsid w:val="00586808"/>
    <w:rsid w:val="00587E5C"/>
    <w:rsid w:val="0059176B"/>
    <w:rsid w:val="005931FB"/>
    <w:rsid w:val="005934AE"/>
    <w:rsid w:val="00593F3E"/>
    <w:rsid w:val="00594B8F"/>
    <w:rsid w:val="00595217"/>
    <w:rsid w:val="0059799F"/>
    <w:rsid w:val="005A048F"/>
    <w:rsid w:val="005A0806"/>
    <w:rsid w:val="005A0A03"/>
    <w:rsid w:val="005A0E07"/>
    <w:rsid w:val="005A1134"/>
    <w:rsid w:val="005A3078"/>
    <w:rsid w:val="005A45B5"/>
    <w:rsid w:val="005A56B7"/>
    <w:rsid w:val="005A71F2"/>
    <w:rsid w:val="005B08CA"/>
    <w:rsid w:val="005B1955"/>
    <w:rsid w:val="005B1DA4"/>
    <w:rsid w:val="005B24FC"/>
    <w:rsid w:val="005B2AAC"/>
    <w:rsid w:val="005B2BFA"/>
    <w:rsid w:val="005B2C04"/>
    <w:rsid w:val="005B3F06"/>
    <w:rsid w:val="005B450F"/>
    <w:rsid w:val="005B4B85"/>
    <w:rsid w:val="005B5382"/>
    <w:rsid w:val="005B59F7"/>
    <w:rsid w:val="005B6876"/>
    <w:rsid w:val="005B71CC"/>
    <w:rsid w:val="005B75BD"/>
    <w:rsid w:val="005C022E"/>
    <w:rsid w:val="005C053E"/>
    <w:rsid w:val="005C0884"/>
    <w:rsid w:val="005C0B4D"/>
    <w:rsid w:val="005C17CE"/>
    <w:rsid w:val="005C1A92"/>
    <w:rsid w:val="005C3975"/>
    <w:rsid w:val="005C3E53"/>
    <w:rsid w:val="005C69CB"/>
    <w:rsid w:val="005C7C25"/>
    <w:rsid w:val="005D10AC"/>
    <w:rsid w:val="005D1419"/>
    <w:rsid w:val="005D20AA"/>
    <w:rsid w:val="005D2B7D"/>
    <w:rsid w:val="005D2F03"/>
    <w:rsid w:val="005D4437"/>
    <w:rsid w:val="005D50B8"/>
    <w:rsid w:val="005D575A"/>
    <w:rsid w:val="005D6100"/>
    <w:rsid w:val="005D64BE"/>
    <w:rsid w:val="005D68DC"/>
    <w:rsid w:val="005D719C"/>
    <w:rsid w:val="005E020E"/>
    <w:rsid w:val="005E0C8C"/>
    <w:rsid w:val="005E2953"/>
    <w:rsid w:val="005E2E87"/>
    <w:rsid w:val="005E2F7E"/>
    <w:rsid w:val="005E5238"/>
    <w:rsid w:val="005E56B0"/>
    <w:rsid w:val="005E7C4C"/>
    <w:rsid w:val="005F08B4"/>
    <w:rsid w:val="005F0BBB"/>
    <w:rsid w:val="005F125E"/>
    <w:rsid w:val="005F2572"/>
    <w:rsid w:val="005F296B"/>
    <w:rsid w:val="005F2B24"/>
    <w:rsid w:val="005F3260"/>
    <w:rsid w:val="005F4D75"/>
    <w:rsid w:val="005F600D"/>
    <w:rsid w:val="005F69E8"/>
    <w:rsid w:val="005F79DE"/>
    <w:rsid w:val="005F7E77"/>
    <w:rsid w:val="006007AE"/>
    <w:rsid w:val="00601615"/>
    <w:rsid w:val="00602346"/>
    <w:rsid w:val="00604D86"/>
    <w:rsid w:val="00604FC3"/>
    <w:rsid w:val="00605FBB"/>
    <w:rsid w:val="00606451"/>
    <w:rsid w:val="00606A41"/>
    <w:rsid w:val="00606DCB"/>
    <w:rsid w:val="00610036"/>
    <w:rsid w:val="00610A53"/>
    <w:rsid w:val="00610B5D"/>
    <w:rsid w:val="006111A3"/>
    <w:rsid w:val="00611A8A"/>
    <w:rsid w:val="006121F1"/>
    <w:rsid w:val="006123FE"/>
    <w:rsid w:val="00613C42"/>
    <w:rsid w:val="0061464F"/>
    <w:rsid w:val="00615E37"/>
    <w:rsid w:val="00620EFB"/>
    <w:rsid w:val="006219F7"/>
    <w:rsid w:val="00623751"/>
    <w:rsid w:val="00623CD7"/>
    <w:rsid w:val="006242C0"/>
    <w:rsid w:val="006242EF"/>
    <w:rsid w:val="00624ACE"/>
    <w:rsid w:val="00625658"/>
    <w:rsid w:val="00627378"/>
    <w:rsid w:val="00627ED3"/>
    <w:rsid w:val="0063100F"/>
    <w:rsid w:val="0063106E"/>
    <w:rsid w:val="0063147F"/>
    <w:rsid w:val="0063201E"/>
    <w:rsid w:val="006335B8"/>
    <w:rsid w:val="006338F0"/>
    <w:rsid w:val="00634E9E"/>
    <w:rsid w:val="006358AC"/>
    <w:rsid w:val="006367A0"/>
    <w:rsid w:val="006379C4"/>
    <w:rsid w:val="0064109D"/>
    <w:rsid w:val="006412F3"/>
    <w:rsid w:val="0064136A"/>
    <w:rsid w:val="006421D1"/>
    <w:rsid w:val="00643528"/>
    <w:rsid w:val="006435F1"/>
    <w:rsid w:val="00643DCA"/>
    <w:rsid w:val="0064454A"/>
    <w:rsid w:val="00644B98"/>
    <w:rsid w:val="00646138"/>
    <w:rsid w:val="00647342"/>
    <w:rsid w:val="00647794"/>
    <w:rsid w:val="00647A13"/>
    <w:rsid w:val="00647EBC"/>
    <w:rsid w:val="006506D3"/>
    <w:rsid w:val="00650B4A"/>
    <w:rsid w:val="0065163C"/>
    <w:rsid w:val="006517A3"/>
    <w:rsid w:val="0065190E"/>
    <w:rsid w:val="00651C71"/>
    <w:rsid w:val="00651F5D"/>
    <w:rsid w:val="006521A8"/>
    <w:rsid w:val="00652E3C"/>
    <w:rsid w:val="00653F28"/>
    <w:rsid w:val="00654012"/>
    <w:rsid w:val="0065437A"/>
    <w:rsid w:val="00654617"/>
    <w:rsid w:val="00654806"/>
    <w:rsid w:val="0065484D"/>
    <w:rsid w:val="00654C8B"/>
    <w:rsid w:val="0065552B"/>
    <w:rsid w:val="00655B49"/>
    <w:rsid w:val="00656704"/>
    <w:rsid w:val="0065744E"/>
    <w:rsid w:val="00657CF0"/>
    <w:rsid w:val="0066121C"/>
    <w:rsid w:val="00662213"/>
    <w:rsid w:val="00662F9C"/>
    <w:rsid w:val="006634F6"/>
    <w:rsid w:val="00664D61"/>
    <w:rsid w:val="00665257"/>
    <w:rsid w:val="0066538B"/>
    <w:rsid w:val="00665508"/>
    <w:rsid w:val="006661B0"/>
    <w:rsid w:val="0066699D"/>
    <w:rsid w:val="00667A91"/>
    <w:rsid w:val="0067064D"/>
    <w:rsid w:val="00670F92"/>
    <w:rsid w:val="00671656"/>
    <w:rsid w:val="00671C08"/>
    <w:rsid w:val="00671EFB"/>
    <w:rsid w:val="00672205"/>
    <w:rsid w:val="006737B0"/>
    <w:rsid w:val="00673B14"/>
    <w:rsid w:val="00673C4B"/>
    <w:rsid w:val="0067602C"/>
    <w:rsid w:val="00676768"/>
    <w:rsid w:val="006768AF"/>
    <w:rsid w:val="00676E1E"/>
    <w:rsid w:val="00676E2A"/>
    <w:rsid w:val="00676ED9"/>
    <w:rsid w:val="0068328E"/>
    <w:rsid w:val="00683ACB"/>
    <w:rsid w:val="00683B09"/>
    <w:rsid w:val="00684343"/>
    <w:rsid w:val="00684545"/>
    <w:rsid w:val="006846E4"/>
    <w:rsid w:val="00684AD4"/>
    <w:rsid w:val="00685C36"/>
    <w:rsid w:val="0068669F"/>
    <w:rsid w:val="00690954"/>
    <w:rsid w:val="00691113"/>
    <w:rsid w:val="006931AA"/>
    <w:rsid w:val="00693C0D"/>
    <w:rsid w:val="00695596"/>
    <w:rsid w:val="00695607"/>
    <w:rsid w:val="0069580E"/>
    <w:rsid w:val="00695BC6"/>
    <w:rsid w:val="00696B10"/>
    <w:rsid w:val="006A01AD"/>
    <w:rsid w:val="006A10A9"/>
    <w:rsid w:val="006A172F"/>
    <w:rsid w:val="006A32A7"/>
    <w:rsid w:val="006A3698"/>
    <w:rsid w:val="006A43C7"/>
    <w:rsid w:val="006A4EF3"/>
    <w:rsid w:val="006A4FC1"/>
    <w:rsid w:val="006A5898"/>
    <w:rsid w:val="006A5F8D"/>
    <w:rsid w:val="006A6A61"/>
    <w:rsid w:val="006A770C"/>
    <w:rsid w:val="006A7EA5"/>
    <w:rsid w:val="006B0613"/>
    <w:rsid w:val="006B1712"/>
    <w:rsid w:val="006B1C2A"/>
    <w:rsid w:val="006B1E90"/>
    <w:rsid w:val="006B2F4C"/>
    <w:rsid w:val="006B2FFD"/>
    <w:rsid w:val="006B34F5"/>
    <w:rsid w:val="006B3651"/>
    <w:rsid w:val="006B4096"/>
    <w:rsid w:val="006B44E5"/>
    <w:rsid w:val="006B57C4"/>
    <w:rsid w:val="006B580F"/>
    <w:rsid w:val="006B5811"/>
    <w:rsid w:val="006B5C40"/>
    <w:rsid w:val="006B5CA2"/>
    <w:rsid w:val="006B61A8"/>
    <w:rsid w:val="006B623D"/>
    <w:rsid w:val="006B670E"/>
    <w:rsid w:val="006C1066"/>
    <w:rsid w:val="006C2E4F"/>
    <w:rsid w:val="006C3DD0"/>
    <w:rsid w:val="006C4F64"/>
    <w:rsid w:val="006C5178"/>
    <w:rsid w:val="006C533E"/>
    <w:rsid w:val="006C55AE"/>
    <w:rsid w:val="006C61B5"/>
    <w:rsid w:val="006C6762"/>
    <w:rsid w:val="006C695D"/>
    <w:rsid w:val="006C6F6B"/>
    <w:rsid w:val="006C7541"/>
    <w:rsid w:val="006C76B1"/>
    <w:rsid w:val="006D095D"/>
    <w:rsid w:val="006D33F1"/>
    <w:rsid w:val="006D4194"/>
    <w:rsid w:val="006D432C"/>
    <w:rsid w:val="006D43D4"/>
    <w:rsid w:val="006D4D90"/>
    <w:rsid w:val="006D5994"/>
    <w:rsid w:val="006D5DBE"/>
    <w:rsid w:val="006D5F02"/>
    <w:rsid w:val="006D6205"/>
    <w:rsid w:val="006D68BE"/>
    <w:rsid w:val="006D69A0"/>
    <w:rsid w:val="006D7ED3"/>
    <w:rsid w:val="006E2C24"/>
    <w:rsid w:val="006E34B1"/>
    <w:rsid w:val="006E3A77"/>
    <w:rsid w:val="006E5419"/>
    <w:rsid w:val="006E58A5"/>
    <w:rsid w:val="006E632E"/>
    <w:rsid w:val="006E651D"/>
    <w:rsid w:val="006E6649"/>
    <w:rsid w:val="006E71C3"/>
    <w:rsid w:val="006F00ED"/>
    <w:rsid w:val="006F01A9"/>
    <w:rsid w:val="006F0275"/>
    <w:rsid w:val="006F2EA7"/>
    <w:rsid w:val="006F3265"/>
    <w:rsid w:val="006F3E0A"/>
    <w:rsid w:val="006F4379"/>
    <w:rsid w:val="006F4A44"/>
    <w:rsid w:val="006F4D07"/>
    <w:rsid w:val="006F53A6"/>
    <w:rsid w:val="006F5D7B"/>
    <w:rsid w:val="006F62E2"/>
    <w:rsid w:val="006F6C7B"/>
    <w:rsid w:val="006F6FED"/>
    <w:rsid w:val="006F725C"/>
    <w:rsid w:val="006F7B85"/>
    <w:rsid w:val="006F7D30"/>
    <w:rsid w:val="006F7D93"/>
    <w:rsid w:val="00700012"/>
    <w:rsid w:val="007008C0"/>
    <w:rsid w:val="007008F8"/>
    <w:rsid w:val="00702686"/>
    <w:rsid w:val="00702AF0"/>
    <w:rsid w:val="00702C11"/>
    <w:rsid w:val="00702CBD"/>
    <w:rsid w:val="0070379D"/>
    <w:rsid w:val="0070385E"/>
    <w:rsid w:val="007038B3"/>
    <w:rsid w:val="00703CC0"/>
    <w:rsid w:val="00703FB7"/>
    <w:rsid w:val="00704161"/>
    <w:rsid w:val="007050D6"/>
    <w:rsid w:val="00705460"/>
    <w:rsid w:val="0070605E"/>
    <w:rsid w:val="00706487"/>
    <w:rsid w:val="00707145"/>
    <w:rsid w:val="0070747B"/>
    <w:rsid w:val="0071094A"/>
    <w:rsid w:val="0071097D"/>
    <w:rsid w:val="00710BFC"/>
    <w:rsid w:val="007110D0"/>
    <w:rsid w:val="00711A15"/>
    <w:rsid w:val="00711CF4"/>
    <w:rsid w:val="00713381"/>
    <w:rsid w:val="0071392E"/>
    <w:rsid w:val="00713AC3"/>
    <w:rsid w:val="007151E9"/>
    <w:rsid w:val="00715344"/>
    <w:rsid w:val="007165A2"/>
    <w:rsid w:val="00721DFD"/>
    <w:rsid w:val="00722FAD"/>
    <w:rsid w:val="00724332"/>
    <w:rsid w:val="00724B11"/>
    <w:rsid w:val="00724F65"/>
    <w:rsid w:val="00726C16"/>
    <w:rsid w:val="00726D43"/>
    <w:rsid w:val="007279B5"/>
    <w:rsid w:val="00727DDF"/>
    <w:rsid w:val="00731055"/>
    <w:rsid w:val="007316DC"/>
    <w:rsid w:val="0073197F"/>
    <w:rsid w:val="007339D3"/>
    <w:rsid w:val="00735F08"/>
    <w:rsid w:val="00735F2E"/>
    <w:rsid w:val="00735FEC"/>
    <w:rsid w:val="00736592"/>
    <w:rsid w:val="007375DC"/>
    <w:rsid w:val="00740973"/>
    <w:rsid w:val="00740E6F"/>
    <w:rsid w:val="0074191D"/>
    <w:rsid w:val="00741BFB"/>
    <w:rsid w:val="007421C8"/>
    <w:rsid w:val="007429E1"/>
    <w:rsid w:val="00742A43"/>
    <w:rsid w:val="00742D7A"/>
    <w:rsid w:val="00742E07"/>
    <w:rsid w:val="00743486"/>
    <w:rsid w:val="007434AB"/>
    <w:rsid w:val="007436A3"/>
    <w:rsid w:val="0074378F"/>
    <w:rsid w:val="007447D6"/>
    <w:rsid w:val="00744BAA"/>
    <w:rsid w:val="007452B3"/>
    <w:rsid w:val="00745B35"/>
    <w:rsid w:val="00747422"/>
    <w:rsid w:val="007477FD"/>
    <w:rsid w:val="007500A0"/>
    <w:rsid w:val="007512DA"/>
    <w:rsid w:val="00751824"/>
    <w:rsid w:val="00752FC6"/>
    <w:rsid w:val="007533F4"/>
    <w:rsid w:val="00753F39"/>
    <w:rsid w:val="0075510D"/>
    <w:rsid w:val="00755399"/>
    <w:rsid w:val="0075632C"/>
    <w:rsid w:val="0075637A"/>
    <w:rsid w:val="00756CDE"/>
    <w:rsid w:val="00756E9C"/>
    <w:rsid w:val="007575BF"/>
    <w:rsid w:val="007622B7"/>
    <w:rsid w:val="007624DE"/>
    <w:rsid w:val="0076284B"/>
    <w:rsid w:val="00762EF8"/>
    <w:rsid w:val="007634F7"/>
    <w:rsid w:val="00763B96"/>
    <w:rsid w:val="007644D1"/>
    <w:rsid w:val="007645B4"/>
    <w:rsid w:val="0076495A"/>
    <w:rsid w:val="0076613C"/>
    <w:rsid w:val="00766FA7"/>
    <w:rsid w:val="00767AF2"/>
    <w:rsid w:val="00770C7B"/>
    <w:rsid w:val="007710CE"/>
    <w:rsid w:val="00771E72"/>
    <w:rsid w:val="007725AF"/>
    <w:rsid w:val="00773056"/>
    <w:rsid w:val="007733E2"/>
    <w:rsid w:val="00773686"/>
    <w:rsid w:val="00774C1B"/>
    <w:rsid w:val="00774D15"/>
    <w:rsid w:val="00775F22"/>
    <w:rsid w:val="00782F62"/>
    <w:rsid w:val="00783798"/>
    <w:rsid w:val="00783B41"/>
    <w:rsid w:val="0078536C"/>
    <w:rsid w:val="007877F9"/>
    <w:rsid w:val="00790D8A"/>
    <w:rsid w:val="0079257D"/>
    <w:rsid w:val="00792E92"/>
    <w:rsid w:val="007935BE"/>
    <w:rsid w:val="00795D6E"/>
    <w:rsid w:val="00796464"/>
    <w:rsid w:val="00796F84"/>
    <w:rsid w:val="00797264"/>
    <w:rsid w:val="007A0961"/>
    <w:rsid w:val="007A0D59"/>
    <w:rsid w:val="007A14E2"/>
    <w:rsid w:val="007A2D1B"/>
    <w:rsid w:val="007A3053"/>
    <w:rsid w:val="007A38DA"/>
    <w:rsid w:val="007A462B"/>
    <w:rsid w:val="007A476A"/>
    <w:rsid w:val="007A5B50"/>
    <w:rsid w:val="007A7B3D"/>
    <w:rsid w:val="007B0646"/>
    <w:rsid w:val="007B1063"/>
    <w:rsid w:val="007B16A0"/>
    <w:rsid w:val="007B3004"/>
    <w:rsid w:val="007B323D"/>
    <w:rsid w:val="007B324B"/>
    <w:rsid w:val="007B3459"/>
    <w:rsid w:val="007B3943"/>
    <w:rsid w:val="007B3A43"/>
    <w:rsid w:val="007B3F8A"/>
    <w:rsid w:val="007B4B9E"/>
    <w:rsid w:val="007B6219"/>
    <w:rsid w:val="007B649C"/>
    <w:rsid w:val="007B68EC"/>
    <w:rsid w:val="007B6CE0"/>
    <w:rsid w:val="007B6D28"/>
    <w:rsid w:val="007B7117"/>
    <w:rsid w:val="007B736C"/>
    <w:rsid w:val="007B7505"/>
    <w:rsid w:val="007B7C9D"/>
    <w:rsid w:val="007C05B3"/>
    <w:rsid w:val="007C05D7"/>
    <w:rsid w:val="007C078B"/>
    <w:rsid w:val="007C18CD"/>
    <w:rsid w:val="007C2102"/>
    <w:rsid w:val="007C2542"/>
    <w:rsid w:val="007C2B67"/>
    <w:rsid w:val="007C34CA"/>
    <w:rsid w:val="007C52B9"/>
    <w:rsid w:val="007C6797"/>
    <w:rsid w:val="007C6889"/>
    <w:rsid w:val="007C6D6B"/>
    <w:rsid w:val="007C720D"/>
    <w:rsid w:val="007D0989"/>
    <w:rsid w:val="007D1462"/>
    <w:rsid w:val="007D1C1A"/>
    <w:rsid w:val="007D2A5B"/>
    <w:rsid w:val="007D2D54"/>
    <w:rsid w:val="007D3D53"/>
    <w:rsid w:val="007D4483"/>
    <w:rsid w:val="007D4491"/>
    <w:rsid w:val="007D61F5"/>
    <w:rsid w:val="007D69F2"/>
    <w:rsid w:val="007E07DC"/>
    <w:rsid w:val="007E13DC"/>
    <w:rsid w:val="007E290F"/>
    <w:rsid w:val="007E3721"/>
    <w:rsid w:val="007E3872"/>
    <w:rsid w:val="007E3E26"/>
    <w:rsid w:val="007E43FA"/>
    <w:rsid w:val="007E4498"/>
    <w:rsid w:val="007E49CF"/>
    <w:rsid w:val="007E4B02"/>
    <w:rsid w:val="007E4F4D"/>
    <w:rsid w:val="007E5C04"/>
    <w:rsid w:val="007E6A14"/>
    <w:rsid w:val="007E7041"/>
    <w:rsid w:val="007E7777"/>
    <w:rsid w:val="007E7EF2"/>
    <w:rsid w:val="007F0985"/>
    <w:rsid w:val="007F12F3"/>
    <w:rsid w:val="007F1351"/>
    <w:rsid w:val="007F2C45"/>
    <w:rsid w:val="007F3054"/>
    <w:rsid w:val="007F39FE"/>
    <w:rsid w:val="007F3E39"/>
    <w:rsid w:val="007F4B2F"/>
    <w:rsid w:val="007F534C"/>
    <w:rsid w:val="007F581C"/>
    <w:rsid w:val="007F74D3"/>
    <w:rsid w:val="007F7915"/>
    <w:rsid w:val="00800238"/>
    <w:rsid w:val="00800928"/>
    <w:rsid w:val="00801FF1"/>
    <w:rsid w:val="00802368"/>
    <w:rsid w:val="008023B9"/>
    <w:rsid w:val="0080249A"/>
    <w:rsid w:val="00803687"/>
    <w:rsid w:val="00803D07"/>
    <w:rsid w:val="00803EED"/>
    <w:rsid w:val="00804913"/>
    <w:rsid w:val="00804EBE"/>
    <w:rsid w:val="00806A70"/>
    <w:rsid w:val="00806D92"/>
    <w:rsid w:val="00806E20"/>
    <w:rsid w:val="00806FAE"/>
    <w:rsid w:val="0080710F"/>
    <w:rsid w:val="00810B79"/>
    <w:rsid w:val="00810ED5"/>
    <w:rsid w:val="00810F54"/>
    <w:rsid w:val="00811E12"/>
    <w:rsid w:val="00811EF1"/>
    <w:rsid w:val="00812032"/>
    <w:rsid w:val="00812980"/>
    <w:rsid w:val="00812A5C"/>
    <w:rsid w:val="00813263"/>
    <w:rsid w:val="00814217"/>
    <w:rsid w:val="00814592"/>
    <w:rsid w:val="00814FCA"/>
    <w:rsid w:val="0081522B"/>
    <w:rsid w:val="00816043"/>
    <w:rsid w:val="008160E4"/>
    <w:rsid w:val="0081613A"/>
    <w:rsid w:val="008163CB"/>
    <w:rsid w:val="0081669B"/>
    <w:rsid w:val="00816EFC"/>
    <w:rsid w:val="008170B0"/>
    <w:rsid w:val="00817237"/>
    <w:rsid w:val="00820050"/>
    <w:rsid w:val="00820BFF"/>
    <w:rsid w:val="00821B60"/>
    <w:rsid w:val="00822DD4"/>
    <w:rsid w:val="00823352"/>
    <w:rsid w:val="00823607"/>
    <w:rsid w:val="0082371D"/>
    <w:rsid w:val="00823B14"/>
    <w:rsid w:val="00824489"/>
    <w:rsid w:val="00826293"/>
    <w:rsid w:val="0082797C"/>
    <w:rsid w:val="0083003D"/>
    <w:rsid w:val="00831B83"/>
    <w:rsid w:val="0083220B"/>
    <w:rsid w:val="00832880"/>
    <w:rsid w:val="00835497"/>
    <w:rsid w:val="008358D0"/>
    <w:rsid w:val="00836018"/>
    <w:rsid w:val="00840293"/>
    <w:rsid w:val="008403AC"/>
    <w:rsid w:val="00840478"/>
    <w:rsid w:val="00840779"/>
    <w:rsid w:val="00841958"/>
    <w:rsid w:val="00841F4D"/>
    <w:rsid w:val="0084215A"/>
    <w:rsid w:val="00843741"/>
    <w:rsid w:val="0084500E"/>
    <w:rsid w:val="0084519A"/>
    <w:rsid w:val="008454CC"/>
    <w:rsid w:val="00845742"/>
    <w:rsid w:val="00845BF4"/>
    <w:rsid w:val="00846A8C"/>
    <w:rsid w:val="00846D60"/>
    <w:rsid w:val="0084723F"/>
    <w:rsid w:val="008475AE"/>
    <w:rsid w:val="00847885"/>
    <w:rsid w:val="00850F78"/>
    <w:rsid w:val="00851B76"/>
    <w:rsid w:val="0085319F"/>
    <w:rsid w:val="008540CD"/>
    <w:rsid w:val="008547B5"/>
    <w:rsid w:val="008549B5"/>
    <w:rsid w:val="0085514C"/>
    <w:rsid w:val="008554F6"/>
    <w:rsid w:val="00855A8B"/>
    <w:rsid w:val="0085646F"/>
    <w:rsid w:val="00857789"/>
    <w:rsid w:val="00857AD5"/>
    <w:rsid w:val="0086075C"/>
    <w:rsid w:val="00860B72"/>
    <w:rsid w:val="00861000"/>
    <w:rsid w:val="0086165F"/>
    <w:rsid w:val="00861EDD"/>
    <w:rsid w:val="0086323E"/>
    <w:rsid w:val="00863E73"/>
    <w:rsid w:val="008645E4"/>
    <w:rsid w:val="00865CE8"/>
    <w:rsid w:val="008678CA"/>
    <w:rsid w:val="008700AC"/>
    <w:rsid w:val="00870C1B"/>
    <w:rsid w:val="00871756"/>
    <w:rsid w:val="008717E9"/>
    <w:rsid w:val="008725AE"/>
    <w:rsid w:val="0087374D"/>
    <w:rsid w:val="00873986"/>
    <w:rsid w:val="00874EF5"/>
    <w:rsid w:val="00875DF2"/>
    <w:rsid w:val="00876A9D"/>
    <w:rsid w:val="008773FA"/>
    <w:rsid w:val="00877BB8"/>
    <w:rsid w:val="00877EBC"/>
    <w:rsid w:val="00881422"/>
    <w:rsid w:val="0088157D"/>
    <w:rsid w:val="008816EC"/>
    <w:rsid w:val="00881C17"/>
    <w:rsid w:val="00882E85"/>
    <w:rsid w:val="00882F10"/>
    <w:rsid w:val="0088319B"/>
    <w:rsid w:val="00883275"/>
    <w:rsid w:val="00885AF0"/>
    <w:rsid w:val="008867A0"/>
    <w:rsid w:val="00887886"/>
    <w:rsid w:val="0089010B"/>
    <w:rsid w:val="00890A86"/>
    <w:rsid w:val="00891A93"/>
    <w:rsid w:val="00891C37"/>
    <w:rsid w:val="008926FB"/>
    <w:rsid w:val="00893C8A"/>
    <w:rsid w:val="00894165"/>
    <w:rsid w:val="008948E7"/>
    <w:rsid w:val="00894E4B"/>
    <w:rsid w:val="008967E1"/>
    <w:rsid w:val="0089697A"/>
    <w:rsid w:val="00897CED"/>
    <w:rsid w:val="00897ED5"/>
    <w:rsid w:val="00897F87"/>
    <w:rsid w:val="008A2110"/>
    <w:rsid w:val="008A21A5"/>
    <w:rsid w:val="008A3914"/>
    <w:rsid w:val="008A4C61"/>
    <w:rsid w:val="008A4D52"/>
    <w:rsid w:val="008A4EEC"/>
    <w:rsid w:val="008A59FC"/>
    <w:rsid w:val="008A5F03"/>
    <w:rsid w:val="008A5FF8"/>
    <w:rsid w:val="008A76D6"/>
    <w:rsid w:val="008B138B"/>
    <w:rsid w:val="008B13F7"/>
    <w:rsid w:val="008B316E"/>
    <w:rsid w:val="008B47C1"/>
    <w:rsid w:val="008B5BD5"/>
    <w:rsid w:val="008B5BF9"/>
    <w:rsid w:val="008B6121"/>
    <w:rsid w:val="008B66E3"/>
    <w:rsid w:val="008B67BF"/>
    <w:rsid w:val="008B6859"/>
    <w:rsid w:val="008B6E5C"/>
    <w:rsid w:val="008B7031"/>
    <w:rsid w:val="008B7331"/>
    <w:rsid w:val="008B75E1"/>
    <w:rsid w:val="008C185C"/>
    <w:rsid w:val="008C2595"/>
    <w:rsid w:val="008C3EB7"/>
    <w:rsid w:val="008C48AD"/>
    <w:rsid w:val="008C5541"/>
    <w:rsid w:val="008C71C8"/>
    <w:rsid w:val="008C7A75"/>
    <w:rsid w:val="008D011F"/>
    <w:rsid w:val="008D0703"/>
    <w:rsid w:val="008D2F75"/>
    <w:rsid w:val="008D31B4"/>
    <w:rsid w:val="008D4934"/>
    <w:rsid w:val="008D49FB"/>
    <w:rsid w:val="008D52EA"/>
    <w:rsid w:val="008D5C27"/>
    <w:rsid w:val="008D6245"/>
    <w:rsid w:val="008D6426"/>
    <w:rsid w:val="008D6D21"/>
    <w:rsid w:val="008D78B4"/>
    <w:rsid w:val="008D7C0C"/>
    <w:rsid w:val="008E0406"/>
    <w:rsid w:val="008E07ED"/>
    <w:rsid w:val="008E0A31"/>
    <w:rsid w:val="008E1F2E"/>
    <w:rsid w:val="008E34F5"/>
    <w:rsid w:val="008E3509"/>
    <w:rsid w:val="008E3909"/>
    <w:rsid w:val="008E391E"/>
    <w:rsid w:val="008E39C2"/>
    <w:rsid w:val="008E3ACB"/>
    <w:rsid w:val="008E4340"/>
    <w:rsid w:val="008E4D61"/>
    <w:rsid w:val="008E4E31"/>
    <w:rsid w:val="008E5031"/>
    <w:rsid w:val="008E579E"/>
    <w:rsid w:val="008E60E0"/>
    <w:rsid w:val="008E62F6"/>
    <w:rsid w:val="008E6964"/>
    <w:rsid w:val="008E728A"/>
    <w:rsid w:val="008E76DE"/>
    <w:rsid w:val="008F01D6"/>
    <w:rsid w:val="008F1018"/>
    <w:rsid w:val="008F11CC"/>
    <w:rsid w:val="008F19BD"/>
    <w:rsid w:val="008F24F3"/>
    <w:rsid w:val="008F2A21"/>
    <w:rsid w:val="008F39E9"/>
    <w:rsid w:val="008F4482"/>
    <w:rsid w:val="008F55BD"/>
    <w:rsid w:val="008F63FC"/>
    <w:rsid w:val="008F664A"/>
    <w:rsid w:val="008F76E5"/>
    <w:rsid w:val="00901829"/>
    <w:rsid w:val="00901C55"/>
    <w:rsid w:val="00902B4C"/>
    <w:rsid w:val="00902F20"/>
    <w:rsid w:val="00903793"/>
    <w:rsid w:val="00903D92"/>
    <w:rsid w:val="009042D7"/>
    <w:rsid w:val="00905C30"/>
    <w:rsid w:val="0090648B"/>
    <w:rsid w:val="00906DAF"/>
    <w:rsid w:val="009076EE"/>
    <w:rsid w:val="00907E11"/>
    <w:rsid w:val="00910016"/>
    <w:rsid w:val="00911A16"/>
    <w:rsid w:val="00912337"/>
    <w:rsid w:val="00912CB0"/>
    <w:rsid w:val="00913068"/>
    <w:rsid w:val="00913101"/>
    <w:rsid w:val="009132CA"/>
    <w:rsid w:val="00913B0C"/>
    <w:rsid w:val="00913E07"/>
    <w:rsid w:val="0091414C"/>
    <w:rsid w:val="00914228"/>
    <w:rsid w:val="009147FE"/>
    <w:rsid w:val="00915531"/>
    <w:rsid w:val="00915B09"/>
    <w:rsid w:val="00915C4A"/>
    <w:rsid w:val="0091793B"/>
    <w:rsid w:val="00921603"/>
    <w:rsid w:val="009217AC"/>
    <w:rsid w:val="009217DB"/>
    <w:rsid w:val="00921B80"/>
    <w:rsid w:val="00923B78"/>
    <w:rsid w:val="0092477D"/>
    <w:rsid w:val="009249E9"/>
    <w:rsid w:val="00926467"/>
    <w:rsid w:val="00926E34"/>
    <w:rsid w:val="009270F6"/>
    <w:rsid w:val="00932C3E"/>
    <w:rsid w:val="00933009"/>
    <w:rsid w:val="00934FAE"/>
    <w:rsid w:val="00935496"/>
    <w:rsid w:val="009407AE"/>
    <w:rsid w:val="00940FD6"/>
    <w:rsid w:val="00941201"/>
    <w:rsid w:val="00941D2D"/>
    <w:rsid w:val="00946215"/>
    <w:rsid w:val="0095134D"/>
    <w:rsid w:val="009516DF"/>
    <w:rsid w:val="00951C79"/>
    <w:rsid w:val="0095356C"/>
    <w:rsid w:val="009543F6"/>
    <w:rsid w:val="0095480A"/>
    <w:rsid w:val="009553A7"/>
    <w:rsid w:val="0095652F"/>
    <w:rsid w:val="00956A0F"/>
    <w:rsid w:val="00962025"/>
    <w:rsid w:val="009642AA"/>
    <w:rsid w:val="009643A7"/>
    <w:rsid w:val="00964B93"/>
    <w:rsid w:val="00964EB7"/>
    <w:rsid w:val="009651E5"/>
    <w:rsid w:val="009662CA"/>
    <w:rsid w:val="0096656C"/>
    <w:rsid w:val="0096761D"/>
    <w:rsid w:val="00970698"/>
    <w:rsid w:val="009706EF"/>
    <w:rsid w:val="00970742"/>
    <w:rsid w:val="00970854"/>
    <w:rsid w:val="009709B6"/>
    <w:rsid w:val="00970A15"/>
    <w:rsid w:val="00973453"/>
    <w:rsid w:val="00973F37"/>
    <w:rsid w:val="00974278"/>
    <w:rsid w:val="00974946"/>
    <w:rsid w:val="00974BAC"/>
    <w:rsid w:val="009753AC"/>
    <w:rsid w:val="00975829"/>
    <w:rsid w:val="00975A45"/>
    <w:rsid w:val="00976690"/>
    <w:rsid w:val="00976923"/>
    <w:rsid w:val="0097763A"/>
    <w:rsid w:val="00977EEB"/>
    <w:rsid w:val="009803C5"/>
    <w:rsid w:val="009811C2"/>
    <w:rsid w:val="00982077"/>
    <w:rsid w:val="00982113"/>
    <w:rsid w:val="00983481"/>
    <w:rsid w:val="009835A7"/>
    <w:rsid w:val="00983F14"/>
    <w:rsid w:val="009863C8"/>
    <w:rsid w:val="009864F8"/>
    <w:rsid w:val="009866F7"/>
    <w:rsid w:val="00990290"/>
    <w:rsid w:val="009906F1"/>
    <w:rsid w:val="00993D47"/>
    <w:rsid w:val="00994E30"/>
    <w:rsid w:val="0099610E"/>
    <w:rsid w:val="00996C12"/>
    <w:rsid w:val="0099721E"/>
    <w:rsid w:val="0099756D"/>
    <w:rsid w:val="00997D4A"/>
    <w:rsid w:val="009A06B0"/>
    <w:rsid w:val="009A09FB"/>
    <w:rsid w:val="009A0BAC"/>
    <w:rsid w:val="009A1AB8"/>
    <w:rsid w:val="009A1C91"/>
    <w:rsid w:val="009A238C"/>
    <w:rsid w:val="009A29AB"/>
    <w:rsid w:val="009A29FE"/>
    <w:rsid w:val="009A2F79"/>
    <w:rsid w:val="009A3275"/>
    <w:rsid w:val="009A3C58"/>
    <w:rsid w:val="009A470E"/>
    <w:rsid w:val="009A60C8"/>
    <w:rsid w:val="009A74E8"/>
    <w:rsid w:val="009A7929"/>
    <w:rsid w:val="009A7B12"/>
    <w:rsid w:val="009B016B"/>
    <w:rsid w:val="009B0B1E"/>
    <w:rsid w:val="009B0E44"/>
    <w:rsid w:val="009B1843"/>
    <w:rsid w:val="009B22D1"/>
    <w:rsid w:val="009B2B9B"/>
    <w:rsid w:val="009B2BE5"/>
    <w:rsid w:val="009B2C0E"/>
    <w:rsid w:val="009B37D9"/>
    <w:rsid w:val="009B3E91"/>
    <w:rsid w:val="009B4489"/>
    <w:rsid w:val="009B4B57"/>
    <w:rsid w:val="009B4DE2"/>
    <w:rsid w:val="009B4E37"/>
    <w:rsid w:val="009B51BC"/>
    <w:rsid w:val="009B5325"/>
    <w:rsid w:val="009B6DCB"/>
    <w:rsid w:val="009B7558"/>
    <w:rsid w:val="009C15ED"/>
    <w:rsid w:val="009C197E"/>
    <w:rsid w:val="009C2207"/>
    <w:rsid w:val="009C23A6"/>
    <w:rsid w:val="009C25E3"/>
    <w:rsid w:val="009C3857"/>
    <w:rsid w:val="009C4DC3"/>
    <w:rsid w:val="009C4FEC"/>
    <w:rsid w:val="009C587D"/>
    <w:rsid w:val="009C6325"/>
    <w:rsid w:val="009C7073"/>
    <w:rsid w:val="009D0CA7"/>
    <w:rsid w:val="009D0DE7"/>
    <w:rsid w:val="009D196A"/>
    <w:rsid w:val="009D1A4C"/>
    <w:rsid w:val="009D22EB"/>
    <w:rsid w:val="009D24BA"/>
    <w:rsid w:val="009D264C"/>
    <w:rsid w:val="009D6CC8"/>
    <w:rsid w:val="009E0B6E"/>
    <w:rsid w:val="009E0DA1"/>
    <w:rsid w:val="009E1262"/>
    <w:rsid w:val="009E19FB"/>
    <w:rsid w:val="009E1AE9"/>
    <w:rsid w:val="009E209A"/>
    <w:rsid w:val="009E4FFA"/>
    <w:rsid w:val="009E68C2"/>
    <w:rsid w:val="009F2D87"/>
    <w:rsid w:val="009F3146"/>
    <w:rsid w:val="009F38AF"/>
    <w:rsid w:val="009F4965"/>
    <w:rsid w:val="009F4B4A"/>
    <w:rsid w:val="009F5116"/>
    <w:rsid w:val="009F68F2"/>
    <w:rsid w:val="009F77FD"/>
    <w:rsid w:val="009F7952"/>
    <w:rsid w:val="00A0022A"/>
    <w:rsid w:val="00A003C5"/>
    <w:rsid w:val="00A00CF4"/>
    <w:rsid w:val="00A00EFF"/>
    <w:rsid w:val="00A01303"/>
    <w:rsid w:val="00A01A6C"/>
    <w:rsid w:val="00A01D40"/>
    <w:rsid w:val="00A0497F"/>
    <w:rsid w:val="00A05DFF"/>
    <w:rsid w:val="00A06287"/>
    <w:rsid w:val="00A063EE"/>
    <w:rsid w:val="00A07FF6"/>
    <w:rsid w:val="00A10F62"/>
    <w:rsid w:val="00A11DC0"/>
    <w:rsid w:val="00A13491"/>
    <w:rsid w:val="00A136C8"/>
    <w:rsid w:val="00A17B7D"/>
    <w:rsid w:val="00A20A24"/>
    <w:rsid w:val="00A21A87"/>
    <w:rsid w:val="00A222EC"/>
    <w:rsid w:val="00A228A7"/>
    <w:rsid w:val="00A23F87"/>
    <w:rsid w:val="00A24369"/>
    <w:rsid w:val="00A24D39"/>
    <w:rsid w:val="00A257DF"/>
    <w:rsid w:val="00A258ED"/>
    <w:rsid w:val="00A25D5A"/>
    <w:rsid w:val="00A27090"/>
    <w:rsid w:val="00A27406"/>
    <w:rsid w:val="00A276EE"/>
    <w:rsid w:val="00A30F51"/>
    <w:rsid w:val="00A315D9"/>
    <w:rsid w:val="00A31A25"/>
    <w:rsid w:val="00A31CB7"/>
    <w:rsid w:val="00A3244E"/>
    <w:rsid w:val="00A33444"/>
    <w:rsid w:val="00A334B5"/>
    <w:rsid w:val="00A33E5F"/>
    <w:rsid w:val="00A35031"/>
    <w:rsid w:val="00A35839"/>
    <w:rsid w:val="00A36606"/>
    <w:rsid w:val="00A3675E"/>
    <w:rsid w:val="00A3756D"/>
    <w:rsid w:val="00A40754"/>
    <w:rsid w:val="00A407D9"/>
    <w:rsid w:val="00A41C7D"/>
    <w:rsid w:val="00A42339"/>
    <w:rsid w:val="00A468DF"/>
    <w:rsid w:val="00A5011E"/>
    <w:rsid w:val="00A52C4B"/>
    <w:rsid w:val="00A5327A"/>
    <w:rsid w:val="00A53DBE"/>
    <w:rsid w:val="00A54255"/>
    <w:rsid w:val="00A54780"/>
    <w:rsid w:val="00A54CC1"/>
    <w:rsid w:val="00A55006"/>
    <w:rsid w:val="00A558D6"/>
    <w:rsid w:val="00A55F6C"/>
    <w:rsid w:val="00A56BD4"/>
    <w:rsid w:val="00A571DF"/>
    <w:rsid w:val="00A6140F"/>
    <w:rsid w:val="00A61D57"/>
    <w:rsid w:val="00A629E1"/>
    <w:rsid w:val="00A646E1"/>
    <w:rsid w:val="00A64991"/>
    <w:rsid w:val="00A65886"/>
    <w:rsid w:val="00A66146"/>
    <w:rsid w:val="00A6697D"/>
    <w:rsid w:val="00A67FA6"/>
    <w:rsid w:val="00A70778"/>
    <w:rsid w:val="00A70EBE"/>
    <w:rsid w:val="00A70F01"/>
    <w:rsid w:val="00A716B1"/>
    <w:rsid w:val="00A71B66"/>
    <w:rsid w:val="00A72C66"/>
    <w:rsid w:val="00A72DBD"/>
    <w:rsid w:val="00A73007"/>
    <w:rsid w:val="00A735AE"/>
    <w:rsid w:val="00A7389C"/>
    <w:rsid w:val="00A743E3"/>
    <w:rsid w:val="00A746BC"/>
    <w:rsid w:val="00A749E9"/>
    <w:rsid w:val="00A7573B"/>
    <w:rsid w:val="00A75E50"/>
    <w:rsid w:val="00A77FC8"/>
    <w:rsid w:val="00A81207"/>
    <w:rsid w:val="00A82180"/>
    <w:rsid w:val="00A82477"/>
    <w:rsid w:val="00A82E49"/>
    <w:rsid w:val="00A83837"/>
    <w:rsid w:val="00A83B80"/>
    <w:rsid w:val="00A84ADE"/>
    <w:rsid w:val="00A860E0"/>
    <w:rsid w:val="00A868F9"/>
    <w:rsid w:val="00A86F4F"/>
    <w:rsid w:val="00A8715C"/>
    <w:rsid w:val="00A87AC0"/>
    <w:rsid w:val="00A90103"/>
    <w:rsid w:val="00A903FC"/>
    <w:rsid w:val="00A90442"/>
    <w:rsid w:val="00A90ECB"/>
    <w:rsid w:val="00A91063"/>
    <w:rsid w:val="00A91BF8"/>
    <w:rsid w:val="00A92120"/>
    <w:rsid w:val="00A92AF5"/>
    <w:rsid w:val="00A94A1F"/>
    <w:rsid w:val="00A96133"/>
    <w:rsid w:val="00A9627E"/>
    <w:rsid w:val="00A962B9"/>
    <w:rsid w:val="00A9656F"/>
    <w:rsid w:val="00A968DA"/>
    <w:rsid w:val="00A96A87"/>
    <w:rsid w:val="00A9701C"/>
    <w:rsid w:val="00A975B5"/>
    <w:rsid w:val="00A97AB1"/>
    <w:rsid w:val="00AA00ED"/>
    <w:rsid w:val="00AA137E"/>
    <w:rsid w:val="00AA13B2"/>
    <w:rsid w:val="00AA14A5"/>
    <w:rsid w:val="00AA158B"/>
    <w:rsid w:val="00AA1D51"/>
    <w:rsid w:val="00AA2612"/>
    <w:rsid w:val="00AA2F84"/>
    <w:rsid w:val="00AA3A22"/>
    <w:rsid w:val="00AA5150"/>
    <w:rsid w:val="00AA75D2"/>
    <w:rsid w:val="00AB0051"/>
    <w:rsid w:val="00AB071D"/>
    <w:rsid w:val="00AB1231"/>
    <w:rsid w:val="00AB1834"/>
    <w:rsid w:val="00AB3450"/>
    <w:rsid w:val="00AB38AA"/>
    <w:rsid w:val="00AB3BA1"/>
    <w:rsid w:val="00AB3C43"/>
    <w:rsid w:val="00AB3FA1"/>
    <w:rsid w:val="00AB49EF"/>
    <w:rsid w:val="00AB5390"/>
    <w:rsid w:val="00AB59D1"/>
    <w:rsid w:val="00AB5C44"/>
    <w:rsid w:val="00AB5DD3"/>
    <w:rsid w:val="00AB7D82"/>
    <w:rsid w:val="00AC08AC"/>
    <w:rsid w:val="00AC0C2B"/>
    <w:rsid w:val="00AC0E3D"/>
    <w:rsid w:val="00AC1EBF"/>
    <w:rsid w:val="00AC3C7B"/>
    <w:rsid w:val="00AC6A80"/>
    <w:rsid w:val="00AC6B09"/>
    <w:rsid w:val="00AC75B8"/>
    <w:rsid w:val="00AD1743"/>
    <w:rsid w:val="00AD2675"/>
    <w:rsid w:val="00AD328A"/>
    <w:rsid w:val="00AD38D8"/>
    <w:rsid w:val="00AD4AAF"/>
    <w:rsid w:val="00AD4C39"/>
    <w:rsid w:val="00AD4D6E"/>
    <w:rsid w:val="00AD4DC6"/>
    <w:rsid w:val="00AD5402"/>
    <w:rsid w:val="00AD66CB"/>
    <w:rsid w:val="00AD7143"/>
    <w:rsid w:val="00AD7D6D"/>
    <w:rsid w:val="00AD7D8E"/>
    <w:rsid w:val="00AE1B08"/>
    <w:rsid w:val="00AE1EE4"/>
    <w:rsid w:val="00AE216A"/>
    <w:rsid w:val="00AE2329"/>
    <w:rsid w:val="00AE35E8"/>
    <w:rsid w:val="00AE3EC4"/>
    <w:rsid w:val="00AE4C09"/>
    <w:rsid w:val="00AE56D8"/>
    <w:rsid w:val="00AE5851"/>
    <w:rsid w:val="00AE58AC"/>
    <w:rsid w:val="00AE596C"/>
    <w:rsid w:val="00AE5E3B"/>
    <w:rsid w:val="00AE624B"/>
    <w:rsid w:val="00AE7080"/>
    <w:rsid w:val="00AE7E7B"/>
    <w:rsid w:val="00AF1EDE"/>
    <w:rsid w:val="00AF1FE8"/>
    <w:rsid w:val="00AF261D"/>
    <w:rsid w:val="00AF30BE"/>
    <w:rsid w:val="00AF3932"/>
    <w:rsid w:val="00AF3F78"/>
    <w:rsid w:val="00AF522C"/>
    <w:rsid w:val="00AF5661"/>
    <w:rsid w:val="00AF5927"/>
    <w:rsid w:val="00AF5B55"/>
    <w:rsid w:val="00AF6C6E"/>
    <w:rsid w:val="00AF6ED9"/>
    <w:rsid w:val="00AF6F00"/>
    <w:rsid w:val="00AF7190"/>
    <w:rsid w:val="00AF7D53"/>
    <w:rsid w:val="00B00451"/>
    <w:rsid w:val="00B013D7"/>
    <w:rsid w:val="00B02A70"/>
    <w:rsid w:val="00B030D7"/>
    <w:rsid w:val="00B03628"/>
    <w:rsid w:val="00B03933"/>
    <w:rsid w:val="00B066B9"/>
    <w:rsid w:val="00B0678D"/>
    <w:rsid w:val="00B067D5"/>
    <w:rsid w:val="00B07C72"/>
    <w:rsid w:val="00B101DF"/>
    <w:rsid w:val="00B11423"/>
    <w:rsid w:val="00B11721"/>
    <w:rsid w:val="00B11985"/>
    <w:rsid w:val="00B11AC8"/>
    <w:rsid w:val="00B130E3"/>
    <w:rsid w:val="00B134A0"/>
    <w:rsid w:val="00B13FF1"/>
    <w:rsid w:val="00B14756"/>
    <w:rsid w:val="00B1476E"/>
    <w:rsid w:val="00B147CC"/>
    <w:rsid w:val="00B14D8F"/>
    <w:rsid w:val="00B169CD"/>
    <w:rsid w:val="00B178EE"/>
    <w:rsid w:val="00B17CA3"/>
    <w:rsid w:val="00B17DCA"/>
    <w:rsid w:val="00B21618"/>
    <w:rsid w:val="00B21F48"/>
    <w:rsid w:val="00B22ACC"/>
    <w:rsid w:val="00B23107"/>
    <w:rsid w:val="00B23247"/>
    <w:rsid w:val="00B23750"/>
    <w:rsid w:val="00B24B39"/>
    <w:rsid w:val="00B25279"/>
    <w:rsid w:val="00B25390"/>
    <w:rsid w:val="00B254AC"/>
    <w:rsid w:val="00B25E40"/>
    <w:rsid w:val="00B25EB4"/>
    <w:rsid w:val="00B26038"/>
    <w:rsid w:val="00B26120"/>
    <w:rsid w:val="00B26B15"/>
    <w:rsid w:val="00B26CDF"/>
    <w:rsid w:val="00B26EC5"/>
    <w:rsid w:val="00B278DA"/>
    <w:rsid w:val="00B279DC"/>
    <w:rsid w:val="00B30948"/>
    <w:rsid w:val="00B315D2"/>
    <w:rsid w:val="00B335E5"/>
    <w:rsid w:val="00B34317"/>
    <w:rsid w:val="00B34830"/>
    <w:rsid w:val="00B34DDC"/>
    <w:rsid w:val="00B34E34"/>
    <w:rsid w:val="00B352F9"/>
    <w:rsid w:val="00B35826"/>
    <w:rsid w:val="00B35D61"/>
    <w:rsid w:val="00B377DB"/>
    <w:rsid w:val="00B37B0C"/>
    <w:rsid w:val="00B4036A"/>
    <w:rsid w:val="00B40D28"/>
    <w:rsid w:val="00B416C1"/>
    <w:rsid w:val="00B41B94"/>
    <w:rsid w:val="00B41C5F"/>
    <w:rsid w:val="00B41D0D"/>
    <w:rsid w:val="00B42D5D"/>
    <w:rsid w:val="00B43788"/>
    <w:rsid w:val="00B437C1"/>
    <w:rsid w:val="00B4418B"/>
    <w:rsid w:val="00B44440"/>
    <w:rsid w:val="00B45176"/>
    <w:rsid w:val="00B46A90"/>
    <w:rsid w:val="00B46B16"/>
    <w:rsid w:val="00B474B6"/>
    <w:rsid w:val="00B4757A"/>
    <w:rsid w:val="00B50856"/>
    <w:rsid w:val="00B51C23"/>
    <w:rsid w:val="00B52943"/>
    <w:rsid w:val="00B52E11"/>
    <w:rsid w:val="00B53833"/>
    <w:rsid w:val="00B55AF2"/>
    <w:rsid w:val="00B601C8"/>
    <w:rsid w:val="00B60630"/>
    <w:rsid w:val="00B6077D"/>
    <w:rsid w:val="00B60D77"/>
    <w:rsid w:val="00B613A4"/>
    <w:rsid w:val="00B62AB3"/>
    <w:rsid w:val="00B62D0F"/>
    <w:rsid w:val="00B63445"/>
    <w:rsid w:val="00B639A0"/>
    <w:rsid w:val="00B6403A"/>
    <w:rsid w:val="00B64CAF"/>
    <w:rsid w:val="00B65410"/>
    <w:rsid w:val="00B6629E"/>
    <w:rsid w:val="00B66885"/>
    <w:rsid w:val="00B66EEC"/>
    <w:rsid w:val="00B67307"/>
    <w:rsid w:val="00B676C9"/>
    <w:rsid w:val="00B67E19"/>
    <w:rsid w:val="00B707D2"/>
    <w:rsid w:val="00B70B5B"/>
    <w:rsid w:val="00B70BBA"/>
    <w:rsid w:val="00B70E25"/>
    <w:rsid w:val="00B710BA"/>
    <w:rsid w:val="00B718C8"/>
    <w:rsid w:val="00B718EA"/>
    <w:rsid w:val="00B71F2D"/>
    <w:rsid w:val="00B72BF7"/>
    <w:rsid w:val="00B72DBE"/>
    <w:rsid w:val="00B7623B"/>
    <w:rsid w:val="00B7634D"/>
    <w:rsid w:val="00B77675"/>
    <w:rsid w:val="00B777AC"/>
    <w:rsid w:val="00B818F0"/>
    <w:rsid w:val="00B81D2A"/>
    <w:rsid w:val="00B81EB9"/>
    <w:rsid w:val="00B82233"/>
    <w:rsid w:val="00B82C81"/>
    <w:rsid w:val="00B8326C"/>
    <w:rsid w:val="00B8359B"/>
    <w:rsid w:val="00B83DAB"/>
    <w:rsid w:val="00B8452B"/>
    <w:rsid w:val="00B84C45"/>
    <w:rsid w:val="00B84C71"/>
    <w:rsid w:val="00B84DCD"/>
    <w:rsid w:val="00B86A38"/>
    <w:rsid w:val="00B86C6A"/>
    <w:rsid w:val="00B86E9F"/>
    <w:rsid w:val="00B87E22"/>
    <w:rsid w:val="00B900E9"/>
    <w:rsid w:val="00B909DE"/>
    <w:rsid w:val="00B90FAC"/>
    <w:rsid w:val="00B910A4"/>
    <w:rsid w:val="00B915E6"/>
    <w:rsid w:val="00B917FC"/>
    <w:rsid w:val="00B91C1E"/>
    <w:rsid w:val="00B9390E"/>
    <w:rsid w:val="00B95349"/>
    <w:rsid w:val="00B9544C"/>
    <w:rsid w:val="00B9614C"/>
    <w:rsid w:val="00B9615E"/>
    <w:rsid w:val="00B9631F"/>
    <w:rsid w:val="00B9664F"/>
    <w:rsid w:val="00B96C21"/>
    <w:rsid w:val="00B978D8"/>
    <w:rsid w:val="00B97E47"/>
    <w:rsid w:val="00B97EA1"/>
    <w:rsid w:val="00BA00CB"/>
    <w:rsid w:val="00BA0267"/>
    <w:rsid w:val="00BA09E3"/>
    <w:rsid w:val="00BA11D3"/>
    <w:rsid w:val="00BA126D"/>
    <w:rsid w:val="00BA1544"/>
    <w:rsid w:val="00BA279F"/>
    <w:rsid w:val="00BA33B0"/>
    <w:rsid w:val="00BA3438"/>
    <w:rsid w:val="00BA37B3"/>
    <w:rsid w:val="00BA38A5"/>
    <w:rsid w:val="00BA3F91"/>
    <w:rsid w:val="00BA4119"/>
    <w:rsid w:val="00BA41C1"/>
    <w:rsid w:val="00BA5817"/>
    <w:rsid w:val="00BA59B8"/>
    <w:rsid w:val="00BA5F33"/>
    <w:rsid w:val="00BA6176"/>
    <w:rsid w:val="00BA66FC"/>
    <w:rsid w:val="00BA70D6"/>
    <w:rsid w:val="00BA770B"/>
    <w:rsid w:val="00BA7729"/>
    <w:rsid w:val="00BA7957"/>
    <w:rsid w:val="00BB067A"/>
    <w:rsid w:val="00BB1949"/>
    <w:rsid w:val="00BB1975"/>
    <w:rsid w:val="00BB21C0"/>
    <w:rsid w:val="00BB2D74"/>
    <w:rsid w:val="00BB339B"/>
    <w:rsid w:val="00BB38D2"/>
    <w:rsid w:val="00BB3C3B"/>
    <w:rsid w:val="00BB65CC"/>
    <w:rsid w:val="00BB68D4"/>
    <w:rsid w:val="00BB6B80"/>
    <w:rsid w:val="00BB6E28"/>
    <w:rsid w:val="00BB7221"/>
    <w:rsid w:val="00BB7A4E"/>
    <w:rsid w:val="00BC02B3"/>
    <w:rsid w:val="00BC03B8"/>
    <w:rsid w:val="00BC0D93"/>
    <w:rsid w:val="00BC23F1"/>
    <w:rsid w:val="00BC288F"/>
    <w:rsid w:val="00BC290D"/>
    <w:rsid w:val="00BC2DF4"/>
    <w:rsid w:val="00BC2EB8"/>
    <w:rsid w:val="00BC3BF6"/>
    <w:rsid w:val="00BC3C52"/>
    <w:rsid w:val="00BC5638"/>
    <w:rsid w:val="00BC631C"/>
    <w:rsid w:val="00BD09F4"/>
    <w:rsid w:val="00BD0CC5"/>
    <w:rsid w:val="00BD11CD"/>
    <w:rsid w:val="00BD11F8"/>
    <w:rsid w:val="00BD1253"/>
    <w:rsid w:val="00BD14E1"/>
    <w:rsid w:val="00BD16E8"/>
    <w:rsid w:val="00BD5F58"/>
    <w:rsid w:val="00BD63B3"/>
    <w:rsid w:val="00BD6F71"/>
    <w:rsid w:val="00BD7C99"/>
    <w:rsid w:val="00BE127B"/>
    <w:rsid w:val="00BE1545"/>
    <w:rsid w:val="00BE154E"/>
    <w:rsid w:val="00BE19D0"/>
    <w:rsid w:val="00BE1C8B"/>
    <w:rsid w:val="00BE24D1"/>
    <w:rsid w:val="00BE2630"/>
    <w:rsid w:val="00BE3115"/>
    <w:rsid w:val="00BE3378"/>
    <w:rsid w:val="00BE34DE"/>
    <w:rsid w:val="00BE44D5"/>
    <w:rsid w:val="00BE49CF"/>
    <w:rsid w:val="00BE5754"/>
    <w:rsid w:val="00BE6057"/>
    <w:rsid w:val="00BE6B62"/>
    <w:rsid w:val="00BE7366"/>
    <w:rsid w:val="00BE7C1D"/>
    <w:rsid w:val="00BF1B96"/>
    <w:rsid w:val="00BF23E9"/>
    <w:rsid w:val="00BF257B"/>
    <w:rsid w:val="00BF2796"/>
    <w:rsid w:val="00BF420E"/>
    <w:rsid w:val="00BF497E"/>
    <w:rsid w:val="00BF4B43"/>
    <w:rsid w:val="00BF4E4E"/>
    <w:rsid w:val="00BF5158"/>
    <w:rsid w:val="00BF629F"/>
    <w:rsid w:val="00BF64F6"/>
    <w:rsid w:val="00BF6798"/>
    <w:rsid w:val="00BF67BA"/>
    <w:rsid w:val="00BF7A9C"/>
    <w:rsid w:val="00C00076"/>
    <w:rsid w:val="00C0037D"/>
    <w:rsid w:val="00C008A4"/>
    <w:rsid w:val="00C031EB"/>
    <w:rsid w:val="00C036FD"/>
    <w:rsid w:val="00C03900"/>
    <w:rsid w:val="00C04203"/>
    <w:rsid w:val="00C04647"/>
    <w:rsid w:val="00C0663E"/>
    <w:rsid w:val="00C06953"/>
    <w:rsid w:val="00C10A77"/>
    <w:rsid w:val="00C1162C"/>
    <w:rsid w:val="00C11C29"/>
    <w:rsid w:val="00C1242D"/>
    <w:rsid w:val="00C12C15"/>
    <w:rsid w:val="00C12FE0"/>
    <w:rsid w:val="00C132D2"/>
    <w:rsid w:val="00C1477E"/>
    <w:rsid w:val="00C15A0D"/>
    <w:rsid w:val="00C15D11"/>
    <w:rsid w:val="00C168E0"/>
    <w:rsid w:val="00C16EB2"/>
    <w:rsid w:val="00C202D0"/>
    <w:rsid w:val="00C20814"/>
    <w:rsid w:val="00C208C8"/>
    <w:rsid w:val="00C20BE3"/>
    <w:rsid w:val="00C20CE4"/>
    <w:rsid w:val="00C2119B"/>
    <w:rsid w:val="00C21A1D"/>
    <w:rsid w:val="00C230B9"/>
    <w:rsid w:val="00C23154"/>
    <w:rsid w:val="00C2385E"/>
    <w:rsid w:val="00C23BD0"/>
    <w:rsid w:val="00C24083"/>
    <w:rsid w:val="00C248DB"/>
    <w:rsid w:val="00C24E94"/>
    <w:rsid w:val="00C30ECE"/>
    <w:rsid w:val="00C318E3"/>
    <w:rsid w:val="00C31B43"/>
    <w:rsid w:val="00C32AB4"/>
    <w:rsid w:val="00C332EC"/>
    <w:rsid w:val="00C3344B"/>
    <w:rsid w:val="00C34581"/>
    <w:rsid w:val="00C34981"/>
    <w:rsid w:val="00C35DC3"/>
    <w:rsid w:val="00C36C67"/>
    <w:rsid w:val="00C374D0"/>
    <w:rsid w:val="00C37F99"/>
    <w:rsid w:val="00C41521"/>
    <w:rsid w:val="00C4168D"/>
    <w:rsid w:val="00C41960"/>
    <w:rsid w:val="00C42303"/>
    <w:rsid w:val="00C43994"/>
    <w:rsid w:val="00C44748"/>
    <w:rsid w:val="00C44B54"/>
    <w:rsid w:val="00C4588A"/>
    <w:rsid w:val="00C4666E"/>
    <w:rsid w:val="00C47542"/>
    <w:rsid w:val="00C501F9"/>
    <w:rsid w:val="00C5083D"/>
    <w:rsid w:val="00C50D65"/>
    <w:rsid w:val="00C51747"/>
    <w:rsid w:val="00C5205A"/>
    <w:rsid w:val="00C5308A"/>
    <w:rsid w:val="00C545E7"/>
    <w:rsid w:val="00C55297"/>
    <w:rsid w:val="00C55C1C"/>
    <w:rsid w:val="00C56861"/>
    <w:rsid w:val="00C579BA"/>
    <w:rsid w:val="00C57B89"/>
    <w:rsid w:val="00C60AC1"/>
    <w:rsid w:val="00C60BB4"/>
    <w:rsid w:val="00C60D45"/>
    <w:rsid w:val="00C619DC"/>
    <w:rsid w:val="00C62304"/>
    <w:rsid w:val="00C62F80"/>
    <w:rsid w:val="00C63CFC"/>
    <w:rsid w:val="00C640EB"/>
    <w:rsid w:val="00C64376"/>
    <w:rsid w:val="00C6446B"/>
    <w:rsid w:val="00C64CE0"/>
    <w:rsid w:val="00C65525"/>
    <w:rsid w:val="00C66265"/>
    <w:rsid w:val="00C663C5"/>
    <w:rsid w:val="00C6655E"/>
    <w:rsid w:val="00C67211"/>
    <w:rsid w:val="00C67D97"/>
    <w:rsid w:val="00C702ED"/>
    <w:rsid w:val="00C70D1B"/>
    <w:rsid w:val="00C70EF6"/>
    <w:rsid w:val="00C7120E"/>
    <w:rsid w:val="00C7248A"/>
    <w:rsid w:val="00C744FC"/>
    <w:rsid w:val="00C74760"/>
    <w:rsid w:val="00C74837"/>
    <w:rsid w:val="00C76126"/>
    <w:rsid w:val="00C774F1"/>
    <w:rsid w:val="00C77C51"/>
    <w:rsid w:val="00C77F74"/>
    <w:rsid w:val="00C81B31"/>
    <w:rsid w:val="00C8205A"/>
    <w:rsid w:val="00C825E0"/>
    <w:rsid w:val="00C83559"/>
    <w:rsid w:val="00C83E26"/>
    <w:rsid w:val="00C85DA9"/>
    <w:rsid w:val="00C87083"/>
    <w:rsid w:val="00C87859"/>
    <w:rsid w:val="00C87D0C"/>
    <w:rsid w:val="00C9096C"/>
    <w:rsid w:val="00C90F3B"/>
    <w:rsid w:val="00C91303"/>
    <w:rsid w:val="00C915FE"/>
    <w:rsid w:val="00C91D15"/>
    <w:rsid w:val="00C927E7"/>
    <w:rsid w:val="00C92983"/>
    <w:rsid w:val="00C9311D"/>
    <w:rsid w:val="00C93310"/>
    <w:rsid w:val="00C941A8"/>
    <w:rsid w:val="00C944CF"/>
    <w:rsid w:val="00C9469B"/>
    <w:rsid w:val="00CA0528"/>
    <w:rsid w:val="00CA132B"/>
    <w:rsid w:val="00CA1C02"/>
    <w:rsid w:val="00CA1C21"/>
    <w:rsid w:val="00CA4F82"/>
    <w:rsid w:val="00CA5046"/>
    <w:rsid w:val="00CA66FD"/>
    <w:rsid w:val="00CB1537"/>
    <w:rsid w:val="00CB1E9F"/>
    <w:rsid w:val="00CB20AA"/>
    <w:rsid w:val="00CB20E7"/>
    <w:rsid w:val="00CB2FA8"/>
    <w:rsid w:val="00CB3290"/>
    <w:rsid w:val="00CB32D6"/>
    <w:rsid w:val="00CB36B5"/>
    <w:rsid w:val="00CB3881"/>
    <w:rsid w:val="00CB3CC9"/>
    <w:rsid w:val="00CB437A"/>
    <w:rsid w:val="00CB47F8"/>
    <w:rsid w:val="00CB6F46"/>
    <w:rsid w:val="00CB75E2"/>
    <w:rsid w:val="00CC00DA"/>
    <w:rsid w:val="00CC0D13"/>
    <w:rsid w:val="00CC1A78"/>
    <w:rsid w:val="00CC1E1C"/>
    <w:rsid w:val="00CC251A"/>
    <w:rsid w:val="00CC2F0B"/>
    <w:rsid w:val="00CC31BF"/>
    <w:rsid w:val="00CC34AB"/>
    <w:rsid w:val="00CC3828"/>
    <w:rsid w:val="00CC3A55"/>
    <w:rsid w:val="00CC3B2A"/>
    <w:rsid w:val="00CC507A"/>
    <w:rsid w:val="00CC5104"/>
    <w:rsid w:val="00CC6613"/>
    <w:rsid w:val="00CC6A57"/>
    <w:rsid w:val="00CC6C1D"/>
    <w:rsid w:val="00CC6C63"/>
    <w:rsid w:val="00CC78DE"/>
    <w:rsid w:val="00CD000C"/>
    <w:rsid w:val="00CD061B"/>
    <w:rsid w:val="00CD0800"/>
    <w:rsid w:val="00CD10A5"/>
    <w:rsid w:val="00CD134F"/>
    <w:rsid w:val="00CD1A2B"/>
    <w:rsid w:val="00CD220A"/>
    <w:rsid w:val="00CD39FF"/>
    <w:rsid w:val="00CD4276"/>
    <w:rsid w:val="00CD43ED"/>
    <w:rsid w:val="00CD5037"/>
    <w:rsid w:val="00CD6209"/>
    <w:rsid w:val="00CD63F6"/>
    <w:rsid w:val="00CD67A7"/>
    <w:rsid w:val="00CD6969"/>
    <w:rsid w:val="00CD6A87"/>
    <w:rsid w:val="00CD6C4E"/>
    <w:rsid w:val="00CD71A7"/>
    <w:rsid w:val="00CD74AA"/>
    <w:rsid w:val="00CE03B8"/>
    <w:rsid w:val="00CE0F6B"/>
    <w:rsid w:val="00CE1774"/>
    <w:rsid w:val="00CE4F6B"/>
    <w:rsid w:val="00CE51C5"/>
    <w:rsid w:val="00CE53B8"/>
    <w:rsid w:val="00CE5B3A"/>
    <w:rsid w:val="00CE7F28"/>
    <w:rsid w:val="00CF117B"/>
    <w:rsid w:val="00CF276A"/>
    <w:rsid w:val="00CF35B7"/>
    <w:rsid w:val="00CF36F0"/>
    <w:rsid w:val="00CF3874"/>
    <w:rsid w:val="00CF3F64"/>
    <w:rsid w:val="00CF4201"/>
    <w:rsid w:val="00CF4B95"/>
    <w:rsid w:val="00CF69EF"/>
    <w:rsid w:val="00CF7076"/>
    <w:rsid w:val="00D0058A"/>
    <w:rsid w:val="00D00753"/>
    <w:rsid w:val="00D0098D"/>
    <w:rsid w:val="00D00FC2"/>
    <w:rsid w:val="00D01C8A"/>
    <w:rsid w:val="00D0352B"/>
    <w:rsid w:val="00D03BCA"/>
    <w:rsid w:val="00D03E56"/>
    <w:rsid w:val="00D0456F"/>
    <w:rsid w:val="00D049C8"/>
    <w:rsid w:val="00D05839"/>
    <w:rsid w:val="00D06B6D"/>
    <w:rsid w:val="00D07465"/>
    <w:rsid w:val="00D07498"/>
    <w:rsid w:val="00D07B70"/>
    <w:rsid w:val="00D10287"/>
    <w:rsid w:val="00D108D3"/>
    <w:rsid w:val="00D111A9"/>
    <w:rsid w:val="00D11EC8"/>
    <w:rsid w:val="00D12136"/>
    <w:rsid w:val="00D121CC"/>
    <w:rsid w:val="00D121D7"/>
    <w:rsid w:val="00D1233B"/>
    <w:rsid w:val="00D12465"/>
    <w:rsid w:val="00D12AA8"/>
    <w:rsid w:val="00D15501"/>
    <w:rsid w:val="00D15B4F"/>
    <w:rsid w:val="00D16599"/>
    <w:rsid w:val="00D1669F"/>
    <w:rsid w:val="00D170B2"/>
    <w:rsid w:val="00D17545"/>
    <w:rsid w:val="00D2082D"/>
    <w:rsid w:val="00D20C97"/>
    <w:rsid w:val="00D21171"/>
    <w:rsid w:val="00D22D9B"/>
    <w:rsid w:val="00D24245"/>
    <w:rsid w:val="00D24401"/>
    <w:rsid w:val="00D24579"/>
    <w:rsid w:val="00D2492C"/>
    <w:rsid w:val="00D250FA"/>
    <w:rsid w:val="00D2524D"/>
    <w:rsid w:val="00D2618E"/>
    <w:rsid w:val="00D26403"/>
    <w:rsid w:val="00D300E9"/>
    <w:rsid w:val="00D304E4"/>
    <w:rsid w:val="00D310A5"/>
    <w:rsid w:val="00D31CFF"/>
    <w:rsid w:val="00D31E11"/>
    <w:rsid w:val="00D32538"/>
    <w:rsid w:val="00D32C94"/>
    <w:rsid w:val="00D3329B"/>
    <w:rsid w:val="00D33A5D"/>
    <w:rsid w:val="00D34140"/>
    <w:rsid w:val="00D3450D"/>
    <w:rsid w:val="00D370B7"/>
    <w:rsid w:val="00D37860"/>
    <w:rsid w:val="00D40776"/>
    <w:rsid w:val="00D40E89"/>
    <w:rsid w:val="00D41DB6"/>
    <w:rsid w:val="00D425EE"/>
    <w:rsid w:val="00D4279F"/>
    <w:rsid w:val="00D42EC7"/>
    <w:rsid w:val="00D434F9"/>
    <w:rsid w:val="00D43AA0"/>
    <w:rsid w:val="00D43E45"/>
    <w:rsid w:val="00D445BE"/>
    <w:rsid w:val="00D45542"/>
    <w:rsid w:val="00D46054"/>
    <w:rsid w:val="00D469B5"/>
    <w:rsid w:val="00D4780F"/>
    <w:rsid w:val="00D47DA8"/>
    <w:rsid w:val="00D50032"/>
    <w:rsid w:val="00D500C9"/>
    <w:rsid w:val="00D511AC"/>
    <w:rsid w:val="00D5175C"/>
    <w:rsid w:val="00D529CF"/>
    <w:rsid w:val="00D52AFB"/>
    <w:rsid w:val="00D52BF6"/>
    <w:rsid w:val="00D53EFF"/>
    <w:rsid w:val="00D54441"/>
    <w:rsid w:val="00D555BC"/>
    <w:rsid w:val="00D56C6D"/>
    <w:rsid w:val="00D57B2B"/>
    <w:rsid w:val="00D57C39"/>
    <w:rsid w:val="00D57E30"/>
    <w:rsid w:val="00D612E0"/>
    <w:rsid w:val="00D6134B"/>
    <w:rsid w:val="00D623D0"/>
    <w:rsid w:val="00D62FE7"/>
    <w:rsid w:val="00D6330E"/>
    <w:rsid w:val="00D63C02"/>
    <w:rsid w:val="00D6420F"/>
    <w:rsid w:val="00D650EB"/>
    <w:rsid w:val="00D664CE"/>
    <w:rsid w:val="00D66A89"/>
    <w:rsid w:val="00D66BE9"/>
    <w:rsid w:val="00D67549"/>
    <w:rsid w:val="00D67A66"/>
    <w:rsid w:val="00D67B5C"/>
    <w:rsid w:val="00D70A26"/>
    <w:rsid w:val="00D70BFE"/>
    <w:rsid w:val="00D71D66"/>
    <w:rsid w:val="00D71EA0"/>
    <w:rsid w:val="00D721F7"/>
    <w:rsid w:val="00D72F55"/>
    <w:rsid w:val="00D732D5"/>
    <w:rsid w:val="00D733B2"/>
    <w:rsid w:val="00D73D31"/>
    <w:rsid w:val="00D741BE"/>
    <w:rsid w:val="00D749E5"/>
    <w:rsid w:val="00D75828"/>
    <w:rsid w:val="00D75B85"/>
    <w:rsid w:val="00D76D1F"/>
    <w:rsid w:val="00D77354"/>
    <w:rsid w:val="00D773FB"/>
    <w:rsid w:val="00D81BDE"/>
    <w:rsid w:val="00D8204E"/>
    <w:rsid w:val="00D83C8B"/>
    <w:rsid w:val="00D84E77"/>
    <w:rsid w:val="00D8556D"/>
    <w:rsid w:val="00D85F6D"/>
    <w:rsid w:val="00D86514"/>
    <w:rsid w:val="00D86941"/>
    <w:rsid w:val="00D90325"/>
    <w:rsid w:val="00D90F03"/>
    <w:rsid w:val="00D9110D"/>
    <w:rsid w:val="00D93286"/>
    <w:rsid w:val="00D938C8"/>
    <w:rsid w:val="00D945BC"/>
    <w:rsid w:val="00D96689"/>
    <w:rsid w:val="00D96818"/>
    <w:rsid w:val="00D97AA5"/>
    <w:rsid w:val="00D97F9A"/>
    <w:rsid w:val="00DA10A7"/>
    <w:rsid w:val="00DA11C2"/>
    <w:rsid w:val="00DA1C8E"/>
    <w:rsid w:val="00DA263D"/>
    <w:rsid w:val="00DA29B4"/>
    <w:rsid w:val="00DA320D"/>
    <w:rsid w:val="00DA3493"/>
    <w:rsid w:val="00DA3569"/>
    <w:rsid w:val="00DA6B5F"/>
    <w:rsid w:val="00DA7CED"/>
    <w:rsid w:val="00DA7EA5"/>
    <w:rsid w:val="00DB0D38"/>
    <w:rsid w:val="00DB123A"/>
    <w:rsid w:val="00DB1F78"/>
    <w:rsid w:val="00DB2DEB"/>
    <w:rsid w:val="00DB309C"/>
    <w:rsid w:val="00DB689A"/>
    <w:rsid w:val="00DB73AF"/>
    <w:rsid w:val="00DB7DC1"/>
    <w:rsid w:val="00DB7F10"/>
    <w:rsid w:val="00DC1825"/>
    <w:rsid w:val="00DC19FE"/>
    <w:rsid w:val="00DC233B"/>
    <w:rsid w:val="00DC27A4"/>
    <w:rsid w:val="00DC2ED2"/>
    <w:rsid w:val="00DC3BB2"/>
    <w:rsid w:val="00DC3D13"/>
    <w:rsid w:val="00DC486E"/>
    <w:rsid w:val="00DC4AE5"/>
    <w:rsid w:val="00DC54B9"/>
    <w:rsid w:val="00DC5B5E"/>
    <w:rsid w:val="00DC5DE7"/>
    <w:rsid w:val="00DC5ECF"/>
    <w:rsid w:val="00DC77E8"/>
    <w:rsid w:val="00DC7EC0"/>
    <w:rsid w:val="00DD36A9"/>
    <w:rsid w:val="00DD385E"/>
    <w:rsid w:val="00DD4748"/>
    <w:rsid w:val="00DD4E21"/>
    <w:rsid w:val="00DD5318"/>
    <w:rsid w:val="00DD5611"/>
    <w:rsid w:val="00DD56B6"/>
    <w:rsid w:val="00DD6B6C"/>
    <w:rsid w:val="00DD707C"/>
    <w:rsid w:val="00DE0126"/>
    <w:rsid w:val="00DE03B0"/>
    <w:rsid w:val="00DE1B5E"/>
    <w:rsid w:val="00DE2C94"/>
    <w:rsid w:val="00DE2E91"/>
    <w:rsid w:val="00DE38D9"/>
    <w:rsid w:val="00DE3945"/>
    <w:rsid w:val="00DE65AB"/>
    <w:rsid w:val="00DE6A50"/>
    <w:rsid w:val="00DE6A89"/>
    <w:rsid w:val="00DE6BA3"/>
    <w:rsid w:val="00DE6D3D"/>
    <w:rsid w:val="00DE7890"/>
    <w:rsid w:val="00DF1056"/>
    <w:rsid w:val="00DF22D0"/>
    <w:rsid w:val="00DF257A"/>
    <w:rsid w:val="00DF3967"/>
    <w:rsid w:val="00DF425D"/>
    <w:rsid w:val="00DF4906"/>
    <w:rsid w:val="00DF49F5"/>
    <w:rsid w:val="00DF4B4F"/>
    <w:rsid w:val="00DF50FB"/>
    <w:rsid w:val="00DF66E5"/>
    <w:rsid w:val="00DF6828"/>
    <w:rsid w:val="00E00562"/>
    <w:rsid w:val="00E0074F"/>
    <w:rsid w:val="00E0186D"/>
    <w:rsid w:val="00E01F88"/>
    <w:rsid w:val="00E03798"/>
    <w:rsid w:val="00E037BD"/>
    <w:rsid w:val="00E043BC"/>
    <w:rsid w:val="00E051B5"/>
    <w:rsid w:val="00E05F85"/>
    <w:rsid w:val="00E06491"/>
    <w:rsid w:val="00E078EA"/>
    <w:rsid w:val="00E11612"/>
    <w:rsid w:val="00E127C2"/>
    <w:rsid w:val="00E16BC4"/>
    <w:rsid w:val="00E20077"/>
    <w:rsid w:val="00E20E01"/>
    <w:rsid w:val="00E2126E"/>
    <w:rsid w:val="00E21F39"/>
    <w:rsid w:val="00E22369"/>
    <w:rsid w:val="00E22EF0"/>
    <w:rsid w:val="00E2324D"/>
    <w:rsid w:val="00E23B4B"/>
    <w:rsid w:val="00E23B5D"/>
    <w:rsid w:val="00E2458E"/>
    <w:rsid w:val="00E24AA3"/>
    <w:rsid w:val="00E2522D"/>
    <w:rsid w:val="00E2575F"/>
    <w:rsid w:val="00E25E2D"/>
    <w:rsid w:val="00E2611C"/>
    <w:rsid w:val="00E274F4"/>
    <w:rsid w:val="00E27C7B"/>
    <w:rsid w:val="00E314BD"/>
    <w:rsid w:val="00E342FD"/>
    <w:rsid w:val="00E34CCF"/>
    <w:rsid w:val="00E35440"/>
    <w:rsid w:val="00E354B3"/>
    <w:rsid w:val="00E35D26"/>
    <w:rsid w:val="00E367F2"/>
    <w:rsid w:val="00E36960"/>
    <w:rsid w:val="00E36A12"/>
    <w:rsid w:val="00E37346"/>
    <w:rsid w:val="00E37C32"/>
    <w:rsid w:val="00E428A5"/>
    <w:rsid w:val="00E42E58"/>
    <w:rsid w:val="00E4350C"/>
    <w:rsid w:val="00E44649"/>
    <w:rsid w:val="00E44BAE"/>
    <w:rsid w:val="00E44C85"/>
    <w:rsid w:val="00E44FA5"/>
    <w:rsid w:val="00E4509B"/>
    <w:rsid w:val="00E456F1"/>
    <w:rsid w:val="00E45C1A"/>
    <w:rsid w:val="00E45C37"/>
    <w:rsid w:val="00E45D56"/>
    <w:rsid w:val="00E45FE9"/>
    <w:rsid w:val="00E4606D"/>
    <w:rsid w:val="00E461BD"/>
    <w:rsid w:val="00E464F2"/>
    <w:rsid w:val="00E465E1"/>
    <w:rsid w:val="00E472F4"/>
    <w:rsid w:val="00E47610"/>
    <w:rsid w:val="00E504BA"/>
    <w:rsid w:val="00E51571"/>
    <w:rsid w:val="00E51BF7"/>
    <w:rsid w:val="00E525D2"/>
    <w:rsid w:val="00E52947"/>
    <w:rsid w:val="00E52E73"/>
    <w:rsid w:val="00E53246"/>
    <w:rsid w:val="00E55123"/>
    <w:rsid w:val="00E55A72"/>
    <w:rsid w:val="00E579DC"/>
    <w:rsid w:val="00E60054"/>
    <w:rsid w:val="00E6029D"/>
    <w:rsid w:val="00E61D48"/>
    <w:rsid w:val="00E61F65"/>
    <w:rsid w:val="00E627BB"/>
    <w:rsid w:val="00E63196"/>
    <w:rsid w:val="00E63907"/>
    <w:rsid w:val="00E64196"/>
    <w:rsid w:val="00E67A77"/>
    <w:rsid w:val="00E715D6"/>
    <w:rsid w:val="00E72885"/>
    <w:rsid w:val="00E72DD0"/>
    <w:rsid w:val="00E73E78"/>
    <w:rsid w:val="00E7489B"/>
    <w:rsid w:val="00E76867"/>
    <w:rsid w:val="00E76949"/>
    <w:rsid w:val="00E801E9"/>
    <w:rsid w:val="00E801F1"/>
    <w:rsid w:val="00E813DB"/>
    <w:rsid w:val="00E8223B"/>
    <w:rsid w:val="00E828C2"/>
    <w:rsid w:val="00E839D1"/>
    <w:rsid w:val="00E83D84"/>
    <w:rsid w:val="00E83DFE"/>
    <w:rsid w:val="00E8422F"/>
    <w:rsid w:val="00E8493B"/>
    <w:rsid w:val="00E85112"/>
    <w:rsid w:val="00E85EC4"/>
    <w:rsid w:val="00E86170"/>
    <w:rsid w:val="00E86BA1"/>
    <w:rsid w:val="00E86DEF"/>
    <w:rsid w:val="00E879F5"/>
    <w:rsid w:val="00E90507"/>
    <w:rsid w:val="00E90544"/>
    <w:rsid w:val="00E915A7"/>
    <w:rsid w:val="00E9251C"/>
    <w:rsid w:val="00E925C4"/>
    <w:rsid w:val="00E928BC"/>
    <w:rsid w:val="00E92C0C"/>
    <w:rsid w:val="00E92CA1"/>
    <w:rsid w:val="00E92D52"/>
    <w:rsid w:val="00E93611"/>
    <w:rsid w:val="00E93BEA"/>
    <w:rsid w:val="00E95159"/>
    <w:rsid w:val="00E96D48"/>
    <w:rsid w:val="00E974CC"/>
    <w:rsid w:val="00EA026F"/>
    <w:rsid w:val="00EA128C"/>
    <w:rsid w:val="00EA1ADB"/>
    <w:rsid w:val="00EA4C06"/>
    <w:rsid w:val="00EA5043"/>
    <w:rsid w:val="00EA5348"/>
    <w:rsid w:val="00EA5FB4"/>
    <w:rsid w:val="00EA6819"/>
    <w:rsid w:val="00EA70AC"/>
    <w:rsid w:val="00EA74E0"/>
    <w:rsid w:val="00EB040A"/>
    <w:rsid w:val="00EB0534"/>
    <w:rsid w:val="00EB0A8F"/>
    <w:rsid w:val="00EB120C"/>
    <w:rsid w:val="00EB1DFA"/>
    <w:rsid w:val="00EB257E"/>
    <w:rsid w:val="00EB438E"/>
    <w:rsid w:val="00EB490C"/>
    <w:rsid w:val="00EB52D5"/>
    <w:rsid w:val="00EB5C52"/>
    <w:rsid w:val="00EB66FD"/>
    <w:rsid w:val="00EB6A40"/>
    <w:rsid w:val="00EC01C3"/>
    <w:rsid w:val="00EC13D0"/>
    <w:rsid w:val="00EC203F"/>
    <w:rsid w:val="00EC2080"/>
    <w:rsid w:val="00EC2883"/>
    <w:rsid w:val="00EC297A"/>
    <w:rsid w:val="00EC4111"/>
    <w:rsid w:val="00EC4815"/>
    <w:rsid w:val="00EC48FC"/>
    <w:rsid w:val="00EC53B0"/>
    <w:rsid w:val="00EC56EF"/>
    <w:rsid w:val="00EC5748"/>
    <w:rsid w:val="00EC6E67"/>
    <w:rsid w:val="00EC7E2D"/>
    <w:rsid w:val="00ED1513"/>
    <w:rsid w:val="00ED2318"/>
    <w:rsid w:val="00ED26CF"/>
    <w:rsid w:val="00ED2BDB"/>
    <w:rsid w:val="00ED30AF"/>
    <w:rsid w:val="00ED381E"/>
    <w:rsid w:val="00ED3BC9"/>
    <w:rsid w:val="00ED3F2A"/>
    <w:rsid w:val="00ED4BF4"/>
    <w:rsid w:val="00ED6A3E"/>
    <w:rsid w:val="00ED6C03"/>
    <w:rsid w:val="00ED76FB"/>
    <w:rsid w:val="00ED795C"/>
    <w:rsid w:val="00EE0DAB"/>
    <w:rsid w:val="00EE10EA"/>
    <w:rsid w:val="00EE2B41"/>
    <w:rsid w:val="00EE2ECB"/>
    <w:rsid w:val="00EE3C06"/>
    <w:rsid w:val="00EE407C"/>
    <w:rsid w:val="00EE4476"/>
    <w:rsid w:val="00EE499A"/>
    <w:rsid w:val="00EE4DC8"/>
    <w:rsid w:val="00EE5BCF"/>
    <w:rsid w:val="00EE61BF"/>
    <w:rsid w:val="00EE6717"/>
    <w:rsid w:val="00EE7408"/>
    <w:rsid w:val="00EF095A"/>
    <w:rsid w:val="00EF11FD"/>
    <w:rsid w:val="00EF1B9E"/>
    <w:rsid w:val="00EF2CE7"/>
    <w:rsid w:val="00EF2EFA"/>
    <w:rsid w:val="00EF343F"/>
    <w:rsid w:val="00EF5AA2"/>
    <w:rsid w:val="00EF64D3"/>
    <w:rsid w:val="00EF6D33"/>
    <w:rsid w:val="00F0026E"/>
    <w:rsid w:val="00F019D1"/>
    <w:rsid w:val="00F01BC8"/>
    <w:rsid w:val="00F01F4A"/>
    <w:rsid w:val="00F020F7"/>
    <w:rsid w:val="00F021F7"/>
    <w:rsid w:val="00F02D71"/>
    <w:rsid w:val="00F02F92"/>
    <w:rsid w:val="00F03569"/>
    <w:rsid w:val="00F0598C"/>
    <w:rsid w:val="00F068C3"/>
    <w:rsid w:val="00F077C8"/>
    <w:rsid w:val="00F104B6"/>
    <w:rsid w:val="00F10DBE"/>
    <w:rsid w:val="00F1243F"/>
    <w:rsid w:val="00F14A8E"/>
    <w:rsid w:val="00F14B9C"/>
    <w:rsid w:val="00F15219"/>
    <w:rsid w:val="00F16656"/>
    <w:rsid w:val="00F20815"/>
    <w:rsid w:val="00F20DEE"/>
    <w:rsid w:val="00F217AA"/>
    <w:rsid w:val="00F221B7"/>
    <w:rsid w:val="00F22472"/>
    <w:rsid w:val="00F224AB"/>
    <w:rsid w:val="00F229B7"/>
    <w:rsid w:val="00F2319B"/>
    <w:rsid w:val="00F237BC"/>
    <w:rsid w:val="00F241CA"/>
    <w:rsid w:val="00F26C16"/>
    <w:rsid w:val="00F300FF"/>
    <w:rsid w:val="00F302F8"/>
    <w:rsid w:val="00F31C11"/>
    <w:rsid w:val="00F31E4C"/>
    <w:rsid w:val="00F3450D"/>
    <w:rsid w:val="00F3487A"/>
    <w:rsid w:val="00F34DE2"/>
    <w:rsid w:val="00F359B7"/>
    <w:rsid w:val="00F3766F"/>
    <w:rsid w:val="00F377B5"/>
    <w:rsid w:val="00F40273"/>
    <w:rsid w:val="00F403ED"/>
    <w:rsid w:val="00F40B49"/>
    <w:rsid w:val="00F414C2"/>
    <w:rsid w:val="00F43283"/>
    <w:rsid w:val="00F43A9F"/>
    <w:rsid w:val="00F43BB1"/>
    <w:rsid w:val="00F44E29"/>
    <w:rsid w:val="00F453D0"/>
    <w:rsid w:val="00F477D1"/>
    <w:rsid w:val="00F508E9"/>
    <w:rsid w:val="00F50B53"/>
    <w:rsid w:val="00F50BA1"/>
    <w:rsid w:val="00F50E19"/>
    <w:rsid w:val="00F50F7D"/>
    <w:rsid w:val="00F514F3"/>
    <w:rsid w:val="00F515D2"/>
    <w:rsid w:val="00F51CBD"/>
    <w:rsid w:val="00F5357E"/>
    <w:rsid w:val="00F546E3"/>
    <w:rsid w:val="00F561BD"/>
    <w:rsid w:val="00F60499"/>
    <w:rsid w:val="00F60D7A"/>
    <w:rsid w:val="00F61399"/>
    <w:rsid w:val="00F616C9"/>
    <w:rsid w:val="00F64608"/>
    <w:rsid w:val="00F648BE"/>
    <w:rsid w:val="00F65593"/>
    <w:rsid w:val="00F657C9"/>
    <w:rsid w:val="00F65A7D"/>
    <w:rsid w:val="00F667FA"/>
    <w:rsid w:val="00F675C9"/>
    <w:rsid w:val="00F70AFB"/>
    <w:rsid w:val="00F70D42"/>
    <w:rsid w:val="00F70D73"/>
    <w:rsid w:val="00F71499"/>
    <w:rsid w:val="00F7157A"/>
    <w:rsid w:val="00F715B6"/>
    <w:rsid w:val="00F7195C"/>
    <w:rsid w:val="00F71D24"/>
    <w:rsid w:val="00F72497"/>
    <w:rsid w:val="00F72550"/>
    <w:rsid w:val="00F73CC0"/>
    <w:rsid w:val="00F74B7E"/>
    <w:rsid w:val="00F75EFD"/>
    <w:rsid w:val="00F7627D"/>
    <w:rsid w:val="00F7755C"/>
    <w:rsid w:val="00F811BF"/>
    <w:rsid w:val="00F812BB"/>
    <w:rsid w:val="00F815DF"/>
    <w:rsid w:val="00F8206E"/>
    <w:rsid w:val="00F8391B"/>
    <w:rsid w:val="00F83CA0"/>
    <w:rsid w:val="00F83F5B"/>
    <w:rsid w:val="00F84576"/>
    <w:rsid w:val="00F8589F"/>
    <w:rsid w:val="00F90663"/>
    <w:rsid w:val="00F90F5A"/>
    <w:rsid w:val="00F92046"/>
    <w:rsid w:val="00F92742"/>
    <w:rsid w:val="00F936F2"/>
    <w:rsid w:val="00F9395F"/>
    <w:rsid w:val="00F93EFA"/>
    <w:rsid w:val="00F946EB"/>
    <w:rsid w:val="00F94FCF"/>
    <w:rsid w:val="00F95262"/>
    <w:rsid w:val="00F95A32"/>
    <w:rsid w:val="00F95D1F"/>
    <w:rsid w:val="00F96565"/>
    <w:rsid w:val="00FA00E5"/>
    <w:rsid w:val="00FA15AA"/>
    <w:rsid w:val="00FA16AE"/>
    <w:rsid w:val="00FA188D"/>
    <w:rsid w:val="00FA1AC4"/>
    <w:rsid w:val="00FA1CFE"/>
    <w:rsid w:val="00FA27E6"/>
    <w:rsid w:val="00FA38D1"/>
    <w:rsid w:val="00FA509D"/>
    <w:rsid w:val="00FA5BC8"/>
    <w:rsid w:val="00FA6E10"/>
    <w:rsid w:val="00FA7537"/>
    <w:rsid w:val="00FA7E7B"/>
    <w:rsid w:val="00FB11A4"/>
    <w:rsid w:val="00FB1CA8"/>
    <w:rsid w:val="00FB2C56"/>
    <w:rsid w:val="00FB3DD4"/>
    <w:rsid w:val="00FB4006"/>
    <w:rsid w:val="00FB4609"/>
    <w:rsid w:val="00FB4617"/>
    <w:rsid w:val="00FB5A40"/>
    <w:rsid w:val="00FB5E30"/>
    <w:rsid w:val="00FB6B39"/>
    <w:rsid w:val="00FB6C06"/>
    <w:rsid w:val="00FC012D"/>
    <w:rsid w:val="00FC0340"/>
    <w:rsid w:val="00FC067A"/>
    <w:rsid w:val="00FC0850"/>
    <w:rsid w:val="00FC13EB"/>
    <w:rsid w:val="00FC1879"/>
    <w:rsid w:val="00FC2BC5"/>
    <w:rsid w:val="00FC2CFE"/>
    <w:rsid w:val="00FC337E"/>
    <w:rsid w:val="00FC4396"/>
    <w:rsid w:val="00FC43BA"/>
    <w:rsid w:val="00FC46A6"/>
    <w:rsid w:val="00FC4D76"/>
    <w:rsid w:val="00FC5F1E"/>
    <w:rsid w:val="00FC6A16"/>
    <w:rsid w:val="00FC7FCE"/>
    <w:rsid w:val="00FD00D6"/>
    <w:rsid w:val="00FD024B"/>
    <w:rsid w:val="00FD073B"/>
    <w:rsid w:val="00FD0971"/>
    <w:rsid w:val="00FD0E91"/>
    <w:rsid w:val="00FD22EB"/>
    <w:rsid w:val="00FD2E05"/>
    <w:rsid w:val="00FD58E8"/>
    <w:rsid w:val="00FD730B"/>
    <w:rsid w:val="00FD7415"/>
    <w:rsid w:val="00FD743E"/>
    <w:rsid w:val="00FD7B53"/>
    <w:rsid w:val="00FE268E"/>
    <w:rsid w:val="00FE31BD"/>
    <w:rsid w:val="00FE3FE1"/>
    <w:rsid w:val="00FE491B"/>
    <w:rsid w:val="00FE4EB3"/>
    <w:rsid w:val="00FE69C7"/>
    <w:rsid w:val="00FE6D66"/>
    <w:rsid w:val="00FE7A8B"/>
    <w:rsid w:val="00FE7C76"/>
    <w:rsid w:val="00FF1274"/>
    <w:rsid w:val="00FF13C7"/>
    <w:rsid w:val="00FF192C"/>
    <w:rsid w:val="00FF2060"/>
    <w:rsid w:val="00FF222D"/>
    <w:rsid w:val="00FF327B"/>
    <w:rsid w:val="00FF3A25"/>
    <w:rsid w:val="00FF4127"/>
    <w:rsid w:val="00FF4A6D"/>
    <w:rsid w:val="00FF69FC"/>
    <w:rsid w:val="00FF6BF2"/>
    <w:rsid w:val="00FF6E42"/>
    <w:rsid w:val="00FF71CC"/>
    <w:rsid w:val="00FF7633"/>
    <w:rsid w:val="00FF7F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43A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fr-FR"/>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300FF"/>
    <w:pPr>
      <w:spacing w:before="60" w:after="140" w:line="220" w:lineRule="atLeast"/>
      <w:jc w:val="both"/>
    </w:pPr>
    <w:rPr>
      <w:rFonts w:ascii="Arial" w:hAnsi="Arial"/>
      <w:sz w:val="18"/>
      <w:szCs w:val="24"/>
    </w:rPr>
  </w:style>
  <w:style w:type="paragraph" w:styleId="Heading1">
    <w:name w:val="heading 1"/>
    <w:basedOn w:val="Normal"/>
    <w:next w:val="Normal"/>
    <w:semiHidden/>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rsid w:val="00E465E1"/>
    <w:pPr>
      <w:suppressAutoHyphens/>
      <w:spacing w:before="200" w:after="100"/>
      <w:jc w:val="left"/>
      <w:outlineLvl w:val="4"/>
    </w:pPr>
    <w:rPr>
      <w:b/>
      <w:bCs/>
      <w:iCs/>
      <w:color w:val="5F5F5F"/>
      <w:szCs w:val="26"/>
    </w:rPr>
  </w:style>
  <w:style w:type="paragraph" w:styleId="Heading6">
    <w:name w:val="heading 6"/>
    <w:basedOn w:val="Normal"/>
    <w:next w:val="Normal"/>
    <w:semiHidden/>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rsid w:val="00364BFD"/>
    <w:pPr>
      <w:tabs>
        <w:tab w:val="left" w:pos="454"/>
        <w:tab w:val="right" w:leader="dot" w:pos="9072"/>
      </w:tabs>
      <w:suppressAutoHyphens/>
      <w:spacing w:before="60" w:line="280" w:lineRule="exact"/>
      <w:ind w:left="454" w:hanging="454"/>
    </w:pPr>
    <w:rPr>
      <w:rFonts w:ascii="Arial" w:hAnsi="Arial"/>
      <w:color w:val="373737" w:themeColor="text1"/>
      <w:szCs w:val="22"/>
    </w:rPr>
  </w:style>
  <w:style w:type="paragraph" w:styleId="Header">
    <w:name w:val="header"/>
    <w:rsid w:val="00BD09F4"/>
    <w:pPr>
      <w:tabs>
        <w:tab w:val="right" w:pos="9072"/>
      </w:tabs>
      <w:spacing w:before="60"/>
    </w:pPr>
    <w:rPr>
      <w:rFonts w:ascii="Arial" w:hAnsi="Arial"/>
      <w:color w:val="F07E31" w:themeColor="accent1"/>
      <w:sz w:val="18"/>
    </w:rPr>
  </w:style>
  <w:style w:type="paragraph" w:styleId="Footer">
    <w:name w:val="footer"/>
    <w:link w:val="FooterChar"/>
    <w:uiPriority w:val="99"/>
    <w:rsid w:val="00D86941"/>
    <w:pPr>
      <w:tabs>
        <w:tab w:val="right" w:pos="8618"/>
      </w:tabs>
      <w:ind w:left="-907" w:right="-907"/>
      <w:jc w:val="center"/>
    </w:pPr>
    <w:rPr>
      <w:rFonts w:ascii="Arial" w:hAnsi="Arial"/>
      <w:color w:val="373737"/>
      <w:sz w:val="22"/>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364BFD"/>
    <w:pPr>
      <w:autoSpaceDE w:val="0"/>
      <w:autoSpaceDN w:val="0"/>
      <w:adjustRightInd w:val="0"/>
      <w:spacing w:before="0" w:after="120" w:line="280" w:lineRule="atLeast"/>
      <w:jc w:val="left"/>
    </w:pPr>
    <w:rPr>
      <w:smallCaps/>
      <w:color w:val="373737" w:themeColor="text1"/>
      <w:sz w:val="44"/>
      <w:szCs w:val="52"/>
    </w:rPr>
  </w:style>
  <w:style w:type="paragraph" w:customStyle="1" w:styleId="Hlistbullet">
    <w:name w:val="H_list_bullet"/>
    <w:rsid w:val="00C42303"/>
    <w:pPr>
      <w:numPr>
        <w:numId w:val="2"/>
      </w:numPr>
      <w:spacing w:before="60" w:after="60" w:line="220" w:lineRule="atLeast"/>
      <w:ind w:left="567" w:hanging="567"/>
      <w:jc w:val="both"/>
    </w:pPr>
    <w:rPr>
      <w:rFonts w:ascii="Arial" w:hAnsi="Arial"/>
      <w:color w:val="373737" w:themeColor="text1"/>
    </w:rPr>
  </w:style>
  <w:style w:type="paragraph" w:customStyle="1" w:styleId="Hlistbullet2">
    <w:name w:val="H_list_bullet2"/>
    <w:basedOn w:val="Hlistbullet"/>
    <w:next w:val="HStandard"/>
    <w:rsid w:val="00735F08"/>
    <w:pPr>
      <w:numPr>
        <w:numId w:val="12"/>
      </w:numPr>
      <w:ind w:left="1134" w:hanging="567"/>
    </w:pPr>
  </w:style>
  <w:style w:type="paragraph" w:customStyle="1" w:styleId="Hlistabc">
    <w:name w:val="H_list_abc"/>
    <w:rsid w:val="00364BFD"/>
    <w:pPr>
      <w:numPr>
        <w:numId w:val="3"/>
      </w:numPr>
      <w:spacing w:before="60" w:after="60" w:line="220" w:lineRule="atLeast"/>
      <w:jc w:val="both"/>
    </w:pPr>
    <w:rPr>
      <w:rFonts w:ascii="Arial" w:hAnsi="Arial"/>
      <w:color w:val="373737" w:themeColor="text1"/>
    </w:rPr>
  </w:style>
  <w:style w:type="paragraph" w:customStyle="1" w:styleId="Hlistabc2">
    <w:name w:val="H_list_abc_2"/>
    <w:basedOn w:val="Hlistabc"/>
    <w:next w:val="HStandard"/>
    <w:rsid w:val="00801FF1"/>
    <w:pPr>
      <w:spacing w:after="140"/>
      <w:ind w:left="1134"/>
    </w:pPr>
  </w:style>
  <w:style w:type="paragraph" w:customStyle="1" w:styleId="HTitle1">
    <w:name w:val="H_Title1"/>
    <w:basedOn w:val="Normal"/>
    <w:rsid w:val="00364BFD"/>
    <w:pPr>
      <w:autoSpaceDE w:val="0"/>
      <w:autoSpaceDN w:val="0"/>
      <w:adjustRightInd w:val="0"/>
      <w:spacing w:before="0" w:after="120" w:line="280" w:lineRule="atLeast"/>
    </w:pPr>
    <w:rPr>
      <w:bCs/>
      <w:smallCaps/>
      <w:color w:val="F07E31" w:themeColor="accent1"/>
      <w:sz w:val="60"/>
      <w:szCs w:val="32"/>
    </w:rPr>
  </w:style>
  <w:style w:type="paragraph" w:customStyle="1" w:styleId="Autor">
    <w:name w:val="Autor"/>
    <w:basedOn w:val="Normal"/>
    <w:rsid w:val="00EE61BF"/>
    <w:pPr>
      <w:spacing w:before="0" w:after="0" w:line="280" w:lineRule="exact"/>
      <w:jc w:val="left"/>
    </w:pPr>
    <w:rPr>
      <w:sz w:val="20"/>
    </w:rPr>
  </w:style>
  <w:style w:type="paragraph" w:customStyle="1" w:styleId="HTitle3">
    <w:name w:val="H_Title3"/>
    <w:basedOn w:val="Autor"/>
    <w:rsid w:val="00364BFD"/>
    <w:rPr>
      <w:smallCaps/>
      <w:color w:val="373737" w:themeColor="text1"/>
      <w:sz w:val="28"/>
    </w:rPr>
  </w:style>
  <w:style w:type="paragraph" w:styleId="TOC1">
    <w:name w:val="toc 1"/>
    <w:next w:val="Normal"/>
    <w:uiPriority w:val="39"/>
    <w:rsid w:val="002807DC"/>
    <w:pPr>
      <w:tabs>
        <w:tab w:val="left" w:pos="454"/>
        <w:tab w:val="right" w:leader="dot" w:pos="9072"/>
      </w:tabs>
      <w:suppressAutoHyphens/>
      <w:spacing w:before="60" w:line="280" w:lineRule="exact"/>
      <w:ind w:left="454" w:hanging="454"/>
    </w:pPr>
    <w:rPr>
      <w:rFonts w:ascii="Arial" w:hAnsi="Arial"/>
      <w:noProof/>
      <w:color w:val="373737" w:themeColor="text1"/>
    </w:rPr>
  </w:style>
  <w:style w:type="paragraph" w:styleId="TOC3">
    <w:name w:val="toc 3"/>
    <w:next w:val="Normal"/>
    <w:uiPriority w:val="39"/>
    <w:rsid w:val="00364BFD"/>
    <w:pPr>
      <w:tabs>
        <w:tab w:val="left" w:pos="1021"/>
        <w:tab w:val="right" w:leader="dot" w:pos="9072"/>
      </w:tabs>
      <w:suppressAutoHyphens/>
      <w:spacing w:before="60" w:line="280" w:lineRule="exact"/>
      <w:ind w:left="1021" w:hanging="567"/>
    </w:pPr>
    <w:rPr>
      <w:rFonts w:ascii="Arial" w:hAnsi="Arial"/>
      <w:color w:val="373737" w:themeColor="text1"/>
      <w:sz w:val="18"/>
    </w:rPr>
  </w:style>
  <w:style w:type="paragraph" w:customStyle="1" w:styleId="Fuzeilequerformat">
    <w:name w:val="Fußzeile_querformat"/>
    <w:basedOn w:val="Footer"/>
    <w:rsid w:val="00EE61BF"/>
    <w:pPr>
      <w:tabs>
        <w:tab w:val="clear" w:pos="8618"/>
        <w:tab w:val="right" w:pos="12871"/>
      </w:tabs>
    </w:pPr>
  </w:style>
  <w:style w:type="paragraph" w:styleId="TableofFigures">
    <w:name w:val="table of figures"/>
    <w:next w:val="HStandard"/>
    <w:uiPriority w:val="99"/>
    <w:rsid w:val="000B6372"/>
    <w:pPr>
      <w:tabs>
        <w:tab w:val="left" w:pos="851"/>
        <w:tab w:val="right" w:leader="dot" w:pos="7711"/>
      </w:tabs>
      <w:suppressAutoHyphens/>
      <w:spacing w:before="60" w:line="280" w:lineRule="exact"/>
      <w:ind w:left="851" w:right="284" w:hanging="851"/>
    </w:pPr>
    <w:rPr>
      <w:rFonts w:ascii="Arial" w:hAnsi="Arial"/>
      <w:color w:val="373737" w:themeColor="text1"/>
    </w:rPr>
  </w:style>
  <w:style w:type="paragraph" w:customStyle="1" w:styleId="Hlistline3">
    <w:name w:val="H_list_line3"/>
    <w:rsid w:val="00BD09F4"/>
    <w:pPr>
      <w:numPr>
        <w:numId w:val="4"/>
      </w:numPr>
      <w:spacing w:before="60" w:after="60" w:line="220" w:lineRule="atLeast"/>
      <w:ind w:left="851" w:hanging="284"/>
    </w:pPr>
    <w:rPr>
      <w:rFonts w:ascii="Arial" w:hAnsi="Arial"/>
      <w:color w:val="373737" w:themeColor="text1"/>
    </w:rPr>
  </w:style>
  <w:style w:type="paragraph" w:customStyle="1" w:styleId="Hlistline4">
    <w:name w:val="H_list_line4"/>
    <w:basedOn w:val="Hlistline3"/>
    <w:next w:val="HStandard"/>
    <w:rsid w:val="00BD09F4"/>
    <w:pPr>
      <w:ind w:left="1135"/>
    </w:pPr>
  </w:style>
  <w:style w:type="paragraph" w:customStyle="1" w:styleId="HSource">
    <w:name w:val="H_Source"/>
    <w:next w:val="HStandard"/>
    <w:rsid w:val="008D52EA"/>
    <w:pPr>
      <w:suppressAutoHyphens/>
      <w:spacing w:before="60" w:after="60"/>
      <w:jc w:val="center"/>
    </w:pPr>
    <w:rPr>
      <w:rFonts w:ascii="Arial" w:hAnsi="Arial"/>
      <w:i/>
      <w:color w:val="373737"/>
      <w:sz w:val="16"/>
    </w:rPr>
  </w:style>
  <w:style w:type="paragraph" w:customStyle="1" w:styleId="Htableleft">
    <w:name w:val="H_table_left"/>
    <w:rsid w:val="00BD09F4"/>
    <w:pPr>
      <w:suppressAutoHyphens/>
      <w:spacing w:before="40" w:after="40"/>
    </w:pPr>
    <w:rPr>
      <w:rFonts w:ascii="Arial" w:hAnsi="Arial"/>
      <w:color w:val="373737" w:themeColor="text1"/>
      <w:sz w:val="18"/>
    </w:rPr>
  </w:style>
  <w:style w:type="paragraph" w:customStyle="1" w:styleId="Htablecentered">
    <w:name w:val="H_table_centered"/>
    <w:basedOn w:val="Htableleft"/>
    <w:rsid w:val="00EE61BF"/>
    <w:pPr>
      <w:jc w:val="center"/>
    </w:pPr>
  </w:style>
  <w:style w:type="paragraph" w:customStyle="1" w:styleId="Htableleftbolt">
    <w:name w:val="H_table_left_bolt"/>
    <w:basedOn w:val="Htableleft"/>
    <w:rsid w:val="00EE61BF"/>
    <w:rPr>
      <w:b/>
      <w:color w:val="FFFFFF" w:themeColor="background1"/>
    </w:rPr>
  </w:style>
  <w:style w:type="paragraph" w:customStyle="1" w:styleId="Htablecenteredbolt">
    <w:name w:val="H_table_centered_bolt"/>
    <w:basedOn w:val="Htablecentered"/>
    <w:rsid w:val="00BD09F4"/>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0D3DB8"/>
    <w:pPr>
      <w:spacing w:line="180" w:lineRule="exact"/>
      <w:ind w:left="170" w:hanging="170"/>
      <w:jc w:val="both"/>
    </w:pPr>
    <w:rPr>
      <w:rFonts w:ascii="Arial" w:hAnsi="Arial"/>
      <w:color w:val="808080"/>
      <w:sz w:val="16"/>
    </w:rPr>
  </w:style>
  <w:style w:type="paragraph" w:customStyle="1" w:styleId="Htablebullet">
    <w:name w:val="H_table_bullet"/>
    <w:basedOn w:val="Htableleft"/>
    <w:rsid w:val="00BD09F4"/>
    <w:pPr>
      <w:numPr>
        <w:numId w:val="5"/>
      </w:numPr>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364BFD"/>
    <w:rPr>
      <w:rFonts w:ascii="Arial" w:hAnsi="Arial"/>
      <w:i/>
      <w:dstrike w:val="0"/>
      <w:color w:val="373737" w:themeColor="text1"/>
      <w:position w:val="6"/>
      <w:sz w:val="12"/>
      <w:vertAlign w:val="baseline"/>
      <w:lang w:val="fr-FR"/>
    </w:rPr>
  </w:style>
  <w:style w:type="paragraph" w:customStyle="1" w:styleId="HContent">
    <w:name w:val="H_Content"/>
    <w:basedOn w:val="Heading1"/>
    <w:next w:val="HStandard"/>
    <w:rsid w:val="00364BFD"/>
    <w:pPr>
      <w:pageBreakBefore/>
      <w:framePr w:hSpace="0" w:vSpace="0" w:wrap="auto" w:vAnchor="margin" w:hAnchor="text" w:yAlign="inline"/>
      <w:numPr>
        <w:numId w:val="0"/>
      </w:numPr>
      <w:pBdr>
        <w:left w:val="none" w:sz="0" w:space="0" w:color="auto"/>
      </w:pBdr>
      <w:spacing w:before="360" w:after="360" w:line="280" w:lineRule="atLeast"/>
    </w:pPr>
    <w:rPr>
      <w:caps/>
      <w:color w:val="F07E31" w:themeColor="accent1"/>
      <w:sz w:val="20"/>
    </w:rPr>
  </w:style>
  <w:style w:type="paragraph" w:customStyle="1" w:styleId="HHeading1">
    <w:name w:val="H_Heading 1"/>
    <w:next w:val="HStandard"/>
    <w:rsid w:val="008D52EA"/>
    <w:pPr>
      <w:keepNext/>
      <w:keepLines/>
      <w:pageBreakBefore/>
      <w:numPr>
        <w:numId w:val="6"/>
      </w:numPr>
      <w:tabs>
        <w:tab w:val="left" w:pos="567"/>
      </w:tabs>
      <w:spacing w:before="360" w:after="360" w:line="280" w:lineRule="atLeast"/>
      <w:ind w:left="567" w:hanging="567"/>
      <w:outlineLvl w:val="0"/>
    </w:pPr>
    <w:rPr>
      <w:rFonts w:ascii="Arial" w:hAnsi="Arial"/>
      <w:b/>
      <w:caps/>
      <w:color w:val="F07E31" w:themeColor="accent1"/>
    </w:rPr>
  </w:style>
  <w:style w:type="paragraph" w:customStyle="1" w:styleId="HHeading2">
    <w:name w:val="H_Heading 2"/>
    <w:next w:val="HStandard"/>
    <w:rsid w:val="007B4B9E"/>
    <w:pPr>
      <w:keepNext/>
      <w:keepLines/>
      <w:numPr>
        <w:ilvl w:val="1"/>
        <w:numId w:val="6"/>
      </w:numPr>
      <w:tabs>
        <w:tab w:val="left" w:pos="567"/>
      </w:tabs>
      <w:spacing w:before="240" w:after="140" w:line="260" w:lineRule="exact"/>
      <w:ind w:left="567" w:hanging="567"/>
      <w:outlineLvl w:val="1"/>
    </w:pPr>
    <w:rPr>
      <w:rFonts w:ascii="Arial" w:hAnsi="Arial"/>
      <w:b/>
      <w:color w:val="373737" w:themeColor="text1"/>
    </w:rPr>
  </w:style>
  <w:style w:type="paragraph" w:customStyle="1" w:styleId="HHeading3">
    <w:name w:val="H_Heading 3"/>
    <w:next w:val="HStandard"/>
    <w:rsid w:val="00B63445"/>
    <w:pPr>
      <w:keepNext/>
      <w:keepLines/>
      <w:numPr>
        <w:ilvl w:val="2"/>
        <w:numId w:val="6"/>
      </w:numPr>
      <w:tabs>
        <w:tab w:val="clear" w:pos="1146"/>
        <w:tab w:val="num" w:pos="709"/>
      </w:tabs>
      <w:spacing w:before="240" w:after="140" w:line="240" w:lineRule="exact"/>
      <w:ind w:left="709" w:hanging="709"/>
      <w:outlineLvl w:val="2"/>
    </w:pPr>
    <w:rPr>
      <w:rFonts w:ascii="Arial" w:hAnsi="Arial"/>
      <w:color w:val="F07E31" w:themeColor="accent1"/>
    </w:rPr>
  </w:style>
  <w:style w:type="paragraph" w:customStyle="1" w:styleId="HHeading4">
    <w:name w:val="H_Heading 4"/>
    <w:next w:val="HStandard"/>
    <w:rsid w:val="00364BFD"/>
    <w:pPr>
      <w:keepNext/>
      <w:keepLines/>
      <w:tabs>
        <w:tab w:val="left" w:pos="680"/>
      </w:tabs>
      <w:spacing w:before="240" w:after="240" w:line="280" w:lineRule="atLeast"/>
      <w:outlineLvl w:val="3"/>
    </w:pPr>
    <w:rPr>
      <w:rFonts w:ascii="Arial" w:hAnsi="Arial"/>
      <w:b/>
      <w:color w:val="57825E" w:themeColor="accent4"/>
    </w:rPr>
  </w:style>
  <w:style w:type="character" w:styleId="Hyperlink">
    <w:name w:val="Hyperlink"/>
    <w:basedOn w:val="DefaultParagraphFont"/>
    <w:uiPriority w:val="99"/>
    <w:rsid w:val="00BD09F4"/>
    <w:rPr>
      <w:rFonts w:ascii="Arial" w:hAnsi="Arial"/>
      <w:color w:val="F07E31"/>
      <w:sz w:val="20"/>
      <w:u w:val="single"/>
      <w:lang w:val="fr-FR"/>
    </w:rPr>
  </w:style>
  <w:style w:type="paragraph" w:customStyle="1" w:styleId="HStandard">
    <w:name w:val="H_Standard"/>
    <w:link w:val="HStandardCar"/>
    <w:rsid w:val="00364BFD"/>
    <w:pPr>
      <w:spacing w:after="120" w:line="280" w:lineRule="atLeast"/>
      <w:jc w:val="both"/>
    </w:pPr>
    <w:rPr>
      <w:rFonts w:ascii="Arial" w:hAnsi="Arial"/>
      <w:color w:val="373737" w:themeColor="text1"/>
    </w:rPr>
  </w:style>
  <w:style w:type="paragraph" w:styleId="DocumentMap">
    <w:name w:val="Document Map"/>
    <w:basedOn w:val="Normal"/>
    <w:semiHidden/>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fr-FR"/>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BD09F4"/>
    <w:pPr>
      <w:numPr>
        <w:numId w:val="7"/>
      </w:numPr>
      <w:spacing w:before="200" w:after="140"/>
    </w:pPr>
    <w:rPr>
      <w:rFonts w:ascii="Arial" w:hAnsi="Arial"/>
      <w:b/>
      <w:color w:val="373737" w:themeColor="text1"/>
      <w:sz w:val="16"/>
    </w:rPr>
  </w:style>
  <w:style w:type="paragraph" w:customStyle="1" w:styleId="HHeadingfigures">
    <w:name w:val="H_Heading_figures"/>
    <w:basedOn w:val="HHeadingtables"/>
    <w:next w:val="HStandard"/>
    <w:qFormat/>
    <w:rsid w:val="00E52947"/>
    <w:pPr>
      <w:keepNext/>
      <w:keepLines/>
      <w:numPr>
        <w:numId w:val="22"/>
      </w:numPr>
      <w:tabs>
        <w:tab w:val="clear" w:pos="964"/>
        <w:tab w:val="num" w:pos="2666"/>
      </w:tabs>
      <w:spacing w:before="240"/>
      <w:ind w:left="567" w:hanging="567"/>
    </w:pPr>
  </w:style>
  <w:style w:type="paragraph" w:customStyle="1" w:styleId="HHeadingmaps">
    <w:name w:val="H_Heading_maps"/>
    <w:basedOn w:val="HHeadingtables"/>
    <w:next w:val="HStandard"/>
    <w:qFormat/>
    <w:rsid w:val="005B4B85"/>
    <w:pPr>
      <w:keepNext/>
      <w:keepLines/>
      <w:numPr>
        <w:numId w:val="9"/>
      </w:numPr>
      <w:outlineLvl w:val="5"/>
    </w:pPr>
  </w:style>
  <w:style w:type="paragraph" w:customStyle="1" w:styleId="HHeadingboxes">
    <w:name w:val="H_Heading_boxes"/>
    <w:basedOn w:val="HHeadingtables"/>
    <w:next w:val="HStandard"/>
    <w:qFormat/>
    <w:rsid w:val="00BD09F4"/>
    <w:pPr>
      <w:numPr>
        <w:numId w:val="10"/>
      </w:numPr>
      <w:ind w:left="851" w:hanging="851"/>
    </w:pPr>
  </w:style>
  <w:style w:type="paragraph" w:customStyle="1" w:styleId="HBox">
    <w:name w:val="H_Box"/>
    <w:next w:val="HStandard"/>
    <w:qFormat/>
    <w:rsid w:val="00BD09F4"/>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themeColor="text1"/>
    </w:rPr>
  </w:style>
  <w:style w:type="paragraph" w:customStyle="1" w:styleId="HBoxbullet">
    <w:name w:val="H_Box_bullet"/>
    <w:next w:val="HStandard"/>
    <w:qFormat/>
    <w:rsid w:val="00BD09F4"/>
    <w:pPr>
      <w:numPr>
        <w:numId w:val="11"/>
      </w:numPr>
      <w:pBdr>
        <w:top w:val="single" w:sz="4" w:space="4" w:color="F07E31"/>
        <w:left w:val="single" w:sz="4" w:space="8" w:color="F07E31"/>
        <w:bottom w:val="single" w:sz="4" w:space="4" w:color="F07E31"/>
        <w:right w:val="single" w:sz="4" w:space="4" w:color="F07E31"/>
      </w:pBdr>
      <w:shd w:val="clear" w:color="auto" w:fill="FCE5D5" w:themeFill="accent1" w:themeFillTint="33"/>
      <w:ind w:left="363" w:hanging="284"/>
      <w:jc w:val="both"/>
    </w:pPr>
    <w:rPr>
      <w:rFonts w:ascii="Arial" w:hAnsi="Arial"/>
      <w:color w:val="373737" w:themeColor="text1"/>
    </w:rPr>
  </w:style>
  <w:style w:type="paragraph" w:customStyle="1" w:styleId="Hdisclaimer">
    <w:name w:val="H_disclaimer"/>
    <w:qFormat/>
    <w:rsid w:val="00364BFD"/>
    <w:pPr>
      <w:spacing w:after="120" w:line="280" w:lineRule="atLeast"/>
      <w:jc w:val="both"/>
    </w:pPr>
    <w:rPr>
      <w:rFonts w:ascii="Arial" w:hAnsi="Arial" w:cs="Arial"/>
      <w:color w:val="373737" w:themeColor="text1"/>
      <w:sz w:val="18"/>
      <w:szCs w:val="18"/>
    </w:rPr>
  </w:style>
  <w:style w:type="paragraph" w:styleId="EndnoteText">
    <w:name w:val="endnote text"/>
    <w:basedOn w:val="Normal"/>
    <w:link w:val="EndnoteTextChar"/>
    <w:uiPriority w:val="99"/>
    <w:semiHidden/>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5219"/>
    <w:rPr>
      <w:rFonts w:ascii="Arial" w:hAnsi="Arial"/>
      <w:lang w:val="fr-FR"/>
    </w:rPr>
  </w:style>
  <w:style w:type="character" w:styleId="EndnoteReference">
    <w:name w:val="endnote reference"/>
    <w:basedOn w:val="DefaultParagraphFont"/>
    <w:uiPriority w:val="99"/>
    <w:semiHidden/>
    <w:unhideWhenUsed/>
    <w:rsid w:val="00F15219"/>
    <w:rPr>
      <w:vertAlign w:val="superscript"/>
    </w:rPr>
  </w:style>
  <w:style w:type="character" w:styleId="CommentReference">
    <w:name w:val="annotation reference"/>
    <w:basedOn w:val="DefaultParagraphFont"/>
    <w:uiPriority w:val="99"/>
    <w:semiHidden/>
    <w:unhideWhenUsed/>
    <w:rsid w:val="006C1066"/>
    <w:rPr>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fr-FR"/>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fr-FR"/>
    </w:rPr>
  </w:style>
  <w:style w:type="paragraph" w:styleId="ListParagraph">
    <w:name w:val="List Paragraph"/>
    <w:basedOn w:val="Normal"/>
    <w:uiPriority w:val="34"/>
    <w:qFormat/>
    <w:rsid w:val="00CD63F6"/>
    <w:pPr>
      <w:spacing w:before="0" w:after="160" w:line="259"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0D3DB8"/>
    <w:rPr>
      <w:rFonts w:ascii="Arial" w:hAnsi="Arial"/>
      <w:color w:val="808080"/>
      <w:sz w:val="16"/>
      <w:lang w:val="fr-FR"/>
    </w:rPr>
  </w:style>
  <w:style w:type="paragraph" w:styleId="Title">
    <w:name w:val="Title"/>
    <w:basedOn w:val="Normal"/>
    <w:next w:val="Normal"/>
    <w:link w:val="TitleChar"/>
    <w:uiPriority w:val="10"/>
    <w:qFormat/>
    <w:rsid w:val="00CD63F6"/>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3F6"/>
    <w:rPr>
      <w:rFonts w:asciiTheme="majorHAnsi" w:eastAsiaTheme="majorEastAsia" w:hAnsiTheme="majorHAnsi" w:cstheme="majorBidi"/>
      <w:spacing w:val="-10"/>
      <w:kern w:val="28"/>
      <w:sz w:val="56"/>
      <w:szCs w:val="56"/>
      <w:lang w:val="fr-FR" w:eastAsia="fr-FR"/>
    </w:rPr>
  </w:style>
  <w:style w:type="paragraph" w:customStyle="1" w:styleId="CM1">
    <w:name w:val="CM1"/>
    <w:basedOn w:val="Normal"/>
    <w:next w:val="Normal"/>
    <w:uiPriority w:val="99"/>
    <w:rsid w:val="001C2076"/>
    <w:pPr>
      <w:autoSpaceDE w:val="0"/>
      <w:autoSpaceDN w:val="0"/>
      <w:adjustRightInd w:val="0"/>
      <w:spacing w:before="0" w:after="0" w:line="240" w:lineRule="auto"/>
      <w:jc w:val="left"/>
    </w:pPr>
    <w:rPr>
      <w:rFonts w:ascii="EUAlbertina" w:eastAsiaTheme="minorHAnsi" w:hAnsi="EUAlbertina" w:cstheme="minorBidi"/>
      <w:sz w:val="24"/>
    </w:rPr>
  </w:style>
  <w:style w:type="paragraph" w:styleId="Caption">
    <w:name w:val="caption"/>
    <w:basedOn w:val="Normal"/>
    <w:next w:val="Normal"/>
    <w:uiPriority w:val="35"/>
    <w:unhideWhenUsed/>
    <w:qFormat/>
    <w:rsid w:val="001C2076"/>
    <w:pPr>
      <w:spacing w:before="0" w:after="200" w:line="240" w:lineRule="auto"/>
      <w:jc w:val="left"/>
    </w:pPr>
    <w:rPr>
      <w:rFonts w:asciiTheme="minorHAnsi" w:eastAsiaTheme="minorHAnsi" w:hAnsiTheme="minorHAnsi" w:cstheme="minorBidi"/>
      <w:i/>
      <w:iCs/>
      <w:color w:val="373737" w:themeColor="text2"/>
      <w:szCs w:val="18"/>
    </w:rPr>
  </w:style>
  <w:style w:type="table" w:customStyle="1" w:styleId="Tabukasmriekou5tmavzvraznenie61">
    <w:name w:val="Tabuľka s mriežkou 5 – tmavá – zvýraznenie 61"/>
    <w:basedOn w:val="TableNormal"/>
    <w:uiPriority w:val="50"/>
    <w:rsid w:val="00932C3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80" w:themeFill="accent6"/>
      </w:tcPr>
    </w:tblStylePr>
    <w:tblStylePr w:type="band1Vert">
      <w:tblPr/>
      <w:tcPr>
        <w:shd w:val="clear" w:color="auto" w:fill="D0DDCC" w:themeFill="accent6" w:themeFillTint="66"/>
      </w:tcPr>
    </w:tblStylePr>
    <w:tblStylePr w:type="band1Horz">
      <w:tblPr/>
      <w:tcPr>
        <w:shd w:val="clear" w:color="auto" w:fill="D0DDCC" w:themeFill="accent6" w:themeFillTint="66"/>
      </w:tcPr>
    </w:tblStylePr>
  </w:style>
  <w:style w:type="character" w:customStyle="1" w:styleId="FooterChar">
    <w:name w:val="Footer Char"/>
    <w:basedOn w:val="DefaultParagraphFont"/>
    <w:link w:val="Footer"/>
    <w:uiPriority w:val="99"/>
    <w:rsid w:val="00D52AFB"/>
    <w:rPr>
      <w:rFonts w:ascii="Arial" w:hAnsi="Arial"/>
      <w:color w:val="373737"/>
      <w:sz w:val="22"/>
      <w:lang w:val="fr-FR"/>
    </w:rPr>
  </w:style>
  <w:style w:type="paragraph" w:styleId="Revision">
    <w:name w:val="Revision"/>
    <w:hidden/>
    <w:uiPriority w:val="99"/>
    <w:semiHidden/>
    <w:rsid w:val="003B25C7"/>
    <w:rPr>
      <w:rFonts w:ascii="Arial" w:hAnsi="Arial"/>
      <w:sz w:val="18"/>
      <w:szCs w:val="24"/>
    </w:rPr>
  </w:style>
  <w:style w:type="paragraph" w:customStyle="1" w:styleId="Pavpage3">
    <w:name w:val="Pavé page 3"/>
    <w:basedOn w:val="Normal"/>
    <w:qFormat/>
    <w:rsid w:val="003C228A"/>
    <w:pPr>
      <w:spacing w:before="0" w:after="120" w:line="280" w:lineRule="atLeast"/>
      <w:jc w:val="left"/>
    </w:pPr>
    <w:rPr>
      <w:rFonts w:ascii="Helvetica" w:hAnsi="Helvetica" w:cs="Arial"/>
      <w:smallCaps/>
      <w:color w:val="DF6532"/>
      <w:sz w:val="44"/>
      <w:szCs w:val="44"/>
    </w:rPr>
  </w:style>
  <w:style w:type="character" w:styleId="FollowedHyperlink">
    <w:name w:val="FollowedHyperlink"/>
    <w:basedOn w:val="DefaultParagraphFont"/>
    <w:uiPriority w:val="99"/>
    <w:semiHidden/>
    <w:unhideWhenUsed/>
    <w:rsid w:val="00810ED5"/>
    <w:rPr>
      <w:color w:val="F07E31" w:themeColor="followedHyperlink"/>
      <w:u w:val="single"/>
    </w:rPr>
  </w:style>
  <w:style w:type="character" w:customStyle="1" w:styleId="shorttext">
    <w:name w:val="short_text"/>
    <w:basedOn w:val="DefaultParagraphFont"/>
    <w:rsid w:val="00190D63"/>
  </w:style>
  <w:style w:type="character" w:styleId="Emphasis">
    <w:name w:val="Emphasis"/>
    <w:basedOn w:val="DefaultParagraphFont"/>
    <w:uiPriority w:val="20"/>
    <w:qFormat/>
    <w:rsid w:val="00744BAA"/>
    <w:rPr>
      <w:i/>
      <w:iCs/>
    </w:rPr>
  </w:style>
  <w:style w:type="paragraph" w:styleId="HTMLPreformatted">
    <w:name w:val="HTML Preformatted"/>
    <w:basedOn w:val="Normal"/>
    <w:link w:val="HTMLPreformattedChar"/>
    <w:uiPriority w:val="99"/>
    <w:semiHidden/>
    <w:unhideWhenUsed/>
    <w:rsid w:val="00C3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6C67"/>
    <w:rPr>
      <w:rFonts w:ascii="Courier New" w:hAnsi="Courier New" w:cs="Courier New"/>
      <w:lang w:val="fr-FR" w:eastAsia="fr-FR"/>
    </w:rPr>
  </w:style>
  <w:style w:type="character" w:customStyle="1" w:styleId="NichtaufgelsteErwhnung1">
    <w:name w:val="Nicht aufgelöste Erwähnung1"/>
    <w:basedOn w:val="DefaultParagraphFont"/>
    <w:uiPriority w:val="99"/>
    <w:semiHidden/>
    <w:unhideWhenUsed/>
    <w:rsid w:val="005B75BD"/>
    <w:rPr>
      <w:color w:val="808080"/>
      <w:shd w:val="clear" w:color="auto" w:fill="E6E6E6"/>
    </w:rPr>
  </w:style>
  <w:style w:type="character" w:customStyle="1" w:styleId="UnresolvedMention1">
    <w:name w:val="Unresolved Mention1"/>
    <w:basedOn w:val="DefaultParagraphFont"/>
    <w:uiPriority w:val="99"/>
    <w:semiHidden/>
    <w:unhideWhenUsed/>
    <w:rsid w:val="001D32F7"/>
    <w:rPr>
      <w:color w:val="808080"/>
      <w:shd w:val="clear" w:color="auto" w:fill="E6E6E6"/>
    </w:rPr>
  </w:style>
  <w:style w:type="paragraph" w:customStyle="1" w:styleId="Normal12PTcouleurgris">
    <w:name w:val="Normal + 12PT couleur gris"/>
    <w:basedOn w:val="Normal"/>
    <w:qFormat/>
    <w:rsid w:val="00041A27"/>
    <w:pPr>
      <w:spacing w:before="0" w:after="0" w:line="259" w:lineRule="auto"/>
    </w:pPr>
    <w:rPr>
      <w:rFonts w:eastAsiaTheme="minorHAnsi" w:cs="Arial"/>
      <w:color w:val="6F6F6F"/>
      <w:sz w:val="24"/>
      <w:szCs w:val="18"/>
    </w:rPr>
  </w:style>
  <w:style w:type="table" w:customStyle="1" w:styleId="11">
    <w:name w:val="Πίνακας 1 με ανοιχτόχρωμο πλέγμα1"/>
    <w:basedOn w:val="TableNormal"/>
    <w:uiPriority w:val="46"/>
    <w:rsid w:val="00C1242D"/>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numbering" w:customStyle="1" w:styleId="1">
    <w:name w:val="Στυλ1"/>
    <w:uiPriority w:val="99"/>
    <w:rsid w:val="00801FF1"/>
    <w:pPr>
      <w:numPr>
        <w:numId w:val="15"/>
      </w:numPr>
    </w:pPr>
  </w:style>
  <w:style w:type="table" w:customStyle="1" w:styleId="Tabukasmriekou1svetl1">
    <w:name w:val="Tabuľka s mriežkou 1 – svetlá1"/>
    <w:basedOn w:val="TableNormal"/>
    <w:uiPriority w:val="46"/>
    <w:rsid w:val="00B25279"/>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paragraph" w:customStyle="1" w:styleId="H-Titre2">
    <w:name w:val="H-Titre 2"/>
    <w:basedOn w:val="Normal"/>
    <w:qFormat/>
    <w:rsid w:val="0004609A"/>
    <w:pPr>
      <w:spacing w:before="0" w:after="120" w:line="280" w:lineRule="atLeast"/>
      <w:jc w:val="left"/>
    </w:pPr>
    <w:rPr>
      <w:rFonts w:cs="Arial"/>
      <w:b/>
      <w:bCs/>
      <w:color w:val="FFFFFF" w:themeColor="background2"/>
      <w:szCs w:val="44"/>
    </w:rPr>
  </w:style>
  <w:style w:type="paragraph" w:customStyle="1" w:styleId="H-Titre1">
    <w:name w:val="H-Titre 1"/>
    <w:basedOn w:val="Normal"/>
    <w:qFormat/>
    <w:rsid w:val="00BC03B8"/>
    <w:pPr>
      <w:spacing w:before="0" w:after="120" w:line="280" w:lineRule="atLeast"/>
      <w:jc w:val="left"/>
    </w:pPr>
    <w:rPr>
      <w:rFonts w:cs="Arial"/>
      <w:b/>
      <w:color w:val="373737" w:themeColor="text1"/>
      <w:szCs w:val="60"/>
    </w:rPr>
  </w:style>
  <w:style w:type="paragraph" w:styleId="NormalWeb">
    <w:name w:val="Normal (Web)"/>
    <w:basedOn w:val="Normal"/>
    <w:uiPriority w:val="99"/>
    <w:unhideWhenUsed/>
    <w:rsid w:val="00BB68D4"/>
    <w:pPr>
      <w:spacing w:before="100" w:beforeAutospacing="1" w:after="100" w:afterAutospacing="1" w:line="240" w:lineRule="auto"/>
      <w:jc w:val="left"/>
    </w:pPr>
    <w:rPr>
      <w:rFonts w:ascii="Times New Roman" w:eastAsiaTheme="minorHAnsi" w:hAnsi="Times New Roman"/>
      <w:sz w:val="24"/>
    </w:rPr>
  </w:style>
  <w:style w:type="paragraph" w:styleId="Subtitle">
    <w:name w:val="Subtitle"/>
    <w:basedOn w:val="Normal"/>
    <w:link w:val="SubtitleChar"/>
    <w:uiPriority w:val="11"/>
    <w:qFormat/>
    <w:rsid w:val="00C008A4"/>
    <w:pPr>
      <w:numPr>
        <w:numId w:val="19"/>
      </w:numPr>
      <w:spacing w:before="120" w:after="120" w:line="280" w:lineRule="atLeast"/>
      <w:outlineLvl w:val="1"/>
    </w:pPr>
    <w:rPr>
      <w:b/>
      <w:sz w:val="16"/>
      <w:szCs w:val="16"/>
    </w:rPr>
  </w:style>
  <w:style w:type="character" w:customStyle="1" w:styleId="SubtitleChar">
    <w:name w:val="Subtitle Char"/>
    <w:basedOn w:val="DefaultParagraphFont"/>
    <w:link w:val="Subtitle"/>
    <w:uiPriority w:val="11"/>
    <w:rsid w:val="00C008A4"/>
    <w:rPr>
      <w:rFonts w:ascii="Arial" w:hAnsi="Arial"/>
      <w:b/>
      <w:sz w:val="16"/>
      <w:szCs w:val="16"/>
      <w:lang w:val="fr-FR"/>
    </w:rPr>
  </w:style>
  <w:style w:type="character" w:customStyle="1" w:styleId="Heading4Char2Char1">
    <w:name w:val="Heading 4 Char2 Char1"/>
    <w:basedOn w:val="DefaultParagraphFont"/>
    <w:uiPriority w:val="99"/>
    <w:rsid w:val="00123367"/>
    <w:rPr>
      <w:rFonts w:ascii="Arial" w:hAnsi="Arial"/>
      <w:i/>
      <w:dstrike w:val="0"/>
      <w:color w:val="373737"/>
      <w:position w:val="6"/>
      <w:sz w:val="12"/>
      <w:vertAlign w:val="baseline"/>
      <w:lang w:val="fr-FR"/>
    </w:rPr>
  </w:style>
  <w:style w:type="character" w:styleId="Strong">
    <w:name w:val="Strong"/>
    <w:basedOn w:val="DefaultParagraphFont"/>
    <w:uiPriority w:val="22"/>
    <w:qFormat/>
    <w:rsid w:val="00753F39"/>
    <w:rPr>
      <w:b/>
      <w:bCs/>
    </w:rPr>
  </w:style>
  <w:style w:type="table" w:customStyle="1" w:styleId="Mriekatabuky1">
    <w:name w:val="Mriežka tabuľky1"/>
    <w:basedOn w:val="TableNormal"/>
    <w:next w:val="TableGrid"/>
    <w:uiPriority w:val="39"/>
    <w:rsid w:val="00D1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9B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676E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546E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E828C2"/>
    <w:rPr>
      <w:color w:val="808080"/>
      <w:shd w:val="clear" w:color="auto" w:fill="E6E6E6"/>
    </w:rPr>
  </w:style>
  <w:style w:type="table" w:customStyle="1" w:styleId="Tabukasmriekou5tmavzvraznenie11">
    <w:name w:val="Tabuľka s mriežkou 5 – tmavá – zvýraznenie 11"/>
    <w:basedOn w:val="TableNormal"/>
    <w:uiPriority w:val="50"/>
    <w:rsid w:val="003659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5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E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E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E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E31" w:themeFill="accent1"/>
      </w:tcPr>
    </w:tblStylePr>
    <w:tblStylePr w:type="band1Vert">
      <w:tblPr/>
      <w:tcPr>
        <w:shd w:val="clear" w:color="auto" w:fill="F9CBAC" w:themeFill="accent1" w:themeFillTint="66"/>
      </w:tcPr>
    </w:tblStylePr>
    <w:tblStylePr w:type="band1Horz">
      <w:tblPr/>
      <w:tcPr>
        <w:shd w:val="clear" w:color="auto" w:fill="F9CBAC" w:themeFill="accent1" w:themeFillTint="66"/>
      </w:tcPr>
    </w:tblStylePr>
  </w:style>
  <w:style w:type="character" w:styleId="PlaceholderText">
    <w:name w:val="Placeholder Text"/>
    <w:basedOn w:val="DefaultParagraphFont"/>
    <w:uiPriority w:val="99"/>
    <w:semiHidden/>
    <w:rsid w:val="00C2385E"/>
    <w:rPr>
      <w:color w:val="808080"/>
    </w:rPr>
  </w:style>
  <w:style w:type="character" w:customStyle="1" w:styleId="NichtaufgelsteErwhnung3">
    <w:name w:val="Nicht aufgelöste Erwähnung3"/>
    <w:basedOn w:val="DefaultParagraphFont"/>
    <w:uiPriority w:val="99"/>
    <w:semiHidden/>
    <w:unhideWhenUsed/>
    <w:rsid w:val="00F83CA0"/>
    <w:rPr>
      <w:color w:val="808080"/>
      <w:shd w:val="clear" w:color="auto" w:fill="E6E6E6"/>
    </w:rPr>
  </w:style>
  <w:style w:type="character" w:customStyle="1" w:styleId="NichtaufgelsteErwhnung4">
    <w:name w:val="Nicht aufgelöste Erwähnung4"/>
    <w:basedOn w:val="DefaultParagraphFont"/>
    <w:uiPriority w:val="99"/>
    <w:semiHidden/>
    <w:unhideWhenUsed/>
    <w:rsid w:val="00CD220A"/>
    <w:rPr>
      <w:color w:val="808080"/>
      <w:shd w:val="clear" w:color="auto" w:fill="E6E6E6"/>
    </w:rPr>
  </w:style>
  <w:style w:type="character" w:customStyle="1" w:styleId="HStandardCar">
    <w:name w:val="H_Standard Car"/>
    <w:basedOn w:val="DefaultParagraphFont"/>
    <w:link w:val="HStandard"/>
    <w:rsid w:val="00BB6B80"/>
    <w:rPr>
      <w:rFonts w:ascii="Arial" w:hAnsi="Arial"/>
      <w:color w:val="373737" w:themeColor="text1"/>
      <w:lang w:val="fr-FR"/>
    </w:rPr>
  </w:style>
  <w:style w:type="character" w:customStyle="1" w:styleId="UnresolvedMention2">
    <w:name w:val="Unresolved Mention2"/>
    <w:basedOn w:val="DefaultParagraphFont"/>
    <w:uiPriority w:val="99"/>
    <w:semiHidden/>
    <w:unhideWhenUsed/>
    <w:rsid w:val="00B50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25483">
      <w:bodyDiv w:val="1"/>
      <w:marLeft w:val="0"/>
      <w:marRight w:val="0"/>
      <w:marTop w:val="0"/>
      <w:marBottom w:val="0"/>
      <w:divBdr>
        <w:top w:val="none" w:sz="0" w:space="0" w:color="auto"/>
        <w:left w:val="none" w:sz="0" w:space="0" w:color="auto"/>
        <w:bottom w:val="none" w:sz="0" w:space="0" w:color="auto"/>
        <w:right w:val="none" w:sz="0" w:space="0" w:color="auto"/>
      </w:divBdr>
    </w:div>
    <w:div w:id="293565826">
      <w:bodyDiv w:val="1"/>
      <w:marLeft w:val="0"/>
      <w:marRight w:val="0"/>
      <w:marTop w:val="0"/>
      <w:marBottom w:val="0"/>
      <w:divBdr>
        <w:top w:val="none" w:sz="0" w:space="0" w:color="auto"/>
        <w:left w:val="none" w:sz="0" w:space="0" w:color="auto"/>
        <w:bottom w:val="none" w:sz="0" w:space="0" w:color="auto"/>
        <w:right w:val="none" w:sz="0" w:space="0" w:color="auto"/>
      </w:divBdr>
    </w:div>
    <w:div w:id="419108821">
      <w:bodyDiv w:val="1"/>
      <w:marLeft w:val="0"/>
      <w:marRight w:val="0"/>
      <w:marTop w:val="0"/>
      <w:marBottom w:val="0"/>
      <w:divBdr>
        <w:top w:val="none" w:sz="0" w:space="0" w:color="auto"/>
        <w:left w:val="none" w:sz="0" w:space="0" w:color="auto"/>
        <w:bottom w:val="none" w:sz="0" w:space="0" w:color="auto"/>
        <w:right w:val="none" w:sz="0" w:space="0" w:color="auto"/>
      </w:divBdr>
    </w:div>
    <w:div w:id="561716645">
      <w:bodyDiv w:val="1"/>
      <w:marLeft w:val="0"/>
      <w:marRight w:val="0"/>
      <w:marTop w:val="0"/>
      <w:marBottom w:val="0"/>
      <w:divBdr>
        <w:top w:val="none" w:sz="0" w:space="0" w:color="auto"/>
        <w:left w:val="none" w:sz="0" w:space="0" w:color="auto"/>
        <w:bottom w:val="none" w:sz="0" w:space="0" w:color="auto"/>
        <w:right w:val="none" w:sz="0" w:space="0" w:color="auto"/>
      </w:divBdr>
    </w:div>
    <w:div w:id="690491209">
      <w:bodyDiv w:val="1"/>
      <w:marLeft w:val="0"/>
      <w:marRight w:val="0"/>
      <w:marTop w:val="0"/>
      <w:marBottom w:val="0"/>
      <w:divBdr>
        <w:top w:val="none" w:sz="0" w:space="0" w:color="auto"/>
        <w:left w:val="none" w:sz="0" w:space="0" w:color="auto"/>
        <w:bottom w:val="none" w:sz="0" w:space="0" w:color="auto"/>
        <w:right w:val="none" w:sz="0" w:space="0" w:color="auto"/>
      </w:divBdr>
    </w:div>
    <w:div w:id="742029641">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915817771">
      <w:bodyDiv w:val="1"/>
      <w:marLeft w:val="0"/>
      <w:marRight w:val="0"/>
      <w:marTop w:val="0"/>
      <w:marBottom w:val="0"/>
      <w:divBdr>
        <w:top w:val="none" w:sz="0" w:space="0" w:color="auto"/>
        <w:left w:val="none" w:sz="0" w:space="0" w:color="auto"/>
        <w:bottom w:val="none" w:sz="0" w:space="0" w:color="auto"/>
        <w:right w:val="none" w:sz="0" w:space="0" w:color="auto"/>
      </w:divBdr>
    </w:div>
    <w:div w:id="1475954411">
      <w:bodyDiv w:val="1"/>
      <w:marLeft w:val="0"/>
      <w:marRight w:val="0"/>
      <w:marTop w:val="0"/>
      <w:marBottom w:val="0"/>
      <w:divBdr>
        <w:top w:val="none" w:sz="0" w:space="0" w:color="auto"/>
        <w:left w:val="none" w:sz="0" w:space="0" w:color="auto"/>
        <w:bottom w:val="none" w:sz="0" w:space="0" w:color="auto"/>
        <w:right w:val="none" w:sz="0" w:space="0" w:color="auto"/>
      </w:divBdr>
    </w:div>
    <w:div w:id="1551265796">
      <w:bodyDiv w:val="1"/>
      <w:marLeft w:val="0"/>
      <w:marRight w:val="0"/>
      <w:marTop w:val="0"/>
      <w:marBottom w:val="0"/>
      <w:divBdr>
        <w:top w:val="none" w:sz="0" w:space="0" w:color="auto"/>
        <w:left w:val="none" w:sz="0" w:space="0" w:color="auto"/>
        <w:bottom w:val="none" w:sz="0" w:space="0" w:color="auto"/>
        <w:right w:val="none" w:sz="0" w:space="0" w:color="auto"/>
      </w:divBdr>
    </w:div>
    <w:div w:id="1555964403">
      <w:bodyDiv w:val="1"/>
      <w:marLeft w:val="0"/>
      <w:marRight w:val="0"/>
      <w:marTop w:val="0"/>
      <w:marBottom w:val="0"/>
      <w:divBdr>
        <w:top w:val="none" w:sz="0" w:space="0" w:color="auto"/>
        <w:left w:val="none" w:sz="0" w:space="0" w:color="auto"/>
        <w:bottom w:val="none" w:sz="0" w:space="0" w:color="auto"/>
        <w:right w:val="none" w:sz="0" w:space="0" w:color="auto"/>
      </w:divBdr>
    </w:div>
    <w:div w:id="1679383751">
      <w:bodyDiv w:val="1"/>
      <w:marLeft w:val="0"/>
      <w:marRight w:val="0"/>
      <w:marTop w:val="0"/>
      <w:marBottom w:val="0"/>
      <w:divBdr>
        <w:top w:val="none" w:sz="0" w:space="0" w:color="auto"/>
        <w:left w:val="none" w:sz="0" w:space="0" w:color="auto"/>
        <w:bottom w:val="none" w:sz="0" w:space="0" w:color="auto"/>
        <w:right w:val="none" w:sz="0" w:space="0" w:color="auto"/>
      </w:divBdr>
    </w:div>
    <w:div w:id="2005081885">
      <w:bodyDiv w:val="1"/>
      <w:marLeft w:val="0"/>
      <w:marRight w:val="0"/>
      <w:marTop w:val="0"/>
      <w:marBottom w:val="0"/>
      <w:divBdr>
        <w:top w:val="none" w:sz="0" w:space="0" w:color="auto"/>
        <w:left w:val="none" w:sz="0" w:space="0" w:color="auto"/>
        <w:bottom w:val="none" w:sz="0" w:space="0" w:color="auto"/>
        <w:right w:val="none" w:sz="0" w:space="0" w:color="auto"/>
      </w:divBdr>
    </w:div>
    <w:div w:id="2073506137">
      <w:bodyDiv w:val="1"/>
      <w:marLeft w:val="0"/>
      <w:marRight w:val="0"/>
      <w:marTop w:val="0"/>
      <w:marBottom w:val="0"/>
      <w:divBdr>
        <w:top w:val="none" w:sz="0" w:space="0" w:color="auto"/>
        <w:left w:val="none" w:sz="0" w:space="0" w:color="auto"/>
        <w:bottom w:val="none" w:sz="0" w:space="0" w:color="auto"/>
        <w:right w:val="none" w:sz="0" w:space="0" w:color="auto"/>
      </w:divBdr>
    </w:div>
    <w:div w:id="21173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c.europa.eu/sfc/en/system/files/ged/RDP_Annex%2011.pdf" TargetMode="External"/><Relationship Id="rId26" Type="http://schemas.openxmlformats.org/officeDocument/2006/relationships/hyperlink" Target="https://enrd.ec.europa.eu/evaluation/publications/evaluation-innovation-rural-development-programmes-2014-2020_fr" TargetMode="External"/><Relationship Id="rId39" Type="http://schemas.openxmlformats.org/officeDocument/2006/relationships/hyperlink" Target="https://www.envieval.eu/fileadmin/envieval/dissemination/deliverables/D9.5_Handbook_for_the_evaluation_of_environmental_impacts_of_RDPs.pdf" TargetMode="External"/><Relationship Id="rId21" Type="http://schemas.openxmlformats.org/officeDocument/2006/relationships/hyperlink" Target="https://enrd.ec.europa.eu/evaluation/publications/guidelines-assessment-rdp-results-how-prepare-reporting-evaluation-2017_fr" TargetMode="External"/><Relationship Id="rId34" Type="http://schemas.openxmlformats.org/officeDocument/2006/relationships/image" Target="media/image5.png"/><Relationship Id="rId42" Type="http://schemas.openxmlformats.org/officeDocument/2006/relationships/hyperlink" Target="https://www.envieval.eu/fileadmin/envieval/dissemination/deliverables/D9.5_Handbook_for_the_evaluation_of_environmental_impacts_of_RDPs.pdf" TargetMode="External"/><Relationship Id="rId47" Type="http://schemas.openxmlformats.org/officeDocument/2006/relationships/hyperlink" Target="http://enrd.ec.europa.eu/enrd-static/app_templates/enrd_assets/pdf/evaluation/epe_master.pdf" TargetMode="External"/><Relationship Id="rId50" Type="http://schemas.openxmlformats.org/officeDocument/2006/relationships/hyperlink" Target="https://ec.europa.eu/agriculture/sites/agriculture/files/evaluation/guidelines/2007-2013-ex-post_en.pdf" TargetMode="External"/><Relationship Id="rId55" Type="http://schemas.openxmlformats.org/officeDocument/2006/relationships/image" Target="media/image10.png"/><Relationship Id="rId63" Type="http://schemas.openxmlformats.org/officeDocument/2006/relationships/image" Target="media/image18.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agriculture/sites/agriculture/files/cap-indicators/impact/impact-indicators-fiches.pdf" TargetMode="External"/><Relationship Id="rId29" Type="http://schemas.openxmlformats.org/officeDocument/2006/relationships/hyperlink" Target="http://ec.europa.eu/eurostat/documents/4411192/4411431/Europe_2020_Target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c.europa.eu/agriculture/sites/agriculture/files/cap-indicators/impact/2016-impact-indicators-fiches.pdf" TargetMode="External"/><Relationship Id="rId32" Type="http://schemas.openxmlformats.org/officeDocument/2006/relationships/footer" Target="footer3.xml"/><Relationship Id="rId37" Type="http://schemas.openxmlformats.org/officeDocument/2006/relationships/image" Target="media/image6.jpeg"/><Relationship Id="rId40" Type="http://schemas.openxmlformats.org/officeDocument/2006/relationships/image" Target="media/image7.jpg"/><Relationship Id="rId45" Type="http://schemas.openxmlformats.org/officeDocument/2006/relationships/hyperlink" Target="https://enrd.ec.europa.eu/news-events/news/ex-post-evaluation-rdps-2007-2013_fr" TargetMode="External"/><Relationship Id="rId53" Type="http://schemas.openxmlformats.org/officeDocument/2006/relationships/image" Target="media/image8.png"/><Relationship Id="rId58" Type="http://schemas.openxmlformats.org/officeDocument/2006/relationships/image" Target="media/image13.pn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nrd.ec.europa.eu/evaluation/publications/evaluation-innovation-rural-development-programmes-2014-2020_fr" TargetMode="External"/><Relationship Id="rId28" Type="http://schemas.openxmlformats.org/officeDocument/2006/relationships/hyperlink" Target="http://ec.europa.eu/eurostat/web/products-statistical-books/-/KS-EZ-17-001" TargetMode="External"/><Relationship Id="rId36" Type="http://schemas.openxmlformats.org/officeDocument/2006/relationships/hyperlink" Target="https://www.envieval.eu/fileadmin/envieval/dissemination/deliverables/D9.5_Handbook_for_the_evaluation_of_environmental_impacts_of_RDPs.pdf" TargetMode="External"/><Relationship Id="rId49" Type="http://schemas.openxmlformats.org/officeDocument/2006/relationships/hyperlink" Target="https://ec.europa.eu/agriculture/sites/agriculture/files/evaluation/guidelines/2007-2013-ex-post_en.pdf" TargetMode="External"/><Relationship Id="rId57" Type="http://schemas.openxmlformats.org/officeDocument/2006/relationships/image" Target="media/image12.png"/><Relationship Id="rId61"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hyperlink" Target="https://ec.europa.eu/agriculture/sites/agriculture/files/cap-indicators/result/rd-target-indicators_en.pdf" TargetMode="External"/><Relationship Id="rId31" Type="http://schemas.openxmlformats.org/officeDocument/2006/relationships/hyperlink" Target="https://enrd.ec.europa.eu/sites/enrd/files/uploaded-files/wp_evaluation_questions_2015.pdf" TargetMode="External"/><Relationship Id="rId44" Type="http://schemas.openxmlformats.org/officeDocument/2006/relationships/hyperlink" Target="https://ec.europa.eu/agriculture/sites/agriculture/files/evaluation/guidelines/2007-2013-ex-post_en.pdf" TargetMode="External"/><Relationship Id="rId52" Type="http://schemas.openxmlformats.org/officeDocument/2006/relationships/hyperlink" Target="https://books.google.be/books?id=t-uPdSpvPBkC&amp;pg=PP1&amp;lpg=PP1&amp;dq=distinguishing+between+types+of+data+and+methods+of+collecting+them,&amp;source=bl&amp;ots=G26OEW8m2A&amp;sig=h528kvgUEhmDcInCs1LmMIXs8vI&amp;hl=de&amp;sa=X&amp;ved=2ahUKEwjMvZynlc7cAhUSbFAKHaHWCLEQ6AEwBHoECAUQAQ" TargetMode="External"/><Relationship Id="rId60" Type="http://schemas.openxmlformats.org/officeDocument/2006/relationships/image" Target="media/image15.png"/><Relationship Id="rId65"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rd.ec.europa.eu/evaluation/publications/guidelines-assessment-rdp-results-how-prepare-reporting-evaluation-2017_fr" TargetMode="External"/><Relationship Id="rId22" Type="http://schemas.openxmlformats.org/officeDocument/2006/relationships/hyperlink" Target="https://enrd.ec.europa.eu/evaluation/publications/evaluation-leaderclld_fr" TargetMode="External"/><Relationship Id="rId27" Type="http://schemas.openxmlformats.org/officeDocument/2006/relationships/hyperlink" Target="http://ec.europa.eu/eurostat/web/europe-2020-indicators/europe-2020-strategy/targets" TargetMode="External"/><Relationship Id="rId30" Type="http://schemas.openxmlformats.org/officeDocument/2006/relationships/hyperlink" Target="https://ec.europa.eu/agriculture/cap-indicators/context/2016/2016-context-indicators-fiches.pdf" TargetMode="External"/><Relationship Id="rId35" Type="http://schemas.openxmlformats.org/officeDocument/2006/relationships/hyperlink" Target="https://www.envieval.eu/" TargetMode="External"/><Relationship Id="rId43" Type="http://schemas.openxmlformats.org/officeDocument/2006/relationships/hyperlink" Target="https://ec.europa.eu/agriculture/sites/agriculture/files/evaluation/guidelines/2007-2013-ex-post_en.pdf" TargetMode="External"/><Relationship Id="rId48" Type="http://schemas.openxmlformats.org/officeDocument/2006/relationships/hyperlink" Target="http://enrd.ec.europa.eu/enrd-static/app_templates/enrd_assets/pdf/evaluation/epe_master.pdf" TargetMode="External"/><Relationship Id="rId56" Type="http://schemas.openxmlformats.org/officeDocument/2006/relationships/image" Target="media/image11.png"/><Relationship Id="rId64" Type="http://schemas.openxmlformats.org/officeDocument/2006/relationships/image" Target="media/image19.png"/><Relationship Id="rId8" Type="http://schemas.openxmlformats.org/officeDocument/2006/relationships/image" Target="media/image1.jpeg"/><Relationship Id="rId51" Type="http://schemas.openxmlformats.org/officeDocument/2006/relationships/hyperlink" Target="https://ec.europa.eu/agriculture/sites/agriculture/files/evaluation/rural-development-reports/2014/investment-support-rdp/fulltext_en.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nrd.ec.europa.eu/sites/enrd/files/twg-01_rdp_results.pdf" TargetMode="External"/><Relationship Id="rId25" Type="http://schemas.openxmlformats.org/officeDocument/2006/relationships/hyperlink" Target="https://ec.europa.eu/agriculture/cap-indicators/context_fr" TargetMode="External"/><Relationship Id="rId33" Type="http://schemas.openxmlformats.org/officeDocument/2006/relationships/footer" Target="footer4.xml"/><Relationship Id="rId38" Type="http://schemas.openxmlformats.org/officeDocument/2006/relationships/hyperlink" Target="https://www.envieval.eu/fileadmin/envieval/dissemination/deliverables/D9.5_Handbook_for_the_evaluation_of_environmental_impacts_of_RDPs.pdf" TargetMode="External"/><Relationship Id="rId46" Type="http://schemas.openxmlformats.org/officeDocument/2006/relationships/hyperlink" Target="https://enrd.ec.europa.eu/news-events/news/ex-post-evaluation-rdps-2007-2013_fr" TargetMode="External"/><Relationship Id="rId59" Type="http://schemas.openxmlformats.org/officeDocument/2006/relationships/image" Target="media/image14.png"/><Relationship Id="rId67" Type="http://schemas.openxmlformats.org/officeDocument/2006/relationships/fontTable" Target="fontTable.xml"/><Relationship Id="rId20" Type="http://schemas.openxmlformats.org/officeDocument/2006/relationships/hyperlink" Target="https://ec.europa.eu/agriculture/sites/agriculture/files/cap-indicators/result/complementary-result-indicator-fiches-pillar-ii_en.pdf" TargetMode="External"/><Relationship Id="rId41" Type="http://schemas.openxmlformats.org/officeDocument/2006/relationships/hyperlink" Target="https://www.envieval.eu/" TargetMode="External"/><Relationship Id="rId54" Type="http://schemas.openxmlformats.org/officeDocument/2006/relationships/image" Target="media/image9.png"/><Relationship Id="rId62"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fr/ALL/?uri=CELEX:32014R0808" TargetMode="External"/><Relationship Id="rId3" Type="http://schemas.openxmlformats.org/officeDocument/2006/relationships/hyperlink" Target="http://eur-lex.europa.eu/legal-content/fr/ALL/?uri=CELEX:32014R0808" TargetMode="External"/><Relationship Id="rId7" Type="http://schemas.openxmlformats.org/officeDocument/2006/relationships/hyperlink" Target="http://eur-lex.europa.eu/legal-content/FR/TXT/?uri=CELEX:32014R0834" TargetMode="External"/><Relationship Id="rId12" Type="http://schemas.openxmlformats.org/officeDocument/2006/relationships/hyperlink" Target="http://enrd.ec.europa.eu/enrd-static/app_templates/enrd_assets/pdf/evaluation/epe_master.pdf" TargetMode="External"/><Relationship Id="rId2" Type="http://schemas.openxmlformats.org/officeDocument/2006/relationships/hyperlink" Target="https://enrd.ec.europa.eu/sites/enrd/files/uploaded-files/twg-05-ep-june2015_0.pdf" TargetMode="External"/><Relationship Id="rId1" Type="http://schemas.openxmlformats.org/officeDocument/2006/relationships/hyperlink" Target="http://eur-lex.europa.eu/legal-content/fr/ALL/?uri=CELEX:32013R1305" TargetMode="External"/><Relationship Id="rId6" Type="http://schemas.openxmlformats.org/officeDocument/2006/relationships/hyperlink" Target="http://eur-lex.europa.eu/legal-content/FR/TXT/?uri=celex:32013R1306" TargetMode="External"/><Relationship Id="rId11" Type="http://schemas.openxmlformats.org/officeDocument/2006/relationships/hyperlink" Target="https://enrd.ec.europa.eu/evaluation/publications/guidelines-assessment-rdp-results-how-prepare-reporting-evaluation-2017_fr" TargetMode="External"/><Relationship Id="rId5" Type="http://schemas.openxmlformats.org/officeDocument/2006/relationships/hyperlink" Target="file:///C:\Users\wimmer\AppData\Local\Microsoft\Windows\INetCache\Content.Outlook\3TA5XJ7V\ur-lex.europa.eu\legal-content\EN\TXT\" TargetMode="External"/><Relationship Id="rId10" Type="http://schemas.openxmlformats.org/officeDocument/2006/relationships/hyperlink" Target="https://ec.europa.eu/agriculture/sites/agriculture/files/evaluation/guidelines/2017-update-technical-handbook-monitoring-evaluation-framework_en.pdf" TargetMode="External"/><Relationship Id="rId4" Type="http://schemas.openxmlformats.org/officeDocument/2006/relationships/hyperlink" Target="https://enrd.ec.europa.eu/evaluation/publications/summary-report-synthesis-evaluation-components-2017-enhanced-air-chapter-7_fr" TargetMode="External"/><Relationship Id="rId9" Type="http://schemas.openxmlformats.org/officeDocument/2006/relationships/hyperlink" Target="https://ec.europa.eu/agriculture/sites/agriculture/files/evaluation/guidelines/2017-update-technical-handbook-monitoring-evaluation-framework_en.pdf" TargetMode="External"/></Relationships>
</file>

<file path=word/theme/theme1.xml><?xml version="1.0" encoding="utf-8"?>
<a:theme xmlns:a="http://schemas.openxmlformats.org/drawingml/2006/main" name="Larissa-Design">
  <a:themeElements>
    <a:clrScheme name="Helpdesk">
      <a:dk1>
        <a:srgbClr val="373737"/>
      </a:dk1>
      <a:lt1>
        <a:srgbClr val="FFFFFF"/>
      </a:lt1>
      <a:dk2>
        <a:srgbClr val="373737"/>
      </a:dk2>
      <a:lt2>
        <a:srgbClr val="FFFFFF"/>
      </a:lt2>
      <a:accent1>
        <a:srgbClr val="F07E31"/>
      </a:accent1>
      <a:accent2>
        <a:srgbClr val="BE4A35"/>
      </a:accent2>
      <a:accent3>
        <a:srgbClr val="59638E"/>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AA465-63A4-4503-BE48-3FD0A8969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8482</Words>
  <Characters>48351</Characters>
  <Application>Microsoft Office Word</Application>
  <DocSecurity>0</DocSecurity>
  <Lines>402</Lines>
  <Paragraphs>113</Paragraphs>
  <ScaleCrop>false</ScaleCrop>
  <HeadingPairs>
    <vt:vector size="6" baseType="variant">
      <vt:variant>
        <vt:lpstr>Title</vt:lpstr>
      </vt:variant>
      <vt:variant>
        <vt:i4>1</vt:i4>
      </vt:variant>
      <vt:variant>
        <vt:lpstr>Titel</vt:lpstr>
      </vt:variant>
      <vt:variant>
        <vt:i4>1</vt:i4>
      </vt:variant>
      <vt:variant>
        <vt:lpstr>Názov</vt:lpstr>
      </vt:variant>
      <vt:variant>
        <vt:i4>1</vt:i4>
      </vt:variant>
    </vt:vector>
  </HeadingPairs>
  <TitlesOfParts>
    <vt:vector size="3" baseType="lpstr">
      <vt:lpstr/>
      <vt:lpstr/>
      <vt:lpstr/>
    </vt:vector>
  </TitlesOfParts>
  <LinksUpToDate>false</LinksUpToDate>
  <CharactersWithSpaces>56720</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2018-11-19T10:37:00Z</dcterms:created>
  <dcterms:modified xsi:type="dcterms:W3CDTF">2018-11-19T10:37:00Z</dcterms:modified>
</cp:coreProperties>
</file>