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609C" w:rsidRDefault="00882296">
      <w:pPr>
        <w:pStyle w:val="HHeadingboxes"/>
        <w:rPr>
          <w:lang w:val="de-DE"/>
        </w:rPr>
      </w:pPr>
      <w:r>
        <w:rPr>
          <w:bCs/>
          <w:noProof/>
          <w:szCs w:val="24"/>
          <w:lang w:eastAsia="en-GB"/>
        </w:rPr>
        <mc:AlternateContent>
          <mc:Choice Requires="wps">
            <w:drawing>
              <wp:anchor distT="0" distB="0" distL="114300" distR="114300" simplePos="0" relativeHeight="251654656" behindDoc="1" locked="0" layoutInCell="1" allowOverlap="1">
                <wp:simplePos x="0" y="0"/>
                <wp:positionH relativeFrom="page">
                  <wp:posOffset>2053590</wp:posOffset>
                </wp:positionH>
                <wp:positionV relativeFrom="page">
                  <wp:posOffset>5022215</wp:posOffset>
                </wp:positionV>
                <wp:extent cx="4775835" cy="3150870"/>
                <wp:effectExtent l="0" t="0" r="5715" b="11430"/>
                <wp:wrapTight wrapText="bothSides">
                  <wp:wrapPolygon edited="0">
                    <wp:start x="0" y="0"/>
                    <wp:lineTo x="0" y="21548"/>
                    <wp:lineTo x="21540" y="21548"/>
                    <wp:lineTo x="21540" y="0"/>
                    <wp:lineTo x="0" y="0"/>
                  </wp:wrapPolygon>
                </wp:wrapTight>
                <wp:docPr id="9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835" cy="315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09C" w:rsidRDefault="00882296">
                            <w:pPr>
                              <w:pStyle w:val="HTitle1"/>
                              <w:rPr>
                                <w:lang w:val="de-DE"/>
                              </w:rPr>
                            </w:pPr>
                            <w:r>
                              <w:rPr>
                                <w:bCs w:val="0"/>
                                <w:lang w:val="de-DE"/>
                              </w:rPr>
                              <w:t>LEITLINIEN</w:t>
                            </w:r>
                          </w:p>
                          <w:p w:rsidR="00B3609C" w:rsidRDefault="00882296">
                            <w:pPr>
                              <w:pStyle w:val="HTitle2"/>
                              <w:rPr>
                                <w:lang w:val="de-DE"/>
                              </w:rPr>
                            </w:pPr>
                            <w:r>
                              <w:rPr>
                                <w:lang w:val="de-DE"/>
                              </w:rPr>
                              <w:t>Bewertung der Erfolge und Auswirkungen des Programms zur Entwicklung des ländlichen Raums 2019</w:t>
                            </w:r>
                          </w:p>
                          <w:p w:rsidR="00B3609C" w:rsidRDefault="00B3609C">
                            <w:pPr>
                              <w:pStyle w:val="HTitle2"/>
                              <w:rPr>
                                <w:lang w:val="de-DE"/>
                              </w:rPr>
                            </w:pPr>
                          </w:p>
                          <w:p w:rsidR="00B3609C" w:rsidRDefault="00882296">
                            <w:pPr>
                              <w:pStyle w:val="HTitle3"/>
                              <w:rPr>
                                <w:color w:val="auto"/>
                              </w:rPr>
                            </w:pPr>
                            <w:r>
                              <w:rPr>
                                <w:color w:val="auto"/>
                                <w:lang w:val="de-DE"/>
                              </w:rPr>
                              <w:t>August 2018</w:t>
                            </w:r>
                          </w:p>
                          <w:p w:rsidR="00B3609C" w:rsidRDefault="00B3609C">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61.7pt;margin-top:395.45pt;width:376.05pt;height:248.1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0tFsgIAAKw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" filled="f" stroked="f">
                <v:textbox inset="0,0,0,0">
                  <w:txbxContent>
                    <w:p w:rsidR="00B3609C" w:rsidRDefault="00882296">
                      <w:pPr>
                        <w:pStyle w:val="HTitle1"/>
                        <w:rPr>
                          <w:lang w:val="de-DE"/>
                        </w:rPr>
                      </w:pPr>
                      <w:r>
                        <w:rPr>
                          <w:bCs w:val="0"/>
                          <w:lang w:val="de-DE"/>
                        </w:rPr>
                        <w:t>LEITLINIEN</w:t>
                      </w:r>
                    </w:p>
                    <w:p w:rsidR="00B3609C" w:rsidRDefault="00882296">
                      <w:pPr>
                        <w:pStyle w:val="HTitle2"/>
                        <w:rPr>
                          <w:lang w:val="de-DE"/>
                        </w:rPr>
                      </w:pPr>
                      <w:r>
                        <w:rPr>
                          <w:lang w:val="de-DE"/>
                        </w:rPr>
                        <w:t>Bewertung der Erfolge und Auswirkungen des Programms zur Entwicklung des ländlichen Raums 2019</w:t>
                      </w:r>
                    </w:p>
                    <w:p w:rsidR="00B3609C" w:rsidRDefault="00B3609C">
                      <w:pPr>
                        <w:pStyle w:val="HTitle2"/>
                        <w:rPr>
                          <w:lang w:val="de-DE"/>
                        </w:rPr>
                      </w:pPr>
                    </w:p>
                    <w:p w:rsidR="00B3609C" w:rsidRDefault="00882296">
                      <w:pPr>
                        <w:pStyle w:val="HTitle3"/>
                        <w:rPr>
                          <w:color w:val="auto"/>
                        </w:rPr>
                      </w:pPr>
                      <w:r>
                        <w:rPr>
                          <w:color w:val="auto"/>
                          <w:lang w:val="de-DE"/>
                        </w:rPr>
                        <w:t>August 2018</w:t>
                      </w:r>
                    </w:p>
                    <w:p w:rsidR="00B3609C" w:rsidRDefault="00B3609C">
                      <w:pPr>
                        <w:pStyle w:val="HTitle3"/>
                      </w:pPr>
                    </w:p>
                  </w:txbxContent>
                </v:textbox>
                <w10:wrap type="tight" anchorx="page" anchory="page"/>
              </v:shape>
            </w:pict>
          </mc:Fallback>
        </mc:AlternateContent>
      </w:r>
      <w:r>
        <w:rPr>
          <w:bCs/>
          <w:noProof/>
          <w:lang w:eastAsia="en-GB"/>
        </w:rPr>
        <w:drawing>
          <wp:anchor distT="0" distB="0" distL="114300" distR="114300" simplePos="0" relativeHeight="251653631" behindDoc="1" locked="0" layoutInCell="1" allowOverlap="1">
            <wp:simplePos x="0" y="0"/>
            <wp:positionH relativeFrom="margin">
              <wp:posOffset>-918210</wp:posOffset>
            </wp:positionH>
            <wp:positionV relativeFrom="margin">
              <wp:posOffset>-914400</wp:posOffset>
            </wp:positionV>
            <wp:extent cx="7561580" cy="10683240"/>
            <wp:effectExtent l="19050" t="0" r="127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mne-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1580" cy="10683240"/>
                    </a:xfrm>
                    <a:prstGeom prst="rect">
                      <a:avLst/>
                    </a:prstGeom>
                  </pic:spPr>
                </pic:pic>
              </a:graphicData>
            </a:graphic>
          </wp:anchor>
        </w:drawing>
      </w:r>
      <w:r>
        <w:rPr>
          <w:bCs/>
          <w:lang w:val="de-DE"/>
        </w:rPr>
        <w:t xml:space="preserve"> </w:t>
      </w:r>
      <w:r>
        <w:rPr>
          <w:bCs/>
          <w:lang w:val="de-DE"/>
        </w:rPr>
        <w:br w:type="page"/>
      </w:r>
    </w:p>
    <w:p w:rsidR="00B3609C" w:rsidRDefault="00882296">
      <w:pPr>
        <w:pStyle w:val="HStandard"/>
        <w:rPr>
          <w:lang w:val="de-DE"/>
        </w:rPr>
      </w:pPr>
      <w:r>
        <w:rPr>
          <w:noProof/>
          <w:lang w:eastAsia="en-GB"/>
        </w:rPr>
        <w:lastRenderedPageBreak/>
        <mc:AlternateContent>
          <mc:Choice Requires="wps">
            <w:drawing>
              <wp:anchor distT="0" distB="0" distL="114300" distR="114300" simplePos="0" relativeHeight="251664896" behindDoc="0" locked="0" layoutInCell="1" allowOverlap="1">
                <wp:simplePos x="0" y="0"/>
                <wp:positionH relativeFrom="margin">
                  <wp:posOffset>-426085</wp:posOffset>
                </wp:positionH>
                <wp:positionV relativeFrom="paragraph">
                  <wp:posOffset>4095115</wp:posOffset>
                </wp:positionV>
                <wp:extent cx="6583680" cy="5161915"/>
                <wp:effectExtent l="0" t="0" r="0" b="0"/>
                <wp:wrapNone/>
                <wp:docPr id="9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161915"/>
                        </a:xfrm>
                        <a:prstGeom prst="rect">
                          <a:avLst/>
                        </a:prstGeom>
                        <a:solidFill>
                          <a:srgbClr val="FFFFFF">
                            <a:alpha val="0"/>
                          </a:srgbClr>
                        </a:solidFill>
                        <a:ln>
                          <a:noFill/>
                        </a:ln>
                        <a:extLst/>
                      </wps:spPr>
                      <wps:txbx>
                        <w:txbxContent>
                          <w:p w:rsidR="00B3609C" w:rsidRDefault="00882296">
                            <w:pPr>
                              <w:pStyle w:val="Hdisclaimer"/>
                              <w:rPr>
                                <w:lang w:val="de-DE"/>
                              </w:rPr>
                            </w:pPr>
                            <w:r>
                              <w:rPr>
                                <w:lang w:val="de-DE"/>
                              </w:rPr>
                              <w:t>Urheberrechtsvermerk</w:t>
                            </w:r>
                          </w:p>
                          <w:p w:rsidR="00B3609C" w:rsidRDefault="00882296">
                            <w:pPr>
                              <w:pStyle w:val="Hdisclaimer"/>
                              <w:rPr>
                                <w:lang w:val="de-DE"/>
                              </w:rPr>
                            </w:pPr>
                            <w:r>
                              <w:rPr>
                                <w:lang w:val="de-DE"/>
                              </w:rPr>
                              <w:t>© Europäische Union, 2018</w:t>
                            </w:r>
                          </w:p>
                          <w:p w:rsidR="00B3609C" w:rsidRDefault="00882296">
                            <w:pPr>
                              <w:pStyle w:val="Hdisclaimer"/>
                              <w:rPr>
                                <w:lang w:val="de-DE"/>
                              </w:rPr>
                            </w:pPr>
                            <w:r>
                              <w:rPr>
                                <w:lang w:val="de-DE"/>
                              </w:rPr>
                              <w:t>Wiedergabe mit Quellenangabe gestattet.</w:t>
                            </w:r>
                          </w:p>
                          <w:p w:rsidR="00B3609C" w:rsidRDefault="00882296">
                            <w:pPr>
                              <w:pStyle w:val="Hdisclaimer"/>
                              <w:rPr>
                                <w:lang w:val="de-DE"/>
                              </w:rPr>
                            </w:pPr>
                            <w:r>
                              <w:rPr>
                                <w:lang w:val="de-DE"/>
                              </w:rPr>
                              <w:t xml:space="preserve">Empfohlene Zitierweise: </w:t>
                            </w:r>
                          </w:p>
                          <w:p w:rsidR="00B3609C" w:rsidRDefault="00882296">
                            <w:pPr>
                              <w:pStyle w:val="Hdisclaimer"/>
                              <w:rPr>
                                <w:lang w:val="de-DE"/>
                              </w:rPr>
                            </w:pPr>
                            <w:r>
                              <w:rPr>
                                <w:lang w:val="de-DE"/>
                              </w:rPr>
                              <w:t xml:space="preserve">EUROPÄISCHE KOMMISSION – Generaldirektion Landwirtschaft und ländliche Entwicklung – Referat C.4 (2018): Leitlinien. Bewertung der Erfolge und Auswirkungen des Programms zur Entwicklung des ländlichen Raums 2019. Brüssel, August 2018 </w:t>
                            </w:r>
                          </w:p>
                          <w:p w:rsidR="00B3609C" w:rsidRDefault="00882296">
                            <w:pPr>
                              <w:pStyle w:val="Hdisclaimer"/>
                              <w:rPr>
                                <w:lang w:val="de-DE"/>
                              </w:rPr>
                            </w:pPr>
                            <w:r>
                              <w:rPr>
                                <w:lang w:val="de-DE"/>
                              </w:rPr>
                              <w:t>Haftungsausschluss:</w:t>
                            </w:r>
                          </w:p>
                          <w:p w:rsidR="00B3609C" w:rsidRDefault="00882296">
                            <w:pPr>
                              <w:pStyle w:val="Hdisclaimer"/>
                              <w:rPr>
                                <w:lang w:val="de-DE"/>
                              </w:rPr>
                            </w:pPr>
                            <w:r>
                              <w:rPr>
                                <w:lang w:val="de-DE"/>
                              </w:rPr>
                              <w:t>Die Informationen und Ansichten in diesen Leitlinien sind diejenigen des Autors bzw. der Autoren und geben nicht zwangsläufig die offizielle Position der Kommission wider. Die Kommission übernimmt keine Haftung für die Richtigkeit der in diesen Leitlinien enthaltenen Daten. Weder die Kommission noch jegliche andere Person, die im Namen der Kommission handelt, kann für die etwaige Verwendung der darin enthaltenen Informationen haftbar gemacht werden.</w:t>
                            </w:r>
                          </w:p>
                          <w:p w:rsidR="00B3609C" w:rsidRDefault="00882296">
                            <w:pPr>
                              <w:pStyle w:val="Hdisclaimer"/>
                              <w:tabs>
                                <w:tab w:val="right" w:pos="10065"/>
                              </w:tabs>
                            </w:pPr>
                            <w:r>
                              <w:rPr>
                                <w:noProof/>
                                <w:color w:val="auto"/>
                                <w:lang w:eastAsia="en-GB"/>
                              </w:rPr>
                              <w:drawing>
                                <wp:inline distT="0" distB="0" distL="0" distR="0">
                                  <wp:extent cx="1676400" cy="792474"/>
                                  <wp:effectExtent l="0" t="0" r="0" b="8255"/>
                                  <wp:docPr id="14"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9">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rPr>
                                <w:lang w:val="de-DE"/>
                              </w:rPr>
                              <w:tab/>
                            </w:r>
                            <w:r>
                              <w:rPr>
                                <w:noProof/>
                                <w:color w:val="auto"/>
                                <w:lang w:eastAsia="en-GB"/>
                              </w:rPr>
                              <w:drawing>
                                <wp:inline distT="0" distB="0" distL="0" distR="0">
                                  <wp:extent cx="1808480" cy="665125"/>
                                  <wp:effectExtent l="0" t="0" r="1270" b="1905"/>
                                  <wp:docPr id="15"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B3609C" w:rsidRDefault="00882296">
                            <w:pPr>
                              <w:pStyle w:val="Hdisclaimer"/>
                              <w:rPr>
                                <w:lang w:val="de-DE"/>
                              </w:rPr>
                            </w:pPr>
                            <w:r>
                              <w:rPr>
                                <w:lang w:val="de-DE"/>
                              </w:rPr>
                              <w:t>Der Evaluierungs-Helpdesk ist innerhalb des Europäischen Netzwerks für die Entwicklung des ländlichen Raums (ENLR) für die Evaluierungsaufgaben zuständig und stellt in diesem Rahmen Leitlinien für die Bewertung der Programme zur Entwicklung des ländlichen Raums und der politischen Strategien bereit, für die das Referat C.4 „Monitoring und Evaluierung“ der GD Landwirtschaft der Europäischen Kommission zuständig ist. Um die Bewertung der EU-Politik zur Entwicklung des ländlichen Raums zu verbessern, unterstützt der Evaluierungs-Helpdesk alle an der Bewertung Beteiligten – insbesondere die GD Landwirtschaft, die nationalen Behörden, die Verwaltungsbehörden der Programme sowie die Bewerter – durch die Erarbeitung und Verbreitung geeigneter Methoden und Instrumente; durch die Erfassung und den Austausch bewährter Verfahren; durch Kapazitätsaufbau und die Kommunikation mit den Mitgliedern des Netzwerks hinsichtlich bewertungsbezogener Fragen.</w:t>
                            </w:r>
                          </w:p>
                          <w:p w:rsidR="00B3609C" w:rsidRDefault="00882296">
                            <w:pPr>
                              <w:pStyle w:val="Hdisclaimer"/>
                              <w:rPr>
                                <w:lang w:val="de-DE"/>
                              </w:rPr>
                            </w:pPr>
                            <w:r>
                              <w:rPr>
                                <w:lang w:val="de-DE"/>
                              </w:rPr>
                              <w:t>Zusätzliche Informationen über die Tätigkeiten des Europäischen Evaluierungs-Helpdesk für ländliche Entwicklung sind im Internet auf dem Europa-Server (https://enrd.ec.europa.eu/home-page_de) erhältlich.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33.55pt;margin-top:322.45pt;width:518.4pt;height:406.4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" stroked="f">
                <v:fill opacity="0"/>
                <v:textbox>
                  <w:txbxContent>
                    <w:p w:rsidR="00B3609C" w:rsidRDefault="00882296">
                      <w:pPr>
                        <w:pStyle w:val="Hdisclaimer"/>
                        <w:rPr>
                          <w:lang w:val="de-DE"/>
                        </w:rPr>
                      </w:pPr>
                      <w:r>
                        <w:rPr>
                          <w:lang w:val="de-DE"/>
                        </w:rPr>
                        <w:t>Urheberrechtsvermerk</w:t>
                      </w:r>
                    </w:p>
                    <w:p w:rsidR="00B3609C" w:rsidRDefault="00882296">
                      <w:pPr>
                        <w:pStyle w:val="Hdisclaimer"/>
                        <w:rPr>
                          <w:lang w:val="de-DE"/>
                        </w:rPr>
                      </w:pPr>
                      <w:r>
                        <w:rPr>
                          <w:lang w:val="de-DE"/>
                        </w:rPr>
                        <w:t>© Europäische Union, 2018</w:t>
                      </w:r>
                    </w:p>
                    <w:p w:rsidR="00B3609C" w:rsidRDefault="00882296">
                      <w:pPr>
                        <w:pStyle w:val="Hdisclaimer"/>
                        <w:rPr>
                          <w:lang w:val="de-DE"/>
                        </w:rPr>
                      </w:pPr>
                      <w:r>
                        <w:rPr>
                          <w:lang w:val="de-DE"/>
                        </w:rPr>
                        <w:t>Wiedergabe mit Quellenangabe gestattet.</w:t>
                      </w:r>
                    </w:p>
                    <w:p w:rsidR="00B3609C" w:rsidRDefault="00882296">
                      <w:pPr>
                        <w:pStyle w:val="Hdisclaimer"/>
                        <w:rPr>
                          <w:lang w:val="de-DE"/>
                        </w:rPr>
                      </w:pPr>
                      <w:r>
                        <w:rPr>
                          <w:lang w:val="de-DE"/>
                        </w:rPr>
                        <w:t xml:space="preserve">Empfohlene Zitierweise: </w:t>
                      </w:r>
                    </w:p>
                    <w:p w:rsidR="00B3609C" w:rsidRDefault="00882296">
                      <w:pPr>
                        <w:pStyle w:val="Hdisclaimer"/>
                        <w:rPr>
                          <w:lang w:val="de-DE"/>
                        </w:rPr>
                      </w:pPr>
                      <w:r>
                        <w:rPr>
                          <w:lang w:val="de-DE"/>
                        </w:rPr>
                        <w:t xml:space="preserve">EUROPÄISCHE KOMMISSION – Generaldirektion Landwirtschaft und ländliche Entwicklung – Referat C.4 (2018): Leitlinien. Bewertung der Erfolge und Auswirkungen des Programms zur Entwicklung des ländlichen Raums 2019. Brüssel, August 2018 </w:t>
                      </w:r>
                    </w:p>
                    <w:p w:rsidR="00B3609C" w:rsidRDefault="00882296">
                      <w:pPr>
                        <w:pStyle w:val="Hdisclaimer"/>
                        <w:rPr>
                          <w:lang w:val="de-DE"/>
                        </w:rPr>
                      </w:pPr>
                      <w:r>
                        <w:rPr>
                          <w:lang w:val="de-DE"/>
                        </w:rPr>
                        <w:t>Haftungsausschluss:</w:t>
                      </w:r>
                    </w:p>
                    <w:p w:rsidR="00B3609C" w:rsidRDefault="00882296">
                      <w:pPr>
                        <w:pStyle w:val="Hdisclaimer"/>
                        <w:rPr>
                          <w:lang w:val="de-DE"/>
                        </w:rPr>
                      </w:pPr>
                      <w:r>
                        <w:rPr>
                          <w:lang w:val="de-DE"/>
                        </w:rPr>
                        <w:t>Die Informationen und Ansichten in diesen Leitlinien sind diejenigen des Autors bzw. der Autoren und geben nicht zwangsläufig die offizielle Position der Kommission wider. Die Kommission übernimmt keine Haftung für die Richtigkeit der in diesen Leitlinien enthaltenen Daten. Weder die Kommission noch jegliche andere Person, die im Namen der Kommission handelt, kann für die etwaige Verwendung der darin enthaltenen Informationen haftbar gemacht werden.</w:t>
                      </w:r>
                    </w:p>
                    <w:p w:rsidR="00B3609C" w:rsidRDefault="00882296">
                      <w:pPr>
                        <w:pStyle w:val="Hdisclaimer"/>
                        <w:tabs>
                          <w:tab w:val="right" w:pos="10065"/>
                        </w:tabs>
                      </w:pPr>
                      <w:r>
                        <w:rPr>
                          <w:noProof/>
                          <w:color w:val="auto"/>
                          <w:lang w:eastAsia="en-GB"/>
                        </w:rPr>
                        <w:drawing>
                          <wp:inline distT="0" distB="0" distL="0" distR="0">
                            <wp:extent cx="1676400" cy="792474"/>
                            <wp:effectExtent l="0" t="0" r="0" b="8255"/>
                            <wp:docPr id="14"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1">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rPr>
                          <w:lang w:val="de-DE"/>
                        </w:rPr>
                        <w:tab/>
                      </w:r>
                      <w:r>
                        <w:rPr>
                          <w:noProof/>
                          <w:color w:val="auto"/>
                          <w:lang w:eastAsia="en-GB"/>
                        </w:rPr>
                        <w:drawing>
                          <wp:inline distT="0" distB="0" distL="0" distR="0">
                            <wp:extent cx="1808480" cy="665125"/>
                            <wp:effectExtent l="0" t="0" r="1270" b="1905"/>
                            <wp:docPr id="15"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B3609C" w:rsidRDefault="00882296">
                      <w:pPr>
                        <w:pStyle w:val="Hdisclaimer"/>
                        <w:rPr>
                          <w:lang w:val="de-DE"/>
                        </w:rPr>
                      </w:pPr>
                      <w:r>
                        <w:rPr>
                          <w:lang w:val="de-DE"/>
                        </w:rPr>
                        <w:t>Der Evaluierungs-Helpdesk ist innerhalb des Europäischen Netzwerks für die Entwicklung des ländlichen Raums (ENLR) für die Evaluierungsaufgaben zuständig und stellt in diesem Rahmen Leitlinien für die Bewertung der Programme zur Entwicklung des ländlichen Raums und der politischen Strategien bereit, für die das Referat C.4 „Monitoring und Evaluierung“ der GD Landwirtschaft der Europäischen Kommission zuständig ist. Um die Bewertung der EU-Politik zur Entwicklung des ländlichen Raums zu verbessern, unterstützt der Evaluierungs-Helpdesk alle an der Bewertung Beteiligten – insbesondere die GD Landwirtschaft, die nationalen Behörden, die Verwaltungsbehörden der Programme sowie die Bewerter – durch die Erarbeitung und Verbreitung geeigneter Methoden und Instrumente; durch die Erfassung und den Austausch bewährter Verfahren; durch Kapazitätsaufbau und die Kommunikation mit den Mitgliedern des Netzwerks hinsichtlich bewertungsbezogener Fragen.</w:t>
                      </w:r>
                    </w:p>
                    <w:p w:rsidR="00B3609C" w:rsidRDefault="00882296">
                      <w:pPr>
                        <w:pStyle w:val="Hdisclaimer"/>
                        <w:rPr>
                          <w:lang w:val="de-DE"/>
                        </w:rPr>
                      </w:pPr>
                      <w:r>
                        <w:rPr>
                          <w:lang w:val="de-DE"/>
                        </w:rPr>
                        <w:t>Zusätzliche Informationen über die Tätigkeiten des Europäischen Evaluierungs-Helpdesk für ländliche Entwicklung sind im Internet auf dem Europa-Server (https://enrd.ec.europa.eu/home-page_de) erhältlich.</w:t>
                      </w:r>
                    </w:p>
                  </w:txbxContent>
                </v:textbox>
                <w10:wrap anchorx="margin"/>
              </v:shape>
            </w:pict>
          </mc:Fallback>
        </mc:AlternateContent>
      </w:r>
      <w:r>
        <w:rPr>
          <w:lang w:val="de-DE"/>
        </w:rPr>
        <w:br w:type="page"/>
      </w:r>
    </w:p>
    <w:p w:rsidR="00B3609C" w:rsidRDefault="00B3609C">
      <w:pPr>
        <w:pStyle w:val="HStandard"/>
        <w:rPr>
          <w:lang w:val="de-DE"/>
        </w:rPr>
      </w:pPr>
    </w:p>
    <w:p w:rsidR="00B3609C" w:rsidRDefault="00B3609C">
      <w:pPr>
        <w:pStyle w:val="HStandard"/>
        <w:rPr>
          <w:lang w:val="de-DE"/>
        </w:rPr>
      </w:pPr>
    </w:p>
    <w:p w:rsidR="00B3609C" w:rsidRDefault="00B3609C">
      <w:pPr>
        <w:pStyle w:val="HStandard"/>
        <w:rPr>
          <w:lang w:val="de-DE"/>
        </w:rPr>
      </w:pPr>
    </w:p>
    <w:p w:rsidR="00B3609C" w:rsidRDefault="00882296">
      <w:pPr>
        <w:pStyle w:val="HStandard"/>
        <w:rPr>
          <w:lang w:val="de-DE"/>
        </w:rPr>
      </w:pPr>
      <w:r>
        <w:rPr>
          <w:noProof/>
          <w:lang w:eastAsia="en-GB"/>
        </w:rPr>
        <mc:AlternateContent>
          <mc:Choice Requires="wps">
            <w:drawing>
              <wp:anchor distT="0" distB="0" distL="114300" distR="114300" simplePos="0" relativeHeight="251665920" behindDoc="1" locked="0" layoutInCell="1" allowOverlap="1">
                <wp:simplePos x="0" y="0"/>
                <wp:positionH relativeFrom="page">
                  <wp:posOffset>2204720</wp:posOffset>
                </wp:positionH>
                <wp:positionV relativeFrom="page">
                  <wp:posOffset>5175250</wp:posOffset>
                </wp:positionV>
                <wp:extent cx="4958080" cy="3855720"/>
                <wp:effectExtent l="0" t="0" r="13970" b="11430"/>
                <wp:wrapTight wrapText="bothSides">
                  <wp:wrapPolygon edited="0">
                    <wp:start x="0" y="0"/>
                    <wp:lineTo x="0" y="21557"/>
                    <wp:lineTo x="21578" y="21557"/>
                    <wp:lineTo x="21578" y="0"/>
                    <wp:lineTo x="0" y="0"/>
                  </wp:wrapPolygon>
                </wp:wrapTight>
                <wp:docPr id="9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09C" w:rsidRDefault="00882296">
                            <w:pPr>
                              <w:pStyle w:val="HTitle1"/>
                              <w:rPr>
                                <w:lang w:val="de-DE"/>
                              </w:rPr>
                            </w:pPr>
                            <w:r>
                              <w:rPr>
                                <w:bCs w:val="0"/>
                                <w:lang w:val="de-DE"/>
                              </w:rPr>
                              <w:t>Leitlinien</w:t>
                            </w:r>
                          </w:p>
                          <w:p w:rsidR="00B3609C" w:rsidRDefault="00882296">
                            <w:pPr>
                              <w:pStyle w:val="HTitle2"/>
                              <w:rPr>
                                <w:lang w:val="de-DE"/>
                              </w:rPr>
                            </w:pPr>
                            <w:r>
                              <w:rPr>
                                <w:lang w:val="de-DE"/>
                              </w:rPr>
                              <w:t>BEWERTUNG DER ERFOLGE UND AUSWIRKUNGEN DES PROGRAMMS ZUR ENTWICKLUNG DES LÄNDLICHEN RAUMS 2019</w:t>
                            </w:r>
                          </w:p>
                          <w:p w:rsidR="00B3609C" w:rsidRDefault="00B3609C">
                            <w:pPr>
                              <w:pStyle w:val="HTitle2"/>
                              <w:rPr>
                                <w:lang w:val="de-DE"/>
                              </w:rPr>
                            </w:pPr>
                          </w:p>
                          <w:p w:rsidR="00B3609C" w:rsidRDefault="00882296">
                            <w:pPr>
                              <w:pStyle w:val="HTitle3"/>
                              <w:rPr>
                                <w:color w:val="auto"/>
                              </w:rPr>
                            </w:pPr>
                            <w:r>
                              <w:rPr>
                                <w:color w:val="auto"/>
                                <w:lang w:val="de-DE"/>
                              </w:rPr>
                              <w:t>August 2018</w:t>
                            </w:r>
                          </w:p>
                          <w:p w:rsidR="00B3609C" w:rsidRDefault="00B3609C">
                            <w:pPr>
                              <w:pStyle w:val="HTitle3"/>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left:0;text-align:left;margin-left:173.6pt;margin-top:407.5pt;width:390.4pt;height:303.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82tQ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" filled="f" stroked="f">
                <v:textbox inset="0,0,0,0">
                  <w:txbxContent>
                    <w:p w:rsidR="00B3609C" w:rsidRDefault="00882296">
                      <w:pPr>
                        <w:pStyle w:val="HTitle1"/>
                        <w:rPr>
                          <w:lang w:val="de-DE"/>
                        </w:rPr>
                      </w:pPr>
                      <w:r>
                        <w:rPr>
                          <w:bCs w:val="0"/>
                          <w:lang w:val="de-DE"/>
                        </w:rPr>
                        <w:t>Leitlinien</w:t>
                      </w:r>
                    </w:p>
                    <w:p w:rsidR="00B3609C" w:rsidRDefault="00882296">
                      <w:pPr>
                        <w:pStyle w:val="HTitle2"/>
                        <w:rPr>
                          <w:lang w:val="de-DE"/>
                        </w:rPr>
                      </w:pPr>
                      <w:r>
                        <w:rPr>
                          <w:lang w:val="de-DE"/>
                        </w:rPr>
                        <w:t>BEWERTUNG DER ERFOLGE UND AUSWIRKUNGEN DES PROGRAMMS ZUR ENTWICKLUNG DES LÄNDLICHEN RAUMS 2019</w:t>
                      </w:r>
                    </w:p>
                    <w:p w:rsidR="00B3609C" w:rsidRDefault="00B3609C">
                      <w:pPr>
                        <w:pStyle w:val="HTitle2"/>
                        <w:rPr>
                          <w:lang w:val="de-DE"/>
                        </w:rPr>
                      </w:pPr>
                    </w:p>
                    <w:p w:rsidR="00B3609C" w:rsidRDefault="00882296">
                      <w:pPr>
                        <w:pStyle w:val="HTitle3"/>
                        <w:rPr>
                          <w:color w:val="auto"/>
                        </w:rPr>
                      </w:pPr>
                      <w:r>
                        <w:rPr>
                          <w:color w:val="auto"/>
                          <w:lang w:val="de-DE"/>
                        </w:rPr>
                        <w:t>August 2018</w:t>
                      </w:r>
                    </w:p>
                    <w:p w:rsidR="00B3609C" w:rsidRDefault="00B3609C">
                      <w:pPr>
                        <w:pStyle w:val="HTitle3"/>
                        <w:rPr>
                          <w:color w:val="auto"/>
                        </w:rPr>
                      </w:pPr>
                    </w:p>
                  </w:txbxContent>
                </v:textbox>
                <w10:wrap type="tight" anchorx="page" anchory="page"/>
              </v:shape>
            </w:pict>
          </mc:Fallback>
        </mc:AlternateContent>
      </w:r>
    </w:p>
    <w:p w:rsidR="00B3609C" w:rsidRDefault="00B3609C">
      <w:pPr>
        <w:pStyle w:val="HStandard"/>
        <w:rPr>
          <w:lang w:val="de-DE"/>
        </w:rPr>
        <w:sectPr w:rsidR="00B3609C">
          <w:footerReference w:type="first" r:id="rId13"/>
          <w:pgSz w:w="11906" w:h="16838" w:code="9"/>
          <w:pgMar w:top="1440" w:right="1440" w:bottom="1134" w:left="1440" w:header="284" w:footer="709" w:gutter="0"/>
          <w:cols w:space="708"/>
          <w:titlePg/>
          <w:docGrid w:linePitch="360"/>
        </w:sectPr>
      </w:pPr>
    </w:p>
    <w:p w:rsidR="00B3609C" w:rsidRDefault="00882296">
      <w:pPr>
        <w:spacing w:before="0" w:after="0" w:line="240" w:lineRule="auto"/>
        <w:jc w:val="left"/>
        <w:rPr>
          <w:rFonts w:cs="Arial"/>
          <w:b/>
          <w:bCs/>
          <w:caps/>
          <w:color w:val="F07E31" w:themeColor="accent1"/>
          <w:kern w:val="32"/>
          <w:sz w:val="20"/>
          <w:szCs w:val="32"/>
          <w:lang w:val="de-DE"/>
        </w:rPr>
      </w:pPr>
      <w:r>
        <w:rPr>
          <w:lang w:val="de-DE"/>
        </w:rPr>
        <w:lastRenderedPageBreak/>
        <w:br w:type="page"/>
      </w:r>
    </w:p>
    <w:p w:rsidR="00B3609C" w:rsidRDefault="00882296">
      <w:pPr>
        <w:pStyle w:val="HContent"/>
        <w:rPr>
          <w:lang w:val="de-DE"/>
        </w:rPr>
      </w:pPr>
      <w:r>
        <w:rPr>
          <w:lang w:val="de-DE"/>
        </w:rPr>
        <w:lastRenderedPageBreak/>
        <w:t>Inhalt</w:t>
      </w:r>
    </w:p>
    <w:p w:rsidR="00B3609C" w:rsidRDefault="00882296">
      <w:pPr>
        <w:rPr>
          <w:lang w:val="de-DE"/>
        </w:rPr>
      </w:pPr>
      <w:r>
        <w:rPr>
          <w:lang w:val="de-DE"/>
        </w:rPr>
        <w:t>Danksagung</w:t>
      </w:r>
      <w:r>
        <w:rPr>
          <w:lang w:val="de-DE"/>
        </w:rPr>
        <w:tab/>
        <w:t>1</w:t>
      </w:r>
    </w:p>
    <w:p w:rsidR="00B3609C" w:rsidRDefault="00882296">
      <w:pPr>
        <w:rPr>
          <w:lang w:val="de-DE"/>
        </w:rPr>
      </w:pPr>
      <w:r>
        <w:rPr>
          <w:lang w:val="de-DE"/>
        </w:rPr>
        <w:t>EINLEITUNG</w:t>
      </w:r>
      <w:r>
        <w:rPr>
          <w:lang w:val="de-DE"/>
        </w:rPr>
        <w:tab/>
        <w:t>2</w:t>
      </w:r>
    </w:p>
    <w:p w:rsidR="00B3609C" w:rsidRDefault="00882296">
      <w:pPr>
        <w:rPr>
          <w:lang w:val="de-DE"/>
        </w:rPr>
      </w:pPr>
      <w:r>
        <w:rPr>
          <w:lang w:val="de-DE"/>
        </w:rPr>
        <w:t>1</w:t>
      </w:r>
      <w:r>
        <w:rPr>
          <w:lang w:val="de-DE"/>
        </w:rPr>
        <w:tab/>
        <w:t>Welche Bewertungen müssen in den jährlichen Durchführungsbericht für 2019 einfließen? (Teil I)</w:t>
      </w:r>
      <w:r>
        <w:rPr>
          <w:lang w:val="de-DE"/>
        </w:rPr>
        <w:tab/>
        <w:t>3</w:t>
      </w:r>
    </w:p>
    <w:p w:rsidR="00B3609C" w:rsidRDefault="00882296">
      <w:pPr>
        <w:rPr>
          <w:lang w:val="de-DE"/>
        </w:rPr>
      </w:pPr>
      <w:r>
        <w:rPr>
          <w:lang w:val="de-DE"/>
        </w:rPr>
        <w:t>1.1</w:t>
      </w:r>
      <w:r>
        <w:rPr>
          <w:lang w:val="de-DE"/>
        </w:rPr>
        <w:tab/>
        <w:t>Rechtsrahmen und Hauptschwerpunkt der Bewertung 2019</w:t>
      </w:r>
      <w:r>
        <w:rPr>
          <w:lang w:val="de-DE"/>
        </w:rPr>
        <w:tab/>
        <w:t>3</w:t>
      </w:r>
    </w:p>
    <w:p w:rsidR="00B3609C" w:rsidRDefault="00882296">
      <w:pPr>
        <w:rPr>
          <w:lang w:val="de-DE"/>
        </w:rPr>
      </w:pPr>
      <w:r>
        <w:rPr>
          <w:lang w:val="de-DE"/>
        </w:rPr>
        <w:t>1.2</w:t>
      </w:r>
      <w:r>
        <w:rPr>
          <w:lang w:val="de-DE"/>
        </w:rPr>
        <w:tab/>
        <w:t>Vorgaben für die Berichterstattung zu den CEQ im Jahr 2019</w:t>
      </w:r>
      <w:r>
        <w:rPr>
          <w:lang w:val="de-DE"/>
        </w:rPr>
        <w:tab/>
        <w:t>6</w:t>
      </w:r>
    </w:p>
    <w:p w:rsidR="00B3609C" w:rsidRDefault="00882296">
      <w:pPr>
        <w:rPr>
          <w:lang w:val="de-DE"/>
        </w:rPr>
      </w:pPr>
      <w:r>
        <w:rPr>
          <w:lang w:val="de-DE"/>
        </w:rPr>
        <w:t>1.3</w:t>
      </w:r>
      <w:r>
        <w:rPr>
          <w:lang w:val="de-DE"/>
        </w:rPr>
        <w:tab/>
        <w:t>Vorbereitung des jährlichen Durchführungsberichts 2019</w:t>
      </w:r>
      <w:r>
        <w:rPr>
          <w:lang w:val="de-DE"/>
        </w:rPr>
        <w:tab/>
        <w:t>8</w:t>
      </w:r>
    </w:p>
    <w:p w:rsidR="00B3609C" w:rsidRDefault="00882296">
      <w:pPr>
        <w:ind w:left="709" w:hanging="709"/>
        <w:rPr>
          <w:lang w:val="de-DE"/>
        </w:rPr>
      </w:pPr>
      <w:r>
        <w:rPr>
          <w:lang w:val="de-DE"/>
        </w:rPr>
        <w:t>2</w:t>
      </w:r>
      <w:r>
        <w:rPr>
          <w:lang w:val="de-DE"/>
        </w:rPr>
        <w:tab/>
        <w:t>Ansätze zur Auswertung der Auswirkungen des Programms zur Entwicklung des ländlichen Raums 2019 (TEIL II)</w:t>
      </w:r>
      <w:r>
        <w:rPr>
          <w:lang w:val="de-DE"/>
        </w:rPr>
        <w:tab/>
        <w:t>12</w:t>
      </w:r>
    </w:p>
    <w:p w:rsidR="00B3609C" w:rsidRDefault="00882296">
      <w:pPr>
        <w:ind w:left="709" w:hanging="709"/>
        <w:rPr>
          <w:lang w:val="de-DE"/>
        </w:rPr>
      </w:pPr>
      <w:r>
        <w:rPr>
          <w:lang w:val="de-DE"/>
        </w:rPr>
        <w:t>2.1</w:t>
      </w:r>
      <w:r>
        <w:rPr>
          <w:lang w:val="de-DE"/>
        </w:rPr>
        <w:tab/>
        <w:t>Auswahl geeigneter Ansätze für die Bewertung der Auswirkungen des Programms zur Entwicklung des ländlichen Raums</w:t>
      </w:r>
      <w:r>
        <w:rPr>
          <w:lang w:val="de-DE"/>
        </w:rPr>
        <w:tab/>
        <w:t>12</w:t>
      </w:r>
    </w:p>
    <w:p w:rsidR="00B3609C" w:rsidRDefault="00882296">
      <w:pPr>
        <w:rPr>
          <w:lang w:val="de-DE"/>
        </w:rPr>
      </w:pPr>
      <w:r>
        <w:rPr>
          <w:lang w:val="de-DE"/>
        </w:rPr>
        <w:t>2.1.1</w:t>
      </w:r>
      <w:r>
        <w:rPr>
          <w:lang w:val="de-DE"/>
        </w:rPr>
        <w:tab/>
        <w:t>Nutzung von Logikmodellen zur Ermittlung geeigneter Bewertungsansätze</w:t>
      </w:r>
      <w:r>
        <w:rPr>
          <w:lang w:val="de-DE"/>
        </w:rPr>
        <w:tab/>
        <w:t>12</w:t>
      </w:r>
    </w:p>
    <w:p w:rsidR="00B3609C" w:rsidRDefault="00882296">
      <w:pPr>
        <w:rPr>
          <w:lang w:val="de-DE"/>
        </w:rPr>
      </w:pPr>
      <w:r>
        <w:rPr>
          <w:lang w:val="de-DE"/>
        </w:rPr>
        <w:t>2.1.2</w:t>
      </w:r>
      <w:r>
        <w:rPr>
          <w:lang w:val="de-DE"/>
        </w:rPr>
        <w:tab/>
        <w:t>Überblick über empfohlene Ansätze für die Bewertung von GAP-Wirkungsindikatoren</w:t>
      </w:r>
      <w:r>
        <w:rPr>
          <w:lang w:val="de-DE"/>
        </w:rPr>
        <w:tab/>
        <w:t>23</w:t>
      </w:r>
    </w:p>
    <w:p w:rsidR="00B3609C" w:rsidRDefault="00882296">
      <w:pPr>
        <w:pStyle w:val="HContent"/>
        <w:rPr>
          <w:lang w:val="de-DE"/>
        </w:rPr>
      </w:pPr>
      <w:r>
        <w:rPr>
          <w:lang w:val="de-DE"/>
        </w:rPr>
        <w:lastRenderedPageBreak/>
        <w:t xml:space="preserve">Tabellen und Abbildungen </w:t>
      </w:r>
    </w:p>
    <w:p w:rsidR="00B3609C" w:rsidRDefault="00882296">
      <w:pPr>
        <w:rPr>
          <w:lang w:val="de-DE"/>
        </w:rPr>
      </w:pPr>
      <w:r>
        <w:rPr>
          <w:lang w:val="de-DE"/>
        </w:rPr>
        <w:t>Tabelle 1.</w:t>
      </w:r>
      <w:r>
        <w:rPr>
          <w:lang w:val="de-DE"/>
        </w:rPr>
        <w:tab/>
        <w:t>Leitfaden für die Beantwortung der CEQ im jährlichen Durchführungsbericht 2019</w:t>
      </w:r>
      <w:r>
        <w:rPr>
          <w:lang w:val="de-DE"/>
        </w:rPr>
        <w:tab/>
        <w:t>7</w:t>
      </w:r>
    </w:p>
    <w:p w:rsidR="00B3609C" w:rsidRDefault="00882296">
      <w:pPr>
        <w:rPr>
          <w:lang w:val="de-DE"/>
        </w:rPr>
      </w:pPr>
      <w:r>
        <w:rPr>
          <w:lang w:val="de-DE"/>
        </w:rPr>
        <w:t>Tabelle 2.</w:t>
      </w:r>
      <w:r>
        <w:rPr>
          <w:lang w:val="de-DE"/>
        </w:rPr>
        <w:tab/>
        <w:t>Checkliste der für die Bewertung 2019 empfohlenen Schritte</w:t>
      </w:r>
      <w:r>
        <w:rPr>
          <w:lang w:val="de-DE"/>
        </w:rPr>
        <w:tab/>
        <w:t>9</w:t>
      </w:r>
    </w:p>
    <w:p w:rsidR="00B3609C" w:rsidRDefault="00882296">
      <w:pPr>
        <w:rPr>
          <w:lang w:val="de-DE"/>
        </w:rPr>
      </w:pPr>
      <w:r>
        <w:rPr>
          <w:lang w:val="de-DE"/>
        </w:rPr>
        <w:t>Tabelle 3.</w:t>
      </w:r>
      <w:r>
        <w:rPr>
          <w:lang w:val="de-DE"/>
        </w:rPr>
        <w:tab/>
        <w:t>Beispiele empfohlener Ansätze für die Bewertung von GAP-Wirkungsindikatoren</w:t>
      </w:r>
      <w:r>
        <w:rPr>
          <w:lang w:val="de-DE"/>
        </w:rPr>
        <w:tab/>
        <w:t>24</w:t>
      </w:r>
    </w:p>
    <w:p w:rsidR="00B3609C" w:rsidRDefault="00882296">
      <w:pPr>
        <w:pStyle w:val="HContent"/>
        <w:rPr>
          <w:lang w:val="de-DE"/>
        </w:rPr>
      </w:pPr>
      <w:r>
        <w:rPr>
          <w:lang w:val="de-DE"/>
        </w:rPr>
        <w:lastRenderedPageBreak/>
        <w:t>Abkürzungsverzeichnis</w:t>
      </w:r>
    </w:p>
    <w:p w:rsidR="00B3609C" w:rsidRDefault="00882296">
      <w:pPr>
        <w:pStyle w:val="HStandard"/>
        <w:ind w:left="993" w:hanging="993"/>
        <w:rPr>
          <w:lang w:val="de-DE"/>
        </w:rPr>
      </w:pPr>
      <w:r>
        <w:rPr>
          <w:lang w:val="de-DE"/>
        </w:rPr>
        <w:t>AEI</w:t>
      </w:r>
      <w:r>
        <w:rPr>
          <w:lang w:val="de-DE"/>
        </w:rPr>
        <w:tab/>
      </w:r>
      <w:r>
        <w:rPr>
          <w:lang w:val="de-DE"/>
        </w:rPr>
        <w:tab/>
      </w:r>
      <w:proofErr w:type="gramStart"/>
      <w:r>
        <w:rPr>
          <w:lang w:val="de-DE"/>
        </w:rPr>
        <w:t>Landwirtschaftlicher</w:t>
      </w:r>
      <w:proofErr w:type="gramEnd"/>
      <w:r>
        <w:rPr>
          <w:lang w:val="de-DE"/>
        </w:rPr>
        <w:t xml:space="preserve"> Unternehmensgewinn</w:t>
      </w:r>
    </w:p>
    <w:p w:rsidR="00B3609C" w:rsidRDefault="00882296">
      <w:pPr>
        <w:pStyle w:val="HStandard"/>
        <w:ind w:left="993" w:hanging="993"/>
        <w:rPr>
          <w:lang w:val="de-DE"/>
        </w:rPr>
      </w:pPr>
      <w:r>
        <w:rPr>
          <w:lang w:val="de-DE"/>
        </w:rPr>
        <w:t>AEI</w:t>
      </w:r>
      <w:r>
        <w:rPr>
          <w:lang w:val="de-DE"/>
        </w:rPr>
        <w:tab/>
      </w:r>
      <w:r>
        <w:rPr>
          <w:lang w:val="de-DE"/>
        </w:rPr>
        <w:tab/>
        <w:t>Agrarumweltindikatoren</w:t>
      </w:r>
    </w:p>
    <w:p w:rsidR="00B3609C" w:rsidRDefault="00882296">
      <w:pPr>
        <w:pStyle w:val="HStandard"/>
        <w:ind w:left="993" w:hanging="993"/>
        <w:rPr>
          <w:lang w:val="de-DE"/>
        </w:rPr>
      </w:pPr>
      <w:r>
        <w:rPr>
          <w:lang w:val="de-DE"/>
        </w:rPr>
        <w:t>AFI</w:t>
      </w:r>
      <w:r>
        <w:rPr>
          <w:lang w:val="de-DE"/>
        </w:rPr>
        <w:tab/>
      </w:r>
      <w:r>
        <w:rPr>
          <w:lang w:val="de-DE"/>
        </w:rPr>
        <w:tab/>
        <w:t>Faktoreinkommen in der Landwirtschaft</w:t>
      </w:r>
    </w:p>
    <w:p w:rsidR="00B3609C" w:rsidRDefault="00882296">
      <w:pPr>
        <w:pStyle w:val="HStandard"/>
        <w:ind w:left="993" w:hanging="993"/>
        <w:rPr>
          <w:lang w:val="de-DE"/>
        </w:rPr>
      </w:pPr>
      <w:r>
        <w:rPr>
          <w:lang w:val="de-DE"/>
        </w:rPr>
        <w:t>AIR</w:t>
      </w:r>
      <w:r>
        <w:rPr>
          <w:lang w:val="de-DE"/>
        </w:rPr>
        <w:tab/>
      </w:r>
      <w:r>
        <w:rPr>
          <w:lang w:val="de-DE"/>
        </w:rPr>
        <w:tab/>
      </w:r>
      <w:proofErr w:type="gramStart"/>
      <w:r>
        <w:rPr>
          <w:lang w:val="de-DE"/>
        </w:rPr>
        <w:t>Jährlicher</w:t>
      </w:r>
      <w:proofErr w:type="gramEnd"/>
      <w:r>
        <w:rPr>
          <w:lang w:val="de-DE"/>
        </w:rPr>
        <w:t xml:space="preserve"> Durchführungsbericht</w:t>
      </w:r>
    </w:p>
    <w:p w:rsidR="00B3609C" w:rsidRDefault="00882296">
      <w:pPr>
        <w:pStyle w:val="HStandard"/>
        <w:ind w:left="993" w:hanging="993"/>
        <w:rPr>
          <w:lang w:val="de-DE"/>
        </w:rPr>
      </w:pPr>
      <w:r>
        <w:rPr>
          <w:lang w:val="de-DE"/>
        </w:rPr>
        <w:t>ANC</w:t>
      </w:r>
      <w:r>
        <w:rPr>
          <w:lang w:val="de-DE"/>
        </w:rPr>
        <w:tab/>
      </w:r>
      <w:r>
        <w:rPr>
          <w:lang w:val="de-DE"/>
        </w:rPr>
        <w:tab/>
        <w:t>Gebiete mit naturbedingten Benachteiligungen</w:t>
      </w:r>
    </w:p>
    <w:p w:rsidR="00B3609C" w:rsidRDefault="00882296">
      <w:pPr>
        <w:pStyle w:val="HStandard"/>
        <w:ind w:left="993" w:hanging="993"/>
        <w:rPr>
          <w:lang w:val="de-DE"/>
        </w:rPr>
      </w:pPr>
      <w:r>
        <w:rPr>
          <w:lang w:val="de-DE"/>
        </w:rPr>
        <w:t>ATT</w:t>
      </w:r>
      <w:r>
        <w:rPr>
          <w:lang w:val="de-DE"/>
        </w:rPr>
        <w:tab/>
      </w:r>
      <w:r>
        <w:rPr>
          <w:lang w:val="de-DE"/>
        </w:rPr>
        <w:tab/>
      </w:r>
      <w:proofErr w:type="gramStart"/>
      <w:r>
        <w:rPr>
          <w:lang w:val="de-DE"/>
        </w:rPr>
        <w:t>Durchschnittlicher</w:t>
      </w:r>
      <w:proofErr w:type="gramEnd"/>
      <w:r>
        <w:rPr>
          <w:lang w:val="de-DE"/>
        </w:rPr>
        <w:t xml:space="preserve"> Behandlungseffekt auf behandelte Einheiten</w:t>
      </w:r>
    </w:p>
    <w:p w:rsidR="00B3609C" w:rsidRDefault="00882296">
      <w:pPr>
        <w:pStyle w:val="HStandard"/>
        <w:ind w:left="993" w:hanging="993"/>
        <w:rPr>
          <w:lang w:val="de-DE"/>
        </w:rPr>
      </w:pPr>
      <w:r>
        <w:rPr>
          <w:lang w:val="de-DE"/>
        </w:rPr>
        <w:t>AROPE</w:t>
      </w:r>
      <w:r>
        <w:rPr>
          <w:lang w:val="de-DE"/>
        </w:rPr>
        <w:tab/>
      </w:r>
      <w:r>
        <w:rPr>
          <w:lang w:val="de-DE"/>
        </w:rPr>
        <w:tab/>
        <w:t>Von Armut oder sozialer Ausgrenzung bedrohte Personen</w:t>
      </w:r>
    </w:p>
    <w:p w:rsidR="00B3609C" w:rsidRDefault="00882296">
      <w:pPr>
        <w:pStyle w:val="HStandard"/>
        <w:ind w:left="993" w:hanging="993"/>
        <w:rPr>
          <w:lang w:val="de-DE"/>
        </w:rPr>
      </w:pPr>
      <w:r>
        <w:rPr>
          <w:lang w:val="de-DE"/>
        </w:rPr>
        <w:t>JAE</w:t>
      </w:r>
      <w:r>
        <w:rPr>
          <w:lang w:val="de-DE"/>
        </w:rPr>
        <w:tab/>
      </w:r>
      <w:r>
        <w:rPr>
          <w:lang w:val="de-DE"/>
        </w:rPr>
        <w:tab/>
        <w:t>Jahresarbeitseinheiten</w:t>
      </w:r>
    </w:p>
    <w:p w:rsidR="00B3609C" w:rsidRDefault="00882296">
      <w:pPr>
        <w:pStyle w:val="HStandard"/>
        <w:ind w:left="993" w:hanging="993"/>
        <w:rPr>
          <w:lang w:val="de-DE"/>
        </w:rPr>
      </w:pPr>
      <w:r>
        <w:rPr>
          <w:lang w:val="de-DE"/>
        </w:rPr>
        <w:t>GAP</w:t>
      </w:r>
      <w:r>
        <w:rPr>
          <w:lang w:val="de-DE"/>
        </w:rPr>
        <w:tab/>
      </w:r>
      <w:r>
        <w:rPr>
          <w:lang w:val="de-DE"/>
        </w:rPr>
        <w:tab/>
      </w:r>
      <w:proofErr w:type="gramStart"/>
      <w:r>
        <w:rPr>
          <w:lang w:val="de-DE"/>
        </w:rPr>
        <w:t>Gemeinsame</w:t>
      </w:r>
      <w:proofErr w:type="gramEnd"/>
      <w:r>
        <w:rPr>
          <w:lang w:val="de-DE"/>
        </w:rPr>
        <w:t xml:space="preserve"> Agrarpolitik </w:t>
      </w:r>
    </w:p>
    <w:p w:rsidR="00B3609C" w:rsidRDefault="00882296">
      <w:pPr>
        <w:pStyle w:val="HStandard"/>
        <w:ind w:left="993" w:hanging="993"/>
        <w:rPr>
          <w:lang w:val="de-DE"/>
        </w:rPr>
      </w:pPr>
      <w:r>
        <w:rPr>
          <w:lang w:val="de-DE"/>
        </w:rPr>
        <w:t>CCI</w:t>
      </w:r>
      <w:r>
        <w:rPr>
          <w:lang w:val="de-DE"/>
        </w:rPr>
        <w:tab/>
      </w:r>
      <w:r>
        <w:rPr>
          <w:lang w:val="de-DE"/>
        </w:rPr>
        <w:tab/>
      </w:r>
      <w:proofErr w:type="gramStart"/>
      <w:r>
        <w:rPr>
          <w:lang w:val="de-DE"/>
        </w:rPr>
        <w:t>Gemeinsame</w:t>
      </w:r>
      <w:proofErr w:type="gramEnd"/>
      <w:r>
        <w:rPr>
          <w:lang w:val="de-DE"/>
        </w:rPr>
        <w:t xml:space="preserve"> Kontextindikatoren</w:t>
      </w:r>
    </w:p>
    <w:p w:rsidR="00B3609C" w:rsidRDefault="00882296">
      <w:pPr>
        <w:pStyle w:val="HStandard"/>
        <w:ind w:left="993" w:hanging="993"/>
        <w:rPr>
          <w:lang w:val="de-DE"/>
        </w:rPr>
      </w:pPr>
      <w:r>
        <w:rPr>
          <w:lang w:val="de-DE"/>
        </w:rPr>
        <w:t>CEQ</w:t>
      </w:r>
      <w:r>
        <w:rPr>
          <w:lang w:val="de-DE"/>
        </w:rPr>
        <w:tab/>
      </w:r>
      <w:r>
        <w:rPr>
          <w:lang w:val="de-DE"/>
        </w:rPr>
        <w:tab/>
      </w:r>
      <w:proofErr w:type="gramStart"/>
      <w:r>
        <w:rPr>
          <w:lang w:val="de-DE"/>
        </w:rPr>
        <w:t>Gemeinsame</w:t>
      </w:r>
      <w:proofErr w:type="gramEnd"/>
      <w:r>
        <w:rPr>
          <w:lang w:val="de-DE"/>
        </w:rPr>
        <w:t xml:space="preserve"> Bewertungsfragen</w:t>
      </w:r>
    </w:p>
    <w:p w:rsidR="00B3609C" w:rsidRDefault="00882296">
      <w:pPr>
        <w:pStyle w:val="HStandard"/>
        <w:ind w:left="993" w:hanging="993"/>
        <w:rPr>
          <w:lang w:val="de-DE"/>
        </w:rPr>
      </w:pPr>
      <w:r>
        <w:rPr>
          <w:lang w:val="de-DE"/>
        </w:rPr>
        <w:t>CLLD</w:t>
      </w:r>
      <w:r>
        <w:rPr>
          <w:lang w:val="de-DE"/>
        </w:rPr>
        <w:tab/>
      </w:r>
      <w:r>
        <w:rPr>
          <w:lang w:val="de-DE"/>
        </w:rPr>
        <w:tab/>
        <w:t>von der örtlichen Bevölkerung betriebene Maßnahmen zur lokalen Entwicklung</w:t>
      </w:r>
    </w:p>
    <w:p w:rsidR="00B3609C" w:rsidRDefault="00882296">
      <w:pPr>
        <w:pStyle w:val="HStandard"/>
        <w:ind w:left="993" w:hanging="993"/>
        <w:rPr>
          <w:lang w:val="de-DE"/>
        </w:rPr>
      </w:pPr>
      <w:r>
        <w:rPr>
          <w:lang w:val="de-DE"/>
        </w:rPr>
        <w:t>CGE</w:t>
      </w:r>
      <w:r>
        <w:rPr>
          <w:lang w:val="de-DE"/>
        </w:rPr>
        <w:tab/>
      </w:r>
      <w:r>
        <w:rPr>
          <w:lang w:val="de-DE"/>
        </w:rPr>
        <w:tab/>
      </w:r>
      <w:proofErr w:type="gramStart"/>
      <w:r>
        <w:rPr>
          <w:lang w:val="de-DE"/>
        </w:rPr>
        <w:t>Berechenbares</w:t>
      </w:r>
      <w:proofErr w:type="gramEnd"/>
      <w:r>
        <w:rPr>
          <w:lang w:val="de-DE"/>
        </w:rPr>
        <w:t xml:space="preserve"> allgemeines Gleichgewichtsmodell</w:t>
      </w:r>
    </w:p>
    <w:p w:rsidR="00B3609C" w:rsidRDefault="00882296">
      <w:pPr>
        <w:pStyle w:val="HStandard"/>
        <w:ind w:left="993" w:hanging="993"/>
        <w:rPr>
          <w:lang w:val="de-DE"/>
        </w:rPr>
      </w:pPr>
      <w:r>
        <w:rPr>
          <w:lang w:val="de-DE"/>
        </w:rPr>
        <w:t>CMES</w:t>
      </w:r>
      <w:r>
        <w:rPr>
          <w:lang w:val="de-DE"/>
        </w:rPr>
        <w:tab/>
      </w:r>
      <w:r>
        <w:rPr>
          <w:lang w:val="de-DE"/>
        </w:rPr>
        <w:tab/>
      </w:r>
      <w:proofErr w:type="gramStart"/>
      <w:r>
        <w:rPr>
          <w:lang w:val="de-DE"/>
        </w:rPr>
        <w:t>Gemeinsames</w:t>
      </w:r>
      <w:proofErr w:type="gramEnd"/>
      <w:r>
        <w:rPr>
          <w:lang w:val="de-DE"/>
        </w:rPr>
        <w:t xml:space="preserve"> Begleitungs- und Bewertungssystem</w:t>
      </w:r>
    </w:p>
    <w:p w:rsidR="00B3609C" w:rsidRDefault="00882296">
      <w:pPr>
        <w:pStyle w:val="HStandard"/>
        <w:ind w:left="993" w:hanging="993"/>
        <w:rPr>
          <w:lang w:val="de-DE"/>
        </w:rPr>
      </w:pPr>
      <w:r>
        <w:rPr>
          <w:lang w:val="de-DE"/>
        </w:rPr>
        <w:t>CORINE</w:t>
      </w:r>
      <w:r>
        <w:rPr>
          <w:lang w:val="de-DE"/>
        </w:rPr>
        <w:tab/>
      </w:r>
      <w:r>
        <w:rPr>
          <w:lang w:val="de-DE"/>
        </w:rPr>
        <w:tab/>
        <w:t>Koordinierung der Informationen über den Zustand der Umwelt</w:t>
      </w:r>
    </w:p>
    <w:p w:rsidR="00B3609C" w:rsidRDefault="00882296">
      <w:pPr>
        <w:pStyle w:val="HStandard"/>
        <w:ind w:left="993" w:hanging="993"/>
        <w:rPr>
          <w:lang w:val="de-DE"/>
        </w:rPr>
      </w:pPr>
      <w:r>
        <w:rPr>
          <w:lang w:val="de-DE"/>
        </w:rPr>
        <w:t>GD Landwirtschaft</w:t>
      </w:r>
      <w:r>
        <w:rPr>
          <w:lang w:val="de-DE"/>
        </w:rPr>
        <w:tab/>
      </w:r>
      <w:r>
        <w:rPr>
          <w:lang w:val="de-DE"/>
        </w:rPr>
        <w:tab/>
        <w:t>Generaldirektion Landwirtschaft und ländliche Entwicklung</w:t>
      </w:r>
    </w:p>
    <w:p w:rsidR="00B3609C" w:rsidRDefault="00882296">
      <w:pPr>
        <w:pStyle w:val="HStandard"/>
        <w:ind w:left="993" w:hanging="993"/>
        <w:rPr>
          <w:lang w:val="de-DE"/>
        </w:rPr>
      </w:pPr>
      <w:proofErr w:type="spellStart"/>
      <w:r>
        <w:rPr>
          <w:lang w:val="de-DE"/>
        </w:rPr>
        <w:t>DiD</w:t>
      </w:r>
      <w:proofErr w:type="spellEnd"/>
      <w:r>
        <w:rPr>
          <w:lang w:val="de-DE"/>
        </w:rPr>
        <w:tab/>
      </w:r>
      <w:r>
        <w:rPr>
          <w:lang w:val="de-DE"/>
        </w:rPr>
        <w:tab/>
        <w:t>Differenz-in-Differenzen</w:t>
      </w:r>
    </w:p>
    <w:p w:rsidR="00B3609C" w:rsidRDefault="00882296">
      <w:pPr>
        <w:pStyle w:val="HStandard"/>
        <w:ind w:left="993" w:hanging="993"/>
        <w:rPr>
          <w:lang w:val="de-DE"/>
        </w:rPr>
      </w:pPr>
      <w:r>
        <w:rPr>
          <w:lang w:val="de-DE"/>
        </w:rPr>
        <w:t>DP</w:t>
      </w:r>
      <w:r>
        <w:rPr>
          <w:lang w:val="de-DE"/>
        </w:rPr>
        <w:tab/>
      </w:r>
      <w:r>
        <w:rPr>
          <w:lang w:val="de-DE"/>
        </w:rPr>
        <w:tab/>
        <w:t>Datenlieferant</w:t>
      </w:r>
    </w:p>
    <w:p w:rsidR="00B3609C" w:rsidRDefault="00882296">
      <w:pPr>
        <w:pStyle w:val="HStandard"/>
        <w:ind w:left="993" w:hanging="993"/>
        <w:rPr>
          <w:lang w:val="de-DE"/>
        </w:rPr>
      </w:pPr>
      <w:r>
        <w:rPr>
          <w:lang w:val="de-DE"/>
        </w:rPr>
        <w:t>LGR</w:t>
      </w:r>
      <w:r>
        <w:rPr>
          <w:lang w:val="de-DE"/>
        </w:rPr>
        <w:tab/>
      </w:r>
      <w:r>
        <w:rPr>
          <w:lang w:val="de-DE"/>
        </w:rPr>
        <w:tab/>
      </w:r>
      <w:proofErr w:type="gramStart"/>
      <w:r>
        <w:rPr>
          <w:lang w:val="de-DE"/>
        </w:rPr>
        <w:t>Landwirtschaftliche</w:t>
      </w:r>
      <w:proofErr w:type="gramEnd"/>
      <w:r>
        <w:rPr>
          <w:lang w:val="de-DE"/>
        </w:rPr>
        <w:t xml:space="preserve"> Gesamtrechnung</w:t>
      </w:r>
    </w:p>
    <w:p w:rsidR="00B3609C" w:rsidRDefault="00882296">
      <w:pPr>
        <w:pStyle w:val="HStandard"/>
        <w:ind w:left="993" w:hanging="993"/>
        <w:rPr>
          <w:lang w:val="de-DE"/>
        </w:rPr>
      </w:pPr>
      <w:r>
        <w:rPr>
          <w:lang w:val="de-DE"/>
        </w:rPr>
        <w:t>UAP</w:t>
      </w:r>
      <w:r>
        <w:rPr>
          <w:lang w:val="de-DE"/>
        </w:rPr>
        <w:tab/>
      </w:r>
      <w:r>
        <w:rPr>
          <w:lang w:val="de-DE"/>
        </w:rPr>
        <w:tab/>
        <w:t>Umweltaktionsprogramm</w:t>
      </w:r>
    </w:p>
    <w:p w:rsidR="00B3609C" w:rsidRDefault="00882296">
      <w:pPr>
        <w:pStyle w:val="HStandard"/>
        <w:ind w:left="993" w:hanging="993"/>
        <w:rPr>
          <w:lang w:val="de-DE"/>
        </w:rPr>
      </w:pPr>
      <w:r>
        <w:rPr>
          <w:lang w:val="de-DE"/>
        </w:rPr>
        <w:t>ELER</w:t>
      </w:r>
      <w:r>
        <w:rPr>
          <w:lang w:val="de-DE"/>
        </w:rPr>
        <w:tab/>
      </w:r>
      <w:r>
        <w:rPr>
          <w:lang w:val="de-DE"/>
        </w:rPr>
        <w:tab/>
        <w:t>Europäischer Landwirtschaftsfonds für die Entwicklung des ländlichen Raums</w:t>
      </w:r>
    </w:p>
    <w:p w:rsidR="00B3609C" w:rsidRDefault="00882296">
      <w:pPr>
        <w:pStyle w:val="HStandard"/>
        <w:ind w:left="993" w:hanging="993"/>
        <w:rPr>
          <w:lang w:val="de-DE"/>
        </w:rPr>
      </w:pPr>
      <w:r>
        <w:rPr>
          <w:lang w:val="de-DE"/>
        </w:rPr>
        <w:t>EDGAR</w:t>
      </w:r>
      <w:r>
        <w:rPr>
          <w:lang w:val="de-DE"/>
        </w:rPr>
        <w:tab/>
      </w:r>
      <w:r>
        <w:rPr>
          <w:lang w:val="de-DE"/>
        </w:rPr>
        <w:tab/>
        <w:t>Emissionsdatenbank für die globale atmosphärische Forschung</w:t>
      </w:r>
    </w:p>
    <w:p w:rsidR="00B3609C" w:rsidRDefault="00882296">
      <w:pPr>
        <w:pStyle w:val="HStandard"/>
        <w:ind w:left="993" w:hanging="993"/>
        <w:rPr>
          <w:lang w:val="de-DE"/>
        </w:rPr>
      </w:pPr>
      <w:r>
        <w:rPr>
          <w:lang w:val="de-DE"/>
        </w:rPr>
        <w:t>EIP</w:t>
      </w:r>
      <w:r>
        <w:rPr>
          <w:lang w:val="de-DE"/>
        </w:rPr>
        <w:tab/>
      </w:r>
      <w:r>
        <w:rPr>
          <w:lang w:val="de-DE"/>
        </w:rPr>
        <w:tab/>
        <w:t>Europäische Innovationspartnerschaft</w:t>
      </w:r>
    </w:p>
    <w:p w:rsidR="00B3609C" w:rsidRDefault="00882296">
      <w:pPr>
        <w:pStyle w:val="HStandard"/>
        <w:ind w:left="993" w:hanging="993"/>
        <w:rPr>
          <w:lang w:val="de-DE"/>
        </w:rPr>
      </w:pPr>
      <w:r>
        <w:rPr>
          <w:lang w:val="de-DE"/>
        </w:rPr>
        <w:t>ESDAC</w:t>
      </w:r>
      <w:r>
        <w:rPr>
          <w:lang w:val="de-DE"/>
        </w:rPr>
        <w:tab/>
      </w:r>
      <w:r>
        <w:rPr>
          <w:lang w:val="de-DE"/>
        </w:rPr>
        <w:tab/>
        <w:t>Europäisches Zentrum für Bodendaten</w:t>
      </w:r>
    </w:p>
    <w:p w:rsidR="00B3609C" w:rsidRDefault="00882296">
      <w:pPr>
        <w:pStyle w:val="HStandard"/>
        <w:ind w:left="993" w:hanging="993"/>
        <w:rPr>
          <w:lang w:val="de-DE"/>
        </w:rPr>
      </w:pPr>
      <w:r>
        <w:rPr>
          <w:lang w:val="de-DE"/>
        </w:rPr>
        <w:t>ESG</w:t>
      </w:r>
      <w:r>
        <w:rPr>
          <w:lang w:val="de-DE"/>
        </w:rPr>
        <w:tab/>
      </w:r>
      <w:r>
        <w:rPr>
          <w:lang w:val="de-DE"/>
        </w:rPr>
        <w:tab/>
        <w:t>Lenkungsgruppe für Bewertung</w:t>
      </w:r>
    </w:p>
    <w:p w:rsidR="00B3609C" w:rsidRDefault="00882296">
      <w:pPr>
        <w:pStyle w:val="HStandard"/>
        <w:ind w:left="993" w:hanging="993"/>
        <w:rPr>
          <w:lang w:val="de-DE"/>
        </w:rPr>
      </w:pPr>
      <w:r>
        <w:rPr>
          <w:lang w:val="de-DE"/>
        </w:rPr>
        <w:t>ESI-Fonds</w:t>
      </w:r>
      <w:r>
        <w:rPr>
          <w:lang w:val="de-DE"/>
        </w:rPr>
        <w:tab/>
      </w:r>
      <w:r>
        <w:rPr>
          <w:lang w:val="de-DE"/>
        </w:rPr>
        <w:tab/>
        <w:t>Europäischer Struktur- und Investitionsfonds</w:t>
      </w:r>
    </w:p>
    <w:p w:rsidR="00B3609C" w:rsidRDefault="00882296">
      <w:pPr>
        <w:pStyle w:val="HStandard"/>
        <w:ind w:left="993" w:hanging="993"/>
        <w:rPr>
          <w:lang w:val="de-DE"/>
        </w:rPr>
      </w:pPr>
      <w:r>
        <w:rPr>
          <w:lang w:val="de-DE"/>
        </w:rPr>
        <w:t>EU</w:t>
      </w:r>
      <w:r>
        <w:rPr>
          <w:lang w:val="de-DE"/>
        </w:rPr>
        <w:tab/>
      </w:r>
      <w:r>
        <w:rPr>
          <w:lang w:val="de-DE"/>
        </w:rPr>
        <w:tab/>
        <w:t>Europäische Union</w:t>
      </w:r>
    </w:p>
    <w:p w:rsidR="00B3609C" w:rsidRDefault="00882296">
      <w:pPr>
        <w:pStyle w:val="HStandard"/>
        <w:ind w:left="993" w:hanging="993"/>
        <w:rPr>
          <w:lang w:val="de-DE"/>
        </w:rPr>
      </w:pPr>
      <w:proofErr w:type="spellStart"/>
      <w:r>
        <w:rPr>
          <w:lang w:val="de-DE"/>
        </w:rPr>
        <w:t>Ev</w:t>
      </w:r>
      <w:proofErr w:type="spellEnd"/>
      <w:r>
        <w:rPr>
          <w:lang w:val="de-DE"/>
        </w:rPr>
        <w:tab/>
      </w:r>
      <w:r>
        <w:rPr>
          <w:lang w:val="de-DE"/>
        </w:rPr>
        <w:tab/>
        <w:t>Bewerter</w:t>
      </w:r>
    </w:p>
    <w:p w:rsidR="00B3609C" w:rsidRDefault="00882296">
      <w:pPr>
        <w:pStyle w:val="HStandard"/>
        <w:ind w:left="993" w:hanging="993"/>
        <w:rPr>
          <w:lang w:val="de-DE"/>
        </w:rPr>
      </w:pPr>
      <w:proofErr w:type="spellStart"/>
      <w:r>
        <w:rPr>
          <w:lang w:val="de-DE"/>
        </w:rPr>
        <w:t>EvU</w:t>
      </w:r>
      <w:proofErr w:type="spellEnd"/>
      <w:r>
        <w:rPr>
          <w:lang w:val="de-DE"/>
        </w:rPr>
        <w:tab/>
      </w:r>
      <w:r>
        <w:rPr>
          <w:lang w:val="de-DE"/>
        </w:rPr>
        <w:tab/>
        <w:t>Evaluierungsstelle</w:t>
      </w:r>
    </w:p>
    <w:p w:rsidR="00B3609C" w:rsidRDefault="00882296">
      <w:pPr>
        <w:pStyle w:val="HStandard"/>
        <w:ind w:left="993" w:hanging="993"/>
        <w:rPr>
          <w:lang w:val="de-DE"/>
        </w:rPr>
      </w:pPr>
      <w:r>
        <w:rPr>
          <w:lang w:val="de-DE"/>
        </w:rPr>
        <w:t>FA</w:t>
      </w:r>
      <w:r>
        <w:rPr>
          <w:lang w:val="de-DE"/>
        </w:rPr>
        <w:tab/>
      </w:r>
      <w:r>
        <w:rPr>
          <w:lang w:val="de-DE"/>
        </w:rPr>
        <w:tab/>
        <w:t>Schwerpunktbereich</w:t>
      </w:r>
    </w:p>
    <w:p w:rsidR="00B3609C" w:rsidRDefault="00882296">
      <w:pPr>
        <w:pStyle w:val="HStandard"/>
        <w:ind w:left="993" w:hanging="993"/>
        <w:rPr>
          <w:lang w:val="de-DE"/>
        </w:rPr>
      </w:pPr>
      <w:r>
        <w:rPr>
          <w:lang w:val="de-DE"/>
        </w:rPr>
        <w:t>INLB</w:t>
      </w:r>
      <w:r>
        <w:rPr>
          <w:lang w:val="de-DE"/>
        </w:rPr>
        <w:tab/>
      </w:r>
      <w:r>
        <w:rPr>
          <w:lang w:val="de-DE"/>
        </w:rPr>
        <w:tab/>
        <w:t>Informationsnetz landwirtschaftlicher Buchführungen</w:t>
      </w:r>
    </w:p>
    <w:p w:rsidR="00B3609C" w:rsidRDefault="00882296">
      <w:pPr>
        <w:pStyle w:val="HStandard"/>
        <w:ind w:left="993" w:hanging="993"/>
        <w:rPr>
          <w:lang w:val="de-DE"/>
        </w:rPr>
      </w:pPr>
      <w:r>
        <w:rPr>
          <w:lang w:val="de-DE"/>
        </w:rPr>
        <w:t>FBI</w:t>
      </w:r>
      <w:r>
        <w:rPr>
          <w:lang w:val="de-DE"/>
        </w:rPr>
        <w:tab/>
      </w:r>
      <w:r>
        <w:rPr>
          <w:lang w:val="de-DE"/>
        </w:rPr>
        <w:tab/>
        <w:t>Feldvogelindex</w:t>
      </w:r>
    </w:p>
    <w:p w:rsidR="00B3609C" w:rsidRDefault="00882296">
      <w:pPr>
        <w:pStyle w:val="HStandard"/>
        <w:ind w:left="993" w:hanging="993"/>
        <w:rPr>
          <w:lang w:val="de-DE"/>
        </w:rPr>
      </w:pPr>
      <w:r>
        <w:rPr>
          <w:lang w:val="de-DE"/>
        </w:rPr>
        <w:t>FWU</w:t>
      </w:r>
      <w:r>
        <w:rPr>
          <w:lang w:val="de-DE"/>
        </w:rPr>
        <w:tab/>
      </w:r>
      <w:r>
        <w:rPr>
          <w:lang w:val="de-DE"/>
        </w:rPr>
        <w:tab/>
        <w:t xml:space="preserve">Familienbetrieb </w:t>
      </w:r>
    </w:p>
    <w:p w:rsidR="00B3609C" w:rsidRDefault="00882296">
      <w:pPr>
        <w:pStyle w:val="HStandard"/>
        <w:ind w:left="993" w:hanging="993"/>
        <w:rPr>
          <w:lang w:val="de-DE"/>
        </w:rPr>
      </w:pPr>
      <w:r>
        <w:rPr>
          <w:lang w:val="de-DE"/>
        </w:rPr>
        <w:t>GLÖZ</w:t>
      </w:r>
      <w:r>
        <w:rPr>
          <w:lang w:val="de-DE"/>
        </w:rPr>
        <w:tab/>
      </w:r>
      <w:r>
        <w:rPr>
          <w:lang w:val="de-DE"/>
        </w:rPr>
        <w:tab/>
      </w:r>
      <w:proofErr w:type="gramStart"/>
      <w:r>
        <w:rPr>
          <w:lang w:val="de-DE"/>
        </w:rPr>
        <w:t>Guter</w:t>
      </w:r>
      <w:proofErr w:type="gramEnd"/>
      <w:r>
        <w:rPr>
          <w:lang w:val="de-DE"/>
        </w:rPr>
        <w:t xml:space="preserve"> landwirtschaftlicher und ökologischer Zustand</w:t>
      </w:r>
    </w:p>
    <w:p w:rsidR="00B3609C" w:rsidRDefault="00882296">
      <w:pPr>
        <w:pStyle w:val="HStandard"/>
        <w:ind w:left="993" w:hanging="993"/>
        <w:rPr>
          <w:lang w:val="de-DE"/>
        </w:rPr>
      </w:pPr>
      <w:r>
        <w:rPr>
          <w:lang w:val="de-DE"/>
        </w:rPr>
        <w:lastRenderedPageBreak/>
        <w:t>BIP</w:t>
      </w:r>
      <w:r>
        <w:rPr>
          <w:lang w:val="de-DE"/>
        </w:rPr>
        <w:tab/>
      </w:r>
      <w:r>
        <w:rPr>
          <w:lang w:val="de-DE"/>
        </w:rPr>
        <w:tab/>
        <w:t xml:space="preserve">Bruttoinlandsprodukt </w:t>
      </w:r>
    </w:p>
    <w:p w:rsidR="00B3609C" w:rsidRDefault="00882296">
      <w:pPr>
        <w:pStyle w:val="HStandard"/>
        <w:ind w:left="993" w:hanging="993"/>
        <w:rPr>
          <w:lang w:val="de-DE"/>
        </w:rPr>
      </w:pPr>
      <w:r>
        <w:rPr>
          <w:lang w:val="de-DE"/>
        </w:rPr>
        <w:t>BAFE</w:t>
      </w:r>
      <w:r>
        <w:rPr>
          <w:lang w:val="de-DE"/>
        </w:rPr>
        <w:tab/>
      </w:r>
      <w:r>
        <w:rPr>
          <w:lang w:val="de-DE"/>
        </w:rPr>
        <w:tab/>
        <w:t xml:space="preserve">Bruttoinlandsaufwendungen für </w:t>
      </w:r>
      <w:proofErr w:type="spellStart"/>
      <w:r>
        <w:rPr>
          <w:lang w:val="de-DE"/>
        </w:rPr>
        <w:t>FuE</w:t>
      </w:r>
      <w:proofErr w:type="spellEnd"/>
    </w:p>
    <w:p w:rsidR="00B3609C" w:rsidRDefault="00882296">
      <w:pPr>
        <w:pStyle w:val="HStandard"/>
        <w:ind w:left="993" w:hanging="993"/>
        <w:rPr>
          <w:lang w:val="de-DE"/>
        </w:rPr>
      </w:pPr>
      <w:r>
        <w:rPr>
          <w:lang w:val="de-DE"/>
        </w:rPr>
        <w:t>GES</w:t>
      </w:r>
      <w:r>
        <w:rPr>
          <w:lang w:val="de-DE"/>
        </w:rPr>
        <w:tab/>
      </w:r>
      <w:r>
        <w:rPr>
          <w:lang w:val="de-DE"/>
        </w:rPr>
        <w:tab/>
      </w:r>
      <w:proofErr w:type="gramStart"/>
      <w:r>
        <w:rPr>
          <w:lang w:val="de-DE"/>
        </w:rPr>
        <w:t>Guter</w:t>
      </w:r>
      <w:proofErr w:type="gramEnd"/>
      <w:r>
        <w:rPr>
          <w:lang w:val="de-DE"/>
        </w:rPr>
        <w:t xml:space="preserve"> ökologischer Zustand</w:t>
      </w:r>
    </w:p>
    <w:p w:rsidR="00B3609C" w:rsidRDefault="00882296">
      <w:pPr>
        <w:pStyle w:val="HStandard"/>
        <w:ind w:left="993" w:hanging="993"/>
        <w:rPr>
          <w:lang w:val="de-DE"/>
        </w:rPr>
      </w:pPr>
      <w:r>
        <w:rPr>
          <w:lang w:val="de-DE"/>
        </w:rPr>
        <w:t>GHG</w:t>
      </w:r>
      <w:r>
        <w:rPr>
          <w:lang w:val="de-DE"/>
        </w:rPr>
        <w:tab/>
      </w:r>
      <w:r>
        <w:rPr>
          <w:lang w:val="de-DE"/>
        </w:rPr>
        <w:tab/>
        <w:t>Treibhausgas</w:t>
      </w:r>
    </w:p>
    <w:p w:rsidR="00B3609C" w:rsidRDefault="00882296">
      <w:pPr>
        <w:pStyle w:val="HStandard"/>
        <w:ind w:left="993" w:hanging="993"/>
        <w:rPr>
          <w:lang w:val="de-DE"/>
        </w:rPr>
      </w:pPr>
      <w:r>
        <w:rPr>
          <w:lang w:val="de-DE"/>
        </w:rPr>
        <w:t>GIS</w:t>
      </w:r>
      <w:r>
        <w:rPr>
          <w:lang w:val="de-DE"/>
        </w:rPr>
        <w:tab/>
      </w:r>
      <w:r>
        <w:rPr>
          <w:lang w:val="de-DE"/>
        </w:rPr>
        <w:tab/>
      </w:r>
      <w:proofErr w:type="gramStart"/>
      <w:r>
        <w:rPr>
          <w:lang w:val="de-DE"/>
        </w:rPr>
        <w:t>Geografisches</w:t>
      </w:r>
      <w:proofErr w:type="gramEnd"/>
      <w:r>
        <w:rPr>
          <w:lang w:val="de-DE"/>
        </w:rPr>
        <w:t xml:space="preserve"> Informationssystem</w:t>
      </w:r>
    </w:p>
    <w:p w:rsidR="00B3609C" w:rsidRDefault="00882296">
      <w:pPr>
        <w:pStyle w:val="HStandard"/>
        <w:ind w:left="993" w:hanging="993"/>
        <w:rPr>
          <w:lang w:val="de-DE"/>
        </w:rPr>
      </w:pPr>
      <w:r>
        <w:rPr>
          <w:lang w:val="de-DE"/>
        </w:rPr>
        <w:t>GNB</w:t>
      </w:r>
      <w:r>
        <w:rPr>
          <w:lang w:val="de-DE"/>
        </w:rPr>
        <w:tab/>
      </w:r>
      <w:r>
        <w:rPr>
          <w:lang w:val="de-DE"/>
        </w:rPr>
        <w:tab/>
        <w:t>Bruttonährstoffbilanz</w:t>
      </w:r>
    </w:p>
    <w:p w:rsidR="00B3609C" w:rsidRDefault="00882296">
      <w:pPr>
        <w:pStyle w:val="HStandard"/>
        <w:ind w:left="993" w:hanging="993"/>
        <w:rPr>
          <w:lang w:val="de-DE"/>
        </w:rPr>
      </w:pPr>
      <w:r>
        <w:rPr>
          <w:lang w:val="de-DE"/>
        </w:rPr>
        <w:t>GPSM</w:t>
      </w:r>
      <w:r>
        <w:rPr>
          <w:lang w:val="de-DE"/>
        </w:rPr>
        <w:tab/>
      </w:r>
      <w:r>
        <w:rPr>
          <w:lang w:val="de-DE"/>
        </w:rPr>
        <w:tab/>
        <w:t xml:space="preserve">Allgemeines </w:t>
      </w:r>
      <w:proofErr w:type="spellStart"/>
      <w:r>
        <w:rPr>
          <w:lang w:val="de-DE"/>
        </w:rPr>
        <w:t>Propensity</w:t>
      </w:r>
      <w:proofErr w:type="spellEnd"/>
      <w:r>
        <w:rPr>
          <w:lang w:val="de-DE"/>
        </w:rPr>
        <w:t xml:space="preserve"> Score </w:t>
      </w:r>
      <w:proofErr w:type="spellStart"/>
      <w:r>
        <w:rPr>
          <w:lang w:val="de-DE"/>
        </w:rPr>
        <w:t>Matching</w:t>
      </w:r>
      <w:proofErr w:type="spellEnd"/>
    </w:p>
    <w:p w:rsidR="00B3609C" w:rsidRDefault="00882296">
      <w:pPr>
        <w:pStyle w:val="HStandard"/>
        <w:ind w:left="993" w:hanging="993"/>
        <w:rPr>
          <w:lang w:val="de-DE"/>
        </w:rPr>
      </w:pPr>
      <w:r>
        <w:rPr>
          <w:lang w:val="de-DE"/>
        </w:rPr>
        <w:t>GRIT</w:t>
      </w:r>
      <w:r>
        <w:rPr>
          <w:lang w:val="de-DE"/>
        </w:rPr>
        <w:tab/>
      </w:r>
      <w:r>
        <w:rPr>
          <w:lang w:val="de-DE"/>
        </w:rPr>
        <w:tab/>
        <w:t>Erstellung regionaler Input-Output-Tabellen</w:t>
      </w:r>
    </w:p>
    <w:p w:rsidR="00B3609C" w:rsidRDefault="00882296">
      <w:pPr>
        <w:pStyle w:val="HStandard"/>
        <w:ind w:left="993" w:hanging="993"/>
        <w:rPr>
          <w:lang w:val="de-DE"/>
        </w:rPr>
      </w:pPr>
      <w:r>
        <w:rPr>
          <w:lang w:val="de-DE"/>
        </w:rPr>
        <w:t>HNV</w:t>
      </w:r>
      <w:r>
        <w:rPr>
          <w:lang w:val="de-DE"/>
        </w:rPr>
        <w:tab/>
      </w:r>
      <w:r>
        <w:rPr>
          <w:lang w:val="de-DE"/>
        </w:rPr>
        <w:tab/>
        <w:t>Landbewirtschaftung mit hohem Naturwert (HNV)</w:t>
      </w:r>
    </w:p>
    <w:p w:rsidR="00B3609C" w:rsidRDefault="00882296">
      <w:pPr>
        <w:pStyle w:val="HStandard"/>
        <w:ind w:left="993" w:hanging="993"/>
        <w:rPr>
          <w:lang w:val="de-DE"/>
        </w:rPr>
      </w:pPr>
      <w:r>
        <w:rPr>
          <w:lang w:val="de-DE"/>
        </w:rPr>
        <w:t>I</w:t>
      </w:r>
      <w:r>
        <w:rPr>
          <w:lang w:val="de-DE"/>
        </w:rPr>
        <w:tab/>
      </w:r>
      <w:r>
        <w:rPr>
          <w:lang w:val="de-DE"/>
        </w:rPr>
        <w:tab/>
        <w:t>Wirkungsindikator</w:t>
      </w:r>
    </w:p>
    <w:p w:rsidR="00B3609C" w:rsidRDefault="00882296">
      <w:pPr>
        <w:pStyle w:val="HStandard"/>
        <w:ind w:left="993" w:hanging="993"/>
        <w:rPr>
          <w:lang w:val="de-DE"/>
        </w:rPr>
      </w:pPr>
      <w:proofErr w:type="spellStart"/>
      <w:r>
        <w:rPr>
          <w:lang w:val="de-DE"/>
        </w:rPr>
        <w:t>InVeKoS</w:t>
      </w:r>
      <w:proofErr w:type="spellEnd"/>
      <w:r>
        <w:rPr>
          <w:lang w:val="de-DE"/>
        </w:rPr>
        <w:tab/>
      </w:r>
      <w:r>
        <w:rPr>
          <w:lang w:val="de-DE"/>
        </w:rPr>
        <w:tab/>
        <w:t>Integriertes Verwaltungs- und Kontrollsystem</w:t>
      </w:r>
    </w:p>
    <w:p w:rsidR="00B3609C" w:rsidRDefault="00882296">
      <w:pPr>
        <w:pStyle w:val="HStandard"/>
        <w:ind w:left="993" w:hanging="993"/>
        <w:rPr>
          <w:lang w:val="de-DE"/>
        </w:rPr>
      </w:pPr>
      <w:r>
        <w:rPr>
          <w:lang w:val="de-DE"/>
        </w:rPr>
        <w:t>IKT</w:t>
      </w:r>
      <w:r>
        <w:rPr>
          <w:lang w:val="de-DE"/>
        </w:rPr>
        <w:tab/>
      </w:r>
      <w:r>
        <w:rPr>
          <w:lang w:val="de-DE"/>
        </w:rPr>
        <w:tab/>
        <w:t>Informations- und Kommunikationstechnologien</w:t>
      </w:r>
    </w:p>
    <w:p w:rsidR="00B3609C" w:rsidRDefault="00882296">
      <w:pPr>
        <w:pStyle w:val="HStandard"/>
        <w:ind w:left="993" w:hanging="993"/>
        <w:rPr>
          <w:lang w:val="de-DE"/>
        </w:rPr>
      </w:pPr>
      <w:r>
        <w:rPr>
          <w:lang w:val="de-DE"/>
        </w:rPr>
        <w:t>IL</w:t>
      </w:r>
      <w:r>
        <w:rPr>
          <w:lang w:val="de-DE"/>
        </w:rPr>
        <w:tab/>
      </w:r>
      <w:r>
        <w:rPr>
          <w:lang w:val="de-DE"/>
        </w:rPr>
        <w:tab/>
        <w:t>Interventionslogik</w:t>
      </w:r>
    </w:p>
    <w:p w:rsidR="00B3609C" w:rsidRDefault="00882296">
      <w:pPr>
        <w:pStyle w:val="HStandard"/>
        <w:ind w:left="993" w:hanging="993"/>
        <w:rPr>
          <w:lang w:val="de-DE"/>
        </w:rPr>
      </w:pPr>
      <w:r>
        <w:rPr>
          <w:lang w:val="de-DE"/>
        </w:rPr>
        <w:t>IO</w:t>
      </w:r>
      <w:r>
        <w:rPr>
          <w:lang w:val="de-DE"/>
        </w:rPr>
        <w:tab/>
      </w:r>
      <w:r>
        <w:rPr>
          <w:lang w:val="de-DE"/>
        </w:rPr>
        <w:tab/>
        <w:t>Input-Output-Analyse</w:t>
      </w:r>
    </w:p>
    <w:p w:rsidR="00B3609C" w:rsidRDefault="00882296">
      <w:pPr>
        <w:pStyle w:val="HStandard"/>
        <w:ind w:left="993" w:hanging="993"/>
        <w:rPr>
          <w:lang w:val="de-DE"/>
        </w:rPr>
      </w:pPr>
      <w:r>
        <w:rPr>
          <w:lang w:val="de-DE"/>
        </w:rPr>
        <w:t>IVU</w:t>
      </w:r>
      <w:r>
        <w:rPr>
          <w:lang w:val="de-DE"/>
        </w:rPr>
        <w:tab/>
      </w:r>
      <w:r>
        <w:rPr>
          <w:lang w:val="de-DE"/>
        </w:rPr>
        <w:tab/>
      </w:r>
      <w:proofErr w:type="gramStart"/>
      <w:r>
        <w:rPr>
          <w:lang w:val="de-DE"/>
        </w:rPr>
        <w:t>Integrierte</w:t>
      </w:r>
      <w:proofErr w:type="gramEnd"/>
      <w:r>
        <w:rPr>
          <w:lang w:val="de-DE"/>
        </w:rPr>
        <w:t xml:space="preserve"> Vermeidung und Verminderung der Umweltverschmutzung</w:t>
      </w:r>
    </w:p>
    <w:p w:rsidR="00B3609C" w:rsidRDefault="00882296">
      <w:pPr>
        <w:pStyle w:val="HStandard"/>
        <w:ind w:left="993" w:hanging="993"/>
        <w:rPr>
          <w:lang w:val="de-DE"/>
        </w:rPr>
      </w:pPr>
      <w:r>
        <w:rPr>
          <w:lang w:val="de-DE"/>
        </w:rPr>
        <w:t>IV</w:t>
      </w:r>
      <w:r>
        <w:rPr>
          <w:lang w:val="de-DE"/>
        </w:rPr>
        <w:tab/>
      </w:r>
      <w:r>
        <w:rPr>
          <w:lang w:val="de-DE"/>
        </w:rPr>
        <w:tab/>
        <w:t>Instrumentenvariablen</w:t>
      </w:r>
    </w:p>
    <w:p w:rsidR="00B3609C" w:rsidRDefault="00882296">
      <w:pPr>
        <w:pStyle w:val="HStandard"/>
        <w:ind w:left="993" w:hanging="993"/>
        <w:rPr>
          <w:lang w:val="de-DE"/>
        </w:rPr>
      </w:pPr>
      <w:r>
        <w:rPr>
          <w:lang w:val="de-DE"/>
        </w:rPr>
        <w:t>JC</w:t>
      </w:r>
      <w:r>
        <w:rPr>
          <w:lang w:val="de-DE"/>
        </w:rPr>
        <w:tab/>
      </w:r>
      <w:r>
        <w:rPr>
          <w:lang w:val="de-DE"/>
        </w:rPr>
        <w:tab/>
        <w:t>Beurteilungskriterien</w:t>
      </w:r>
    </w:p>
    <w:p w:rsidR="00B3609C" w:rsidRDefault="00882296">
      <w:pPr>
        <w:pStyle w:val="HStandard"/>
        <w:ind w:left="993" w:hanging="993"/>
        <w:rPr>
          <w:lang w:val="de-DE"/>
        </w:rPr>
      </w:pPr>
      <w:r>
        <w:rPr>
          <w:lang w:val="de-DE"/>
        </w:rPr>
        <w:t>GFS</w:t>
      </w:r>
      <w:r>
        <w:rPr>
          <w:lang w:val="de-DE"/>
        </w:rPr>
        <w:tab/>
      </w:r>
      <w:r>
        <w:rPr>
          <w:lang w:val="de-DE"/>
        </w:rPr>
        <w:tab/>
      </w:r>
      <w:proofErr w:type="gramStart"/>
      <w:r>
        <w:rPr>
          <w:lang w:val="de-DE"/>
        </w:rPr>
        <w:t>Gemeinsame</w:t>
      </w:r>
      <w:proofErr w:type="gramEnd"/>
      <w:r>
        <w:rPr>
          <w:lang w:val="de-DE"/>
        </w:rPr>
        <w:t xml:space="preserve"> Forschungsstelle</w:t>
      </w:r>
    </w:p>
    <w:p w:rsidR="00B3609C" w:rsidRDefault="00882296">
      <w:pPr>
        <w:pStyle w:val="HStandard"/>
        <w:ind w:left="993" w:hanging="993"/>
        <w:rPr>
          <w:lang w:val="de-DE"/>
        </w:rPr>
      </w:pPr>
      <w:r>
        <w:rPr>
          <w:lang w:val="de-DE"/>
        </w:rPr>
        <w:t>LAU</w:t>
      </w:r>
      <w:r>
        <w:rPr>
          <w:lang w:val="de-DE"/>
        </w:rPr>
        <w:tab/>
      </w:r>
      <w:r>
        <w:rPr>
          <w:lang w:val="de-DE"/>
        </w:rPr>
        <w:tab/>
        <w:t>Landverwaltungseinheit</w:t>
      </w:r>
    </w:p>
    <w:p w:rsidR="00B3609C" w:rsidRDefault="00882296">
      <w:pPr>
        <w:pStyle w:val="HStandard"/>
        <w:ind w:left="993" w:hanging="993"/>
        <w:rPr>
          <w:lang w:val="de-DE"/>
        </w:rPr>
      </w:pPr>
      <w:r>
        <w:rPr>
          <w:lang w:val="de-DE"/>
        </w:rPr>
        <w:t>LPIS</w:t>
      </w:r>
      <w:r>
        <w:rPr>
          <w:lang w:val="de-DE"/>
        </w:rPr>
        <w:tab/>
      </w:r>
      <w:r>
        <w:rPr>
          <w:lang w:val="de-DE"/>
        </w:rPr>
        <w:tab/>
        <w:t>System zur Identifizierung landwirtschaftlicher Grundstücke</w:t>
      </w:r>
    </w:p>
    <w:p w:rsidR="00B3609C" w:rsidRDefault="00882296">
      <w:pPr>
        <w:pStyle w:val="HStandard"/>
        <w:ind w:left="993" w:hanging="993"/>
        <w:rPr>
          <w:lang w:val="de-DE"/>
        </w:rPr>
      </w:pPr>
      <w:r>
        <w:rPr>
          <w:lang w:val="de-DE"/>
        </w:rPr>
        <w:t>GV</w:t>
      </w:r>
      <w:r>
        <w:rPr>
          <w:lang w:val="de-DE"/>
        </w:rPr>
        <w:tab/>
      </w:r>
      <w:r>
        <w:rPr>
          <w:lang w:val="de-DE"/>
        </w:rPr>
        <w:tab/>
        <w:t>Großvieheinheit</w:t>
      </w:r>
    </w:p>
    <w:p w:rsidR="00B3609C" w:rsidRDefault="00882296">
      <w:pPr>
        <w:pStyle w:val="HStandard"/>
        <w:ind w:left="993" w:hanging="993"/>
        <w:rPr>
          <w:lang w:val="de-DE"/>
        </w:rPr>
      </w:pPr>
      <w:r>
        <w:rPr>
          <w:lang w:val="de-DE"/>
        </w:rPr>
        <w:t>LUCAS</w:t>
      </w:r>
      <w:r>
        <w:rPr>
          <w:lang w:val="de-DE"/>
        </w:rPr>
        <w:tab/>
      </w:r>
      <w:r>
        <w:rPr>
          <w:lang w:val="de-DE"/>
        </w:rPr>
        <w:tab/>
      </w:r>
      <w:proofErr w:type="gramStart"/>
      <w:r>
        <w:rPr>
          <w:lang w:val="de-DE"/>
        </w:rPr>
        <w:t>Statistische</w:t>
      </w:r>
      <w:proofErr w:type="gramEnd"/>
      <w:r>
        <w:rPr>
          <w:lang w:val="de-DE"/>
        </w:rPr>
        <w:t xml:space="preserve"> Erhebung von Flächenstichproben zur Bodennutzung/Bodenbedeckung</w:t>
      </w:r>
    </w:p>
    <w:p w:rsidR="00B3609C" w:rsidRDefault="00882296">
      <w:pPr>
        <w:pStyle w:val="HStandard"/>
        <w:ind w:left="993" w:hanging="993"/>
        <w:rPr>
          <w:lang w:val="de-DE"/>
        </w:rPr>
      </w:pPr>
      <w:r>
        <w:rPr>
          <w:lang w:val="de-DE"/>
        </w:rPr>
        <w:t>LULUCF</w:t>
      </w:r>
      <w:r>
        <w:rPr>
          <w:lang w:val="de-DE"/>
        </w:rPr>
        <w:tab/>
      </w:r>
      <w:r>
        <w:rPr>
          <w:lang w:val="de-DE"/>
        </w:rPr>
        <w:tab/>
        <w:t>Landnutzung, Landnutzungsänderung und Forstwirtschaft</w:t>
      </w:r>
    </w:p>
    <w:p w:rsidR="00B3609C" w:rsidRDefault="00882296">
      <w:pPr>
        <w:pStyle w:val="HStandard"/>
        <w:ind w:left="993" w:hanging="993"/>
        <w:rPr>
          <w:lang w:val="de-DE"/>
        </w:rPr>
      </w:pPr>
      <w:r>
        <w:rPr>
          <w:lang w:val="de-DE"/>
        </w:rPr>
        <w:t>M</w:t>
      </w:r>
      <w:r>
        <w:rPr>
          <w:lang w:val="de-DE"/>
        </w:rPr>
        <w:tab/>
      </w:r>
      <w:r>
        <w:rPr>
          <w:lang w:val="de-DE"/>
        </w:rPr>
        <w:tab/>
        <w:t xml:space="preserve">Maßnahme </w:t>
      </w:r>
    </w:p>
    <w:p w:rsidR="00B3609C" w:rsidRDefault="00882296">
      <w:pPr>
        <w:pStyle w:val="HStandard"/>
        <w:ind w:left="993" w:hanging="993"/>
        <w:rPr>
          <w:lang w:val="de-DE"/>
        </w:rPr>
      </w:pPr>
      <w:r>
        <w:rPr>
          <w:lang w:val="de-DE"/>
        </w:rPr>
        <w:t>VB</w:t>
      </w:r>
      <w:r>
        <w:rPr>
          <w:lang w:val="de-DE"/>
        </w:rPr>
        <w:tab/>
      </w:r>
      <w:r>
        <w:rPr>
          <w:lang w:val="de-DE"/>
        </w:rPr>
        <w:tab/>
        <w:t>Verwaltungsbehörde</w:t>
      </w:r>
    </w:p>
    <w:p w:rsidR="00B3609C" w:rsidRDefault="00882296">
      <w:pPr>
        <w:pStyle w:val="HStandard"/>
        <w:ind w:left="993" w:hanging="993"/>
        <w:rPr>
          <w:lang w:val="de-DE"/>
        </w:rPr>
      </w:pPr>
      <w:r>
        <w:rPr>
          <w:lang w:val="de-DE"/>
        </w:rPr>
        <w:t>MC</w:t>
      </w:r>
      <w:r>
        <w:rPr>
          <w:lang w:val="de-DE"/>
        </w:rPr>
        <w:tab/>
      </w:r>
      <w:r>
        <w:rPr>
          <w:lang w:val="de-DE"/>
        </w:rPr>
        <w:tab/>
        <w:t>Begleitausschuss</w:t>
      </w:r>
    </w:p>
    <w:p w:rsidR="00B3609C" w:rsidRDefault="00882296">
      <w:pPr>
        <w:pStyle w:val="HStandard"/>
        <w:ind w:left="993" w:hanging="993"/>
        <w:rPr>
          <w:lang w:val="de-DE"/>
        </w:rPr>
      </w:pPr>
      <w:r>
        <w:rPr>
          <w:lang w:val="de-DE"/>
        </w:rPr>
        <w:t>MAPP</w:t>
      </w:r>
      <w:r>
        <w:rPr>
          <w:lang w:val="de-DE"/>
        </w:rPr>
        <w:tab/>
      </w:r>
      <w:r>
        <w:rPr>
          <w:lang w:val="de-DE"/>
        </w:rPr>
        <w:tab/>
        <w:t>Methode zur Folgenabschätzung von Programmen und Projekten</w:t>
      </w:r>
    </w:p>
    <w:p w:rsidR="00B3609C" w:rsidRDefault="00882296">
      <w:pPr>
        <w:pStyle w:val="HStandard"/>
        <w:ind w:left="993" w:hanging="993"/>
        <w:rPr>
          <w:lang w:val="de-DE"/>
        </w:rPr>
      </w:pPr>
      <w:r>
        <w:rPr>
          <w:lang w:val="de-DE"/>
        </w:rPr>
        <w:t>MS</w:t>
      </w:r>
      <w:r>
        <w:rPr>
          <w:lang w:val="de-DE"/>
        </w:rPr>
        <w:tab/>
      </w:r>
      <w:r>
        <w:rPr>
          <w:lang w:val="de-DE"/>
        </w:rPr>
        <w:tab/>
        <w:t>Mitgliedstaat</w:t>
      </w:r>
    </w:p>
    <w:p w:rsidR="00B3609C" w:rsidRDefault="00882296">
      <w:pPr>
        <w:pStyle w:val="HStandard"/>
        <w:ind w:left="993" w:hanging="993"/>
        <w:rPr>
          <w:lang w:val="de-DE"/>
        </w:rPr>
      </w:pPr>
      <w:r>
        <w:rPr>
          <w:lang w:val="de-DE"/>
        </w:rPr>
        <w:t>ND</w:t>
      </w:r>
      <w:r>
        <w:rPr>
          <w:lang w:val="de-DE"/>
        </w:rPr>
        <w:tab/>
      </w:r>
      <w:r>
        <w:rPr>
          <w:lang w:val="de-DE"/>
        </w:rPr>
        <w:tab/>
        <w:t>Nitrat-Richtlinie</w:t>
      </w:r>
    </w:p>
    <w:p w:rsidR="00B3609C" w:rsidRDefault="00882296">
      <w:pPr>
        <w:pStyle w:val="HStandard"/>
        <w:ind w:left="993" w:hanging="993"/>
        <w:rPr>
          <w:lang w:val="de-DE"/>
        </w:rPr>
      </w:pPr>
      <w:r>
        <w:rPr>
          <w:lang w:val="de-DE"/>
        </w:rPr>
        <w:t>NRO</w:t>
      </w:r>
      <w:r>
        <w:rPr>
          <w:lang w:val="de-DE"/>
        </w:rPr>
        <w:tab/>
      </w:r>
      <w:r>
        <w:rPr>
          <w:lang w:val="de-DE"/>
        </w:rPr>
        <w:tab/>
        <w:t>Nichtregierungsorganisation</w:t>
      </w:r>
    </w:p>
    <w:p w:rsidR="00B3609C" w:rsidRDefault="00882296">
      <w:pPr>
        <w:pStyle w:val="HStandard"/>
        <w:ind w:left="993" w:hanging="993"/>
        <w:rPr>
          <w:lang w:val="de-DE"/>
        </w:rPr>
      </w:pPr>
      <w:r>
        <w:rPr>
          <w:lang w:val="de-DE"/>
        </w:rPr>
        <w:t>NLR</w:t>
      </w:r>
      <w:r>
        <w:rPr>
          <w:lang w:val="de-DE"/>
        </w:rPr>
        <w:tab/>
      </w:r>
      <w:r>
        <w:rPr>
          <w:lang w:val="de-DE"/>
        </w:rPr>
        <w:tab/>
        <w:t>Nationales Netz für den ländlichen Raum</w:t>
      </w:r>
    </w:p>
    <w:p w:rsidR="00B3609C" w:rsidRDefault="00882296">
      <w:pPr>
        <w:pStyle w:val="HStandard"/>
        <w:ind w:left="993" w:hanging="993"/>
        <w:rPr>
          <w:lang w:val="de-DE"/>
        </w:rPr>
      </w:pPr>
      <w:r>
        <w:rPr>
          <w:lang w:val="de-DE"/>
        </w:rPr>
        <w:t>NUTS</w:t>
      </w:r>
      <w:r>
        <w:rPr>
          <w:lang w:val="de-DE"/>
        </w:rPr>
        <w:tab/>
      </w:r>
      <w:r>
        <w:rPr>
          <w:lang w:val="de-DE"/>
        </w:rPr>
        <w:tab/>
        <w:t>Systematik der Gebietseinheiten für die Statistik</w:t>
      </w:r>
      <w:r>
        <w:rPr>
          <w:lang w:val="de-DE"/>
        </w:rPr>
        <w:tab/>
      </w:r>
    </w:p>
    <w:p w:rsidR="00B3609C" w:rsidRDefault="00882296">
      <w:pPr>
        <w:pStyle w:val="HStandard"/>
        <w:ind w:left="993" w:hanging="993"/>
        <w:rPr>
          <w:lang w:val="de-DE"/>
        </w:rPr>
      </w:pPr>
      <w:r>
        <w:rPr>
          <w:lang w:val="de-DE"/>
        </w:rPr>
        <w:t>PA</w:t>
      </w:r>
      <w:r>
        <w:rPr>
          <w:lang w:val="de-DE"/>
        </w:rPr>
        <w:tab/>
      </w:r>
      <w:r>
        <w:rPr>
          <w:lang w:val="de-DE"/>
        </w:rPr>
        <w:tab/>
        <w:t>Zahlstelle</w:t>
      </w:r>
    </w:p>
    <w:p w:rsidR="00B3609C" w:rsidRDefault="00882296">
      <w:pPr>
        <w:pStyle w:val="HStandard"/>
        <w:ind w:left="993" w:hanging="993"/>
        <w:rPr>
          <w:lang w:val="de-DE"/>
        </w:rPr>
      </w:pPr>
      <w:r>
        <w:rPr>
          <w:lang w:val="de-DE"/>
        </w:rPr>
        <w:t>PSEQ</w:t>
      </w:r>
      <w:r>
        <w:rPr>
          <w:lang w:val="de-DE"/>
        </w:rPr>
        <w:tab/>
      </w:r>
      <w:r>
        <w:rPr>
          <w:lang w:val="de-DE"/>
        </w:rPr>
        <w:tab/>
        <w:t>Programmspezifische Bewertungsfrage</w:t>
      </w:r>
    </w:p>
    <w:p w:rsidR="00B3609C" w:rsidRDefault="00882296">
      <w:pPr>
        <w:pStyle w:val="HStandard"/>
        <w:ind w:left="993" w:hanging="993"/>
        <w:rPr>
          <w:lang w:val="de-DE"/>
        </w:rPr>
      </w:pPr>
      <w:r>
        <w:rPr>
          <w:lang w:val="de-DE"/>
        </w:rPr>
        <w:t>PSM</w:t>
      </w:r>
      <w:r>
        <w:rPr>
          <w:lang w:val="de-DE"/>
        </w:rPr>
        <w:tab/>
      </w:r>
      <w:r>
        <w:rPr>
          <w:lang w:val="de-DE"/>
        </w:rPr>
        <w:tab/>
      </w:r>
      <w:proofErr w:type="spellStart"/>
      <w:r>
        <w:rPr>
          <w:lang w:val="de-DE"/>
        </w:rPr>
        <w:t>Propensity</w:t>
      </w:r>
      <w:proofErr w:type="spellEnd"/>
      <w:r>
        <w:rPr>
          <w:lang w:val="de-DE"/>
        </w:rPr>
        <w:t xml:space="preserve"> Score </w:t>
      </w:r>
      <w:proofErr w:type="spellStart"/>
      <w:r>
        <w:rPr>
          <w:lang w:val="de-DE"/>
        </w:rPr>
        <w:t>Matching</w:t>
      </w:r>
      <w:proofErr w:type="spellEnd"/>
    </w:p>
    <w:p w:rsidR="00B3609C" w:rsidRDefault="00882296">
      <w:pPr>
        <w:pStyle w:val="HStandard"/>
        <w:ind w:left="993" w:hanging="993"/>
        <w:rPr>
          <w:lang w:val="de-DE"/>
        </w:rPr>
      </w:pPr>
      <w:r>
        <w:rPr>
          <w:lang w:val="de-DE"/>
        </w:rPr>
        <w:lastRenderedPageBreak/>
        <w:t>R</w:t>
      </w:r>
      <w:r>
        <w:rPr>
          <w:lang w:val="de-DE"/>
        </w:rPr>
        <w:tab/>
      </w:r>
      <w:r>
        <w:rPr>
          <w:lang w:val="de-DE"/>
        </w:rPr>
        <w:tab/>
        <w:t>Ergebnisindikatoren</w:t>
      </w:r>
    </w:p>
    <w:p w:rsidR="00B3609C" w:rsidRDefault="00882296">
      <w:pPr>
        <w:pStyle w:val="HStandard"/>
        <w:ind w:left="993" w:hanging="993"/>
        <w:rPr>
          <w:lang w:val="de-DE"/>
        </w:rPr>
      </w:pPr>
      <w:r>
        <w:rPr>
          <w:lang w:val="de-DE"/>
        </w:rPr>
        <w:t>RBD</w:t>
      </w:r>
      <w:r>
        <w:rPr>
          <w:lang w:val="de-DE"/>
        </w:rPr>
        <w:tab/>
      </w:r>
      <w:r>
        <w:rPr>
          <w:lang w:val="de-DE"/>
        </w:rPr>
        <w:tab/>
        <w:t>Flussgebietseinheit</w:t>
      </w:r>
    </w:p>
    <w:p w:rsidR="00B3609C" w:rsidRDefault="00882296">
      <w:pPr>
        <w:pStyle w:val="HStandard"/>
        <w:ind w:left="993" w:hanging="993"/>
        <w:rPr>
          <w:lang w:val="de-DE"/>
        </w:rPr>
      </w:pPr>
      <w:r>
        <w:rPr>
          <w:lang w:val="de-DE"/>
        </w:rPr>
        <w:t>RDD</w:t>
      </w:r>
      <w:r>
        <w:rPr>
          <w:lang w:val="de-DE"/>
        </w:rPr>
        <w:tab/>
      </w:r>
      <w:r>
        <w:rPr>
          <w:lang w:val="de-DE"/>
        </w:rPr>
        <w:tab/>
        <w:t xml:space="preserve">Regressions-Diskontinuitäts-Analyse </w:t>
      </w:r>
    </w:p>
    <w:p w:rsidR="00B3609C" w:rsidRDefault="00882296">
      <w:pPr>
        <w:pStyle w:val="HStandard"/>
        <w:ind w:left="993" w:hanging="993"/>
        <w:rPr>
          <w:lang w:val="de-DE"/>
        </w:rPr>
      </w:pPr>
      <w:r>
        <w:rPr>
          <w:lang w:val="de-DE"/>
        </w:rPr>
        <w:t>REP</w:t>
      </w:r>
      <w:r>
        <w:rPr>
          <w:lang w:val="de-DE"/>
        </w:rPr>
        <w:tab/>
      </w:r>
      <w:r>
        <w:rPr>
          <w:lang w:val="de-DE"/>
        </w:rPr>
        <w:tab/>
        <w:t>Programm zur Entwicklung des ländlichen Raums</w:t>
      </w:r>
    </w:p>
    <w:p w:rsidR="00B3609C" w:rsidRDefault="00882296">
      <w:pPr>
        <w:pStyle w:val="HStandard"/>
        <w:ind w:left="993" w:hanging="993"/>
        <w:rPr>
          <w:lang w:val="de-DE"/>
        </w:rPr>
      </w:pPr>
      <w:r>
        <w:rPr>
          <w:lang w:val="de-DE"/>
        </w:rPr>
        <w:t>RUSLE</w:t>
      </w:r>
      <w:r>
        <w:rPr>
          <w:lang w:val="de-DE"/>
        </w:rPr>
        <w:tab/>
      </w:r>
      <w:r>
        <w:rPr>
          <w:lang w:val="de-DE"/>
        </w:rPr>
        <w:tab/>
      </w:r>
      <w:proofErr w:type="gramStart"/>
      <w:r>
        <w:rPr>
          <w:lang w:val="de-DE"/>
        </w:rPr>
        <w:t>Angepasste</w:t>
      </w:r>
      <w:proofErr w:type="gramEnd"/>
      <w:r>
        <w:rPr>
          <w:lang w:val="de-DE"/>
        </w:rPr>
        <w:t xml:space="preserve"> allgemeine </w:t>
      </w:r>
      <w:proofErr w:type="spellStart"/>
      <w:r>
        <w:rPr>
          <w:lang w:val="de-DE"/>
        </w:rPr>
        <w:t>Bodenabtragsgleichung</w:t>
      </w:r>
      <w:proofErr w:type="spellEnd"/>
    </w:p>
    <w:p w:rsidR="00B3609C" w:rsidRDefault="00882296">
      <w:pPr>
        <w:pStyle w:val="HStandard"/>
        <w:ind w:left="993" w:hanging="993"/>
        <w:rPr>
          <w:lang w:val="de-DE"/>
        </w:rPr>
      </w:pPr>
      <w:r>
        <w:rPr>
          <w:lang w:val="de-DE"/>
        </w:rPr>
        <w:t>SAPM</w:t>
      </w:r>
      <w:r>
        <w:rPr>
          <w:lang w:val="de-DE"/>
        </w:rPr>
        <w:tab/>
      </w:r>
      <w:r>
        <w:rPr>
          <w:lang w:val="de-DE"/>
        </w:rPr>
        <w:tab/>
        <w:t>Erhebung über landwirtschaftliche Produktionsmethoden</w:t>
      </w:r>
    </w:p>
    <w:p w:rsidR="00B3609C" w:rsidRDefault="00882296">
      <w:pPr>
        <w:pStyle w:val="HStandard"/>
        <w:ind w:left="993" w:hanging="993"/>
        <w:rPr>
          <w:lang w:val="de-DE"/>
        </w:rPr>
      </w:pPr>
      <w:r>
        <w:rPr>
          <w:lang w:val="de-DE"/>
        </w:rPr>
        <w:t>SAM</w:t>
      </w:r>
      <w:r>
        <w:rPr>
          <w:lang w:val="de-DE"/>
        </w:rPr>
        <w:tab/>
      </w:r>
      <w:r>
        <w:rPr>
          <w:lang w:val="de-DE"/>
        </w:rPr>
        <w:tab/>
        <w:t>Sozialrechnungsmatrix</w:t>
      </w:r>
    </w:p>
    <w:p w:rsidR="00B3609C" w:rsidRDefault="00882296">
      <w:pPr>
        <w:pStyle w:val="HStandard"/>
        <w:ind w:left="993" w:hanging="993"/>
        <w:rPr>
          <w:lang w:val="de-DE"/>
        </w:rPr>
      </w:pPr>
      <w:r>
        <w:rPr>
          <w:lang w:val="de-DE"/>
        </w:rPr>
        <w:t>SEBI</w:t>
      </w:r>
      <w:r>
        <w:rPr>
          <w:lang w:val="de-DE"/>
        </w:rPr>
        <w:tab/>
      </w:r>
      <w:r>
        <w:rPr>
          <w:lang w:val="de-DE"/>
        </w:rPr>
        <w:tab/>
        <w:t>Vereinfachung der europäischen Biodiversitätsindikatoren</w:t>
      </w:r>
    </w:p>
    <w:p w:rsidR="00B3609C" w:rsidRDefault="00882296">
      <w:pPr>
        <w:pStyle w:val="HStandard"/>
        <w:ind w:left="993" w:hanging="993"/>
        <w:rPr>
          <w:lang w:val="de-DE"/>
        </w:rPr>
      </w:pPr>
      <w:r>
        <w:rPr>
          <w:lang w:val="de-DE"/>
        </w:rPr>
        <w:t>SFC</w:t>
      </w:r>
      <w:r>
        <w:rPr>
          <w:lang w:val="de-DE"/>
        </w:rPr>
        <w:tab/>
      </w:r>
      <w:r>
        <w:rPr>
          <w:lang w:val="de-DE"/>
        </w:rPr>
        <w:tab/>
      </w:r>
      <w:proofErr w:type="gramStart"/>
      <w:r>
        <w:rPr>
          <w:lang w:val="de-DE"/>
        </w:rPr>
        <w:t>Gemeinsames</w:t>
      </w:r>
      <w:proofErr w:type="gramEnd"/>
      <w:r>
        <w:rPr>
          <w:lang w:val="de-DE"/>
        </w:rPr>
        <w:t xml:space="preserve"> System für die geteilte Mittelverwaltung</w:t>
      </w:r>
    </w:p>
    <w:p w:rsidR="00B3609C" w:rsidRDefault="00882296">
      <w:pPr>
        <w:pStyle w:val="HStandard"/>
        <w:ind w:left="993" w:hanging="993"/>
        <w:rPr>
          <w:lang w:val="de-DE"/>
        </w:rPr>
      </w:pPr>
      <w:r>
        <w:rPr>
          <w:lang w:val="de-DE"/>
        </w:rPr>
        <w:t>SOC</w:t>
      </w:r>
      <w:r>
        <w:rPr>
          <w:lang w:val="de-DE"/>
        </w:rPr>
        <w:tab/>
      </w:r>
      <w:r>
        <w:rPr>
          <w:lang w:val="de-DE"/>
        </w:rPr>
        <w:tab/>
      </w:r>
      <w:proofErr w:type="gramStart"/>
      <w:r>
        <w:rPr>
          <w:lang w:val="de-DE"/>
        </w:rPr>
        <w:t>Organischer</w:t>
      </w:r>
      <w:proofErr w:type="gramEnd"/>
      <w:r>
        <w:rPr>
          <w:lang w:val="de-DE"/>
        </w:rPr>
        <w:t xml:space="preserve"> Kohlenstoff im Boden</w:t>
      </w:r>
    </w:p>
    <w:p w:rsidR="00B3609C" w:rsidRDefault="00882296">
      <w:pPr>
        <w:pStyle w:val="HStandard"/>
        <w:ind w:left="993" w:hanging="993"/>
        <w:rPr>
          <w:lang w:val="de-DE"/>
        </w:rPr>
      </w:pPr>
      <w:r>
        <w:rPr>
          <w:lang w:val="de-DE"/>
        </w:rPr>
        <w:t>SOM</w:t>
      </w:r>
      <w:r>
        <w:rPr>
          <w:lang w:val="de-DE"/>
        </w:rPr>
        <w:tab/>
      </w:r>
      <w:r>
        <w:rPr>
          <w:lang w:val="de-DE"/>
        </w:rPr>
        <w:tab/>
      </w:r>
      <w:proofErr w:type="gramStart"/>
      <w:r>
        <w:rPr>
          <w:lang w:val="de-DE"/>
        </w:rPr>
        <w:t>Organisches</w:t>
      </w:r>
      <w:proofErr w:type="gramEnd"/>
      <w:r>
        <w:rPr>
          <w:lang w:val="de-DE"/>
        </w:rPr>
        <w:t xml:space="preserve"> Material im Boden </w:t>
      </w:r>
    </w:p>
    <w:p w:rsidR="00B3609C" w:rsidRDefault="00882296">
      <w:pPr>
        <w:pStyle w:val="HStandard"/>
        <w:ind w:left="993" w:hanging="993"/>
        <w:rPr>
          <w:lang w:val="de-DE"/>
        </w:rPr>
      </w:pPr>
      <w:r>
        <w:rPr>
          <w:lang w:val="de-DE"/>
        </w:rPr>
        <w:t>SWOT</w:t>
      </w:r>
      <w:r>
        <w:rPr>
          <w:lang w:val="de-DE"/>
        </w:rPr>
        <w:tab/>
      </w:r>
      <w:r>
        <w:rPr>
          <w:lang w:val="de-DE"/>
        </w:rPr>
        <w:tab/>
        <w:t>Stärken, Schwächen, Chancen, Risiken</w:t>
      </w:r>
    </w:p>
    <w:p w:rsidR="00B3609C" w:rsidRDefault="00882296">
      <w:pPr>
        <w:pStyle w:val="HStandard"/>
        <w:ind w:left="993" w:hanging="993"/>
        <w:rPr>
          <w:lang w:val="de-DE"/>
        </w:rPr>
      </w:pPr>
      <w:r>
        <w:rPr>
          <w:lang w:val="de-DE"/>
        </w:rPr>
        <w:t>T</w:t>
      </w:r>
      <w:r>
        <w:rPr>
          <w:lang w:val="de-DE"/>
        </w:rPr>
        <w:tab/>
      </w:r>
      <w:r>
        <w:rPr>
          <w:lang w:val="de-DE"/>
        </w:rPr>
        <w:tab/>
        <w:t>Zielindikator</w:t>
      </w:r>
    </w:p>
    <w:p w:rsidR="00B3609C" w:rsidRDefault="00882296">
      <w:pPr>
        <w:pStyle w:val="HStandard"/>
        <w:ind w:left="993" w:hanging="993"/>
        <w:rPr>
          <w:lang w:val="de-DE"/>
        </w:rPr>
      </w:pPr>
      <w:r>
        <w:rPr>
          <w:lang w:val="de-DE"/>
        </w:rPr>
        <w:t>TA</w:t>
      </w:r>
      <w:r>
        <w:rPr>
          <w:lang w:val="de-DE"/>
        </w:rPr>
        <w:tab/>
      </w:r>
      <w:r>
        <w:rPr>
          <w:lang w:val="de-DE"/>
        </w:rPr>
        <w:tab/>
      </w:r>
      <w:proofErr w:type="gramStart"/>
      <w:r>
        <w:rPr>
          <w:lang w:val="de-DE"/>
        </w:rPr>
        <w:t>Technische</w:t>
      </w:r>
      <w:proofErr w:type="gramEnd"/>
      <w:r>
        <w:rPr>
          <w:lang w:val="de-DE"/>
        </w:rPr>
        <w:t xml:space="preserve"> Hilfe</w:t>
      </w:r>
    </w:p>
    <w:p w:rsidR="00B3609C" w:rsidRDefault="00882296">
      <w:pPr>
        <w:pStyle w:val="HStandard"/>
        <w:ind w:left="993" w:hanging="993"/>
        <w:rPr>
          <w:lang w:val="de-DE"/>
        </w:rPr>
      </w:pPr>
      <w:r>
        <w:rPr>
          <w:lang w:val="de-DE"/>
        </w:rPr>
        <w:t>TBE</w:t>
      </w:r>
      <w:r>
        <w:rPr>
          <w:lang w:val="de-DE"/>
        </w:rPr>
        <w:tab/>
      </w:r>
      <w:r>
        <w:rPr>
          <w:lang w:val="de-DE"/>
        </w:rPr>
        <w:tab/>
        <w:t>Theoriebasierte Evaluierung</w:t>
      </w:r>
    </w:p>
    <w:p w:rsidR="00B3609C" w:rsidRDefault="00882296">
      <w:pPr>
        <w:pStyle w:val="HStandard"/>
        <w:ind w:left="993" w:hanging="993"/>
        <w:rPr>
          <w:lang w:val="de-DE"/>
        </w:rPr>
      </w:pPr>
      <w:proofErr w:type="spellStart"/>
      <w:r>
        <w:rPr>
          <w:lang w:val="de-DE"/>
        </w:rPr>
        <w:t>ToR</w:t>
      </w:r>
      <w:proofErr w:type="spellEnd"/>
      <w:r>
        <w:rPr>
          <w:lang w:val="de-DE"/>
        </w:rPr>
        <w:tab/>
      </w:r>
      <w:r>
        <w:rPr>
          <w:lang w:val="de-DE"/>
        </w:rPr>
        <w:tab/>
        <w:t>Mandat</w:t>
      </w:r>
    </w:p>
    <w:p w:rsidR="00B3609C" w:rsidRDefault="00882296">
      <w:pPr>
        <w:pStyle w:val="HStandard"/>
        <w:ind w:left="993" w:hanging="993"/>
        <w:rPr>
          <w:lang w:val="de-DE"/>
        </w:rPr>
      </w:pPr>
      <w:r>
        <w:rPr>
          <w:lang w:val="de-DE"/>
        </w:rPr>
        <w:t>TFP</w:t>
      </w:r>
      <w:r>
        <w:rPr>
          <w:lang w:val="de-DE"/>
        </w:rPr>
        <w:tab/>
      </w:r>
      <w:r>
        <w:rPr>
          <w:lang w:val="de-DE"/>
        </w:rPr>
        <w:tab/>
        <w:t>Totale Faktorproduktivität</w:t>
      </w:r>
    </w:p>
    <w:p w:rsidR="00B3609C" w:rsidRDefault="00882296">
      <w:pPr>
        <w:pStyle w:val="HStandard"/>
        <w:ind w:left="993" w:hanging="993"/>
        <w:rPr>
          <w:lang w:val="de-DE"/>
        </w:rPr>
      </w:pPr>
      <w:r>
        <w:rPr>
          <w:lang w:val="de-DE"/>
        </w:rPr>
        <w:t>UAA</w:t>
      </w:r>
      <w:r>
        <w:rPr>
          <w:lang w:val="de-DE"/>
        </w:rPr>
        <w:tab/>
      </w:r>
      <w:r>
        <w:rPr>
          <w:lang w:val="de-DE"/>
        </w:rPr>
        <w:tab/>
      </w:r>
      <w:proofErr w:type="gramStart"/>
      <w:r>
        <w:rPr>
          <w:lang w:val="de-DE"/>
        </w:rPr>
        <w:t>Landwirtschaftlich</w:t>
      </w:r>
      <w:proofErr w:type="gramEnd"/>
      <w:r>
        <w:rPr>
          <w:lang w:val="de-DE"/>
        </w:rPr>
        <w:t xml:space="preserve"> genutzte Fläche</w:t>
      </w:r>
    </w:p>
    <w:p w:rsidR="00B3609C" w:rsidRDefault="00882296">
      <w:pPr>
        <w:pStyle w:val="HStandard"/>
        <w:ind w:left="993" w:hanging="993"/>
        <w:rPr>
          <w:lang w:val="de-DE"/>
        </w:rPr>
      </w:pPr>
      <w:r>
        <w:rPr>
          <w:lang w:val="de-DE"/>
        </w:rPr>
        <w:t>WD</w:t>
      </w:r>
      <w:r>
        <w:rPr>
          <w:lang w:val="de-DE"/>
        </w:rPr>
        <w:tab/>
      </w:r>
      <w:r>
        <w:rPr>
          <w:lang w:val="de-DE"/>
        </w:rPr>
        <w:tab/>
        <w:t>Arbeitsunterlage</w:t>
      </w:r>
    </w:p>
    <w:p w:rsidR="00B3609C" w:rsidRDefault="00882296">
      <w:pPr>
        <w:pStyle w:val="HStandard"/>
        <w:ind w:left="993" w:hanging="993"/>
        <w:rPr>
          <w:lang w:val="de-DE"/>
        </w:rPr>
      </w:pPr>
      <w:r>
        <w:rPr>
          <w:lang w:val="de-DE"/>
        </w:rPr>
        <w:t>WRRL</w:t>
      </w:r>
      <w:r>
        <w:rPr>
          <w:lang w:val="de-DE"/>
        </w:rPr>
        <w:tab/>
      </w:r>
      <w:r>
        <w:rPr>
          <w:lang w:val="de-DE"/>
        </w:rPr>
        <w:tab/>
        <w:t>Wasserrahmenrichtlinie</w:t>
      </w:r>
    </w:p>
    <w:p w:rsidR="00B3609C" w:rsidRDefault="00B3609C">
      <w:pPr>
        <w:pStyle w:val="HStandard"/>
        <w:ind w:left="993" w:hanging="993"/>
        <w:rPr>
          <w:lang w:val="de-DE"/>
        </w:rPr>
        <w:sectPr w:rsidR="00B3609C">
          <w:headerReference w:type="default" r:id="rId14"/>
          <w:footerReference w:type="first" r:id="rId15"/>
          <w:pgSz w:w="11906" w:h="16838" w:code="9"/>
          <w:pgMar w:top="1440" w:right="1440" w:bottom="1134" w:left="1440" w:header="567" w:footer="737" w:gutter="0"/>
          <w:cols w:space="708"/>
          <w:titlePg/>
          <w:docGrid w:linePitch="360"/>
        </w:sectPr>
      </w:pPr>
    </w:p>
    <w:p w:rsidR="00B3609C" w:rsidRDefault="00882296">
      <w:pPr>
        <w:pStyle w:val="HHeading1"/>
        <w:rPr>
          <w:sz w:val="28"/>
          <w:lang w:val="de-DE"/>
        </w:rPr>
      </w:pPr>
      <w:r>
        <w:rPr>
          <w:bCs/>
          <w:sz w:val="28"/>
          <w:lang w:val="de-DE"/>
        </w:rPr>
        <w:lastRenderedPageBreak/>
        <w:t>DankSAGUNG</w:t>
      </w:r>
    </w:p>
    <w:p w:rsidR="00B3609C" w:rsidRDefault="00882296">
      <w:pPr>
        <w:spacing w:after="120" w:line="280" w:lineRule="atLeast"/>
        <w:rPr>
          <w:rFonts w:ascii="Calibri" w:hAnsi="Calibri"/>
          <w:i/>
          <w:iCs/>
          <w:color w:val="373737" w:themeColor="text1"/>
          <w:sz w:val="20"/>
          <w:szCs w:val="20"/>
          <w:lang w:val="de-DE"/>
        </w:rPr>
      </w:pPr>
      <w:r>
        <w:rPr>
          <w:i/>
          <w:iCs/>
          <w:color w:val="373737" w:themeColor="text1"/>
          <w:sz w:val="20"/>
          <w:szCs w:val="20"/>
          <w:lang w:val="de-DE"/>
        </w:rPr>
        <w:t xml:space="preserve">Diese Leitlinien wurden von einem internationalen Team aus Bewertungsexperten für ländliche Entwicklung erstellt. Dieses Team bestand aus Jerzy Michalek (sektorale Auswirkungen), Demetrios Psaltopoulos (sozioökonomische Auswirkungen), Marili </w:t>
      </w:r>
      <w:proofErr w:type="spellStart"/>
      <w:r>
        <w:rPr>
          <w:i/>
          <w:iCs/>
          <w:color w:val="373737" w:themeColor="text1"/>
          <w:sz w:val="20"/>
          <w:szCs w:val="20"/>
          <w:lang w:val="de-DE"/>
        </w:rPr>
        <w:t>Parisaki</w:t>
      </w:r>
      <w:proofErr w:type="spellEnd"/>
      <w:r>
        <w:rPr>
          <w:i/>
          <w:iCs/>
          <w:color w:val="373737" w:themeColor="text1"/>
          <w:sz w:val="20"/>
          <w:szCs w:val="20"/>
          <w:lang w:val="de-DE"/>
        </w:rPr>
        <w:t xml:space="preserve"> (qualitative Methoden), Tomáš Ratinger (sektorale Auswirkungen), Gerald Schwarz (Umweltauswirkungen), Dimitris </w:t>
      </w:r>
      <w:proofErr w:type="spellStart"/>
      <w:r>
        <w:rPr>
          <w:i/>
          <w:iCs/>
          <w:color w:val="373737" w:themeColor="text1"/>
          <w:sz w:val="20"/>
          <w:szCs w:val="20"/>
          <w:lang w:val="de-DE"/>
        </w:rPr>
        <w:t>Skuras</w:t>
      </w:r>
      <w:proofErr w:type="spellEnd"/>
      <w:r>
        <w:rPr>
          <w:i/>
          <w:iCs/>
          <w:color w:val="373737" w:themeColor="text1"/>
          <w:sz w:val="20"/>
          <w:szCs w:val="20"/>
          <w:lang w:val="de-DE"/>
        </w:rPr>
        <w:t xml:space="preserve"> (Umweltauswirkungen), Darko </w:t>
      </w:r>
      <w:proofErr w:type="spellStart"/>
      <w:r>
        <w:rPr>
          <w:i/>
          <w:iCs/>
          <w:color w:val="373737" w:themeColor="text1"/>
          <w:sz w:val="20"/>
          <w:szCs w:val="20"/>
          <w:lang w:val="de-DE"/>
        </w:rPr>
        <w:t>Znaor</w:t>
      </w:r>
      <w:proofErr w:type="spellEnd"/>
      <w:r>
        <w:rPr>
          <w:i/>
          <w:iCs/>
          <w:color w:val="373737" w:themeColor="text1"/>
          <w:sz w:val="20"/>
          <w:szCs w:val="20"/>
          <w:lang w:val="de-DE"/>
        </w:rPr>
        <w:t xml:space="preserve"> (Umweltauswirkungen). Die zugehörige thematische Arbeitsgruppe wurde unter der Leitung von Jela Tvrdonova und Hannes Wimmer vom Evaluierungs-Helpdesk koordiniert. Valérie Dumont, Myles Stiffler, Matteo Metta, Valdis Kudins und Harriet Mackaill-Hill unterstützten die Entwicklungsarbeit und waren für Qualitätssicherung und Optik der endgültigen Leitlinien verantwortlich.</w:t>
      </w:r>
    </w:p>
    <w:p w:rsidR="00B3609C" w:rsidRDefault="00882296">
      <w:pPr>
        <w:spacing w:after="120" w:line="280" w:lineRule="atLeast"/>
        <w:rPr>
          <w:i/>
          <w:iCs/>
          <w:color w:val="373737" w:themeColor="text1"/>
          <w:sz w:val="20"/>
          <w:szCs w:val="20"/>
          <w:lang w:val="de-DE"/>
        </w:rPr>
      </w:pPr>
      <w:r>
        <w:rPr>
          <w:i/>
          <w:iCs/>
          <w:color w:val="373737" w:themeColor="text1"/>
          <w:sz w:val="20"/>
          <w:szCs w:val="20"/>
          <w:lang w:val="de-DE"/>
        </w:rPr>
        <w:t xml:space="preserve">Verschiedene Experten wurden als Gutachter herangezogen (Rolf Bergs, Kit Macleod, </w:t>
      </w:r>
      <w:proofErr w:type="spellStart"/>
      <w:r>
        <w:rPr>
          <w:i/>
          <w:iCs/>
          <w:color w:val="373737" w:themeColor="text1"/>
          <w:sz w:val="20"/>
          <w:szCs w:val="20"/>
          <w:lang w:val="de-DE"/>
        </w:rPr>
        <w:t>Žymantas</w:t>
      </w:r>
      <w:proofErr w:type="spellEnd"/>
      <w:r>
        <w:rPr>
          <w:i/>
          <w:iCs/>
          <w:color w:val="373737" w:themeColor="text1"/>
          <w:sz w:val="20"/>
          <w:szCs w:val="20"/>
          <w:lang w:val="de-DE"/>
        </w:rPr>
        <w:t xml:space="preserve"> </w:t>
      </w:r>
      <w:proofErr w:type="spellStart"/>
      <w:r>
        <w:rPr>
          <w:i/>
          <w:iCs/>
          <w:color w:val="373737" w:themeColor="text1"/>
          <w:sz w:val="20"/>
          <w:szCs w:val="20"/>
          <w:lang w:val="de-DE"/>
        </w:rPr>
        <w:t>Morkvėnas</w:t>
      </w:r>
      <w:proofErr w:type="spellEnd"/>
      <w:r>
        <w:rPr>
          <w:i/>
          <w:iCs/>
          <w:color w:val="373737" w:themeColor="text1"/>
          <w:sz w:val="20"/>
          <w:szCs w:val="20"/>
          <w:lang w:val="de-DE"/>
        </w:rPr>
        <w:t>). Für die Kohärenz der Leitlinien mit dem politischen Rahmen der EU sorgten Vertreter der GD Landwirtschaft und ländliche Entwicklung.</w:t>
      </w:r>
    </w:p>
    <w:p w:rsidR="00B3609C" w:rsidRDefault="00882296">
      <w:pPr>
        <w:pStyle w:val="HStandard"/>
        <w:rPr>
          <w:lang w:val="de-DE"/>
        </w:rPr>
      </w:pPr>
      <w:r>
        <w:rPr>
          <w:i/>
          <w:iCs/>
          <w:lang w:val="de-DE"/>
        </w:rPr>
        <w:t>Vertreter der Mitgliedstaaten haben im Rahmen der Diskussionstreffen im Januar und April 2018 Stellungnahmen zu den Entwurfsfassungen der Leitlinien abgegeben. Im Juni 2018 gaben Mitglieder der Expertengruppe für die Begleitung und Bewertung der GAP eine Stellungnahme zum endgültigen Entwurf der Leitlinien ab. </w:t>
      </w:r>
    </w:p>
    <w:p w:rsidR="00B3609C" w:rsidRDefault="00B3609C">
      <w:pPr>
        <w:pStyle w:val="HStandard"/>
        <w:rPr>
          <w:lang w:val="de-DE"/>
        </w:rPr>
      </w:pPr>
    </w:p>
    <w:p w:rsidR="00B3609C" w:rsidRDefault="00882296">
      <w:pPr>
        <w:pStyle w:val="HHeading1"/>
        <w:rPr>
          <w:sz w:val="28"/>
          <w:lang w:val="de-DE"/>
        </w:rPr>
      </w:pPr>
      <w:r>
        <w:rPr>
          <w:bCs/>
          <w:sz w:val="28"/>
          <w:lang w:val="de-DE"/>
        </w:rPr>
        <w:lastRenderedPageBreak/>
        <w:t>EINLEITUNG</w:t>
      </w:r>
    </w:p>
    <w:p w:rsidR="00B3609C" w:rsidRDefault="00882296">
      <w:pPr>
        <w:pStyle w:val="HHeading4"/>
        <w:rPr>
          <w:lang w:val="de-DE"/>
        </w:rPr>
      </w:pPr>
      <w:r>
        <w:rPr>
          <w:bCs/>
          <w:lang w:val="de-DE"/>
        </w:rPr>
        <w:t>Bedeutung der Bewertung</w:t>
      </w:r>
    </w:p>
    <w:p w:rsidR="00B3609C" w:rsidRDefault="00882296">
      <w:pPr>
        <w:pStyle w:val="HStandard"/>
        <w:rPr>
          <w:lang w:val="de-DE"/>
        </w:rPr>
      </w:pPr>
      <w:r>
        <w:rPr>
          <w:lang w:val="de-DE"/>
        </w:rPr>
        <w:t xml:space="preserve">Die Europäischen Struktur- und Investitionsfonds (ESIF) sind wichtige </w:t>
      </w:r>
      <w:r>
        <w:rPr>
          <w:b/>
          <w:bCs/>
          <w:lang w:val="de-DE"/>
        </w:rPr>
        <w:t>öffentliche Instrumente</w:t>
      </w:r>
      <w:r>
        <w:rPr>
          <w:lang w:val="de-DE"/>
        </w:rPr>
        <w:t xml:space="preserve"> zur Förderung von Maßnahmen, die mit den Schlüsselprioritäten der Union verknüpft sind und die im Rahmen von Mehrjahresprogrammen in den Mitgliedstaaten und Regionen umgesetzt werden. Daher liegt es im Interesse der politischen Entscheidungsträger und der Öffentlichkeit, zu erfahren, ob das Geld verantwortungsbewusst eingesetzt wurde, ob die Projekte zu den erwarteten Ergebnissen führen und ob sich die Interventionen an die richtigen Begünstigten richten, um die Ziele der EU-Politik zu erreichen. </w:t>
      </w:r>
    </w:p>
    <w:p w:rsidR="00B3609C" w:rsidRDefault="00882296">
      <w:pPr>
        <w:pStyle w:val="HStandard"/>
        <w:rPr>
          <w:lang w:val="de-DE"/>
        </w:rPr>
      </w:pPr>
      <w:r>
        <w:rPr>
          <w:lang w:val="de-DE"/>
        </w:rPr>
        <w:t xml:space="preserve">Die </w:t>
      </w:r>
      <w:r>
        <w:rPr>
          <w:b/>
          <w:bCs/>
          <w:lang w:val="de-DE"/>
        </w:rPr>
        <w:t>Bewertung</w:t>
      </w:r>
      <w:r>
        <w:rPr>
          <w:lang w:val="de-DE"/>
        </w:rPr>
        <w:t xml:space="preserve"> ist ein Werkzeug zur Messung der Wirksamkeit und Effizienz, der Ergebnisse und Auswirkungen</w:t>
      </w:r>
      <w:r>
        <w:rPr>
          <w:rStyle w:val="FootnoteReference"/>
          <w:iCs/>
          <w:lang w:val="de-DE"/>
        </w:rPr>
        <w:footnoteReference w:id="1"/>
      </w:r>
      <w:r>
        <w:rPr>
          <w:lang w:val="de-DE"/>
        </w:rPr>
        <w:t xml:space="preserve">, der Relevanz, der Kohärenz und des EU-Mehrwerts der politischen Maßnahmen, um die Rechenschaftspflicht und Transparenz zu sichern und um letztlich die Gestaltung der Maßnahmen zu verbessern. Im Kontext der ländlichen Entwicklung gibt es im </w:t>
      </w:r>
      <w:r>
        <w:rPr>
          <w:b/>
          <w:bCs/>
          <w:lang w:val="de-DE"/>
        </w:rPr>
        <w:t>Programmplanungszeitraum 2014–2020</w:t>
      </w:r>
      <w:r>
        <w:rPr>
          <w:lang w:val="de-DE"/>
        </w:rPr>
        <w:t xml:space="preserve"> zwei Bewertungsmeilensteine. Im Jahr 2017 bewerten die Interessenträger zunächst die Ergebnisse der politischen Maßnahmen, während im Jahr 2019 sowohl die Ergebnisse als auch die Auswirkungen der Maßnahmen gemessen werden. Zusätzlich wird </w:t>
      </w:r>
      <w:r>
        <w:rPr>
          <w:b/>
          <w:bCs/>
          <w:lang w:val="de-DE"/>
        </w:rPr>
        <w:t>nach Ablauf des Programmplanungszeitraums</w:t>
      </w:r>
      <w:r>
        <w:rPr>
          <w:lang w:val="de-DE"/>
        </w:rPr>
        <w:t xml:space="preserve"> eine Ex-post-Bewertung durchgeführt.</w:t>
      </w:r>
      <w:r>
        <w:rPr>
          <w:b/>
          <w:bCs/>
          <w:lang w:val="de-DE"/>
        </w:rPr>
        <w:t xml:space="preserve"> </w:t>
      </w:r>
    </w:p>
    <w:p w:rsidR="00B3609C" w:rsidRDefault="00882296">
      <w:pPr>
        <w:pStyle w:val="HHeading4"/>
        <w:rPr>
          <w:lang w:val="de-DE"/>
        </w:rPr>
      </w:pPr>
      <w:r>
        <w:rPr>
          <w:bCs/>
          <w:lang w:val="de-DE"/>
        </w:rPr>
        <w:t xml:space="preserve">Zweck der Leitlinien </w:t>
      </w:r>
    </w:p>
    <w:p w:rsidR="00B3609C" w:rsidRDefault="00882296">
      <w:pPr>
        <w:pStyle w:val="HStandard"/>
        <w:rPr>
          <w:lang w:val="de-DE"/>
        </w:rPr>
      </w:pPr>
      <w:r>
        <w:rPr>
          <w:lang w:val="de-DE"/>
        </w:rPr>
        <w:t>Der Rechtsrahmen sieht vor, dass die Mitgliedstaaten im Jahr 2019 darüber Bericht erstatten, inwieweit die Ziele des Programms zur Entwicklung des ländlichen Raums erreicht und welche Beiträge zur EU-Strategie für intelligentes, nachhaltiges und integratives Wachstum geleistet wurden. Dies geschieht durch die 2019 einzureichenden jährlichen Durchführungsberichte. Die Bewertungen sollten den Nettobeitrag des Programmes zu Änderungen der GAP-Wirkungsindikatorwerte ermitteln und Antworten auf die Bewertungsfragen liefern.</w:t>
      </w:r>
      <w:r>
        <w:rPr>
          <w:rStyle w:val="FootnoteReference"/>
          <w:rFonts w:cs="Arial"/>
          <w:iCs/>
          <w:lang w:val="de-DE"/>
        </w:rPr>
        <w:footnoteReference w:id="2"/>
      </w:r>
      <w:r>
        <w:rPr>
          <w:lang w:val="de-DE"/>
        </w:rPr>
        <w:t xml:space="preserve"> </w:t>
      </w:r>
    </w:p>
    <w:p w:rsidR="00B3609C" w:rsidRDefault="00882296">
      <w:pPr>
        <w:pStyle w:val="HStandard"/>
        <w:rPr>
          <w:lang w:val="de-DE"/>
        </w:rPr>
      </w:pPr>
      <w:r>
        <w:rPr>
          <w:lang w:val="de-DE"/>
        </w:rPr>
        <w:t xml:space="preserve">Ziel dieser Leitlinien ist es, die </w:t>
      </w:r>
      <w:r>
        <w:rPr>
          <w:b/>
          <w:bCs/>
          <w:lang w:val="de-DE"/>
        </w:rPr>
        <w:t>Herausforderungen</w:t>
      </w:r>
      <w:r>
        <w:rPr>
          <w:lang w:val="de-DE"/>
        </w:rPr>
        <w:t xml:space="preserve"> im Zusammenhang mit den Bewertungstätigkeiten für den jährlichen Durchführungsbericht 2019 zu </w:t>
      </w:r>
      <w:r>
        <w:rPr>
          <w:b/>
          <w:bCs/>
          <w:lang w:val="de-DE"/>
        </w:rPr>
        <w:t>untersuchen</w:t>
      </w:r>
      <w:r>
        <w:rPr>
          <w:lang w:val="de-DE"/>
        </w:rPr>
        <w:t xml:space="preserve">, </w:t>
      </w:r>
      <w:r>
        <w:rPr>
          <w:b/>
          <w:bCs/>
          <w:lang w:val="de-DE"/>
        </w:rPr>
        <w:t>praktische Ansätze</w:t>
      </w:r>
      <w:r>
        <w:rPr>
          <w:lang w:val="de-DE"/>
        </w:rPr>
        <w:t xml:space="preserve"> zur Schätzung der Nettobeiträge des Programms zur Entwicklung des ländlichen Raums zu den allgemeinen GAP-Wirkungsindikatoren </w:t>
      </w:r>
      <w:r>
        <w:rPr>
          <w:b/>
          <w:bCs/>
          <w:lang w:val="de-DE"/>
        </w:rPr>
        <w:t>vorzustellen</w:t>
      </w:r>
      <w:r>
        <w:rPr>
          <w:lang w:val="de-DE"/>
        </w:rPr>
        <w:t xml:space="preserve"> und den Fortschritt bei der Erreichung der Ziele auf EU-Ebene zu bewerten sowie </w:t>
      </w:r>
      <w:r>
        <w:rPr>
          <w:b/>
          <w:bCs/>
          <w:lang w:val="de-DE"/>
        </w:rPr>
        <w:t>Unterstützung bei der Beantwortung</w:t>
      </w:r>
      <w:r>
        <w:rPr>
          <w:lang w:val="de-DE"/>
        </w:rPr>
        <w:t xml:space="preserve"> der gemeinsamen Bewertungsfragen (CEQ) 22–30 und der Meldung der Ergebnisse der Bewertung an die Europäische Kommission in den 2019 einzureichenden jährlichen Durchführungsberichten zu </w:t>
      </w:r>
      <w:r>
        <w:rPr>
          <w:b/>
          <w:bCs/>
          <w:lang w:val="de-DE"/>
        </w:rPr>
        <w:t>bieten</w:t>
      </w:r>
      <w:r>
        <w:rPr>
          <w:lang w:val="de-DE"/>
        </w:rPr>
        <w:t>.</w:t>
      </w:r>
    </w:p>
    <w:p w:rsidR="00B3609C" w:rsidRDefault="00882296">
      <w:pPr>
        <w:pStyle w:val="HHeading4"/>
        <w:rPr>
          <w:lang w:val="de-DE"/>
        </w:rPr>
      </w:pPr>
      <w:r>
        <w:rPr>
          <w:bCs/>
          <w:lang w:val="de-DE"/>
        </w:rPr>
        <w:t xml:space="preserve">Struktur und Inhalt der Leitlinien </w:t>
      </w:r>
    </w:p>
    <w:p w:rsidR="00B3609C" w:rsidRDefault="00882296">
      <w:pPr>
        <w:pStyle w:val="HStandard"/>
        <w:rPr>
          <w:lang w:val="de-DE"/>
        </w:rPr>
      </w:pPr>
      <w:r>
        <w:rPr>
          <w:lang w:val="de-DE"/>
        </w:rPr>
        <w:t xml:space="preserve">Die </w:t>
      </w:r>
      <w:r>
        <w:rPr>
          <w:b/>
          <w:bCs/>
          <w:lang w:val="de-DE"/>
        </w:rPr>
        <w:t>NICHT VERBINDLICHEN Leitlinien</w:t>
      </w:r>
      <w:r>
        <w:rPr>
          <w:lang w:val="de-DE"/>
        </w:rPr>
        <w:t xml:space="preserve"> </w:t>
      </w:r>
      <w:r>
        <w:rPr>
          <w:i/>
          <w:iCs/>
          <w:lang w:val="de-DE"/>
        </w:rPr>
        <w:t>Bewertung der Erfolge und Auswirkungen des Programms zur Entwicklung des ländlichen Raums 2019</w:t>
      </w:r>
      <w:r>
        <w:rPr>
          <w:lang w:val="de-DE"/>
        </w:rPr>
        <w:t xml:space="preserve"> decken Folgendes ab: </w:t>
      </w:r>
    </w:p>
    <w:p w:rsidR="00B3609C" w:rsidRDefault="00882296">
      <w:pPr>
        <w:pStyle w:val="Hlistbullet"/>
        <w:numPr>
          <w:ilvl w:val="0"/>
          <w:numId w:val="3"/>
        </w:numPr>
        <w:spacing w:line="276" w:lineRule="auto"/>
        <w:ind w:left="600" w:hanging="600"/>
        <w:rPr>
          <w:lang w:val="de-DE"/>
        </w:rPr>
      </w:pPr>
      <w:r>
        <w:rPr>
          <w:b/>
          <w:bCs/>
          <w:color w:val="F07E31" w:themeColor="accent1"/>
          <w:lang w:val="de-DE"/>
        </w:rPr>
        <w:t>TEIL I</w:t>
      </w:r>
      <w:r>
        <w:rPr>
          <w:lang w:val="de-DE"/>
        </w:rPr>
        <w:t xml:space="preserve"> </w:t>
      </w:r>
      <w:r>
        <w:rPr>
          <w:b/>
          <w:bCs/>
          <w:color w:val="F07E31" w:themeColor="accent1"/>
          <w:lang w:val="de-DE"/>
        </w:rPr>
        <w:t xml:space="preserve">(hauptsächlich für Verwaltungsbehörden): </w:t>
      </w:r>
      <w:r>
        <w:rPr>
          <w:lang w:val="de-DE"/>
        </w:rPr>
        <w:t xml:space="preserve">Informationen zu den rechtlichen Vorschriften und Vorgaben für die Berichterstattung zu den CEQ 22–30 im Jahr 2019. Teil I enthält Verweise auf andere bestehende Leitfäden. </w:t>
      </w:r>
    </w:p>
    <w:p w:rsidR="00B3609C" w:rsidRDefault="00882296">
      <w:pPr>
        <w:pStyle w:val="Hlistbullet"/>
        <w:numPr>
          <w:ilvl w:val="0"/>
          <w:numId w:val="3"/>
        </w:numPr>
        <w:spacing w:line="276" w:lineRule="auto"/>
        <w:ind w:left="600" w:hanging="600"/>
        <w:rPr>
          <w:lang w:val="de-DE"/>
        </w:rPr>
      </w:pPr>
      <w:r>
        <w:rPr>
          <w:b/>
          <w:bCs/>
          <w:color w:val="F07E31" w:themeColor="accent1"/>
          <w:lang w:val="de-DE"/>
        </w:rPr>
        <w:t>TEIL II</w:t>
      </w:r>
      <w:r>
        <w:rPr>
          <w:lang w:val="de-DE"/>
        </w:rPr>
        <w:t xml:space="preserve"> </w:t>
      </w:r>
      <w:r>
        <w:rPr>
          <w:b/>
          <w:bCs/>
          <w:color w:val="F07E31" w:themeColor="accent1"/>
          <w:lang w:val="de-DE"/>
        </w:rPr>
        <w:t>(hauptsächlich für Bewerter):</w:t>
      </w:r>
      <w:r>
        <w:rPr>
          <w:lang w:val="de-DE"/>
        </w:rPr>
        <w:t xml:space="preserve"> Methodische Unterstützung für die Bewertung der gemeinsamen Wirkungsindikatoren der zweiten Säule (sektorale, umweltbezogene und sozioökonomische Auswirkungen). In diesem Teil werden die Interventionslogik, die Verwendung zusätzlicher Bewertungselemente, die Datenanforderungen und die </w:t>
      </w:r>
      <w:r>
        <w:rPr>
          <w:lang w:val="de-DE"/>
        </w:rPr>
        <w:lastRenderedPageBreak/>
        <w:t xml:space="preserve">Bewertungseinheiten erläutert. Dem Leser wird gezeigt, was bei der Auswahl des Bewertungsansatzes zu beachten ist, um die Beiträge des Programms zur Entwicklung des ländlichen Raums zu den GAP-Wirkungsindikatorwerten herauszuarbeiten. Darüber hinaus enthält Teil II Vorschläge zur Bewertung der Beiträge des Programms zur Entwicklung des ländlichen Raums für die Erreichung der Strategie Europa 2020 und für die Steigerung der Innovationsfähigkeit. </w:t>
      </w:r>
    </w:p>
    <w:p w:rsidR="00B3609C" w:rsidRDefault="00882296">
      <w:pPr>
        <w:pStyle w:val="Hlistbullet"/>
        <w:numPr>
          <w:ilvl w:val="0"/>
          <w:numId w:val="3"/>
        </w:numPr>
        <w:spacing w:line="276" w:lineRule="auto"/>
        <w:ind w:left="600" w:hanging="600"/>
        <w:rPr>
          <w:lang w:val="de-DE"/>
        </w:rPr>
      </w:pPr>
      <w:r>
        <w:rPr>
          <w:b/>
          <w:bCs/>
          <w:color w:val="F07E31" w:themeColor="accent1"/>
          <w:lang w:val="de-DE"/>
        </w:rPr>
        <w:t>TEIL III:</w:t>
      </w:r>
      <w:r>
        <w:rPr>
          <w:color w:val="F07E31" w:themeColor="accent1"/>
          <w:lang w:val="de-DE"/>
        </w:rPr>
        <w:t xml:space="preserve"> </w:t>
      </w:r>
      <w:r>
        <w:rPr>
          <w:lang w:val="de-DE"/>
        </w:rPr>
        <w:t>Enthält die Datenblätter für die Beantwortung der CEQ 22–30.</w:t>
      </w:r>
    </w:p>
    <w:p w:rsidR="00B3609C" w:rsidRDefault="0080587B">
      <w:pPr>
        <w:pStyle w:val="Hlistbullet"/>
        <w:numPr>
          <w:ilvl w:val="0"/>
          <w:numId w:val="3"/>
        </w:numPr>
        <w:spacing w:line="276" w:lineRule="auto"/>
        <w:ind w:left="600" w:hanging="600"/>
        <w:rPr>
          <w:lang w:val="de-DE"/>
        </w:rPr>
      </w:pPr>
      <w:r>
        <w:rPr>
          <w:b/>
          <w:bCs/>
          <w:color w:val="F07E31" w:themeColor="accent1"/>
          <w:lang w:val="de-DE"/>
        </w:rPr>
        <w:t>TEIL IV</w:t>
      </w:r>
      <w:r w:rsidR="00882296">
        <w:rPr>
          <w:b/>
          <w:bCs/>
          <w:color w:val="F07E31" w:themeColor="accent1"/>
          <w:lang w:val="de-DE"/>
        </w:rPr>
        <w:t xml:space="preserve">: </w:t>
      </w:r>
      <w:r w:rsidR="00882296">
        <w:rPr>
          <w:lang w:val="de-DE"/>
        </w:rPr>
        <w:t xml:space="preserve">Enthält den technischen Anhang mit detaillierten Informationen zu den Ansätzen für die Bewertung der GAP-Wirkungsindikatoren sowie das Glossar. </w:t>
      </w:r>
    </w:p>
    <w:p w:rsidR="00B3609C" w:rsidRDefault="00882296">
      <w:pPr>
        <w:pStyle w:val="HHeading1"/>
        <w:numPr>
          <w:ilvl w:val="0"/>
          <w:numId w:val="4"/>
        </w:numPr>
        <w:tabs>
          <w:tab w:val="clear" w:pos="567"/>
        </w:tabs>
        <w:ind w:left="567" w:hanging="567"/>
        <w:rPr>
          <w:sz w:val="28"/>
          <w:lang w:val="de-DE"/>
        </w:rPr>
      </w:pPr>
      <w:r>
        <w:rPr>
          <w:bCs/>
          <w:sz w:val="28"/>
          <w:lang w:val="de-DE"/>
        </w:rPr>
        <w:lastRenderedPageBreak/>
        <w:t xml:space="preserve">Welche Bewertungen müssen in den jährlichen Durchführungsbericht für 2019 </w:t>
      </w:r>
      <w:proofErr w:type="spellStart"/>
      <w:proofErr w:type="gramStart"/>
      <w:r>
        <w:rPr>
          <w:bCs/>
          <w:sz w:val="28"/>
          <w:lang w:val="de-DE"/>
        </w:rPr>
        <w:t>einfließen</w:t>
      </w:r>
      <w:proofErr w:type="spellEnd"/>
      <w:proofErr w:type="gramEnd"/>
      <w:r>
        <w:rPr>
          <w:bCs/>
          <w:sz w:val="28"/>
          <w:lang w:val="de-DE"/>
        </w:rPr>
        <w:t>? (Teil I)</w:t>
      </w:r>
    </w:p>
    <w:p w:rsidR="00B3609C" w:rsidRDefault="00882296">
      <w:pPr>
        <w:pStyle w:val="Heading2"/>
        <w:tabs>
          <w:tab w:val="left" w:pos="600"/>
        </w:tabs>
        <w:ind w:left="600" w:hanging="600"/>
        <w:rPr>
          <w:lang w:val="de-DE"/>
        </w:rPr>
      </w:pPr>
      <w:r>
        <w:rPr>
          <w:lang w:val="de-DE"/>
        </w:rPr>
        <w:t xml:space="preserve">Rechtsrahmen und Hauptschwerpunkt der Bewertung 2019 </w:t>
      </w:r>
    </w:p>
    <w:p w:rsidR="00B3609C" w:rsidRDefault="00882296">
      <w:pPr>
        <w:pStyle w:val="HStandard"/>
        <w:rPr>
          <w:lang w:val="de-DE"/>
        </w:rPr>
      </w:pPr>
      <w:r>
        <w:rPr>
          <w:lang w:val="de-DE"/>
        </w:rPr>
        <w:t>Ab Juni 2016 reichen die Mitgliedstaaten bis 2024</w:t>
      </w:r>
      <w:r>
        <w:rPr>
          <w:rStyle w:val="FootnoteReference"/>
          <w:rFonts w:cs="Arial"/>
          <w:iCs/>
          <w:lang w:val="de-DE"/>
        </w:rPr>
        <w:footnoteReference w:id="3"/>
      </w:r>
      <w:r>
        <w:rPr>
          <w:lang w:val="de-DE"/>
        </w:rPr>
        <w:t xml:space="preserve"> jedes Jahr einen jährlichen Durchführungsbericht bei der Europäischen Kommission ein. Der jährliche Durchführungsbericht enthält Informationen zur Durchführung des Programms zur Entwicklung des ländlichen Raums sowie Informationen zu den Fortschritten bei der Umsetzung des Bewertungsplans</w:t>
      </w:r>
      <w:r>
        <w:rPr>
          <w:rStyle w:val="FootnoteReference"/>
          <w:rFonts w:cs="Arial"/>
          <w:iCs/>
          <w:lang w:val="de-DE"/>
        </w:rPr>
        <w:footnoteReference w:id="4"/>
      </w:r>
      <w:r>
        <w:rPr>
          <w:lang w:val="de-DE"/>
        </w:rPr>
        <w:t xml:space="preserve">. </w:t>
      </w:r>
    </w:p>
    <w:p w:rsidR="00B3609C" w:rsidRDefault="00882296">
      <w:pPr>
        <w:pStyle w:val="HStandard"/>
        <w:rPr>
          <w:lang w:val="de-DE"/>
        </w:rPr>
      </w:pPr>
      <w:r>
        <w:rPr>
          <w:lang w:val="de-DE"/>
        </w:rPr>
        <w:t xml:space="preserve">Der </w:t>
      </w:r>
      <w:r>
        <w:rPr>
          <w:b/>
          <w:bCs/>
          <w:lang w:val="de-DE"/>
        </w:rPr>
        <w:t>jährliche Durchführungsbericht 2017</w:t>
      </w:r>
      <w:r>
        <w:rPr>
          <w:lang w:val="de-DE"/>
        </w:rPr>
        <w:t xml:space="preserve"> umfasste die Quantifizierung der Erfolge des Programms (durch die Bewertung der Ergebnisindikatoren, einschließlich der ergänzenden Ergebnisindikatoren). Zur Auswertung der Ergebnisindikatoren und zur Beantwortung der CEQ</w:t>
      </w:r>
      <w:r>
        <w:rPr>
          <w:rStyle w:val="FootnoteReference"/>
          <w:rFonts w:cs="Arial"/>
          <w:iCs/>
          <w:lang w:val="de-DE"/>
        </w:rPr>
        <w:footnoteReference w:id="5"/>
      </w:r>
      <w:r>
        <w:rPr>
          <w:lang w:val="de-DE"/>
        </w:rPr>
        <w:t xml:space="preserve"> 1–21 wurden Beurteilungskriterien herangezogen. Die </w:t>
      </w:r>
      <w:r>
        <w:rPr>
          <w:i/>
          <w:iCs/>
          <w:lang w:val="de-DE"/>
        </w:rPr>
        <w:t xml:space="preserve">Leitlinien </w:t>
      </w:r>
      <w:hyperlink r:id="rId16" w:history="1">
        <w:r>
          <w:rPr>
            <w:rStyle w:val="Hyperlink"/>
            <w:i/>
            <w:iCs/>
            <w:lang w:val="de-DE"/>
          </w:rPr>
          <w:t xml:space="preserve">Assessment </w:t>
        </w:r>
        <w:proofErr w:type="spellStart"/>
        <w:r>
          <w:rPr>
            <w:rStyle w:val="Hyperlink"/>
            <w:i/>
            <w:iCs/>
            <w:lang w:val="de-DE"/>
          </w:rPr>
          <w:t>of</w:t>
        </w:r>
        <w:proofErr w:type="spellEnd"/>
        <w:r>
          <w:rPr>
            <w:rStyle w:val="Hyperlink"/>
            <w:i/>
            <w:iCs/>
            <w:lang w:val="de-DE"/>
          </w:rPr>
          <w:t xml:space="preserve"> RDP </w:t>
        </w:r>
        <w:proofErr w:type="spellStart"/>
        <w:r>
          <w:rPr>
            <w:rStyle w:val="Hyperlink"/>
            <w:i/>
            <w:iCs/>
            <w:lang w:val="de-DE"/>
          </w:rPr>
          <w:t>Results</w:t>
        </w:r>
        <w:proofErr w:type="spellEnd"/>
        <w:r>
          <w:rPr>
            <w:rStyle w:val="Hyperlink"/>
            <w:i/>
            <w:iCs/>
            <w:lang w:val="de-DE"/>
          </w:rPr>
          <w:t xml:space="preserve">: </w:t>
        </w:r>
        <w:proofErr w:type="spellStart"/>
        <w:r>
          <w:rPr>
            <w:rStyle w:val="Hyperlink"/>
            <w:i/>
            <w:iCs/>
            <w:lang w:val="de-DE"/>
          </w:rPr>
          <w:t>how</w:t>
        </w:r>
        <w:proofErr w:type="spellEnd"/>
        <w:r>
          <w:rPr>
            <w:rStyle w:val="Hyperlink"/>
            <w:i/>
            <w:iCs/>
            <w:lang w:val="de-DE"/>
          </w:rPr>
          <w:t xml:space="preserve"> </w:t>
        </w:r>
        <w:proofErr w:type="spellStart"/>
        <w:r>
          <w:rPr>
            <w:rStyle w:val="Hyperlink"/>
            <w:i/>
            <w:iCs/>
            <w:lang w:val="de-DE"/>
          </w:rPr>
          <w:t>to</w:t>
        </w:r>
        <w:proofErr w:type="spellEnd"/>
        <w:r>
          <w:rPr>
            <w:rStyle w:val="Hyperlink"/>
            <w:i/>
            <w:iCs/>
            <w:lang w:val="de-DE"/>
          </w:rPr>
          <w:t xml:space="preserve"> </w:t>
        </w:r>
        <w:proofErr w:type="spellStart"/>
        <w:r>
          <w:rPr>
            <w:rStyle w:val="Hyperlink"/>
            <w:i/>
            <w:iCs/>
            <w:lang w:val="de-DE"/>
          </w:rPr>
          <w:t>prepare</w:t>
        </w:r>
        <w:proofErr w:type="spellEnd"/>
        <w:r>
          <w:rPr>
            <w:rStyle w:val="Hyperlink"/>
            <w:i/>
            <w:iCs/>
            <w:lang w:val="de-DE"/>
          </w:rPr>
          <w:t xml:space="preserve"> </w:t>
        </w:r>
        <w:proofErr w:type="spellStart"/>
        <w:r>
          <w:rPr>
            <w:rStyle w:val="Hyperlink"/>
            <w:i/>
            <w:iCs/>
            <w:lang w:val="de-DE"/>
          </w:rPr>
          <w:t>for</w:t>
        </w:r>
        <w:proofErr w:type="spellEnd"/>
        <w:r>
          <w:rPr>
            <w:rStyle w:val="Hyperlink"/>
            <w:i/>
            <w:iCs/>
            <w:lang w:val="de-DE"/>
          </w:rPr>
          <w:t xml:space="preserve"> </w:t>
        </w:r>
        <w:proofErr w:type="spellStart"/>
        <w:r>
          <w:rPr>
            <w:rStyle w:val="Hyperlink"/>
            <w:i/>
            <w:iCs/>
            <w:lang w:val="de-DE"/>
          </w:rPr>
          <w:t>reporting</w:t>
        </w:r>
        <w:proofErr w:type="spellEnd"/>
        <w:r>
          <w:rPr>
            <w:rStyle w:val="Hyperlink"/>
            <w:i/>
            <w:iCs/>
            <w:lang w:val="de-DE"/>
          </w:rPr>
          <w:t xml:space="preserve"> on </w:t>
        </w:r>
        <w:proofErr w:type="spellStart"/>
        <w:r>
          <w:rPr>
            <w:rStyle w:val="Hyperlink"/>
            <w:i/>
            <w:iCs/>
            <w:lang w:val="de-DE"/>
          </w:rPr>
          <w:t>evaluation</w:t>
        </w:r>
        <w:proofErr w:type="spellEnd"/>
        <w:r>
          <w:rPr>
            <w:rStyle w:val="Hyperlink"/>
            <w:i/>
            <w:iCs/>
            <w:lang w:val="de-DE"/>
          </w:rPr>
          <w:t xml:space="preserve"> in 2017</w:t>
        </w:r>
      </w:hyperlink>
      <w:r>
        <w:rPr>
          <w:lang w:val="de-DE"/>
        </w:rPr>
        <w:t xml:space="preserve"> können hier ebenfalls als Hilfe dienen und sind somit auch für die Bewertung 2019 relevant.</w:t>
      </w:r>
      <w:r>
        <w:rPr>
          <w:rStyle w:val="FootnoteReference"/>
          <w:iCs/>
          <w:lang w:val="de-DE"/>
        </w:rPr>
        <w:footnoteReference w:id="6"/>
      </w:r>
      <w:r>
        <w:rPr>
          <w:lang w:val="de-DE"/>
        </w:rPr>
        <w:t xml:space="preserve"> </w:t>
      </w:r>
    </w:p>
    <w:p w:rsidR="00B3609C" w:rsidRDefault="00882296">
      <w:pPr>
        <w:pStyle w:val="HStandard"/>
        <w:rPr>
          <w:lang w:val="de-DE"/>
        </w:rPr>
      </w:pPr>
      <w:r>
        <w:rPr>
          <w:lang w:val="de-DE"/>
        </w:rPr>
        <w:t xml:space="preserve">Für den </w:t>
      </w:r>
      <w:r>
        <w:rPr>
          <w:b/>
          <w:bCs/>
          <w:lang w:val="de-DE"/>
        </w:rPr>
        <w:t>jährlichen Durchführungsbericht für 2019</w:t>
      </w:r>
      <w:r>
        <w:rPr>
          <w:lang w:val="de-DE"/>
        </w:rPr>
        <w:t xml:space="preserve"> ist eine Aktualisierung der bereits 2017 gemeldeten Bewertungsergebnisse erforderlich. </w:t>
      </w:r>
      <w:r>
        <w:rPr>
          <w:u w:val="single"/>
          <w:lang w:val="de-DE"/>
        </w:rPr>
        <w:t>Zusätzlich</w:t>
      </w:r>
      <w:r>
        <w:rPr>
          <w:lang w:val="de-DE"/>
        </w:rPr>
        <w:t xml:space="preserve"> muss der Bericht für 2019 Folgendes enthalten:</w:t>
      </w:r>
    </w:p>
    <w:p w:rsidR="00B3609C" w:rsidRDefault="00882296">
      <w:pPr>
        <w:pStyle w:val="Hlistbullet"/>
        <w:numPr>
          <w:ilvl w:val="0"/>
          <w:numId w:val="3"/>
        </w:numPr>
        <w:spacing w:line="276" w:lineRule="auto"/>
        <w:ind w:left="600" w:hanging="600"/>
        <w:rPr>
          <w:lang w:val="de-DE"/>
        </w:rPr>
      </w:pPr>
      <w:r>
        <w:rPr>
          <w:lang w:val="de-DE"/>
        </w:rPr>
        <w:t xml:space="preserve">Ergebnisse der Bewertung der Auswirkungen des Programms zur Entwicklung des ländlichen Raums, ermittelt durch Berechnung und Auswertung der Nettowerte der GAP-Wirkungsindikatoren; </w:t>
      </w:r>
    </w:p>
    <w:p w:rsidR="00B3609C" w:rsidRDefault="00882296">
      <w:pPr>
        <w:pStyle w:val="Hlistbullet"/>
        <w:numPr>
          <w:ilvl w:val="0"/>
          <w:numId w:val="3"/>
        </w:numPr>
        <w:spacing w:line="276" w:lineRule="auto"/>
        <w:ind w:left="600" w:hanging="600"/>
        <w:rPr>
          <w:lang w:val="de-DE"/>
        </w:rPr>
      </w:pPr>
      <w:r>
        <w:rPr>
          <w:lang w:val="de-DE"/>
        </w:rPr>
        <w:t xml:space="preserve">Beiträge des Programms zur Entwicklung des ländlichen Raums zur EU-Strategie für intelligentes, nachhaltiges und integratives Wachstum und zur Strategie zur Erhaltung der biologischen Vielfalt; </w:t>
      </w:r>
    </w:p>
    <w:p w:rsidR="00B3609C" w:rsidRDefault="00882296">
      <w:pPr>
        <w:pStyle w:val="Hlistbullet"/>
        <w:numPr>
          <w:ilvl w:val="0"/>
          <w:numId w:val="3"/>
        </w:numPr>
        <w:spacing w:line="276" w:lineRule="auto"/>
        <w:ind w:left="600" w:hanging="600"/>
        <w:rPr>
          <w:lang w:val="de-DE"/>
        </w:rPr>
      </w:pPr>
      <w:r>
        <w:rPr>
          <w:lang w:val="de-DE"/>
        </w:rPr>
        <w:t>Antworten auf die CEQ für die Programme zur Entwicklung des ländlichen Raums 2014–2020 in Bezug auf die Ziele auf EU-Ebene (d. h. CEQ 22–30).</w:t>
      </w:r>
    </w:p>
    <w:p w:rsidR="00B3609C" w:rsidRDefault="00882296">
      <w:pPr>
        <w:pStyle w:val="HStandard"/>
        <w:rPr>
          <w:lang w:val="de-DE"/>
        </w:rPr>
      </w:pPr>
      <w:r>
        <w:rPr>
          <w:lang w:val="de-DE"/>
        </w:rPr>
        <w:t>Die folgende Abbildung bietet einen Überblick über die wichtigsten Anforderungen an die Berichterstattung zur Bewertung in den jährlichen Durchführungsberichten über den Programmplanungszeitraum hinweg. Grundlage sind der Rechtsrahmen</w:t>
      </w:r>
      <w:r>
        <w:rPr>
          <w:rStyle w:val="FootnoteReference"/>
          <w:iCs/>
          <w:lang w:val="de-DE"/>
        </w:rPr>
        <w:footnoteReference w:id="7"/>
      </w:r>
      <w:r>
        <w:rPr>
          <w:lang w:val="de-DE"/>
        </w:rPr>
        <w:t xml:space="preserve"> und der zugehörige Leitfaden. </w:t>
      </w:r>
    </w:p>
    <w:p w:rsidR="00B3609C" w:rsidRDefault="00882296">
      <w:pPr>
        <w:pStyle w:val="HHeadingfigures"/>
        <w:tabs>
          <w:tab w:val="clear" w:pos="2666"/>
        </w:tabs>
        <w:rPr>
          <w:lang w:val="de-DE"/>
        </w:rPr>
      </w:pPr>
      <w:r>
        <w:rPr>
          <w:bCs/>
          <w:lang w:val="de-DE"/>
        </w:rPr>
        <w:lastRenderedPageBreak/>
        <w:t xml:space="preserve">Berichterstattung über die Bewertung (nach Anhang VIII der Verordnung (EU) Nr. 808/2014) </w:t>
      </w:r>
    </w:p>
    <w:p w:rsidR="00B3609C" w:rsidRDefault="00882296">
      <w:pPr>
        <w:pStyle w:val="HStandard"/>
        <w:jc w:val="center"/>
        <w:rPr>
          <w:lang w:val="de-DE"/>
        </w:rPr>
      </w:pPr>
      <w:r>
        <w:rPr>
          <w:noProof/>
          <w:lang w:eastAsia="en-GB"/>
        </w:rPr>
        <w:drawing>
          <wp:inline distT="0" distB="0" distL="0" distR="0" wp14:anchorId="119E0B7E" wp14:editId="772B9E23">
            <wp:extent cx="5372100" cy="3607103"/>
            <wp:effectExtent l="0" t="0" r="0" b="0"/>
            <wp:docPr id="897" name="Grafik 897" descr="D:\userdata\pixx\Bil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ata\pixx\Bil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5049" cy="3615798"/>
                    </a:xfrm>
                    <a:prstGeom prst="rect">
                      <a:avLst/>
                    </a:prstGeom>
                    <a:noFill/>
                    <a:ln>
                      <a:noFill/>
                    </a:ln>
                  </pic:spPr>
                </pic:pic>
              </a:graphicData>
            </a:graphic>
          </wp:inline>
        </w:drawing>
      </w:r>
      <w:r>
        <w:rPr>
          <w:noProof/>
          <w:lang w:val="de-DE"/>
        </w:rPr>
        <w:t xml:space="preserve"> </w:t>
      </w:r>
    </w:p>
    <w:p w:rsidR="00B3609C" w:rsidRDefault="00882296">
      <w:pPr>
        <w:pStyle w:val="HSource"/>
        <w:rPr>
          <w:i w:val="0"/>
          <w:lang w:val="de-DE"/>
        </w:rPr>
      </w:pPr>
      <w:r>
        <w:rPr>
          <w:iCs/>
          <w:lang w:val="de-DE"/>
        </w:rPr>
        <w:t>Quelle: Europäischer Evaluierungs-Helpdesk für ländliche Entwicklung (2018).</w:t>
      </w:r>
    </w:p>
    <w:p w:rsidR="00B3609C" w:rsidRDefault="00882296">
      <w:pPr>
        <w:pStyle w:val="HHeading4"/>
        <w:rPr>
          <w:lang w:val="de-DE"/>
        </w:rPr>
      </w:pPr>
      <w:r>
        <w:rPr>
          <w:bCs/>
          <w:lang w:val="de-DE"/>
        </w:rPr>
        <w:t xml:space="preserve">Der Rechtsrahmen </w:t>
      </w:r>
    </w:p>
    <w:p w:rsidR="00B3609C" w:rsidRDefault="00882296">
      <w:pPr>
        <w:pStyle w:val="HStandard"/>
        <w:rPr>
          <w:lang w:val="de-DE"/>
        </w:rPr>
      </w:pPr>
      <w:r>
        <w:rPr>
          <w:lang w:val="de-DE"/>
        </w:rPr>
        <w:t xml:space="preserve">Der Rechtsrahmen und das gemeinsame Begleitungs- und Bewertungssystem (CMES) bilden die Grundlage für die Bewertung der Programme zur Entwicklung des ländlichen Raums. </w:t>
      </w:r>
    </w:p>
    <w:p w:rsidR="00B3609C" w:rsidRDefault="00882296">
      <w:pPr>
        <w:pStyle w:val="HStandard"/>
        <w:rPr>
          <w:lang w:val="de-DE"/>
        </w:rPr>
      </w:pPr>
      <w:r>
        <w:rPr>
          <w:b/>
          <w:bCs/>
          <w:lang w:val="de-DE"/>
        </w:rPr>
        <w:t>Der Rechtsrahmen</w:t>
      </w:r>
      <w:r>
        <w:rPr>
          <w:rStyle w:val="FootnoteReference"/>
          <w:rFonts w:cs="Arial"/>
          <w:iCs/>
          <w:lang w:val="de-DE"/>
        </w:rPr>
        <w:footnoteReference w:id="8"/>
      </w:r>
      <w:r>
        <w:rPr>
          <w:lang w:val="de-DE"/>
        </w:rPr>
        <w:t xml:space="preserve"> ist die Grundlage für die Bewertung der Erfolge des Programms zur Entwicklung des ländlichen Raums und dessen Beiträge zu den übergeordneten Zielen der EU-Politik. </w:t>
      </w:r>
    </w:p>
    <w:p w:rsidR="00B3609C" w:rsidRDefault="00882296">
      <w:pPr>
        <w:pStyle w:val="HStandard"/>
        <w:rPr>
          <w:lang w:val="de-DE"/>
        </w:rPr>
      </w:pPr>
      <w:r>
        <w:rPr>
          <w:lang w:val="de-DE"/>
        </w:rPr>
        <w:t xml:space="preserve">Die </w:t>
      </w:r>
      <w:r>
        <w:rPr>
          <w:b/>
          <w:bCs/>
          <w:lang w:val="de-DE"/>
        </w:rPr>
        <w:t>allgemeinen Bestimmungen</w:t>
      </w:r>
      <w:r>
        <w:rPr>
          <w:lang w:val="de-DE"/>
        </w:rPr>
        <w:t xml:space="preserve"> für die Bewertung sind in der Verordnung (EU) Nr. 1303/2013 festgelegt. Die Bewertungen sollen</w:t>
      </w:r>
    </w:p>
    <w:p w:rsidR="00B3609C" w:rsidRDefault="00882296">
      <w:pPr>
        <w:pStyle w:val="Hlistbullet"/>
        <w:numPr>
          <w:ilvl w:val="0"/>
          <w:numId w:val="3"/>
        </w:numPr>
        <w:spacing w:line="276" w:lineRule="auto"/>
        <w:ind w:left="600" w:hanging="600"/>
        <w:rPr>
          <w:lang w:val="de-DE"/>
        </w:rPr>
      </w:pPr>
      <w:r>
        <w:rPr>
          <w:lang w:val="de-DE"/>
        </w:rPr>
        <w:t xml:space="preserve">zur Verbesserung der Qualität der Gestaltung und Durchführung von Programmen sowie </w:t>
      </w:r>
    </w:p>
    <w:p w:rsidR="00B3609C" w:rsidRDefault="00882296">
      <w:pPr>
        <w:pStyle w:val="Hlistbullet"/>
        <w:numPr>
          <w:ilvl w:val="0"/>
          <w:numId w:val="3"/>
        </w:numPr>
        <w:spacing w:line="276" w:lineRule="auto"/>
        <w:ind w:left="600" w:hanging="600"/>
        <w:rPr>
          <w:lang w:val="de-DE"/>
        </w:rPr>
      </w:pPr>
      <w:r>
        <w:rPr>
          <w:lang w:val="de-DE"/>
        </w:rPr>
        <w:t>zur Bewertung ihrer Wirksamkeit, ihrer Effizienz und ihrer Auswirkungen beitragen.</w:t>
      </w:r>
      <w:r>
        <w:rPr>
          <w:rStyle w:val="FootnoteReference"/>
          <w:rFonts w:cs="Arial"/>
          <w:iCs/>
          <w:lang w:val="de-DE"/>
        </w:rPr>
        <w:footnoteReference w:id="9"/>
      </w:r>
      <w:r>
        <w:rPr>
          <w:lang w:val="de-DE"/>
        </w:rPr>
        <w:t xml:space="preserve"> </w:t>
      </w:r>
    </w:p>
    <w:p w:rsidR="00B3609C" w:rsidRDefault="00882296">
      <w:pPr>
        <w:pStyle w:val="HStandard"/>
        <w:rPr>
          <w:lang w:val="de-DE"/>
        </w:rPr>
      </w:pPr>
      <w:r>
        <w:rPr>
          <w:lang w:val="de-DE"/>
        </w:rPr>
        <w:t xml:space="preserve">Zu diesem Zweck stellen die Mitgliedstaaten die </w:t>
      </w:r>
      <w:r>
        <w:rPr>
          <w:b/>
          <w:bCs/>
          <w:lang w:val="de-DE"/>
        </w:rPr>
        <w:t>zur Durchführung von Bewertungen notwendigen Ressourcen</w:t>
      </w:r>
      <w:r>
        <w:rPr>
          <w:lang w:val="de-DE"/>
        </w:rPr>
        <w:t xml:space="preserve"> zur Verfügung und gewährleisten, dass Verfahren</w:t>
      </w:r>
      <w:r>
        <w:rPr>
          <w:b/>
          <w:bCs/>
          <w:lang w:val="de-DE"/>
        </w:rPr>
        <w:t xml:space="preserve"> zur Bereitstellung und Erhebung von bewertungsrelevanten Daten</w:t>
      </w:r>
      <w:r>
        <w:rPr>
          <w:lang w:val="de-DE"/>
        </w:rPr>
        <w:t xml:space="preserve"> eingeführt werden, einschließlich Daten zu gemeinsamen und gegebenenfalls programmspezifischen Indikatoren. </w:t>
      </w:r>
    </w:p>
    <w:p w:rsidR="00B3609C" w:rsidRDefault="00882296">
      <w:pPr>
        <w:pStyle w:val="HStandard"/>
        <w:rPr>
          <w:lang w:val="de-DE"/>
        </w:rPr>
      </w:pPr>
      <w:r>
        <w:rPr>
          <w:lang w:val="de-DE"/>
        </w:rPr>
        <w:t xml:space="preserve">Die Bewertung ist auf der Grundlage des </w:t>
      </w:r>
      <w:r>
        <w:rPr>
          <w:b/>
          <w:bCs/>
          <w:lang w:val="de-DE"/>
        </w:rPr>
        <w:t>Bewertungsplans</w:t>
      </w:r>
      <w:r>
        <w:rPr>
          <w:lang w:val="de-DE"/>
        </w:rPr>
        <w:t xml:space="preserve"> vorzunehmen, und ihre Ergebnisse sind gemäß den fondsspezifischen Regelungen weiterzuverfolgen. Während des Programmplanungszeitraums wird mindestens einmal bewertet, wie die Unterstützung aus den ESI-Fonds zu den Zielen für jede Priorität beigetragen hat bzw. beiträgt.</w:t>
      </w:r>
      <w:r>
        <w:rPr>
          <w:rStyle w:val="FootnoteReference"/>
          <w:rFonts w:cs="Arial"/>
          <w:iCs/>
          <w:lang w:val="de-DE"/>
        </w:rPr>
        <w:footnoteReference w:id="10"/>
      </w:r>
    </w:p>
    <w:p w:rsidR="00B3609C" w:rsidRDefault="00882296">
      <w:pPr>
        <w:pStyle w:val="HStandard"/>
        <w:rPr>
          <w:lang w:val="de-DE"/>
        </w:rPr>
      </w:pPr>
      <w:r>
        <w:rPr>
          <w:lang w:val="de-DE"/>
        </w:rPr>
        <w:t xml:space="preserve">Die </w:t>
      </w:r>
      <w:r>
        <w:rPr>
          <w:b/>
          <w:bCs/>
          <w:lang w:val="de-DE"/>
        </w:rPr>
        <w:t>Verordnung (EU) Nr. 1306/2013</w:t>
      </w:r>
      <w:r>
        <w:rPr>
          <w:lang w:val="de-DE"/>
        </w:rPr>
        <w:t xml:space="preserve"> legt die Anforderungen für die Überwachung und Bewertung der </w:t>
      </w:r>
      <w:proofErr w:type="gramStart"/>
      <w:r>
        <w:rPr>
          <w:lang w:val="de-DE"/>
        </w:rPr>
        <w:t>Gemeinsamen</w:t>
      </w:r>
      <w:proofErr w:type="gramEnd"/>
      <w:r>
        <w:rPr>
          <w:lang w:val="de-DE"/>
        </w:rPr>
        <w:t xml:space="preserve"> Agrarpolitik (GAP) fest.</w:t>
      </w:r>
      <w:r>
        <w:rPr>
          <w:rStyle w:val="FootnoteReference"/>
          <w:rFonts w:cs="Arial"/>
          <w:iCs/>
          <w:lang w:val="de-DE"/>
        </w:rPr>
        <w:footnoteReference w:id="11"/>
      </w:r>
      <w:r>
        <w:rPr>
          <w:lang w:val="de-DE"/>
        </w:rPr>
        <w:t xml:space="preserve"> Dort ist festgelegt, dass die Europäische Kommission die </w:t>
      </w:r>
      <w:r>
        <w:rPr>
          <w:lang w:val="de-DE"/>
        </w:rPr>
        <w:lastRenderedPageBreak/>
        <w:t xml:space="preserve">Leistung der GAP im Hinblick auf die Verwirklichung ihrer </w:t>
      </w:r>
      <w:r>
        <w:rPr>
          <w:b/>
          <w:bCs/>
          <w:lang w:val="de-DE"/>
        </w:rPr>
        <w:t>gemeinsamen Ziele</w:t>
      </w:r>
      <w:r>
        <w:rPr>
          <w:lang w:val="de-DE"/>
        </w:rPr>
        <w:t xml:space="preserve"> sicherstellen muss. Die kombinierte Wirkung aller GAP-Instrumente wird auf der Grundlage der Informationen gemessen und bewertet, die im Rahmen der Überwachungs- und Bewertungstätigkeiten in den Mitgliedstaaten eingeholt wurden.</w:t>
      </w:r>
      <w:r>
        <w:rPr>
          <w:b/>
          <w:bCs/>
          <w:lang w:val="de-DE"/>
        </w:rPr>
        <w:t xml:space="preserve"> </w:t>
      </w:r>
      <w:r>
        <w:rPr>
          <w:lang w:val="de-DE"/>
        </w:rPr>
        <w:t xml:space="preserve">Die gemeinsamen Ziele werden anhand </w:t>
      </w:r>
      <w:r>
        <w:rPr>
          <w:b/>
          <w:bCs/>
          <w:lang w:val="de-DE"/>
        </w:rPr>
        <w:t>gemeinsamer Wirkungsindikatoren</w:t>
      </w:r>
      <w:r>
        <w:rPr>
          <w:lang w:val="de-DE"/>
        </w:rPr>
        <w:t xml:space="preserve"> bewertet, während die zugrunde liegenden spezifischen Ziele anhand </w:t>
      </w:r>
      <w:r>
        <w:rPr>
          <w:b/>
          <w:bCs/>
          <w:lang w:val="de-DE"/>
        </w:rPr>
        <w:t>gemeinsamer Ergebnisindikatoren</w:t>
      </w:r>
      <w:r>
        <w:rPr>
          <w:lang w:val="de-DE"/>
        </w:rPr>
        <w:t xml:space="preserve"> bewertet werden. Die eingeholten Informationen basieren auf etablierten Datenquellen wie dem Informationsnetz landwirtschaftlicher Buchführungen (INLB) und Eurostat. Die Kommission trägt dem Datenbedarf und den Synergien zwischen potenziellen Datenquellen Rechnung und insbesondere, soweit angezeigt, deren Nutzung für statistische Zwecke.</w:t>
      </w:r>
      <w:r>
        <w:rPr>
          <w:rStyle w:val="FootnoteReference"/>
          <w:rFonts w:cs="Arial"/>
          <w:iCs/>
          <w:lang w:val="de-DE"/>
        </w:rPr>
        <w:footnoteReference w:id="12"/>
      </w:r>
    </w:p>
    <w:p w:rsidR="00B3609C" w:rsidRDefault="00882296">
      <w:pPr>
        <w:pStyle w:val="HStandard"/>
        <w:rPr>
          <w:lang w:val="de-DE"/>
        </w:rPr>
      </w:pPr>
      <w:r>
        <w:rPr>
          <w:b/>
          <w:bCs/>
          <w:lang w:val="de-DE"/>
        </w:rPr>
        <w:t>In der Verordnung (EU) Nr. 1305/2013 werden das gemeinsame Begleitungs- und Bewertungssystem</w:t>
      </w:r>
      <w:r>
        <w:rPr>
          <w:lang w:val="de-DE"/>
        </w:rPr>
        <w:t>, seine Ziele</w:t>
      </w:r>
      <w:r>
        <w:rPr>
          <w:rStyle w:val="FootnoteReference"/>
          <w:rFonts w:cs="Arial"/>
          <w:iCs/>
          <w:lang w:val="de-DE"/>
        </w:rPr>
        <w:footnoteReference w:id="13"/>
      </w:r>
      <w:r>
        <w:rPr>
          <w:lang w:val="de-DE"/>
        </w:rPr>
        <w:t xml:space="preserve"> und die gemeinsamen Indikatoren</w:t>
      </w:r>
      <w:r>
        <w:rPr>
          <w:rStyle w:val="FootnoteReference"/>
          <w:rFonts w:cs="Arial"/>
          <w:iCs/>
          <w:lang w:val="de-DE"/>
        </w:rPr>
        <w:footnoteReference w:id="14"/>
      </w:r>
      <w:r>
        <w:rPr>
          <w:lang w:val="de-DE"/>
        </w:rPr>
        <w:t xml:space="preserve"> </w:t>
      </w:r>
      <w:r>
        <w:rPr>
          <w:b/>
          <w:bCs/>
          <w:lang w:val="de-DE"/>
        </w:rPr>
        <w:t>festgelegt</w:t>
      </w:r>
      <w:r>
        <w:rPr>
          <w:lang w:val="de-DE"/>
        </w:rPr>
        <w:t>. Diese Indikatoren beziehen sich auf die Ausgangssituation (Kontextindikatoren) sowie auf die finanzielle Abwicklung, den Output, die Ergebnisse und die Auswirkungen des Programms. Die gemeinsamen Indikatoren beruhen auf verfügbaren Daten, stehen im Zusammenhang mit der Struktur und den Zielen des Rahmens der Politik zur Entwicklung des ländlichen Raums und ermöglichen eine Bewertung des Fortschritts, der Effizienz und Wirksamkeit der Politikumsetzung im Vergleich zu den Zielen und Vorgaben auf Unions-, nationaler und Programmebene.</w:t>
      </w:r>
    </w:p>
    <w:p w:rsidR="00B3609C" w:rsidRDefault="00882296">
      <w:pPr>
        <w:pStyle w:val="HStandard"/>
        <w:rPr>
          <w:b/>
          <w:lang w:val="de-DE"/>
        </w:rPr>
      </w:pPr>
      <w:r>
        <w:rPr>
          <w:lang w:val="de-DE"/>
        </w:rPr>
        <w:t xml:space="preserve">Die Auswirkungen der Programme zur Entwicklung des ländlichen Raums werden mithilfe gemeinsamer (sowie zusätzlicher und programmspezifischer) Indikatoren bewertet. </w:t>
      </w:r>
      <w:r>
        <w:rPr>
          <w:b/>
          <w:bCs/>
          <w:lang w:val="de-DE"/>
        </w:rPr>
        <w:t xml:space="preserve">Für die Bewertung der Auswirkungen des Programms ist jeder Mitgliedstaat selbst zuständig. </w:t>
      </w:r>
    </w:p>
    <w:p w:rsidR="00B3609C" w:rsidRDefault="00882296">
      <w:pPr>
        <w:pStyle w:val="HHeading4"/>
        <w:rPr>
          <w:lang w:val="de-DE"/>
        </w:rPr>
      </w:pPr>
      <w:r>
        <w:rPr>
          <w:bCs/>
          <w:lang w:val="de-DE"/>
        </w:rPr>
        <w:t>Die gemeinsamen Bewertungselemente</w:t>
      </w:r>
    </w:p>
    <w:p w:rsidR="00B3609C" w:rsidRDefault="00882296">
      <w:pPr>
        <w:pStyle w:val="HStandard"/>
        <w:rPr>
          <w:lang w:val="de-DE"/>
        </w:rPr>
      </w:pPr>
      <w:r>
        <w:rPr>
          <w:lang w:val="de-DE"/>
        </w:rPr>
        <w:t xml:space="preserve">Das CMES ist Teil </w:t>
      </w:r>
      <w:proofErr w:type="gramStart"/>
      <w:r>
        <w:rPr>
          <w:lang w:val="de-DE"/>
        </w:rPr>
        <w:t>des gemeinsame Überwachungs- und Bewertungsrahmens</w:t>
      </w:r>
      <w:proofErr w:type="gramEnd"/>
      <w:r>
        <w:rPr>
          <w:rStyle w:val="FootnoteReference"/>
          <w:rFonts w:cs="Arial"/>
          <w:iCs/>
          <w:lang w:val="de-DE"/>
        </w:rPr>
        <w:footnoteReference w:id="15"/>
      </w:r>
      <w:r>
        <w:rPr>
          <w:lang w:val="de-DE"/>
        </w:rPr>
        <w:t xml:space="preserve"> und umfasst verschiedene Leitfäden zur Nutzung der gemeinsamen Bewertungsfragen und Indikatoren bei der Überwachung und Bewertung der Politik zur Entwicklung des ländlichen Raums. Die </w:t>
      </w:r>
      <w:r>
        <w:rPr>
          <w:b/>
          <w:bCs/>
          <w:lang w:val="de-DE"/>
        </w:rPr>
        <w:t>Durchführungsverordnung (EU) Nr. 808/2014</w:t>
      </w:r>
      <w:r>
        <w:rPr>
          <w:lang w:val="de-DE"/>
        </w:rPr>
        <w:t xml:space="preserve"> der Kommission</w:t>
      </w:r>
      <w:r>
        <w:rPr>
          <w:rStyle w:val="FootnoteReference"/>
          <w:rFonts w:cs="Arial"/>
          <w:b/>
          <w:bCs/>
          <w:iCs/>
          <w:lang w:val="de-DE"/>
        </w:rPr>
        <w:footnoteReference w:id="16"/>
      </w:r>
      <w:r>
        <w:rPr>
          <w:lang w:val="de-DE"/>
        </w:rPr>
        <w:t xml:space="preserve"> beschreibt das CMES detaillierter und führt seine einzelnen Elemente auf: </w:t>
      </w:r>
    </w:p>
    <w:p w:rsidR="00B3609C" w:rsidRDefault="00882296">
      <w:pPr>
        <w:pStyle w:val="Hlistbullet"/>
        <w:numPr>
          <w:ilvl w:val="0"/>
          <w:numId w:val="3"/>
        </w:numPr>
        <w:spacing w:line="276" w:lineRule="auto"/>
        <w:ind w:left="600" w:hanging="600"/>
        <w:rPr>
          <w:lang w:val="de-DE"/>
        </w:rPr>
      </w:pPr>
      <w:r>
        <w:rPr>
          <w:lang w:val="de-DE"/>
        </w:rPr>
        <w:t xml:space="preserve">eine Interventionslogik, die die Interaktionen zwischen Prioritäten, Schwerpunktbereichen und Maßnahmen veranschaulicht; </w:t>
      </w:r>
    </w:p>
    <w:p w:rsidR="00B3609C" w:rsidRDefault="00882296">
      <w:pPr>
        <w:pStyle w:val="Hlistbullet"/>
        <w:numPr>
          <w:ilvl w:val="0"/>
          <w:numId w:val="3"/>
        </w:numPr>
        <w:spacing w:line="276" w:lineRule="auto"/>
        <w:ind w:left="600" w:hanging="600"/>
        <w:rPr>
          <w:lang w:val="de-DE"/>
        </w:rPr>
      </w:pPr>
      <w:r>
        <w:rPr>
          <w:lang w:val="de-DE"/>
        </w:rPr>
        <w:t xml:space="preserve">einen Satz gemeinsamer Kontext-, Ergebnis- und </w:t>
      </w:r>
      <w:proofErr w:type="spellStart"/>
      <w:r>
        <w:rPr>
          <w:lang w:val="de-DE"/>
        </w:rPr>
        <w:t>Outputindikatoren</w:t>
      </w:r>
      <w:proofErr w:type="spellEnd"/>
      <w:r>
        <w:rPr>
          <w:lang w:val="de-DE"/>
        </w:rPr>
        <w:t>, einschließlich Indikatoren für die Festlegung quantifizierter Ziele für Schwerpunktbereiche der ländlichen Entwicklung;</w:t>
      </w:r>
      <w:r>
        <w:rPr>
          <w:rStyle w:val="FootnoteReference"/>
          <w:rFonts w:cs="Arial"/>
          <w:iCs/>
          <w:lang w:val="de-DE"/>
        </w:rPr>
        <w:footnoteReference w:id="17"/>
      </w:r>
      <w:r>
        <w:rPr>
          <w:lang w:val="de-DE"/>
        </w:rPr>
        <w:t xml:space="preserve"> </w:t>
      </w:r>
    </w:p>
    <w:p w:rsidR="00B3609C" w:rsidRDefault="00882296">
      <w:pPr>
        <w:pStyle w:val="Hlistbullet"/>
        <w:numPr>
          <w:ilvl w:val="0"/>
          <w:numId w:val="3"/>
        </w:numPr>
        <w:spacing w:line="276" w:lineRule="auto"/>
        <w:ind w:left="600" w:hanging="600"/>
        <w:rPr>
          <w:lang w:val="de-DE"/>
        </w:rPr>
      </w:pPr>
      <w:r>
        <w:rPr>
          <w:lang w:val="de-DE"/>
        </w:rPr>
        <w:t>gemeinsame Bewertungsfragen;</w:t>
      </w:r>
      <w:r>
        <w:rPr>
          <w:rStyle w:val="FootnoteReference"/>
          <w:rFonts w:cs="Arial"/>
          <w:iCs/>
          <w:lang w:val="de-DE"/>
        </w:rPr>
        <w:footnoteReference w:id="18"/>
      </w:r>
    </w:p>
    <w:p w:rsidR="00B3609C" w:rsidRDefault="00882296">
      <w:pPr>
        <w:pStyle w:val="Hlistbullet"/>
        <w:numPr>
          <w:ilvl w:val="0"/>
          <w:numId w:val="3"/>
        </w:numPr>
        <w:spacing w:line="276" w:lineRule="auto"/>
        <w:ind w:left="600" w:hanging="600"/>
        <w:rPr>
          <w:lang w:val="de-DE"/>
        </w:rPr>
      </w:pPr>
      <w:r>
        <w:rPr>
          <w:lang w:val="de-DE"/>
        </w:rPr>
        <w:t xml:space="preserve">Datenerhebung, Datenspeicherung und Datenübertragung; </w:t>
      </w:r>
    </w:p>
    <w:p w:rsidR="00B3609C" w:rsidRDefault="00882296">
      <w:pPr>
        <w:pStyle w:val="Hlistbullet"/>
        <w:numPr>
          <w:ilvl w:val="0"/>
          <w:numId w:val="3"/>
        </w:numPr>
        <w:spacing w:line="276" w:lineRule="auto"/>
        <w:ind w:left="600" w:hanging="600"/>
        <w:rPr>
          <w:lang w:val="de-DE"/>
        </w:rPr>
      </w:pPr>
      <w:r>
        <w:rPr>
          <w:lang w:val="de-DE"/>
        </w:rPr>
        <w:t>regelmäßige Berichterstattung über Begleitungs- und Bewertungsaktivitäten;</w:t>
      </w:r>
      <w:r>
        <w:rPr>
          <w:rStyle w:val="FootnoteReference"/>
          <w:rFonts w:cs="Arial"/>
          <w:iCs/>
          <w:lang w:val="de-DE"/>
        </w:rPr>
        <w:footnoteReference w:id="19"/>
      </w:r>
      <w:r>
        <w:rPr>
          <w:lang w:val="de-DE"/>
        </w:rPr>
        <w:t xml:space="preserve"> </w:t>
      </w:r>
    </w:p>
    <w:p w:rsidR="00B3609C" w:rsidRDefault="00882296">
      <w:pPr>
        <w:pStyle w:val="Hlistbullet"/>
        <w:numPr>
          <w:ilvl w:val="0"/>
          <w:numId w:val="3"/>
        </w:numPr>
        <w:spacing w:line="276" w:lineRule="auto"/>
        <w:ind w:left="600" w:hanging="600"/>
        <w:rPr>
          <w:lang w:val="de-DE"/>
        </w:rPr>
      </w:pPr>
      <w:r>
        <w:rPr>
          <w:lang w:val="de-DE"/>
        </w:rPr>
        <w:t>den Bewertungsplan;</w:t>
      </w:r>
      <w:r>
        <w:rPr>
          <w:rStyle w:val="FootnoteReference"/>
          <w:rFonts w:cs="Arial"/>
          <w:iCs/>
          <w:lang w:val="de-DE"/>
        </w:rPr>
        <w:footnoteReference w:id="20"/>
      </w:r>
      <w:r>
        <w:rPr>
          <w:lang w:val="de-DE"/>
        </w:rPr>
        <w:t xml:space="preserve"> </w:t>
      </w:r>
    </w:p>
    <w:p w:rsidR="00B3609C" w:rsidRDefault="00882296">
      <w:pPr>
        <w:pStyle w:val="Hlistbullet"/>
        <w:numPr>
          <w:ilvl w:val="0"/>
          <w:numId w:val="3"/>
        </w:numPr>
        <w:spacing w:line="276" w:lineRule="auto"/>
        <w:ind w:left="600" w:hanging="600"/>
        <w:rPr>
          <w:lang w:val="de-DE"/>
        </w:rPr>
      </w:pPr>
      <w:r>
        <w:rPr>
          <w:lang w:val="de-DE"/>
        </w:rPr>
        <w:t>die Ex-ante- und Ex-post-Bewertungen und alle anderen Bewertungsaktivitäten im Zusammenhang mit dem Programm zur Entwicklung des ländlichen Raums, auch solche, die zur Erfüllung der erhöhten Anforderungen an die jährlichen Durchführungsberichte für 2017 und 2019 erforderlich sind;</w:t>
      </w:r>
      <w:r>
        <w:rPr>
          <w:rStyle w:val="FootnoteReference"/>
          <w:rFonts w:cs="Arial"/>
          <w:iCs/>
          <w:lang w:val="de-DE"/>
        </w:rPr>
        <w:footnoteReference w:id="21"/>
      </w:r>
    </w:p>
    <w:p w:rsidR="00B3609C" w:rsidRDefault="00882296">
      <w:pPr>
        <w:pStyle w:val="Hlistbullet"/>
        <w:numPr>
          <w:ilvl w:val="0"/>
          <w:numId w:val="3"/>
        </w:numPr>
        <w:spacing w:line="276" w:lineRule="auto"/>
        <w:ind w:left="600" w:hanging="600"/>
        <w:rPr>
          <w:lang w:val="de-DE"/>
        </w:rPr>
      </w:pPr>
      <w:r>
        <w:rPr>
          <w:lang w:val="de-DE"/>
        </w:rPr>
        <w:lastRenderedPageBreak/>
        <w:t>die Unterstützung, die es allen Begleitungs- und Bewertungsbeauftragten ermöglicht, ihren Verpflichtungen nachzukommen.</w:t>
      </w:r>
      <w:r>
        <w:rPr>
          <w:rStyle w:val="FootnoteReference"/>
          <w:rFonts w:cs="Arial"/>
          <w:iCs/>
          <w:lang w:val="de-DE"/>
        </w:rPr>
        <w:footnoteReference w:id="22"/>
      </w:r>
      <w:r>
        <w:rPr>
          <w:lang w:val="de-DE"/>
        </w:rPr>
        <w:t xml:space="preserve"> </w:t>
      </w:r>
    </w:p>
    <w:p w:rsidR="00B3609C" w:rsidRDefault="00882296">
      <w:pPr>
        <w:pStyle w:val="HStandard"/>
        <w:rPr>
          <w:lang w:val="de-DE"/>
        </w:rPr>
      </w:pPr>
      <w:r>
        <w:rPr>
          <w:lang w:val="de-DE"/>
        </w:rPr>
        <w:t xml:space="preserve">Die Europäische Kommission stellt außerdem detaillierte </w:t>
      </w:r>
      <w:r>
        <w:rPr>
          <w:b/>
          <w:bCs/>
          <w:lang w:val="de-DE"/>
        </w:rPr>
        <w:t>Datenblätter</w:t>
      </w:r>
      <w:r>
        <w:rPr>
          <w:lang w:val="de-DE"/>
        </w:rPr>
        <w:t xml:space="preserve"> für jeden der gemeinsamen Indikatoren zur Verfügung, zu dem in den jährlichen Durchführungsberichten für 2017 und 2019 Bericht zu erstatten ist. Zu diesen Indikatoren zählen die 16 gemeinsamen </w:t>
      </w:r>
      <w:hyperlink r:id="rId18" w:history="1">
        <w:r>
          <w:rPr>
            <w:rStyle w:val="Hyperlink"/>
            <w:lang w:val="de-DE"/>
          </w:rPr>
          <w:t>GAP-Wirkungsindikatoren</w:t>
        </w:r>
      </w:hyperlink>
      <w:r>
        <w:rPr>
          <w:lang w:val="de-DE"/>
        </w:rPr>
        <w:t xml:space="preserve">. </w:t>
      </w:r>
      <w:r>
        <w:rPr>
          <w:b/>
          <w:bCs/>
          <w:lang w:val="de-DE"/>
        </w:rPr>
        <w:t>Jedes Wirkungsindikator-Datenblatt</w:t>
      </w:r>
      <w:r>
        <w:rPr>
          <w:lang w:val="de-DE"/>
        </w:rPr>
        <w:t xml:space="preserve"> enthält einen Link auf:</w:t>
      </w:r>
    </w:p>
    <w:p w:rsidR="00B3609C" w:rsidRDefault="00882296">
      <w:pPr>
        <w:pStyle w:val="Hlistbullet"/>
        <w:numPr>
          <w:ilvl w:val="0"/>
          <w:numId w:val="3"/>
        </w:numPr>
        <w:spacing w:line="276" w:lineRule="auto"/>
        <w:ind w:left="600" w:hanging="600"/>
        <w:rPr>
          <w:lang w:val="de-DE"/>
        </w:rPr>
      </w:pPr>
      <w:r>
        <w:rPr>
          <w:lang w:val="de-DE"/>
        </w:rPr>
        <w:t xml:space="preserve">das jeweilige politische Ziel; </w:t>
      </w:r>
    </w:p>
    <w:p w:rsidR="00B3609C" w:rsidRDefault="00882296">
      <w:pPr>
        <w:pStyle w:val="Hlistbullet"/>
        <w:numPr>
          <w:ilvl w:val="0"/>
          <w:numId w:val="3"/>
        </w:numPr>
        <w:spacing w:line="276" w:lineRule="auto"/>
        <w:ind w:left="600" w:hanging="600"/>
        <w:rPr>
          <w:lang w:val="de-DE"/>
        </w:rPr>
      </w:pPr>
      <w:r>
        <w:rPr>
          <w:lang w:val="de-DE"/>
        </w:rPr>
        <w:t xml:space="preserve">die Definition des Indikators; </w:t>
      </w:r>
    </w:p>
    <w:p w:rsidR="00B3609C" w:rsidRDefault="00882296">
      <w:pPr>
        <w:pStyle w:val="Hlistbullet"/>
        <w:numPr>
          <w:ilvl w:val="0"/>
          <w:numId w:val="3"/>
        </w:numPr>
        <w:spacing w:line="276" w:lineRule="auto"/>
        <w:ind w:left="600" w:hanging="600"/>
        <w:rPr>
          <w:lang w:val="de-DE"/>
        </w:rPr>
      </w:pPr>
      <w:r>
        <w:rPr>
          <w:lang w:val="de-DE"/>
        </w:rPr>
        <w:t xml:space="preserve">die Maßeinheit; </w:t>
      </w:r>
    </w:p>
    <w:p w:rsidR="00B3609C" w:rsidRDefault="00882296">
      <w:pPr>
        <w:pStyle w:val="Hlistbullet"/>
        <w:numPr>
          <w:ilvl w:val="0"/>
          <w:numId w:val="3"/>
        </w:numPr>
        <w:spacing w:line="276" w:lineRule="auto"/>
        <w:ind w:left="600" w:hanging="600"/>
        <w:rPr>
          <w:lang w:val="de-DE"/>
        </w:rPr>
      </w:pPr>
      <w:r>
        <w:rPr>
          <w:lang w:val="de-DE"/>
        </w:rPr>
        <w:t xml:space="preserve">die Methode/Formel für die Berechnung; </w:t>
      </w:r>
    </w:p>
    <w:p w:rsidR="00B3609C" w:rsidRDefault="00882296">
      <w:pPr>
        <w:pStyle w:val="Hlistbullet"/>
        <w:numPr>
          <w:ilvl w:val="0"/>
          <w:numId w:val="3"/>
        </w:numPr>
        <w:spacing w:line="276" w:lineRule="auto"/>
        <w:ind w:left="600" w:hanging="600"/>
        <w:rPr>
          <w:lang w:val="de-DE"/>
        </w:rPr>
      </w:pPr>
      <w:r>
        <w:rPr>
          <w:lang w:val="de-DE"/>
        </w:rPr>
        <w:t xml:space="preserve">die Datenanforderungen und -quellen; </w:t>
      </w:r>
    </w:p>
    <w:p w:rsidR="00B3609C" w:rsidRDefault="00882296">
      <w:pPr>
        <w:pStyle w:val="Hlistbullet"/>
        <w:numPr>
          <w:ilvl w:val="0"/>
          <w:numId w:val="3"/>
        </w:numPr>
        <w:spacing w:line="276" w:lineRule="auto"/>
        <w:ind w:left="600" w:hanging="600"/>
        <w:rPr>
          <w:lang w:val="de-DE"/>
        </w:rPr>
      </w:pPr>
      <w:r>
        <w:rPr>
          <w:lang w:val="de-DE"/>
        </w:rPr>
        <w:t xml:space="preserve">die Detailgenauigkeit und Häufigkeit der Datenerhebung; </w:t>
      </w:r>
    </w:p>
    <w:p w:rsidR="00B3609C" w:rsidRDefault="00882296">
      <w:pPr>
        <w:pStyle w:val="Hlistbullet"/>
        <w:numPr>
          <w:ilvl w:val="0"/>
          <w:numId w:val="3"/>
        </w:numPr>
        <w:spacing w:line="276" w:lineRule="auto"/>
        <w:ind w:left="600" w:hanging="600"/>
        <w:rPr>
          <w:lang w:val="de-DE"/>
        </w:rPr>
      </w:pPr>
      <w:r>
        <w:rPr>
          <w:lang w:val="de-DE"/>
        </w:rPr>
        <w:t xml:space="preserve">Informationen zu Verzögerungen bei der Datenerhebung. </w:t>
      </w:r>
    </w:p>
    <w:p w:rsidR="00B3609C" w:rsidRDefault="00882296">
      <w:pPr>
        <w:pStyle w:val="HStandard"/>
        <w:rPr>
          <w:lang w:val="de-DE"/>
        </w:rPr>
      </w:pPr>
      <w:r>
        <w:rPr>
          <w:lang w:val="de-DE"/>
        </w:rPr>
        <w:t xml:space="preserve">Bei der Bewertung der Auswirkungen des Programms zur Entwicklung des ländlichen Raums werden </w:t>
      </w:r>
      <w:r>
        <w:rPr>
          <w:b/>
          <w:bCs/>
          <w:lang w:val="de-DE"/>
        </w:rPr>
        <w:t>13 der 16 gemeinsamen GAP-Wirkungsindikatoren</w:t>
      </w:r>
      <w:r>
        <w:rPr>
          <w:lang w:val="de-DE"/>
        </w:rPr>
        <w:t xml:space="preserve"> verwendet:</w:t>
      </w:r>
    </w:p>
    <w:p w:rsidR="00B3609C" w:rsidRDefault="00882296">
      <w:pPr>
        <w:pStyle w:val="Hlistbullet"/>
        <w:numPr>
          <w:ilvl w:val="0"/>
          <w:numId w:val="3"/>
        </w:numPr>
        <w:spacing w:line="276" w:lineRule="auto"/>
        <w:ind w:left="600" w:hanging="600"/>
        <w:rPr>
          <w:lang w:val="de-DE"/>
        </w:rPr>
      </w:pPr>
      <w:r>
        <w:rPr>
          <w:lang w:val="de-DE"/>
        </w:rPr>
        <w:t xml:space="preserve">I.01 </w:t>
      </w:r>
      <w:proofErr w:type="gramStart"/>
      <w:r>
        <w:rPr>
          <w:lang w:val="de-DE"/>
        </w:rPr>
        <w:t>Landwirtschaftlicher</w:t>
      </w:r>
      <w:proofErr w:type="gramEnd"/>
      <w:r>
        <w:rPr>
          <w:lang w:val="de-DE"/>
        </w:rPr>
        <w:t xml:space="preserve"> Unternehmensgewinn</w:t>
      </w:r>
    </w:p>
    <w:p w:rsidR="00B3609C" w:rsidRDefault="00882296">
      <w:pPr>
        <w:pStyle w:val="Hlistbullet"/>
        <w:numPr>
          <w:ilvl w:val="0"/>
          <w:numId w:val="3"/>
        </w:numPr>
        <w:spacing w:line="276" w:lineRule="auto"/>
        <w:ind w:left="600" w:hanging="600"/>
        <w:rPr>
          <w:lang w:val="de-DE"/>
        </w:rPr>
      </w:pPr>
      <w:r>
        <w:rPr>
          <w:lang w:val="de-DE"/>
        </w:rPr>
        <w:t>I.02 Faktoreinkommen in der Landwirtschaft</w:t>
      </w:r>
    </w:p>
    <w:p w:rsidR="00B3609C" w:rsidRDefault="00882296">
      <w:pPr>
        <w:pStyle w:val="Hlistbullet"/>
        <w:numPr>
          <w:ilvl w:val="0"/>
          <w:numId w:val="3"/>
        </w:numPr>
        <w:spacing w:line="276" w:lineRule="auto"/>
        <w:ind w:left="600" w:hanging="600"/>
        <w:rPr>
          <w:lang w:val="de-DE"/>
        </w:rPr>
      </w:pPr>
      <w:r>
        <w:rPr>
          <w:lang w:val="de-DE"/>
        </w:rPr>
        <w:t>I.03 Totale Faktorproduktivität in der Landwirtschaft</w:t>
      </w:r>
    </w:p>
    <w:p w:rsidR="00B3609C" w:rsidRDefault="00882296">
      <w:pPr>
        <w:pStyle w:val="Hlistbullet"/>
        <w:numPr>
          <w:ilvl w:val="0"/>
          <w:numId w:val="3"/>
        </w:numPr>
        <w:spacing w:line="276" w:lineRule="auto"/>
        <w:ind w:left="600" w:hanging="600"/>
        <w:rPr>
          <w:lang w:val="de-DE"/>
        </w:rPr>
      </w:pPr>
      <w:r>
        <w:rPr>
          <w:lang w:val="de-DE"/>
        </w:rPr>
        <w:t>I.07 Emissionen aus der Landwirtschaft</w:t>
      </w:r>
    </w:p>
    <w:p w:rsidR="00B3609C" w:rsidRDefault="00882296">
      <w:pPr>
        <w:pStyle w:val="Hlistbullet"/>
        <w:numPr>
          <w:ilvl w:val="0"/>
          <w:numId w:val="3"/>
        </w:numPr>
        <w:spacing w:line="276" w:lineRule="auto"/>
        <w:ind w:left="600" w:hanging="600"/>
        <w:rPr>
          <w:lang w:val="de-DE"/>
        </w:rPr>
      </w:pPr>
      <w:r>
        <w:rPr>
          <w:lang w:val="de-DE"/>
        </w:rPr>
        <w:t>I.08 Feldvogelindex</w:t>
      </w:r>
    </w:p>
    <w:p w:rsidR="00B3609C" w:rsidRDefault="00882296">
      <w:pPr>
        <w:pStyle w:val="Hlistbullet"/>
        <w:numPr>
          <w:ilvl w:val="0"/>
          <w:numId w:val="3"/>
        </w:numPr>
        <w:spacing w:line="276" w:lineRule="auto"/>
        <w:ind w:left="600" w:hanging="600"/>
        <w:rPr>
          <w:lang w:val="de-DE"/>
        </w:rPr>
      </w:pPr>
      <w:r>
        <w:rPr>
          <w:lang w:val="de-DE"/>
        </w:rPr>
        <w:t>I.09 Landbewirtschaftung mit hohem Naturwert (HNV)</w:t>
      </w:r>
    </w:p>
    <w:p w:rsidR="00B3609C" w:rsidRDefault="00882296">
      <w:pPr>
        <w:pStyle w:val="Hlistbullet"/>
        <w:numPr>
          <w:ilvl w:val="0"/>
          <w:numId w:val="3"/>
        </w:numPr>
        <w:spacing w:line="276" w:lineRule="auto"/>
        <w:ind w:left="600" w:hanging="600"/>
        <w:rPr>
          <w:lang w:val="de-DE"/>
        </w:rPr>
      </w:pPr>
      <w:r>
        <w:rPr>
          <w:lang w:val="de-DE"/>
        </w:rPr>
        <w:t>I.10 Wasserentnahme in der Landwirtschaft</w:t>
      </w:r>
    </w:p>
    <w:p w:rsidR="00B3609C" w:rsidRDefault="00882296">
      <w:pPr>
        <w:pStyle w:val="Hlistbullet"/>
        <w:numPr>
          <w:ilvl w:val="0"/>
          <w:numId w:val="3"/>
        </w:numPr>
        <w:spacing w:line="276" w:lineRule="auto"/>
        <w:ind w:left="600" w:hanging="600"/>
        <w:rPr>
          <w:lang w:val="de-DE"/>
        </w:rPr>
      </w:pPr>
      <w:r>
        <w:rPr>
          <w:lang w:val="de-DE"/>
        </w:rPr>
        <w:t>I.11 Wasserqualität</w:t>
      </w:r>
    </w:p>
    <w:p w:rsidR="00B3609C" w:rsidRDefault="00882296">
      <w:pPr>
        <w:pStyle w:val="Hlistbullet"/>
        <w:numPr>
          <w:ilvl w:val="0"/>
          <w:numId w:val="3"/>
        </w:numPr>
        <w:spacing w:line="276" w:lineRule="auto"/>
        <w:ind w:left="600" w:hanging="600"/>
        <w:rPr>
          <w:lang w:val="de-DE"/>
        </w:rPr>
      </w:pPr>
      <w:r>
        <w:rPr>
          <w:lang w:val="de-DE"/>
        </w:rPr>
        <w:t>I.12 Gehalt des Bodens an organischer Substanz in Ackerland</w:t>
      </w:r>
    </w:p>
    <w:p w:rsidR="00B3609C" w:rsidRDefault="00882296">
      <w:pPr>
        <w:pStyle w:val="Hlistbullet"/>
        <w:numPr>
          <w:ilvl w:val="0"/>
          <w:numId w:val="3"/>
        </w:numPr>
        <w:spacing w:line="276" w:lineRule="auto"/>
        <w:ind w:left="600" w:hanging="600"/>
        <w:rPr>
          <w:lang w:val="de-DE"/>
        </w:rPr>
      </w:pPr>
      <w:r>
        <w:rPr>
          <w:lang w:val="de-DE"/>
        </w:rPr>
        <w:t>I.13 Wasserbedingte Bodenerosion</w:t>
      </w:r>
    </w:p>
    <w:p w:rsidR="00B3609C" w:rsidRDefault="00882296">
      <w:pPr>
        <w:pStyle w:val="Hlistbullet"/>
        <w:numPr>
          <w:ilvl w:val="0"/>
          <w:numId w:val="3"/>
        </w:numPr>
        <w:spacing w:line="276" w:lineRule="auto"/>
        <w:ind w:left="600" w:hanging="600"/>
        <w:rPr>
          <w:lang w:val="de-DE"/>
        </w:rPr>
      </w:pPr>
      <w:r>
        <w:rPr>
          <w:lang w:val="de-DE"/>
        </w:rPr>
        <w:t>I.14 Beschäftigungsquote in ländlichen Gebieten</w:t>
      </w:r>
    </w:p>
    <w:p w:rsidR="00B3609C" w:rsidRDefault="00882296">
      <w:pPr>
        <w:pStyle w:val="Hlistbullet"/>
        <w:numPr>
          <w:ilvl w:val="0"/>
          <w:numId w:val="3"/>
        </w:numPr>
        <w:spacing w:line="276" w:lineRule="auto"/>
        <w:ind w:left="600" w:hanging="600"/>
        <w:rPr>
          <w:lang w:val="de-DE"/>
        </w:rPr>
      </w:pPr>
      <w:r>
        <w:rPr>
          <w:lang w:val="de-DE"/>
        </w:rPr>
        <w:t>I.15 Armutsquote in ländlichen Gebieten</w:t>
      </w:r>
    </w:p>
    <w:p w:rsidR="00B3609C" w:rsidRDefault="00882296">
      <w:pPr>
        <w:pStyle w:val="Hlistbullet"/>
        <w:numPr>
          <w:ilvl w:val="0"/>
          <w:numId w:val="3"/>
        </w:numPr>
        <w:spacing w:line="276" w:lineRule="auto"/>
        <w:ind w:left="600" w:hanging="600"/>
        <w:rPr>
          <w:lang w:val="de-DE"/>
        </w:rPr>
      </w:pPr>
      <w:r>
        <w:rPr>
          <w:lang w:val="de-DE"/>
        </w:rPr>
        <w:t>I.16 BIP pro Kopf in ländlichen Gebieten</w:t>
      </w:r>
    </w:p>
    <w:p w:rsidR="00B3609C" w:rsidRDefault="00882296">
      <w:pPr>
        <w:pStyle w:val="Heading2"/>
        <w:tabs>
          <w:tab w:val="left" w:pos="600"/>
        </w:tabs>
        <w:ind w:left="600" w:hanging="600"/>
        <w:rPr>
          <w:lang w:val="de-DE"/>
        </w:rPr>
      </w:pPr>
      <w:r>
        <w:rPr>
          <w:lang w:val="de-DE"/>
        </w:rPr>
        <w:t xml:space="preserve"> Vorgaben für die Berichterstattung zu den CEQ im Jahr 2019</w:t>
      </w:r>
    </w:p>
    <w:p w:rsidR="00B3609C" w:rsidRDefault="00882296">
      <w:pPr>
        <w:pStyle w:val="HStandard"/>
        <w:rPr>
          <w:lang w:val="de-DE"/>
        </w:rPr>
      </w:pPr>
      <w:r>
        <w:rPr>
          <w:lang w:val="de-DE"/>
        </w:rPr>
        <w:t xml:space="preserve">Im Jahr 2019 müssen die Mitgliedstaaten bei der Berichterstattung über ihre Bewertungsergebnisse alle relevanten gemeinsamen und programmspezifischen Bewertungsfragen in ihren jeweiligen Abschnitten des jährlichen Durchführungsberichts beantworten. </w:t>
      </w:r>
    </w:p>
    <w:p w:rsidR="00B3609C" w:rsidRDefault="00882296">
      <w:pPr>
        <w:pStyle w:val="HStandard"/>
        <w:rPr>
          <w:lang w:val="de-DE"/>
        </w:rPr>
      </w:pPr>
      <w:r>
        <w:rPr>
          <w:lang w:val="de-DE"/>
        </w:rPr>
        <w:t>Wie auch bei den CEQ 1–21 sollten die Antworten auf die CEQ zu den Zielen auf EU-Ebene (CEQ 22–30) auf den Erkenntnissen der Bewertungsergebnisse basieren. Beurteilungen des Erfolgs der Interventionen werden mithilfe von Beurteilungskriterien formuliert und mit gemeinsamen und zusätzlichen Wirkungsindikatoren sowie mit Indikatoren, die mit der EU-Strategie für intelligentes, nachhaltiges und integratives Wachstum verknüpft sind, bemessen. Außerdem besteht die Möglichkeit, bei einem Mangel an Daten qualitative Informationen zu sammeln, um die Bewertungsfragen zu beantworten.</w:t>
      </w:r>
    </w:p>
    <w:p w:rsidR="00B3609C" w:rsidRDefault="00882296">
      <w:pPr>
        <w:pStyle w:val="HHeading4"/>
        <w:rPr>
          <w:lang w:val="de-DE"/>
        </w:rPr>
      </w:pPr>
      <w:r>
        <w:rPr>
          <w:bCs/>
          <w:lang w:val="de-DE"/>
        </w:rPr>
        <w:lastRenderedPageBreak/>
        <w:t>Allgemeine Schritte für die Beantwortung der Bewertungsfragen</w:t>
      </w:r>
    </w:p>
    <w:p w:rsidR="00B3609C" w:rsidRDefault="00882296">
      <w:pPr>
        <w:pStyle w:val="HStandard"/>
        <w:rPr>
          <w:rFonts w:cs="Arial"/>
          <w:lang w:val="de-DE"/>
        </w:rPr>
      </w:pPr>
      <w:r>
        <w:rPr>
          <w:rFonts w:cs="Arial"/>
          <w:lang w:val="de-DE"/>
        </w:rPr>
        <w:t>Die folgenden allgemeinen Schritte werden für die Formulierung der Antworten auf die CEQ 22–30 empfohlen:</w:t>
      </w:r>
    </w:p>
    <w:p w:rsidR="00B3609C" w:rsidRDefault="00882296">
      <w:pPr>
        <w:pStyle w:val="Hlistbullet"/>
        <w:numPr>
          <w:ilvl w:val="0"/>
          <w:numId w:val="3"/>
        </w:numPr>
        <w:spacing w:line="276" w:lineRule="auto"/>
        <w:ind w:left="600" w:hanging="600"/>
        <w:rPr>
          <w:lang w:val="de-DE"/>
        </w:rPr>
      </w:pPr>
      <w:r>
        <w:rPr>
          <w:lang w:val="de-DE"/>
        </w:rPr>
        <w:t>Prüfung der Programminterventionslogik, die mit den GAP-Zielen/den Zielen der Strategie Europa 2020, der (den) Priorität(en) der ländlichen Entwicklung, dem Schwerpunktbereich bzw. den Schwerpunktbereichen und den Maßnahmen der jeweiligen Bewertungsfrage verknüpft sind;</w:t>
      </w:r>
    </w:p>
    <w:p w:rsidR="00B3609C" w:rsidRDefault="00882296">
      <w:pPr>
        <w:pStyle w:val="Hlistbullet"/>
        <w:numPr>
          <w:ilvl w:val="0"/>
          <w:numId w:val="3"/>
        </w:numPr>
        <w:spacing w:line="276" w:lineRule="auto"/>
        <w:ind w:left="600" w:hanging="600"/>
        <w:rPr>
          <w:lang w:val="de-DE"/>
        </w:rPr>
      </w:pPr>
      <w:r>
        <w:rPr>
          <w:lang w:val="de-DE"/>
        </w:rPr>
        <w:t xml:space="preserve">Definition von Beurteilungskriterien und Verknüpfung derselben mit den gemeinsamen (und zusätzlichen) Wirkungsindikatoren, die für die Beantwortung der Bewertungsfragen herangezogen werden; </w:t>
      </w:r>
    </w:p>
    <w:p w:rsidR="00B3609C" w:rsidRDefault="00882296">
      <w:pPr>
        <w:pStyle w:val="Hlistbullet"/>
        <w:numPr>
          <w:ilvl w:val="0"/>
          <w:numId w:val="3"/>
        </w:numPr>
        <w:spacing w:line="276" w:lineRule="auto"/>
        <w:ind w:left="600" w:hanging="600"/>
        <w:rPr>
          <w:lang w:val="de-DE"/>
        </w:rPr>
      </w:pPr>
      <w:r>
        <w:rPr>
          <w:lang w:val="de-DE"/>
        </w:rPr>
        <w:t>Auswahl quantitativer und qualitativer Methoden zur Bewertung der Nettowerte</w:t>
      </w:r>
      <w:r>
        <w:rPr>
          <w:rStyle w:val="FootnoteReference"/>
          <w:i w:val="0"/>
          <w:sz w:val="20"/>
          <w:vertAlign w:val="superscript"/>
          <w:lang w:val="de-DE"/>
        </w:rPr>
        <w:footnoteReference w:id="23"/>
      </w:r>
      <w:r>
        <w:rPr>
          <w:lang w:val="de-DE"/>
        </w:rPr>
        <w:t xml:space="preserve"> der Wirkungsindikatoren;</w:t>
      </w:r>
    </w:p>
    <w:p w:rsidR="00B3609C" w:rsidRDefault="00882296">
      <w:pPr>
        <w:pStyle w:val="Hlistbullet"/>
        <w:numPr>
          <w:ilvl w:val="0"/>
          <w:numId w:val="3"/>
        </w:numPr>
        <w:spacing w:line="276" w:lineRule="auto"/>
        <w:ind w:left="600" w:hanging="600"/>
        <w:rPr>
          <w:lang w:val="de-DE"/>
        </w:rPr>
      </w:pPr>
      <w:r>
        <w:rPr>
          <w:lang w:val="de-DE"/>
        </w:rPr>
        <w:t xml:space="preserve">Bereitstellung quantitativer Werte für die Ergebnis- und Wirkungsindikatoren sowie relevanter qualitativer Ergebnisse zur Beantwortung der Bewertungsfragen; </w:t>
      </w:r>
    </w:p>
    <w:p w:rsidR="00B3609C" w:rsidRDefault="00882296">
      <w:pPr>
        <w:pStyle w:val="Hlistbullet"/>
        <w:numPr>
          <w:ilvl w:val="0"/>
          <w:numId w:val="3"/>
        </w:numPr>
        <w:spacing w:line="276" w:lineRule="auto"/>
        <w:ind w:left="600" w:hanging="600"/>
        <w:rPr>
          <w:lang w:val="de-DE"/>
        </w:rPr>
      </w:pPr>
      <w:r>
        <w:rPr>
          <w:lang w:val="de-DE"/>
        </w:rPr>
        <w:t>Beantwortung der Bewertungsfragen.</w:t>
      </w:r>
    </w:p>
    <w:p w:rsidR="00B3609C" w:rsidRDefault="00882296">
      <w:pPr>
        <w:pStyle w:val="HStandard"/>
        <w:rPr>
          <w:lang w:val="de-DE"/>
        </w:rPr>
      </w:pPr>
      <w:r>
        <w:rPr>
          <w:lang w:val="de-DE"/>
        </w:rPr>
        <w:t xml:space="preserve">Diese Schritte ähneln denen, die für die Durchführung der Bewertung für 2017 empfohlen werden. Allerdings treten bei der Bewertung für 2019 möglicherweise neue Herausforderungen auf, die in </w:t>
      </w:r>
      <w:r>
        <w:rPr>
          <w:color w:val="F07E31" w:themeColor="accent1"/>
          <w:lang w:val="de-DE"/>
        </w:rPr>
        <w:t xml:space="preserve">Teil II </w:t>
      </w:r>
      <w:r>
        <w:rPr>
          <w:lang w:val="de-DE"/>
        </w:rPr>
        <w:t xml:space="preserve">dieser Leitlinien detailliert erläutert werden. </w:t>
      </w:r>
    </w:p>
    <w:p w:rsidR="00B3609C" w:rsidRDefault="00882296">
      <w:pPr>
        <w:pStyle w:val="HHeading4"/>
        <w:rPr>
          <w:lang w:val="de-DE"/>
        </w:rPr>
      </w:pPr>
      <w:r>
        <w:rPr>
          <w:bCs/>
          <w:lang w:val="de-DE"/>
        </w:rPr>
        <w:t xml:space="preserve">Anleitungen für die CEQ, die im Rahmen der Bewertung für 2019 zu beantworten sind </w:t>
      </w:r>
    </w:p>
    <w:p w:rsidR="00B3609C" w:rsidRDefault="00882296">
      <w:pPr>
        <w:pStyle w:val="HStandard"/>
        <w:rPr>
          <w:lang w:val="de-DE"/>
        </w:rPr>
      </w:pPr>
      <w:r>
        <w:rPr>
          <w:lang w:val="de-DE"/>
        </w:rPr>
        <w:t xml:space="preserve">Die vorliegenden Leitlinien enthalten detaillierte Informationen zur Beantwortung der gemeinsamen Bewertungsfragen, die mit den Zielen auf EU-Ebene verknüpft sind (CEQ 22–30). Bei Bedarf wird in diesen Leitlinien auf andere relevante Leitfäden verwiesen, etwa in Tabelle 1. </w:t>
      </w:r>
    </w:p>
    <w:p w:rsidR="00B3609C" w:rsidRDefault="00882296">
      <w:pPr>
        <w:spacing w:after="0" w:line="280" w:lineRule="atLeast"/>
        <w:rPr>
          <w:rFonts w:cs="Arial"/>
          <w:color w:val="373737" w:themeColor="text1"/>
          <w:sz w:val="20"/>
          <w:szCs w:val="20"/>
          <w:lang w:val="de-DE"/>
        </w:rPr>
      </w:pPr>
      <w:r>
        <w:rPr>
          <w:rFonts w:cs="Arial"/>
          <w:color w:val="373737" w:themeColor="text1"/>
          <w:sz w:val="20"/>
          <w:szCs w:val="20"/>
          <w:lang w:val="de-DE"/>
        </w:rPr>
        <w:t>Die Anleitungen für die Beantwortung der gemeinsamen Bewertungsfragen, die mit den Schwerpunktbereichen der ländlichen Entwicklung, den Programmsynergien, der technischen Hilfe und dem Nationalen Netz für den ländlichen Raum verknüpft sind (CEQ 1–21), sind in folgenden Dokumenten enthalten:</w:t>
      </w:r>
    </w:p>
    <w:p w:rsidR="00B3609C" w:rsidRDefault="00882296">
      <w:pPr>
        <w:pStyle w:val="Hlistbullet"/>
        <w:numPr>
          <w:ilvl w:val="0"/>
          <w:numId w:val="3"/>
        </w:numPr>
        <w:spacing w:line="276" w:lineRule="auto"/>
        <w:ind w:left="600" w:hanging="600"/>
        <w:rPr>
          <w:lang w:val="de-DE"/>
        </w:rPr>
      </w:pPr>
      <w:r>
        <w:rPr>
          <w:lang w:val="de-DE"/>
        </w:rPr>
        <w:t xml:space="preserve">In den </w:t>
      </w:r>
      <w:r>
        <w:rPr>
          <w:i/>
          <w:iCs/>
          <w:lang w:val="de-DE"/>
        </w:rPr>
        <w:t>Leitlinien „</w:t>
      </w:r>
      <w:hyperlink r:id="rId19" w:history="1">
        <w:r>
          <w:rPr>
            <w:rStyle w:val="Hyperlink"/>
            <w:i/>
            <w:iCs/>
            <w:color w:val="373737" w:themeColor="text1"/>
            <w:u w:val="none"/>
            <w:lang w:val="de-DE"/>
          </w:rPr>
          <w:t xml:space="preserve">Assessment </w:t>
        </w:r>
        <w:proofErr w:type="spellStart"/>
        <w:r>
          <w:rPr>
            <w:rStyle w:val="Hyperlink"/>
            <w:i/>
            <w:iCs/>
            <w:color w:val="373737" w:themeColor="text1"/>
            <w:u w:val="none"/>
            <w:lang w:val="de-DE"/>
          </w:rPr>
          <w:t>of</w:t>
        </w:r>
        <w:proofErr w:type="spellEnd"/>
        <w:r>
          <w:rPr>
            <w:rStyle w:val="Hyperlink"/>
            <w:i/>
            <w:iCs/>
            <w:color w:val="373737" w:themeColor="text1"/>
            <w:u w:val="none"/>
            <w:lang w:val="de-DE"/>
          </w:rPr>
          <w:t xml:space="preserve"> RDP </w:t>
        </w:r>
        <w:proofErr w:type="spellStart"/>
        <w:r>
          <w:rPr>
            <w:rStyle w:val="Hyperlink"/>
            <w:i/>
            <w:iCs/>
            <w:color w:val="373737" w:themeColor="text1"/>
            <w:u w:val="none"/>
            <w:lang w:val="de-DE"/>
          </w:rPr>
          <w:t>results</w:t>
        </w:r>
        <w:proofErr w:type="spellEnd"/>
        <w:r>
          <w:rPr>
            <w:rStyle w:val="Hyperlink"/>
            <w:i/>
            <w:iCs/>
            <w:color w:val="373737" w:themeColor="text1"/>
            <w:u w:val="none"/>
            <w:lang w:val="de-DE"/>
          </w:rPr>
          <w:t xml:space="preserve">: </w:t>
        </w:r>
        <w:proofErr w:type="spellStart"/>
        <w:r>
          <w:rPr>
            <w:rStyle w:val="Hyperlink"/>
            <w:i/>
            <w:iCs/>
            <w:color w:val="373737" w:themeColor="text1"/>
            <w:u w:val="none"/>
            <w:lang w:val="de-DE"/>
          </w:rPr>
          <w:t>how</w:t>
        </w:r>
        <w:proofErr w:type="spellEnd"/>
        <w:r>
          <w:rPr>
            <w:rStyle w:val="Hyperlink"/>
            <w:i/>
            <w:iCs/>
            <w:color w:val="373737" w:themeColor="text1"/>
            <w:u w:val="none"/>
            <w:lang w:val="de-DE"/>
          </w:rPr>
          <w:t xml:space="preserve"> </w:t>
        </w:r>
        <w:proofErr w:type="spellStart"/>
        <w:r>
          <w:rPr>
            <w:rStyle w:val="Hyperlink"/>
            <w:i/>
            <w:iCs/>
            <w:color w:val="373737" w:themeColor="text1"/>
            <w:u w:val="none"/>
            <w:lang w:val="de-DE"/>
          </w:rPr>
          <w:t>to</w:t>
        </w:r>
        <w:proofErr w:type="spellEnd"/>
        <w:r>
          <w:rPr>
            <w:rStyle w:val="Hyperlink"/>
            <w:i/>
            <w:iCs/>
            <w:color w:val="373737" w:themeColor="text1"/>
            <w:u w:val="none"/>
            <w:lang w:val="de-DE"/>
          </w:rPr>
          <w:t xml:space="preserve"> </w:t>
        </w:r>
        <w:proofErr w:type="spellStart"/>
        <w:r>
          <w:rPr>
            <w:rStyle w:val="Hyperlink"/>
            <w:i/>
            <w:iCs/>
            <w:color w:val="373737" w:themeColor="text1"/>
            <w:u w:val="none"/>
            <w:lang w:val="de-DE"/>
          </w:rPr>
          <w:t>prepare</w:t>
        </w:r>
        <w:proofErr w:type="spellEnd"/>
        <w:r>
          <w:rPr>
            <w:rStyle w:val="Hyperlink"/>
            <w:i/>
            <w:iCs/>
            <w:color w:val="373737" w:themeColor="text1"/>
            <w:u w:val="none"/>
            <w:lang w:val="de-DE"/>
          </w:rPr>
          <w:t xml:space="preserve"> </w:t>
        </w:r>
        <w:proofErr w:type="spellStart"/>
        <w:r>
          <w:rPr>
            <w:rStyle w:val="Hyperlink"/>
            <w:i/>
            <w:iCs/>
            <w:color w:val="373737" w:themeColor="text1"/>
            <w:u w:val="none"/>
            <w:lang w:val="de-DE"/>
          </w:rPr>
          <w:t>for</w:t>
        </w:r>
        <w:proofErr w:type="spellEnd"/>
        <w:r>
          <w:rPr>
            <w:rStyle w:val="Hyperlink"/>
            <w:i/>
            <w:iCs/>
            <w:color w:val="373737" w:themeColor="text1"/>
            <w:u w:val="none"/>
            <w:lang w:val="de-DE"/>
          </w:rPr>
          <w:t xml:space="preserve"> </w:t>
        </w:r>
        <w:proofErr w:type="spellStart"/>
        <w:r>
          <w:rPr>
            <w:rStyle w:val="Hyperlink"/>
            <w:i/>
            <w:iCs/>
            <w:color w:val="373737" w:themeColor="text1"/>
            <w:u w:val="none"/>
            <w:lang w:val="de-DE"/>
          </w:rPr>
          <w:t>reporting</w:t>
        </w:r>
        <w:proofErr w:type="spellEnd"/>
        <w:r>
          <w:rPr>
            <w:rStyle w:val="Hyperlink"/>
            <w:i/>
            <w:iCs/>
            <w:color w:val="373737" w:themeColor="text1"/>
            <w:u w:val="none"/>
            <w:lang w:val="de-DE"/>
          </w:rPr>
          <w:t xml:space="preserve"> on </w:t>
        </w:r>
        <w:proofErr w:type="spellStart"/>
        <w:r>
          <w:rPr>
            <w:rStyle w:val="Hyperlink"/>
            <w:i/>
            <w:iCs/>
            <w:color w:val="373737" w:themeColor="text1"/>
            <w:u w:val="none"/>
            <w:lang w:val="de-DE"/>
          </w:rPr>
          <w:t>evaluation</w:t>
        </w:r>
        <w:proofErr w:type="spellEnd"/>
        <w:r>
          <w:rPr>
            <w:rStyle w:val="Hyperlink"/>
            <w:i/>
            <w:iCs/>
            <w:color w:val="373737" w:themeColor="text1"/>
            <w:u w:val="none"/>
            <w:lang w:val="de-DE"/>
          </w:rPr>
          <w:t xml:space="preserve"> in 2017“</w:t>
        </w:r>
      </w:hyperlink>
      <w:r>
        <w:rPr>
          <w:lang w:val="de-DE"/>
        </w:rPr>
        <w:t xml:space="preserve"> wird dargelegt, wie bei der Berichterstattung über Bewertungen, die für den jährlichen Durchführungsbericht 2017 und danach durchgeführt wurden, vorzugehen ist. Die Leitlinien zeigen mögliche Ansätze für die Bewertung der Ergebnisse des Programms zur Entwicklung des ländlichen Raums im Jahr 2017, die in Bezug auf die CEQ 1–21 auch für 2019 gültig bleiben. </w:t>
      </w:r>
    </w:p>
    <w:p w:rsidR="00B3609C" w:rsidRDefault="001E023A">
      <w:pPr>
        <w:pStyle w:val="Hlistbullet"/>
        <w:numPr>
          <w:ilvl w:val="0"/>
          <w:numId w:val="3"/>
        </w:numPr>
        <w:spacing w:line="276" w:lineRule="auto"/>
        <w:ind w:left="600" w:hanging="600"/>
        <w:rPr>
          <w:lang w:val="de-DE"/>
        </w:rPr>
      </w:pPr>
      <w:hyperlink r:id="rId20" w:history="1">
        <w:r w:rsidR="00882296">
          <w:rPr>
            <w:rStyle w:val="Hyperlink"/>
            <w:i/>
            <w:iCs/>
            <w:color w:val="373737" w:themeColor="text1"/>
            <w:u w:val="none"/>
            <w:lang w:val="de-DE"/>
          </w:rPr>
          <w:t xml:space="preserve">Anhang 11 – Fiches </w:t>
        </w:r>
        <w:proofErr w:type="spellStart"/>
        <w:r w:rsidR="00882296">
          <w:rPr>
            <w:rStyle w:val="Hyperlink"/>
            <w:i/>
            <w:iCs/>
            <w:color w:val="373737" w:themeColor="text1"/>
            <w:u w:val="none"/>
            <w:lang w:val="de-DE"/>
          </w:rPr>
          <w:t>for</w:t>
        </w:r>
        <w:proofErr w:type="spellEnd"/>
        <w:r w:rsidR="00882296">
          <w:rPr>
            <w:rStyle w:val="Hyperlink"/>
            <w:i/>
            <w:iCs/>
            <w:color w:val="373737" w:themeColor="text1"/>
            <w:u w:val="none"/>
            <w:lang w:val="de-DE"/>
          </w:rPr>
          <w:t xml:space="preserve"> </w:t>
        </w:r>
        <w:proofErr w:type="spellStart"/>
        <w:r w:rsidR="00882296">
          <w:rPr>
            <w:rStyle w:val="Hyperlink"/>
            <w:i/>
            <w:iCs/>
            <w:color w:val="373737" w:themeColor="text1"/>
            <w:u w:val="none"/>
            <w:lang w:val="de-DE"/>
          </w:rPr>
          <w:t>answering</w:t>
        </w:r>
        <w:proofErr w:type="spellEnd"/>
        <w:r w:rsidR="00882296">
          <w:rPr>
            <w:rStyle w:val="Hyperlink"/>
            <w:i/>
            <w:iCs/>
            <w:color w:val="373737" w:themeColor="text1"/>
            <w:u w:val="none"/>
            <w:lang w:val="de-DE"/>
          </w:rPr>
          <w:t xml:space="preserve"> Common Evaluation Questions </w:t>
        </w:r>
        <w:proofErr w:type="spellStart"/>
        <w:r w:rsidR="00882296">
          <w:rPr>
            <w:rStyle w:val="Hyperlink"/>
            <w:i/>
            <w:iCs/>
            <w:color w:val="373737" w:themeColor="text1"/>
            <w:u w:val="none"/>
            <w:lang w:val="de-DE"/>
          </w:rPr>
          <w:t>for</w:t>
        </w:r>
        <w:proofErr w:type="spellEnd"/>
        <w:r w:rsidR="00882296">
          <w:rPr>
            <w:rStyle w:val="Hyperlink"/>
            <w:i/>
            <w:iCs/>
            <w:color w:val="373737" w:themeColor="text1"/>
            <w:u w:val="none"/>
            <w:lang w:val="de-DE"/>
          </w:rPr>
          <w:t xml:space="preserve"> </w:t>
        </w:r>
        <w:proofErr w:type="gramStart"/>
        <w:r w:rsidR="00882296">
          <w:rPr>
            <w:rStyle w:val="Hyperlink"/>
            <w:i/>
            <w:iCs/>
            <w:color w:val="373737" w:themeColor="text1"/>
            <w:u w:val="none"/>
            <w:lang w:val="de-DE"/>
          </w:rPr>
          <w:t>Rural</w:t>
        </w:r>
        <w:proofErr w:type="gramEnd"/>
        <w:r w:rsidR="00882296">
          <w:rPr>
            <w:rStyle w:val="Hyperlink"/>
            <w:i/>
            <w:iCs/>
            <w:color w:val="373737" w:themeColor="text1"/>
            <w:u w:val="none"/>
            <w:lang w:val="de-DE"/>
          </w:rPr>
          <w:t xml:space="preserve"> Development Programmes 2014–2020</w:t>
        </w:r>
      </w:hyperlink>
      <w:r w:rsidR="00882296">
        <w:rPr>
          <w:lang w:val="de-DE"/>
        </w:rPr>
        <w:t xml:space="preserve"> enthält technische Unterstützung für die Beantwortung der CEQ. 1–21. In diesem Anhang werden die mit jeder CEQ verknüpfte Interventionslogik aufgezeigt, nützliche Bewertungselemente beschrieben und Bewertungsmethoden vorgeschlagen.</w:t>
      </w:r>
    </w:p>
    <w:p w:rsidR="00B3609C" w:rsidRDefault="00882296">
      <w:pPr>
        <w:pStyle w:val="HStandard"/>
        <w:rPr>
          <w:lang w:val="de-DE"/>
        </w:rPr>
      </w:pPr>
      <w:r>
        <w:rPr>
          <w:lang w:val="de-DE"/>
        </w:rPr>
        <w:t xml:space="preserve">Tabelle 1 enthält einen Überblick über die Dokumente, die für die Beantwortung der CEQ im jährlichen Durchführungsbericht 2019 am relevantesten sind: </w:t>
      </w:r>
    </w:p>
    <w:p w:rsidR="00B3609C" w:rsidRDefault="00882296">
      <w:pPr>
        <w:pStyle w:val="HHeadingtables"/>
        <w:rPr>
          <w:lang w:val="de-DE"/>
        </w:rPr>
      </w:pPr>
      <w:r>
        <w:rPr>
          <w:b w:val="0"/>
          <w:lang w:val="de-DE"/>
        </w:rPr>
        <w:br w:type="column"/>
      </w:r>
      <w:r>
        <w:rPr>
          <w:bCs/>
          <w:lang w:val="de-DE"/>
        </w:rPr>
        <w:lastRenderedPageBreak/>
        <w:t>Leitfaden für die Beantwortung der CEQ im jährlichen Durchführungsbericht 2019</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129"/>
        <w:gridCol w:w="2410"/>
        <w:gridCol w:w="5477"/>
      </w:tblGrid>
      <w:tr w:rsidR="00B3609C" w:rsidRPr="0080587B">
        <w:trPr>
          <w:tblHeader/>
        </w:trPr>
        <w:tc>
          <w:tcPr>
            <w:tcW w:w="1129" w:type="dxa"/>
            <w:shd w:val="clear" w:color="auto" w:fill="F07E31" w:themeFill="accent1"/>
          </w:tcPr>
          <w:p w:rsidR="00B3609C" w:rsidRDefault="00882296">
            <w:pPr>
              <w:pStyle w:val="HStandard"/>
              <w:jc w:val="center"/>
              <w:rPr>
                <w:b/>
                <w:color w:val="FFFFFF" w:themeColor="background1"/>
                <w:lang w:val="de-DE"/>
              </w:rPr>
            </w:pPr>
            <w:r>
              <w:rPr>
                <w:b/>
                <w:bCs/>
                <w:color w:val="FFFFFF" w:themeColor="background1"/>
                <w:lang w:val="de-DE"/>
              </w:rPr>
              <w:t>CEQ</w:t>
            </w:r>
          </w:p>
        </w:tc>
        <w:tc>
          <w:tcPr>
            <w:tcW w:w="2410" w:type="dxa"/>
            <w:shd w:val="clear" w:color="auto" w:fill="F07E31" w:themeFill="accent1"/>
          </w:tcPr>
          <w:p w:rsidR="00B3609C" w:rsidRDefault="00882296">
            <w:pPr>
              <w:pStyle w:val="HStandard"/>
              <w:jc w:val="center"/>
              <w:rPr>
                <w:b/>
                <w:color w:val="FFFFFF" w:themeColor="background1"/>
                <w:lang w:val="de-DE"/>
              </w:rPr>
            </w:pPr>
            <w:r>
              <w:rPr>
                <w:b/>
                <w:bCs/>
                <w:color w:val="FFFFFF" w:themeColor="background1"/>
                <w:lang w:val="de-DE"/>
              </w:rPr>
              <w:t>Dokument</w:t>
            </w:r>
          </w:p>
        </w:tc>
        <w:tc>
          <w:tcPr>
            <w:tcW w:w="5477" w:type="dxa"/>
            <w:shd w:val="clear" w:color="auto" w:fill="F07E31" w:themeFill="accent1"/>
          </w:tcPr>
          <w:p w:rsidR="00B3609C" w:rsidRDefault="00882296">
            <w:pPr>
              <w:pStyle w:val="HStandard"/>
              <w:jc w:val="center"/>
              <w:rPr>
                <w:b/>
                <w:color w:val="FFFFFF" w:themeColor="background1"/>
                <w:lang w:val="de-DE"/>
              </w:rPr>
            </w:pPr>
            <w:r>
              <w:rPr>
                <w:b/>
                <w:bCs/>
                <w:color w:val="FFFFFF" w:themeColor="background1"/>
                <w:lang w:val="de-DE"/>
              </w:rPr>
              <w:t>Relevanz für den jährlichen Durchführungsbericht 2019</w:t>
            </w:r>
          </w:p>
        </w:tc>
      </w:tr>
      <w:tr w:rsidR="00B3609C" w:rsidRPr="0080587B">
        <w:trPr>
          <w:trHeight w:val="1091"/>
        </w:trPr>
        <w:tc>
          <w:tcPr>
            <w:tcW w:w="1129" w:type="dxa"/>
            <w:vMerge w:val="restart"/>
          </w:tcPr>
          <w:p w:rsidR="00B3609C" w:rsidRDefault="00882296">
            <w:pPr>
              <w:pStyle w:val="HStandard"/>
              <w:jc w:val="center"/>
              <w:rPr>
                <w:lang w:val="de-DE"/>
              </w:rPr>
            </w:pPr>
            <w:r>
              <w:rPr>
                <w:lang w:val="de-DE"/>
              </w:rPr>
              <w:t>1 – 21</w:t>
            </w:r>
          </w:p>
        </w:tc>
        <w:tc>
          <w:tcPr>
            <w:tcW w:w="2410" w:type="dxa"/>
          </w:tcPr>
          <w:p w:rsidR="00B3609C" w:rsidRDefault="001E023A">
            <w:pPr>
              <w:pStyle w:val="HStandard"/>
              <w:jc w:val="left"/>
              <w:rPr>
                <w:lang w:val="de-DE"/>
              </w:rPr>
            </w:pPr>
            <w:hyperlink r:id="rId21" w:history="1">
              <w:r w:rsidR="00882296">
                <w:rPr>
                  <w:rStyle w:val="Hyperlink"/>
                  <w:rFonts w:cs="Arial"/>
                  <w:lang w:val="de-DE"/>
                </w:rPr>
                <w:t>Datenblätter für die Zielindikatoren für die zweite Säule (Priorität I und II)</w:t>
              </w:r>
            </w:hyperlink>
          </w:p>
        </w:tc>
        <w:tc>
          <w:tcPr>
            <w:tcW w:w="5477" w:type="dxa"/>
          </w:tcPr>
          <w:p w:rsidR="00B3609C" w:rsidRDefault="00882296">
            <w:pPr>
              <w:pStyle w:val="HStandard"/>
              <w:rPr>
                <w:lang w:val="de-DE"/>
              </w:rPr>
            </w:pPr>
            <w:r>
              <w:rPr>
                <w:lang w:val="de-DE"/>
              </w:rPr>
              <w:t>Zeigt für jeden Indikator die Verbindungen zur jeweiligen Priorität bzw. zum jeweiligen Schwerpunktbereich, die Definition und Angaben zur Maßeinheit, zur Methode zur Berechnung der Werte, zu den erforderlichen Daten und Datenquellen sowie Informationen zur Häufigkeit der Datenerhebung und die Mittel zur Übertragung an die Europäische Kommission.</w:t>
            </w:r>
          </w:p>
        </w:tc>
      </w:tr>
      <w:tr w:rsidR="00B3609C" w:rsidRPr="0080587B">
        <w:trPr>
          <w:trHeight w:val="290"/>
        </w:trPr>
        <w:tc>
          <w:tcPr>
            <w:tcW w:w="1129" w:type="dxa"/>
            <w:vMerge/>
          </w:tcPr>
          <w:p w:rsidR="00B3609C" w:rsidRDefault="00B3609C">
            <w:pPr>
              <w:pStyle w:val="HStandard"/>
              <w:jc w:val="center"/>
              <w:rPr>
                <w:lang w:val="de-DE"/>
              </w:rPr>
            </w:pPr>
          </w:p>
        </w:tc>
        <w:tc>
          <w:tcPr>
            <w:tcW w:w="2410" w:type="dxa"/>
          </w:tcPr>
          <w:p w:rsidR="00B3609C" w:rsidRDefault="001E023A">
            <w:pPr>
              <w:pStyle w:val="HStandard"/>
              <w:jc w:val="left"/>
              <w:rPr>
                <w:lang w:val="de-DE"/>
              </w:rPr>
            </w:pPr>
            <w:hyperlink r:id="rId22" w:history="1">
              <w:r w:rsidR="00882296">
                <w:rPr>
                  <w:rStyle w:val="Hyperlink"/>
                  <w:rFonts w:cs="Arial"/>
                  <w:lang w:val="de-DE"/>
                </w:rPr>
                <w:t>Datenblätter für ergänzende Ergebnisindikatoren für die zweite Säule</w:t>
              </w:r>
            </w:hyperlink>
          </w:p>
        </w:tc>
        <w:tc>
          <w:tcPr>
            <w:tcW w:w="5477" w:type="dxa"/>
          </w:tcPr>
          <w:p w:rsidR="00B3609C" w:rsidRDefault="00882296">
            <w:pPr>
              <w:pStyle w:val="HStandard"/>
              <w:rPr>
                <w:lang w:val="de-DE"/>
              </w:rPr>
            </w:pPr>
            <w:r>
              <w:rPr>
                <w:lang w:val="de-DE"/>
              </w:rPr>
              <w:t>Enthält ähnliche Anleitungen für die ergänzenden Ergebnisindikatoren.</w:t>
            </w:r>
          </w:p>
        </w:tc>
      </w:tr>
      <w:tr w:rsidR="00B3609C" w:rsidRPr="0080587B">
        <w:trPr>
          <w:trHeight w:val="290"/>
        </w:trPr>
        <w:tc>
          <w:tcPr>
            <w:tcW w:w="1129" w:type="dxa"/>
            <w:vMerge/>
          </w:tcPr>
          <w:p w:rsidR="00B3609C" w:rsidRDefault="00B3609C">
            <w:pPr>
              <w:pStyle w:val="HStandard"/>
              <w:jc w:val="center"/>
              <w:rPr>
                <w:lang w:val="de-DE"/>
              </w:rPr>
            </w:pPr>
          </w:p>
        </w:tc>
        <w:tc>
          <w:tcPr>
            <w:tcW w:w="2410" w:type="dxa"/>
          </w:tcPr>
          <w:p w:rsidR="00B3609C" w:rsidRDefault="001E023A">
            <w:pPr>
              <w:pStyle w:val="HStandard"/>
              <w:jc w:val="left"/>
              <w:rPr>
                <w:lang w:val="en-US"/>
              </w:rPr>
            </w:pPr>
            <w:hyperlink r:id="rId23" w:history="1">
              <w:r w:rsidR="00882296">
                <w:rPr>
                  <w:rStyle w:val="Hyperlink"/>
                  <w:lang w:val="en-US"/>
                </w:rPr>
                <w:t>Guidelines Assessment of RDP results: how to prepare for reporting on evaluation in 2017</w:t>
              </w:r>
            </w:hyperlink>
            <w:r w:rsidR="00882296">
              <w:rPr>
                <w:rStyle w:val="Hyperlink"/>
                <w:lang w:val="en-US"/>
              </w:rPr>
              <w:t xml:space="preserve"> (</w:t>
            </w:r>
            <w:proofErr w:type="spellStart"/>
            <w:r w:rsidR="00882296">
              <w:rPr>
                <w:rStyle w:val="Hyperlink"/>
                <w:lang w:val="en-US"/>
              </w:rPr>
              <w:t>separater</w:t>
            </w:r>
            <w:proofErr w:type="spellEnd"/>
            <w:r w:rsidR="00882296">
              <w:rPr>
                <w:rStyle w:val="Hyperlink"/>
                <w:lang w:val="en-US"/>
              </w:rPr>
              <w:t xml:space="preserve"> </w:t>
            </w:r>
            <w:proofErr w:type="spellStart"/>
            <w:r w:rsidR="00882296">
              <w:rPr>
                <w:rStyle w:val="Hyperlink"/>
                <w:lang w:val="en-US"/>
              </w:rPr>
              <w:t>Anhang</w:t>
            </w:r>
            <w:proofErr w:type="spellEnd"/>
            <w:r w:rsidR="00882296">
              <w:rPr>
                <w:rStyle w:val="Hyperlink"/>
                <w:lang w:val="en-US"/>
              </w:rPr>
              <w:t> 11)</w:t>
            </w:r>
          </w:p>
        </w:tc>
        <w:tc>
          <w:tcPr>
            <w:tcW w:w="5477" w:type="dxa"/>
          </w:tcPr>
          <w:p w:rsidR="00B3609C" w:rsidRDefault="00882296">
            <w:pPr>
              <w:pStyle w:val="HStandard"/>
              <w:rPr>
                <w:lang w:val="de-DE"/>
              </w:rPr>
            </w:pPr>
            <w:r>
              <w:rPr>
                <w:lang w:val="de-DE"/>
              </w:rPr>
              <w:t>Enthält Vorschläge zur Berichterstattung über die Bewertungen für den jährlichen Durchführungsbericht 2017, zur Durchführung der Bewertungstätigkeiten und zu den Methoden, die als Grundlage für die Beantwortung der CEQ 1–21 dienen sollten.</w:t>
            </w:r>
          </w:p>
        </w:tc>
      </w:tr>
      <w:tr w:rsidR="00B3609C" w:rsidRPr="0080587B">
        <w:trPr>
          <w:trHeight w:val="290"/>
        </w:trPr>
        <w:tc>
          <w:tcPr>
            <w:tcW w:w="1129" w:type="dxa"/>
            <w:vMerge/>
          </w:tcPr>
          <w:p w:rsidR="00B3609C" w:rsidRDefault="00B3609C">
            <w:pPr>
              <w:pStyle w:val="HStandard"/>
              <w:jc w:val="center"/>
              <w:rPr>
                <w:lang w:val="de-DE"/>
              </w:rPr>
            </w:pPr>
          </w:p>
        </w:tc>
        <w:tc>
          <w:tcPr>
            <w:tcW w:w="2410" w:type="dxa"/>
          </w:tcPr>
          <w:p w:rsidR="00B3609C" w:rsidRDefault="001E023A">
            <w:pPr>
              <w:pStyle w:val="HStandard"/>
              <w:jc w:val="left"/>
              <w:rPr>
                <w:lang w:val="de-DE"/>
              </w:rPr>
            </w:pPr>
            <w:hyperlink r:id="rId24" w:history="1">
              <w:r w:rsidR="00882296">
                <w:rPr>
                  <w:rStyle w:val="Hyperlink"/>
                  <w:lang w:val="de-DE"/>
                </w:rPr>
                <w:t>Leitlinien „Bewertung von LEADER/CLLD“</w:t>
              </w:r>
            </w:hyperlink>
          </w:p>
        </w:tc>
        <w:tc>
          <w:tcPr>
            <w:tcW w:w="5477" w:type="dxa"/>
          </w:tcPr>
          <w:p w:rsidR="00B3609C" w:rsidRDefault="00882296">
            <w:pPr>
              <w:pStyle w:val="HStandard"/>
              <w:rPr>
                <w:lang w:val="de-DE"/>
              </w:rPr>
            </w:pPr>
            <w:r>
              <w:rPr>
                <w:lang w:val="de-DE"/>
              </w:rPr>
              <w:t xml:space="preserve">Erläutert, wie primäre und sekundäre Beiträge von LEADER/CLLD für die Schwerpunktbereiche der ländlichen Entwicklung zu bewerten sind. </w:t>
            </w:r>
          </w:p>
        </w:tc>
      </w:tr>
      <w:tr w:rsidR="00B3609C" w:rsidRPr="0080587B">
        <w:trPr>
          <w:trHeight w:val="290"/>
        </w:trPr>
        <w:tc>
          <w:tcPr>
            <w:tcW w:w="1129" w:type="dxa"/>
            <w:vMerge/>
          </w:tcPr>
          <w:p w:rsidR="00B3609C" w:rsidRDefault="00B3609C">
            <w:pPr>
              <w:pStyle w:val="HStandard"/>
              <w:jc w:val="center"/>
              <w:rPr>
                <w:lang w:val="de-DE"/>
              </w:rPr>
            </w:pPr>
          </w:p>
        </w:tc>
        <w:tc>
          <w:tcPr>
            <w:tcW w:w="2410" w:type="dxa"/>
          </w:tcPr>
          <w:p w:rsidR="00B3609C" w:rsidRDefault="001E023A">
            <w:pPr>
              <w:pStyle w:val="HStandard"/>
              <w:jc w:val="left"/>
              <w:rPr>
                <w:lang w:val="de-DE"/>
              </w:rPr>
            </w:pPr>
            <w:hyperlink r:id="rId25" w:history="1">
              <w:r w:rsidR="00882296">
                <w:rPr>
                  <w:rStyle w:val="Hyperlink"/>
                  <w:lang w:val="de-DE"/>
                </w:rPr>
                <w:t>Leitlinien „Bewertung von Innovation in den Programmen zur Entwicklung des ländlichen Raums 2014–2020“</w:t>
              </w:r>
            </w:hyperlink>
          </w:p>
        </w:tc>
        <w:tc>
          <w:tcPr>
            <w:tcW w:w="5477" w:type="dxa"/>
          </w:tcPr>
          <w:p w:rsidR="00B3609C" w:rsidRDefault="00882296">
            <w:pPr>
              <w:pStyle w:val="HStandard"/>
              <w:rPr>
                <w:lang w:val="de-DE"/>
              </w:rPr>
            </w:pPr>
            <w:r>
              <w:rPr>
                <w:lang w:val="de-DE"/>
              </w:rPr>
              <w:t xml:space="preserve">Enthält Informationen zur Bewertung von Innovationen in den Schwerpunktbereichen 1A und 1B und zur Förderung von Innovationen mittels Aktivitäten der Nationalen Netze für den ländlichen Raum. Zudem enthält dieses Dokument Unterstützung für die Beantwortung der CEQ 1, 2 und 21 im Zusammenhang mit dem Thema Innovation. </w:t>
            </w:r>
          </w:p>
        </w:tc>
      </w:tr>
      <w:tr w:rsidR="00B3609C" w:rsidRPr="0080587B">
        <w:tc>
          <w:tcPr>
            <w:tcW w:w="1129" w:type="dxa"/>
            <w:vMerge w:val="restart"/>
          </w:tcPr>
          <w:p w:rsidR="00B3609C" w:rsidRDefault="00882296">
            <w:pPr>
              <w:pStyle w:val="HStandard"/>
              <w:jc w:val="center"/>
              <w:rPr>
                <w:lang w:val="de-DE"/>
              </w:rPr>
            </w:pPr>
            <w:r>
              <w:rPr>
                <w:lang w:val="de-DE"/>
              </w:rPr>
              <w:t>22 – 30</w:t>
            </w:r>
          </w:p>
        </w:tc>
        <w:tc>
          <w:tcPr>
            <w:tcW w:w="2410" w:type="dxa"/>
          </w:tcPr>
          <w:p w:rsidR="00B3609C" w:rsidRDefault="001E023A">
            <w:pPr>
              <w:pStyle w:val="HStandard"/>
              <w:jc w:val="left"/>
              <w:rPr>
                <w:lang w:val="de-DE"/>
              </w:rPr>
            </w:pPr>
            <w:hyperlink r:id="rId26" w:history="1">
              <w:r w:rsidR="00882296">
                <w:rPr>
                  <w:rStyle w:val="Hyperlink"/>
                  <w:lang w:val="de-DE"/>
                </w:rPr>
                <w:t>Datenblätter für Wirkungsindikatoren</w:t>
              </w:r>
            </w:hyperlink>
            <w:r w:rsidR="00882296">
              <w:rPr>
                <w:lang w:val="de-DE"/>
              </w:rPr>
              <w:t xml:space="preserve"> </w:t>
            </w:r>
          </w:p>
        </w:tc>
        <w:tc>
          <w:tcPr>
            <w:tcW w:w="5477" w:type="dxa"/>
          </w:tcPr>
          <w:p w:rsidR="00B3609C" w:rsidRDefault="00882296">
            <w:pPr>
              <w:pStyle w:val="HStandard"/>
              <w:rPr>
                <w:lang w:val="de-DE"/>
              </w:rPr>
            </w:pPr>
            <w:r>
              <w:rPr>
                <w:lang w:val="de-DE"/>
              </w:rPr>
              <w:t>Enthält Informationen darüber, wie der Indikator mit den allgemeinen Zielen der GAP verknüpft ist, die Definition der Indikatoren, Angaben zur Maßeinheit, zur Methode/Formel zur Berechnung der Werte, zu den erforderlichen Daten und Datenquellen sowie Informationen zur Häufigkeit bzw. zu Verzögerungen der Datenerhebung und den Standort der Daten.</w:t>
            </w:r>
          </w:p>
        </w:tc>
      </w:tr>
      <w:tr w:rsidR="00B3609C" w:rsidRPr="0080587B">
        <w:tc>
          <w:tcPr>
            <w:tcW w:w="1129" w:type="dxa"/>
            <w:vMerge/>
          </w:tcPr>
          <w:p w:rsidR="00B3609C" w:rsidRDefault="00B3609C">
            <w:pPr>
              <w:pStyle w:val="HStandard"/>
              <w:jc w:val="center"/>
              <w:rPr>
                <w:lang w:val="de-DE"/>
              </w:rPr>
            </w:pPr>
          </w:p>
        </w:tc>
        <w:tc>
          <w:tcPr>
            <w:tcW w:w="2410" w:type="dxa"/>
          </w:tcPr>
          <w:p w:rsidR="00B3609C" w:rsidRDefault="001E023A">
            <w:pPr>
              <w:pStyle w:val="HStandard"/>
              <w:jc w:val="left"/>
              <w:rPr>
                <w:lang w:val="de-DE"/>
              </w:rPr>
            </w:pPr>
            <w:hyperlink r:id="rId27" w:history="1">
              <w:r w:rsidR="00882296">
                <w:rPr>
                  <w:rStyle w:val="Hyperlink"/>
                  <w:lang w:val="de-DE"/>
                </w:rPr>
                <w:t>Aktuellste Daten der Mitgliedstaaten zu den Kontextindikatoren</w:t>
              </w:r>
            </w:hyperlink>
          </w:p>
        </w:tc>
        <w:tc>
          <w:tcPr>
            <w:tcW w:w="5477" w:type="dxa"/>
          </w:tcPr>
          <w:p w:rsidR="00B3609C" w:rsidRDefault="00882296">
            <w:pPr>
              <w:pStyle w:val="HStandard"/>
              <w:rPr>
                <w:lang w:val="de-DE"/>
              </w:rPr>
            </w:pPr>
            <w:r>
              <w:rPr>
                <w:lang w:val="de-DE"/>
              </w:rPr>
              <w:t>Die Europäische Kommission aktualisiert auf der Grundlage der von den Mitgliedstaaten übermittelten Daten (je nach Verfügbarkeit) jedes Jahr die Daten für die gemeinsamen Kontextindikatoren.</w:t>
            </w:r>
          </w:p>
        </w:tc>
      </w:tr>
      <w:tr w:rsidR="00B3609C" w:rsidRPr="0080587B">
        <w:tc>
          <w:tcPr>
            <w:tcW w:w="1129" w:type="dxa"/>
            <w:vMerge/>
          </w:tcPr>
          <w:p w:rsidR="00B3609C" w:rsidRDefault="00B3609C">
            <w:pPr>
              <w:pStyle w:val="HStandard"/>
              <w:jc w:val="center"/>
              <w:rPr>
                <w:lang w:val="de-DE"/>
              </w:rPr>
            </w:pPr>
          </w:p>
        </w:tc>
        <w:tc>
          <w:tcPr>
            <w:tcW w:w="2410" w:type="dxa"/>
          </w:tcPr>
          <w:p w:rsidR="00B3609C" w:rsidRDefault="001E023A">
            <w:pPr>
              <w:pStyle w:val="HStandard"/>
              <w:jc w:val="left"/>
              <w:rPr>
                <w:color w:val="F07E31" w:themeColor="accent1"/>
                <w:lang w:val="de-DE"/>
              </w:rPr>
            </w:pPr>
            <w:hyperlink r:id="rId28" w:history="1">
              <w:r w:rsidR="00882296">
                <w:rPr>
                  <w:rStyle w:val="Hyperlink"/>
                  <w:lang w:val="de-DE"/>
                </w:rPr>
                <w:t>Leitlinie „Bewertung von Innovation in den Programmen zur Entwicklung des ländlichen Raums 2014–2020“</w:t>
              </w:r>
            </w:hyperlink>
          </w:p>
          <w:p w:rsidR="00B3609C" w:rsidRDefault="00B3609C">
            <w:pPr>
              <w:pStyle w:val="HStandard"/>
              <w:jc w:val="left"/>
              <w:rPr>
                <w:lang w:val="de-DE"/>
              </w:rPr>
            </w:pPr>
          </w:p>
        </w:tc>
        <w:tc>
          <w:tcPr>
            <w:tcW w:w="5477" w:type="dxa"/>
          </w:tcPr>
          <w:p w:rsidR="00B3609C" w:rsidRDefault="00882296">
            <w:pPr>
              <w:pStyle w:val="HStandard"/>
              <w:rPr>
                <w:lang w:val="de-DE"/>
              </w:rPr>
            </w:pPr>
            <w:r>
              <w:rPr>
                <w:lang w:val="de-DE"/>
              </w:rPr>
              <w:lastRenderedPageBreak/>
              <w:t>Enthält Informationen darüber, wie bewertet werden kann, inwieweit das Programm zur Entwicklung des ländlichen Raums zu dem Kernziel der Strategie Europa 2020, 3 % des BIP der EU in Forschung, Entwicklung und Innovation zu investieren, beiträgt; inwieweit das Programm zu Innovation beiträgt sowie Informationen zur Beantwortung der CEQ 23 und 30.</w:t>
            </w:r>
          </w:p>
        </w:tc>
      </w:tr>
      <w:tr w:rsidR="00B3609C" w:rsidRPr="0080587B">
        <w:tc>
          <w:tcPr>
            <w:tcW w:w="1129" w:type="dxa"/>
            <w:vMerge/>
          </w:tcPr>
          <w:p w:rsidR="00B3609C" w:rsidRDefault="00B3609C">
            <w:pPr>
              <w:pStyle w:val="HStandard"/>
              <w:jc w:val="center"/>
              <w:rPr>
                <w:lang w:val="de-DE"/>
              </w:rPr>
            </w:pPr>
          </w:p>
        </w:tc>
        <w:tc>
          <w:tcPr>
            <w:tcW w:w="2410" w:type="dxa"/>
          </w:tcPr>
          <w:p w:rsidR="00B3609C" w:rsidRDefault="001E023A">
            <w:pPr>
              <w:pStyle w:val="HStandard"/>
              <w:jc w:val="left"/>
              <w:rPr>
                <w:lang w:val="de-DE"/>
              </w:rPr>
            </w:pPr>
            <w:hyperlink r:id="rId29" w:history="1">
              <w:r w:rsidR="00882296">
                <w:rPr>
                  <w:rStyle w:val="Hyperlink"/>
                  <w:rFonts w:cs="Arial"/>
                  <w:lang w:val="de-DE"/>
                </w:rPr>
                <w:t>Informationen zur Strategie Europa 2020</w:t>
              </w:r>
            </w:hyperlink>
          </w:p>
        </w:tc>
        <w:tc>
          <w:tcPr>
            <w:tcW w:w="5477" w:type="dxa"/>
          </w:tcPr>
          <w:p w:rsidR="00B3609C" w:rsidRDefault="00882296">
            <w:pPr>
              <w:pStyle w:val="HStandard"/>
              <w:rPr>
                <w:lang w:val="de-DE"/>
              </w:rPr>
            </w:pPr>
            <w:r>
              <w:rPr>
                <w:lang w:val="de-DE"/>
              </w:rPr>
              <w:t>Die Strategie Europa 2020 dient als Bezugsrahmen für die Aktivitäten auf EU-Ebene sowie auf den nationalen und regionalen Ebenen. Die EU-Regierungen haben nationale Ziele festgelegt, die zur Erreichung der allgemeinen EU-Kernziele beitragen sollen, und erstatten im Rahmen ihre jährlichen nationalen Reformprogramme darüber Bericht. Das statistische Amt der EU, Eurostat, veröffentlicht regelmäßig umfangreiche Fortschrittsberichte für die Ziele (Veröffentlichung „</w:t>
            </w:r>
            <w:hyperlink r:id="rId30" w:history="1">
              <w:r>
                <w:rPr>
                  <w:rStyle w:val="Hyperlink"/>
                  <w:lang w:val="de-DE"/>
                </w:rPr>
                <w:t xml:space="preserve">Smarter, </w:t>
              </w:r>
              <w:proofErr w:type="spellStart"/>
              <w:r>
                <w:rPr>
                  <w:rStyle w:val="Hyperlink"/>
                  <w:lang w:val="de-DE"/>
                </w:rPr>
                <w:t>greener</w:t>
              </w:r>
              <w:proofErr w:type="spellEnd"/>
              <w:r>
                <w:rPr>
                  <w:rStyle w:val="Hyperlink"/>
                  <w:lang w:val="de-DE"/>
                </w:rPr>
                <w:t xml:space="preserve">, </w:t>
              </w:r>
              <w:proofErr w:type="spellStart"/>
              <w:r>
                <w:rPr>
                  <w:rStyle w:val="Hyperlink"/>
                  <w:lang w:val="de-DE"/>
                </w:rPr>
                <w:t>more</w:t>
              </w:r>
              <w:proofErr w:type="spellEnd"/>
              <w:r>
                <w:rPr>
                  <w:rStyle w:val="Hyperlink"/>
                  <w:lang w:val="de-DE"/>
                </w:rPr>
                <w:t xml:space="preserve"> inclusive? </w:t>
              </w:r>
              <w:proofErr w:type="spellStart"/>
              <w:r>
                <w:rPr>
                  <w:rStyle w:val="Hyperlink"/>
                  <w:lang w:val="de-DE"/>
                </w:rPr>
                <w:t>Indicators</w:t>
              </w:r>
              <w:proofErr w:type="spellEnd"/>
              <w:r>
                <w:rPr>
                  <w:rStyle w:val="Hyperlink"/>
                  <w:lang w:val="de-DE"/>
                </w:rPr>
                <w:t xml:space="preserve"> </w:t>
              </w:r>
              <w:proofErr w:type="spellStart"/>
              <w:r>
                <w:rPr>
                  <w:rStyle w:val="Hyperlink"/>
                  <w:lang w:val="de-DE"/>
                </w:rPr>
                <w:t>to</w:t>
              </w:r>
              <w:proofErr w:type="spellEnd"/>
              <w:r>
                <w:rPr>
                  <w:rStyle w:val="Hyperlink"/>
                  <w:lang w:val="de-DE"/>
                </w:rPr>
                <w:t xml:space="preserve"> support </w:t>
              </w:r>
              <w:proofErr w:type="spellStart"/>
              <w:r>
                <w:rPr>
                  <w:rStyle w:val="Hyperlink"/>
                  <w:lang w:val="de-DE"/>
                </w:rPr>
                <w:t>the</w:t>
              </w:r>
              <w:proofErr w:type="spellEnd"/>
              <w:r>
                <w:rPr>
                  <w:rStyle w:val="Hyperlink"/>
                  <w:lang w:val="de-DE"/>
                </w:rPr>
                <w:t xml:space="preserve"> Europe 2020 </w:t>
              </w:r>
              <w:proofErr w:type="spellStart"/>
              <w:r>
                <w:rPr>
                  <w:rStyle w:val="Hyperlink"/>
                  <w:lang w:val="de-DE"/>
                </w:rPr>
                <w:t>strategy</w:t>
              </w:r>
              <w:proofErr w:type="spellEnd"/>
            </w:hyperlink>
            <w:r>
              <w:rPr>
                <w:color w:val="F07E31" w:themeColor="accent1"/>
                <w:lang w:val="de-DE"/>
              </w:rPr>
              <w:t>“</w:t>
            </w:r>
            <w:r>
              <w:rPr>
                <w:lang w:val="de-DE"/>
              </w:rPr>
              <w:t>)</w:t>
            </w:r>
            <w:r>
              <w:rPr>
                <w:color w:val="333333"/>
                <w:lang w:val="de-DE"/>
              </w:rPr>
              <w:t>. Diese Berichte dienen zur Überwachung der Fortschritte im Hinblick auf die EU-Ziele, die in den sich gegenseitig verstärkenden Prioritäten eines intelligenten, nachhaltigen und inklusiven Wachstums definiert sind, und zeigen die Situation in den Mitgliedstaaten</w:t>
            </w:r>
            <w:r>
              <w:rPr>
                <w:lang w:val="de-DE"/>
              </w:rPr>
              <w:t>.</w:t>
            </w:r>
          </w:p>
        </w:tc>
      </w:tr>
      <w:tr w:rsidR="00B3609C" w:rsidRPr="0080587B">
        <w:tc>
          <w:tcPr>
            <w:tcW w:w="1129" w:type="dxa"/>
            <w:vMerge w:val="restart"/>
          </w:tcPr>
          <w:p w:rsidR="00B3609C" w:rsidRDefault="00882296">
            <w:pPr>
              <w:pStyle w:val="HStandard"/>
              <w:jc w:val="center"/>
              <w:rPr>
                <w:lang w:val="de-DE"/>
              </w:rPr>
            </w:pPr>
            <w:r>
              <w:rPr>
                <w:lang w:val="de-DE"/>
              </w:rPr>
              <w:t>22, 23, 24, 25, 30</w:t>
            </w:r>
          </w:p>
        </w:tc>
        <w:tc>
          <w:tcPr>
            <w:tcW w:w="2410" w:type="dxa"/>
          </w:tcPr>
          <w:p w:rsidR="00B3609C" w:rsidRDefault="001E023A">
            <w:pPr>
              <w:pStyle w:val="HStandard"/>
              <w:jc w:val="left"/>
              <w:rPr>
                <w:rFonts w:cs="Arial"/>
                <w:color w:val="F07E31" w:themeColor="accent1"/>
                <w:lang w:val="de-DE"/>
              </w:rPr>
            </w:pPr>
            <w:hyperlink r:id="rId31" w:history="1">
              <w:r w:rsidR="00882296">
                <w:rPr>
                  <w:rStyle w:val="Hyperlink"/>
                  <w:rFonts w:cs="Arial"/>
                  <w:lang w:val="de-DE"/>
                </w:rPr>
                <w:t>Informationen der Mitgliedstaaten zu den Zielen der Strategie Europa 2020</w:t>
              </w:r>
            </w:hyperlink>
          </w:p>
        </w:tc>
        <w:tc>
          <w:tcPr>
            <w:tcW w:w="5477" w:type="dxa"/>
          </w:tcPr>
          <w:p w:rsidR="00B3609C" w:rsidRDefault="00882296">
            <w:pPr>
              <w:pStyle w:val="HStandard"/>
              <w:rPr>
                <w:lang w:val="de-DE"/>
              </w:rPr>
            </w:pPr>
            <w:r>
              <w:rPr>
                <w:lang w:val="de-DE"/>
              </w:rPr>
              <w:t>Eurostat aktualisiert regelmäßig die Informationen zu den nationalen Zielen, um Kernziele der Strategie Europa 2020 je Mitgliedstaat zu erfüllen.</w:t>
            </w:r>
          </w:p>
        </w:tc>
      </w:tr>
      <w:tr w:rsidR="00B3609C" w:rsidRPr="0080587B">
        <w:tc>
          <w:tcPr>
            <w:tcW w:w="1129" w:type="dxa"/>
            <w:vMerge/>
          </w:tcPr>
          <w:p w:rsidR="00B3609C" w:rsidRDefault="00B3609C">
            <w:pPr>
              <w:pStyle w:val="HStandard"/>
              <w:jc w:val="center"/>
              <w:rPr>
                <w:lang w:val="de-DE"/>
              </w:rPr>
            </w:pPr>
          </w:p>
        </w:tc>
        <w:tc>
          <w:tcPr>
            <w:tcW w:w="2410" w:type="dxa"/>
          </w:tcPr>
          <w:p w:rsidR="00B3609C" w:rsidRDefault="001E023A">
            <w:pPr>
              <w:pStyle w:val="HStandard"/>
              <w:jc w:val="left"/>
              <w:rPr>
                <w:rFonts w:cs="Arial"/>
                <w:lang w:val="de-DE"/>
              </w:rPr>
            </w:pPr>
            <w:hyperlink r:id="rId32" w:history="1">
              <w:r w:rsidR="00882296">
                <w:rPr>
                  <w:rStyle w:val="Hyperlink"/>
                  <w:lang w:val="de-DE"/>
                </w:rPr>
                <w:t>Datenblätter für Kontextindikatoren</w:t>
              </w:r>
            </w:hyperlink>
            <w:r w:rsidR="00882296">
              <w:rPr>
                <w:lang w:val="de-DE"/>
              </w:rPr>
              <w:t xml:space="preserve"> </w:t>
            </w:r>
          </w:p>
        </w:tc>
        <w:tc>
          <w:tcPr>
            <w:tcW w:w="5477" w:type="dxa"/>
          </w:tcPr>
          <w:p w:rsidR="00B3609C" w:rsidRDefault="00882296">
            <w:pPr>
              <w:pStyle w:val="HStandard"/>
              <w:rPr>
                <w:lang w:val="de-DE"/>
              </w:rPr>
            </w:pPr>
            <w:r>
              <w:rPr>
                <w:lang w:val="de-DE"/>
              </w:rPr>
              <w:t>45 gemeinsame GAP-Kontextindikatoren (aufgeteilt in drei Gruppen: sozioökonomisch, sektoral, umweltbezogen) bilden die relevanten Aspekte allgemeiner kontextueller Entwicklungen in Wirtschaft, Umwelt und Gesellschaft ab. Diese haben mit hoher Wahrscheinlichkeit einen Einfluss auf die Durchführung, die Erfolge und die Leistung der GAP. Die Merkblätter zu den Indikatoren enthalten eine Beschreibung der Definitionen, der Methoden und der Datenquellen.</w:t>
            </w:r>
          </w:p>
        </w:tc>
      </w:tr>
      <w:tr w:rsidR="00B3609C" w:rsidRPr="0080587B">
        <w:trPr>
          <w:trHeight w:val="1800"/>
        </w:trPr>
        <w:tc>
          <w:tcPr>
            <w:tcW w:w="1129" w:type="dxa"/>
          </w:tcPr>
          <w:p w:rsidR="00B3609C" w:rsidRDefault="00882296">
            <w:pPr>
              <w:pStyle w:val="HStandard"/>
              <w:jc w:val="center"/>
              <w:rPr>
                <w:lang w:val="de-DE"/>
              </w:rPr>
            </w:pPr>
            <w:r>
              <w:rPr>
                <w:lang w:val="de-DE"/>
              </w:rPr>
              <w:t>Alle CEQ</w:t>
            </w:r>
          </w:p>
        </w:tc>
        <w:tc>
          <w:tcPr>
            <w:tcW w:w="2410" w:type="dxa"/>
          </w:tcPr>
          <w:p w:rsidR="00B3609C" w:rsidRDefault="001E023A">
            <w:pPr>
              <w:pStyle w:val="HStandard"/>
              <w:jc w:val="left"/>
              <w:rPr>
                <w:lang w:val="en-US"/>
              </w:rPr>
            </w:pPr>
            <w:hyperlink r:id="rId33" w:history="1">
              <w:proofErr w:type="spellStart"/>
              <w:r w:rsidR="00882296">
                <w:rPr>
                  <w:rStyle w:val="Hyperlink"/>
                  <w:rFonts w:cs="Arial"/>
                  <w:lang w:val="en-US"/>
                </w:rPr>
                <w:t>Arbeitsunterlage</w:t>
              </w:r>
              <w:proofErr w:type="spellEnd"/>
              <w:r w:rsidR="00882296">
                <w:rPr>
                  <w:rStyle w:val="Hyperlink"/>
                  <w:rFonts w:cs="Arial"/>
                  <w:lang w:val="en-US"/>
                </w:rPr>
                <w:t xml:space="preserve"> „Common evaluation questions for Rural Development </w:t>
              </w:r>
              <w:proofErr w:type="spellStart"/>
              <w:r w:rsidR="00882296">
                <w:rPr>
                  <w:rStyle w:val="Hyperlink"/>
                  <w:rFonts w:cs="Arial"/>
                  <w:lang w:val="en-US"/>
                </w:rPr>
                <w:t>Programmes</w:t>
              </w:r>
              <w:proofErr w:type="spellEnd"/>
              <w:r w:rsidR="00882296">
                <w:rPr>
                  <w:rStyle w:val="Hyperlink"/>
                  <w:rFonts w:cs="Arial"/>
                  <w:lang w:val="en-US"/>
                </w:rPr>
                <w:t> 2014–2020“</w:t>
              </w:r>
            </w:hyperlink>
          </w:p>
        </w:tc>
        <w:tc>
          <w:tcPr>
            <w:tcW w:w="5477" w:type="dxa"/>
          </w:tcPr>
          <w:p w:rsidR="00B3609C" w:rsidRDefault="00882296">
            <w:pPr>
              <w:pStyle w:val="HStandard"/>
              <w:rPr>
                <w:lang w:val="de-DE"/>
              </w:rPr>
            </w:pPr>
            <w:r>
              <w:rPr>
                <w:lang w:val="de-DE"/>
              </w:rPr>
              <w:t>Erläutert den Zweck und die Verwendung der gemeinsamen Bewertungsfragen im CMES. In diesem Dokument werden die verschiedenen Bewertungsfragen erläutert und die Beurteilungskriterien sowie die allgemeinen und zusätzlichen Indikatoren für die CEQ 1–21 aufgeführt.</w:t>
            </w:r>
          </w:p>
        </w:tc>
      </w:tr>
    </w:tbl>
    <w:p w:rsidR="00B3609C" w:rsidRDefault="00B3609C">
      <w:pPr>
        <w:rPr>
          <w:lang w:val="de-DE"/>
        </w:rPr>
      </w:pPr>
    </w:p>
    <w:p w:rsidR="00B3609C" w:rsidRDefault="00882296">
      <w:pPr>
        <w:pStyle w:val="Heading2"/>
        <w:tabs>
          <w:tab w:val="left" w:pos="600"/>
        </w:tabs>
        <w:ind w:left="600" w:hanging="600"/>
        <w:rPr>
          <w:lang w:val="de-DE"/>
        </w:rPr>
      </w:pPr>
      <w:r>
        <w:rPr>
          <w:bCs w:val="0"/>
          <w:lang w:val="de-DE"/>
        </w:rPr>
        <w:t xml:space="preserve">Vorbereitung </w:t>
      </w:r>
      <w:r>
        <w:rPr>
          <w:lang w:val="de-DE"/>
        </w:rPr>
        <w:t>des</w:t>
      </w:r>
      <w:r>
        <w:rPr>
          <w:bCs w:val="0"/>
          <w:lang w:val="de-DE"/>
        </w:rPr>
        <w:t xml:space="preserve"> jährlichen Durchführungsberichts 2019 </w:t>
      </w:r>
    </w:p>
    <w:p w:rsidR="00B3609C" w:rsidRDefault="00882296">
      <w:pPr>
        <w:pStyle w:val="HStandard"/>
        <w:rPr>
          <w:lang w:val="de-DE"/>
        </w:rPr>
      </w:pPr>
      <w:r>
        <w:rPr>
          <w:lang w:val="de-DE"/>
        </w:rPr>
        <w:t>Zur Vorbereitung der Bewertung der Erfolge und Auswirkungen des Programms zur Entwicklung des ländlichen Raums für das Jahr 2019 können die verschiedenen an der Bewertung Beteiligten in den Mitgliedstaaten mehrere Schritte ergreifen,</w:t>
      </w:r>
      <w:r>
        <w:rPr>
          <w:rStyle w:val="FootnoteReference"/>
          <w:rFonts w:cs="Arial"/>
          <w:iCs/>
          <w:sz w:val="20"/>
          <w:vertAlign w:val="superscript"/>
          <w:lang w:val="de-DE"/>
        </w:rPr>
        <w:footnoteReference w:id="24"/>
      </w:r>
      <w:r>
        <w:rPr>
          <w:lang w:val="de-DE"/>
        </w:rPr>
        <w:t xml:space="preserve"> um sicherzustellen, dass die Bewertungsergebnisse von hoher Qualität und für die politischen Entscheidungsträger relevant sind.</w:t>
      </w:r>
    </w:p>
    <w:p w:rsidR="00B3609C" w:rsidRDefault="00882296">
      <w:pPr>
        <w:pStyle w:val="HStandard"/>
        <w:rPr>
          <w:lang w:val="de-DE"/>
        </w:rPr>
      </w:pPr>
      <w:r>
        <w:rPr>
          <w:lang w:val="de-DE"/>
        </w:rPr>
        <w:lastRenderedPageBreak/>
        <w:t>Tabelle 2 enthält einen Vorschlag für eine Checkliste und enthält für die Bewertung 2019 erforderliche Schritte. Sie beinhaltet zudem verschiedene vorbereitende Schritte. Falls diese noch nicht durchgeführt wurden, kann dies vor Beginn der Bewertungstätigkeiten 2019 immer noch nachgeholt werden. Tabelle 2 zeigt die Aufgaben der verschiedenen Akteure, die auf der Ebene der Mitgliedstaaten an den Bewertungstätigkeiten beteiligt sein können: Verwaltungsbehörde (VB), Begleitausschuss (MC), Zahlstelle (PA), Evaluierungsstelle (</w:t>
      </w:r>
      <w:proofErr w:type="spellStart"/>
      <w:r>
        <w:rPr>
          <w:lang w:val="de-DE"/>
        </w:rPr>
        <w:t>EvU</w:t>
      </w:r>
      <w:proofErr w:type="spellEnd"/>
      <w:r>
        <w:rPr>
          <w:lang w:val="de-DE"/>
        </w:rPr>
        <w:t>) (falls vorhanden), Lenkungsgruppe für Bewertung (ESG) (falls vorhanden), die Bewerter (</w:t>
      </w:r>
      <w:proofErr w:type="spellStart"/>
      <w:r>
        <w:rPr>
          <w:lang w:val="de-DE"/>
        </w:rPr>
        <w:t>Ev</w:t>
      </w:r>
      <w:proofErr w:type="spellEnd"/>
      <w:r>
        <w:rPr>
          <w:lang w:val="de-DE"/>
        </w:rPr>
        <w:t xml:space="preserve">), die Datenlieferanten (DP) und andere relevante an der Bewertung Beteiligte (O). </w:t>
      </w:r>
    </w:p>
    <w:p w:rsidR="00B3609C" w:rsidRDefault="00882296">
      <w:pPr>
        <w:pStyle w:val="HHeadingtables"/>
        <w:rPr>
          <w:lang w:val="de-DE"/>
        </w:rPr>
      </w:pPr>
      <w:r>
        <w:rPr>
          <w:b w:val="0"/>
          <w:lang w:val="de-DE"/>
        </w:rPr>
        <w:br w:type="column"/>
      </w:r>
      <w:r>
        <w:rPr>
          <w:bCs/>
          <w:lang w:val="de-DE"/>
        </w:rPr>
        <w:lastRenderedPageBreak/>
        <w:t>Checkliste der für die Bewertung 2019 empfohlenen Schritte</w:t>
      </w:r>
    </w:p>
    <w:tbl>
      <w:tblPr>
        <w:tblStyle w:val="Tabukasmriekou5tmavzvraznenie61"/>
        <w:tblW w:w="9492" w:type="dxa"/>
        <w:jc w:val="center"/>
        <w:tblLayout w:type="fixed"/>
        <w:tblLook w:val="04A0" w:firstRow="1" w:lastRow="0" w:firstColumn="1" w:lastColumn="0" w:noHBand="0" w:noVBand="1"/>
      </w:tblPr>
      <w:tblGrid>
        <w:gridCol w:w="562"/>
        <w:gridCol w:w="3402"/>
        <w:gridCol w:w="1061"/>
        <w:gridCol w:w="622"/>
        <w:gridCol w:w="549"/>
        <w:gridCol w:w="549"/>
        <w:gridCol w:w="550"/>
        <w:gridCol w:w="593"/>
        <w:gridCol w:w="505"/>
        <w:gridCol w:w="549"/>
        <w:gridCol w:w="550"/>
      </w:tblGrid>
      <w:tr w:rsidR="00B3609C" w:rsidRPr="0080587B" w:rsidTr="00B3609C">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top w:val="single" w:sz="4" w:space="0" w:color="6E8967"/>
              <w:left w:val="single" w:sz="4" w:space="0" w:color="6E8967"/>
              <w:right w:val="single" w:sz="4" w:space="0" w:color="FFFFFF"/>
            </w:tcBorders>
            <w:textDirection w:val="btLr"/>
            <w:vAlign w:val="center"/>
          </w:tcPr>
          <w:p w:rsidR="00B3609C" w:rsidRDefault="00882296">
            <w:pPr>
              <w:spacing w:line="280" w:lineRule="atLeast"/>
              <w:ind w:left="113" w:right="113"/>
              <w:jc w:val="center"/>
              <w:rPr>
                <w:rFonts w:cs="Arial"/>
                <w:sz w:val="16"/>
                <w:szCs w:val="16"/>
                <w:lang w:val="de-DE"/>
              </w:rPr>
            </w:pPr>
            <w:r>
              <w:rPr>
                <w:rFonts w:cs="Arial"/>
                <w:sz w:val="16"/>
                <w:szCs w:val="16"/>
                <w:lang w:val="de-DE"/>
              </w:rPr>
              <w:t>Phase</w:t>
            </w:r>
          </w:p>
        </w:tc>
        <w:tc>
          <w:tcPr>
            <w:tcW w:w="3402" w:type="dxa"/>
            <w:vMerge w:val="restart"/>
            <w:tcBorders>
              <w:top w:val="single" w:sz="4" w:space="0" w:color="6E8967"/>
              <w:left w:val="single" w:sz="4" w:space="0" w:color="FFFFFF"/>
              <w:right w:val="single" w:sz="4" w:space="0" w:color="FFFFFF"/>
            </w:tcBorders>
            <w:vAlign w:val="center"/>
          </w:tcPr>
          <w:p w:rsidR="00B3609C" w:rsidRDefault="00882296">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lang w:val="de-DE"/>
              </w:rPr>
            </w:pPr>
            <w:r>
              <w:rPr>
                <w:rFonts w:cs="Arial"/>
                <w:sz w:val="16"/>
                <w:szCs w:val="16"/>
                <w:lang w:val="de-DE"/>
              </w:rPr>
              <w:t>Schritt</w:t>
            </w:r>
          </w:p>
        </w:tc>
        <w:tc>
          <w:tcPr>
            <w:tcW w:w="1061" w:type="dxa"/>
            <w:vMerge w:val="restart"/>
            <w:tcBorders>
              <w:top w:val="single" w:sz="4" w:space="0" w:color="6E8967"/>
              <w:left w:val="single" w:sz="4" w:space="0" w:color="FFFFFF"/>
              <w:right w:val="single" w:sz="4" w:space="0" w:color="FFFFFF" w:themeColor="background1"/>
            </w:tcBorders>
            <w:vAlign w:val="center"/>
          </w:tcPr>
          <w:p w:rsidR="00B3609C" w:rsidRDefault="00882296">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lang w:val="de-DE"/>
              </w:rPr>
            </w:pPr>
            <w:r>
              <w:rPr>
                <w:rFonts w:cs="Arial"/>
                <w:sz w:val="16"/>
                <w:szCs w:val="16"/>
                <w:lang w:val="de-DE"/>
              </w:rPr>
              <w:t>Veranschlagter Zeitrahmen</w:t>
            </w:r>
          </w:p>
        </w:tc>
        <w:tc>
          <w:tcPr>
            <w:tcW w:w="4467" w:type="dxa"/>
            <w:gridSpan w:val="8"/>
            <w:tcBorders>
              <w:top w:val="single" w:sz="4" w:space="0" w:color="6E8967"/>
              <w:left w:val="single" w:sz="4" w:space="0" w:color="FFFFFF" w:themeColor="background1"/>
              <w:right w:val="single" w:sz="4" w:space="0" w:color="6E8967"/>
            </w:tcBorders>
            <w:vAlign w:val="center"/>
          </w:tcPr>
          <w:p w:rsidR="00B3609C" w:rsidRDefault="00882296">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lang w:val="de-DE"/>
              </w:rPr>
            </w:pPr>
            <w:r>
              <w:rPr>
                <w:rFonts w:cs="Arial"/>
                <w:sz w:val="16"/>
                <w:szCs w:val="16"/>
                <w:lang w:val="de-DE"/>
              </w:rPr>
              <w:t>Zuständigkeit (x) und Beteiligung (y)</w:t>
            </w:r>
            <w:r>
              <w:rPr>
                <w:rStyle w:val="FootnoteReference"/>
                <w:rFonts w:cs="Arial"/>
                <w:iCs/>
                <w:color w:val="FFFFFF" w:themeColor="background1"/>
                <w:sz w:val="10"/>
                <w:szCs w:val="16"/>
                <w:lang w:val="de-DE"/>
              </w:rPr>
              <w:footnoteReference w:id="25"/>
            </w:r>
          </w:p>
        </w:tc>
      </w:tr>
      <w:tr w:rsidR="00B3609C" w:rsidTr="00B3609C">
        <w:trPr>
          <w:cnfStyle w:val="100000000000" w:firstRow="1" w:lastRow="0" w:firstColumn="0" w:lastColumn="0" w:oddVBand="0" w:evenVBand="0" w:oddHBand="0" w:evenHBand="0" w:firstRowFirstColumn="0" w:firstRowLastColumn="0" w:lastRowFirstColumn="0" w:lastRowLastColumn="0"/>
          <w:trHeight w:val="260"/>
          <w:tblHeader/>
          <w:jc w:val="center"/>
        </w:trPr>
        <w:tc>
          <w:tcPr>
            <w:cnfStyle w:val="001000000000" w:firstRow="0" w:lastRow="0" w:firstColumn="1" w:lastColumn="0" w:oddVBand="0" w:evenVBand="0" w:oddHBand="0" w:evenHBand="0" w:firstRowFirstColumn="0" w:firstRowLastColumn="0" w:lastRowFirstColumn="0" w:lastRowLastColumn="0"/>
            <w:tcW w:w="562" w:type="dxa"/>
            <w:vMerge/>
            <w:tcBorders>
              <w:top w:val="single" w:sz="4" w:space="0" w:color="FFFFFF"/>
              <w:left w:val="single" w:sz="4" w:space="0" w:color="6E8967"/>
              <w:right w:val="single" w:sz="4" w:space="0" w:color="FFFFFF"/>
            </w:tcBorders>
            <w:textDirection w:val="btLr"/>
          </w:tcPr>
          <w:p w:rsidR="00B3609C" w:rsidRDefault="00B3609C">
            <w:pPr>
              <w:spacing w:line="280" w:lineRule="atLeast"/>
              <w:ind w:left="113" w:right="113"/>
              <w:jc w:val="right"/>
              <w:rPr>
                <w:rFonts w:cs="Arial"/>
                <w:b w:val="0"/>
                <w:sz w:val="16"/>
                <w:szCs w:val="16"/>
                <w:lang w:val="de-DE"/>
              </w:rPr>
            </w:pPr>
          </w:p>
        </w:tc>
        <w:tc>
          <w:tcPr>
            <w:tcW w:w="3402" w:type="dxa"/>
            <w:vMerge/>
            <w:tcBorders>
              <w:top w:val="single" w:sz="4" w:space="0" w:color="FFFFFF"/>
              <w:left w:val="single" w:sz="4" w:space="0" w:color="FFFFFF"/>
              <w:right w:val="single" w:sz="4" w:space="0" w:color="FFFFFF"/>
            </w:tcBorders>
          </w:tcPr>
          <w:p w:rsidR="00B3609C" w:rsidRDefault="00B3609C">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lang w:val="de-DE"/>
              </w:rPr>
            </w:pPr>
          </w:p>
        </w:tc>
        <w:tc>
          <w:tcPr>
            <w:tcW w:w="1061" w:type="dxa"/>
            <w:vMerge/>
            <w:tcBorders>
              <w:top w:val="single" w:sz="4" w:space="0" w:color="FFFFFF"/>
              <w:left w:val="single" w:sz="4" w:space="0" w:color="FFFFFF"/>
              <w:right w:val="single" w:sz="4" w:space="0" w:color="FFFFFF" w:themeColor="background1"/>
            </w:tcBorders>
          </w:tcPr>
          <w:p w:rsidR="00B3609C" w:rsidRDefault="00B3609C">
            <w:pPr>
              <w:spacing w:line="280" w:lineRule="atLeast"/>
              <w:jc w:val="left"/>
              <w:cnfStyle w:val="100000000000" w:firstRow="1" w:lastRow="0" w:firstColumn="0" w:lastColumn="0" w:oddVBand="0" w:evenVBand="0" w:oddHBand="0" w:evenHBand="0" w:firstRowFirstColumn="0" w:firstRowLastColumn="0" w:lastRowFirstColumn="0" w:lastRowLastColumn="0"/>
              <w:rPr>
                <w:rFonts w:cs="Arial"/>
                <w:b w:val="0"/>
                <w:sz w:val="16"/>
                <w:szCs w:val="16"/>
                <w:lang w:val="de-DE"/>
              </w:rPr>
            </w:pPr>
          </w:p>
        </w:tc>
        <w:tc>
          <w:tcPr>
            <w:tcW w:w="622" w:type="dxa"/>
            <w:tcBorders>
              <w:top w:val="single" w:sz="4" w:space="0" w:color="FFFFFF"/>
              <w:left w:val="single" w:sz="4" w:space="0" w:color="FFFFFF" w:themeColor="background1"/>
              <w:bottom w:val="single" w:sz="4" w:space="0" w:color="FFFFFF"/>
              <w:right w:val="single" w:sz="4" w:space="0" w:color="FFFFFF" w:themeColor="background1"/>
            </w:tcBorders>
          </w:tcPr>
          <w:p w:rsidR="00B3609C" w:rsidRDefault="00882296">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lang w:val="de-DE"/>
              </w:rPr>
            </w:pPr>
            <w:r>
              <w:rPr>
                <w:rFonts w:cs="Arial"/>
                <w:sz w:val="16"/>
                <w:szCs w:val="16"/>
                <w:lang w:val="de-DE"/>
              </w:rPr>
              <w:t>VB</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B3609C" w:rsidRDefault="00882296">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lang w:val="de-DE"/>
              </w:rPr>
            </w:pPr>
            <w:r>
              <w:rPr>
                <w:rFonts w:cs="Arial"/>
                <w:sz w:val="16"/>
                <w:szCs w:val="16"/>
                <w:lang w:val="de-DE"/>
              </w:rPr>
              <w:t>PA</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B3609C" w:rsidRDefault="00882296">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lang w:val="de-DE"/>
              </w:rPr>
            </w:pPr>
            <w:r>
              <w:rPr>
                <w:rFonts w:cs="Arial"/>
                <w:sz w:val="16"/>
                <w:szCs w:val="16"/>
                <w:lang w:val="de-DE"/>
              </w:rPr>
              <w:t>DP</w:t>
            </w:r>
          </w:p>
        </w:tc>
        <w:tc>
          <w:tcPr>
            <w:tcW w:w="550" w:type="dxa"/>
            <w:tcBorders>
              <w:top w:val="single" w:sz="4" w:space="0" w:color="FFFFFF"/>
              <w:left w:val="single" w:sz="4" w:space="0" w:color="FFFFFF" w:themeColor="background1"/>
              <w:bottom w:val="single" w:sz="4" w:space="0" w:color="FFFFFF"/>
              <w:right w:val="single" w:sz="4" w:space="0" w:color="FFFFFF" w:themeColor="background1"/>
            </w:tcBorders>
          </w:tcPr>
          <w:p w:rsidR="00B3609C" w:rsidRDefault="00882296">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lang w:val="de-DE"/>
              </w:rPr>
            </w:pPr>
            <w:proofErr w:type="spellStart"/>
            <w:r>
              <w:rPr>
                <w:rFonts w:cs="Arial"/>
                <w:sz w:val="16"/>
                <w:szCs w:val="16"/>
                <w:lang w:val="de-DE"/>
              </w:rPr>
              <w:t>EvU</w:t>
            </w:r>
            <w:proofErr w:type="spellEnd"/>
          </w:p>
        </w:tc>
        <w:tc>
          <w:tcPr>
            <w:tcW w:w="593" w:type="dxa"/>
            <w:tcBorders>
              <w:top w:val="single" w:sz="4" w:space="0" w:color="FFFFFF"/>
              <w:left w:val="single" w:sz="4" w:space="0" w:color="FFFFFF" w:themeColor="background1"/>
              <w:bottom w:val="single" w:sz="4" w:space="0" w:color="FFFFFF"/>
              <w:right w:val="single" w:sz="4" w:space="0" w:color="FFFFFF" w:themeColor="background1"/>
            </w:tcBorders>
          </w:tcPr>
          <w:p w:rsidR="00B3609C" w:rsidRDefault="00882296">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lang w:val="de-DE"/>
              </w:rPr>
            </w:pPr>
            <w:r>
              <w:rPr>
                <w:rFonts w:cs="Arial"/>
                <w:sz w:val="16"/>
                <w:szCs w:val="16"/>
                <w:lang w:val="de-DE"/>
              </w:rPr>
              <w:t>ESG</w:t>
            </w:r>
          </w:p>
        </w:tc>
        <w:tc>
          <w:tcPr>
            <w:tcW w:w="505" w:type="dxa"/>
            <w:tcBorders>
              <w:top w:val="single" w:sz="4" w:space="0" w:color="FFFFFF"/>
              <w:left w:val="single" w:sz="4" w:space="0" w:color="FFFFFF" w:themeColor="background1"/>
              <w:bottom w:val="single" w:sz="4" w:space="0" w:color="FFFFFF"/>
              <w:right w:val="single" w:sz="4" w:space="0" w:color="FFFFFF" w:themeColor="background1"/>
            </w:tcBorders>
          </w:tcPr>
          <w:p w:rsidR="00B3609C" w:rsidRDefault="00882296">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lang w:val="de-DE"/>
              </w:rPr>
            </w:pPr>
            <w:proofErr w:type="spellStart"/>
            <w:r>
              <w:rPr>
                <w:rFonts w:cs="Arial"/>
                <w:sz w:val="16"/>
                <w:szCs w:val="16"/>
                <w:lang w:val="de-DE"/>
              </w:rPr>
              <w:t>Ev</w:t>
            </w:r>
            <w:proofErr w:type="spellEnd"/>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B3609C" w:rsidRDefault="00882296">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lang w:val="de-DE"/>
              </w:rPr>
            </w:pPr>
            <w:r>
              <w:rPr>
                <w:rFonts w:cs="Arial"/>
                <w:sz w:val="16"/>
                <w:szCs w:val="16"/>
                <w:lang w:val="de-DE"/>
              </w:rPr>
              <w:t>MC</w:t>
            </w:r>
          </w:p>
        </w:tc>
        <w:tc>
          <w:tcPr>
            <w:tcW w:w="550" w:type="dxa"/>
            <w:tcBorders>
              <w:top w:val="single" w:sz="4" w:space="0" w:color="FFFFFF"/>
              <w:left w:val="single" w:sz="4" w:space="0" w:color="FFFFFF" w:themeColor="background1"/>
              <w:bottom w:val="single" w:sz="4" w:space="0" w:color="FFFFFF"/>
              <w:right w:val="single" w:sz="4" w:space="0" w:color="6E8967"/>
            </w:tcBorders>
          </w:tcPr>
          <w:p w:rsidR="00B3609C" w:rsidRDefault="00882296">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lang w:val="de-DE"/>
              </w:rPr>
            </w:pPr>
            <w:r>
              <w:rPr>
                <w:rFonts w:cs="Arial"/>
                <w:sz w:val="16"/>
                <w:szCs w:val="16"/>
                <w:lang w:val="de-DE"/>
              </w:rPr>
              <w:t>O</w:t>
            </w:r>
          </w:p>
        </w:tc>
      </w:tr>
      <w:tr w:rsidR="00B3609C" w:rsidTr="00B3609C">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B3609C" w:rsidRDefault="00882296">
            <w:pPr>
              <w:spacing w:line="280" w:lineRule="atLeast"/>
              <w:ind w:left="113" w:right="113"/>
              <w:jc w:val="right"/>
              <w:rPr>
                <w:rFonts w:cs="Arial"/>
                <w:b w:val="0"/>
                <w:i/>
                <w:sz w:val="16"/>
                <w:szCs w:val="16"/>
                <w:lang w:val="de-DE"/>
              </w:rPr>
            </w:pPr>
            <w:r>
              <w:rPr>
                <w:rFonts w:cs="Arial"/>
                <w:i/>
                <w:iCs/>
                <w:sz w:val="16"/>
                <w:szCs w:val="16"/>
                <w:lang w:val="de-DE"/>
              </w:rPr>
              <w:t>Planung</w:t>
            </w:r>
          </w:p>
        </w:tc>
        <w:tc>
          <w:tcPr>
            <w:tcW w:w="3402" w:type="dxa"/>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Aktualisierung der Ausgangswerte der gemeinsamen Kontextindikatoren (des Programms zur Entwicklung des ländlichen Raums).</w:t>
            </w:r>
          </w:p>
        </w:tc>
        <w:tc>
          <w:tcPr>
            <w:tcW w:w="1061" w:type="dxa"/>
          </w:tcPr>
          <w:p w:rsidR="00B3609C" w:rsidRDefault="00882296">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Sobald die Daten verfügbar sind</w:t>
            </w:r>
          </w:p>
        </w:tc>
        <w:tc>
          <w:tcPr>
            <w:tcW w:w="622" w:type="dxa"/>
            <w:tcBorders>
              <w:top w:val="single" w:sz="4" w:space="0" w:color="FFFFFF"/>
              <w:right w:val="single" w:sz="4" w:space="0" w:color="FFFFFF"/>
            </w:tcBorders>
            <w:shd w:val="clear" w:color="auto" w:fill="95B89B" w:themeFill="accent4" w:themeFillTint="99"/>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49" w:type="dxa"/>
            <w:tcBorders>
              <w:top w:val="single" w:sz="4" w:space="0" w:color="FFFFFF"/>
              <w:left w:val="single" w:sz="4" w:space="0" w:color="FFFFFF"/>
            </w:tcBorders>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c>
          <w:tcPr>
            <w:tcW w:w="549" w:type="dxa"/>
            <w:tcBorders>
              <w:top w:val="single" w:sz="4" w:space="0" w:color="FFFFFF"/>
            </w:tcBorders>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c>
          <w:tcPr>
            <w:tcW w:w="550" w:type="dxa"/>
            <w:tcBorders>
              <w:top w:val="single" w:sz="4" w:space="0" w:color="FFFFFF"/>
            </w:tcBorders>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c>
          <w:tcPr>
            <w:tcW w:w="593" w:type="dxa"/>
            <w:tcBorders>
              <w:top w:val="single" w:sz="4" w:space="0" w:color="FFFFFF"/>
            </w:tcBorders>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c>
          <w:tcPr>
            <w:tcW w:w="505" w:type="dxa"/>
            <w:tcBorders>
              <w:top w:val="single" w:sz="4" w:space="0" w:color="FFFFFF"/>
            </w:tcBorders>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c>
          <w:tcPr>
            <w:tcW w:w="549" w:type="dxa"/>
            <w:tcBorders>
              <w:top w:val="single" w:sz="4" w:space="0" w:color="FFFFFF"/>
            </w:tcBorders>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c>
          <w:tcPr>
            <w:tcW w:w="550" w:type="dxa"/>
            <w:tcBorders>
              <w:top w:val="single" w:sz="4" w:space="0" w:color="FFFFFF"/>
              <w:right w:val="single" w:sz="4" w:space="0" w:color="6E8967"/>
            </w:tcBorders>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r>
      <w:tr w:rsidR="00B3609C" w:rsidTr="00B3609C">
        <w:trPr>
          <w:trHeight w:val="59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B3609C" w:rsidRDefault="00B3609C">
            <w:pPr>
              <w:spacing w:line="280" w:lineRule="atLeast"/>
              <w:ind w:left="113" w:right="113"/>
              <w:jc w:val="right"/>
              <w:rPr>
                <w:rFonts w:cs="Arial"/>
                <w:b w:val="0"/>
                <w:i/>
                <w:sz w:val="16"/>
                <w:szCs w:val="16"/>
                <w:lang w:val="de-DE"/>
              </w:rPr>
            </w:pPr>
          </w:p>
        </w:tc>
        <w:tc>
          <w:tcPr>
            <w:tcW w:w="3402" w:type="dxa"/>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 xml:space="preserve">Planung von Bewertungstätigkeiten, Themen, Studien, Vorkehrungen für die Datenerhebung in Verbindung mit den gemeinsamen Wirkungsindikatoren im Bewertungsplan für das Programm zur Entwicklung des ländlichen Raums. </w:t>
            </w:r>
          </w:p>
        </w:tc>
        <w:tc>
          <w:tcPr>
            <w:tcW w:w="1061" w:type="dxa"/>
          </w:tcPr>
          <w:p w:rsidR="00B3609C" w:rsidRDefault="00882296">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 xml:space="preserve">Ab 2013 </w:t>
            </w:r>
          </w:p>
        </w:tc>
        <w:tc>
          <w:tcPr>
            <w:tcW w:w="622" w:type="dxa"/>
            <w:tcBorders>
              <w:right w:val="single" w:sz="4" w:space="0" w:color="FFFFFF"/>
            </w:tcBorders>
            <w:shd w:val="clear" w:color="auto" w:fill="95B89B" w:themeFill="accent4" w:themeFillTint="99"/>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49" w:type="dxa"/>
            <w:tcBorders>
              <w:left w:val="single" w:sz="4" w:space="0" w:color="FFFFFF"/>
            </w:tcBorders>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c>
          <w:tcPr>
            <w:tcW w:w="549" w:type="dxa"/>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c>
          <w:tcPr>
            <w:tcW w:w="550" w:type="dxa"/>
            <w:shd w:val="clear" w:color="auto" w:fill="D0DDCC" w:themeFill="accent6" w:themeFillTint="66"/>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c>
          <w:tcPr>
            <w:tcW w:w="593" w:type="dxa"/>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c>
          <w:tcPr>
            <w:tcW w:w="505" w:type="dxa"/>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c>
          <w:tcPr>
            <w:tcW w:w="549" w:type="dxa"/>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c>
          <w:tcPr>
            <w:tcW w:w="550" w:type="dxa"/>
            <w:tcBorders>
              <w:right w:val="single" w:sz="4" w:space="0" w:color="6E8967"/>
            </w:tcBorders>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r>
      <w:tr w:rsidR="00B3609C" w:rsidTr="00B3609C">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B3609C" w:rsidRDefault="00B3609C">
            <w:pPr>
              <w:spacing w:line="280" w:lineRule="atLeast"/>
              <w:ind w:left="113" w:right="113"/>
              <w:jc w:val="right"/>
              <w:rPr>
                <w:rFonts w:cs="Arial"/>
                <w:b w:val="0"/>
                <w:i/>
                <w:sz w:val="16"/>
                <w:szCs w:val="16"/>
                <w:lang w:val="de-DE"/>
              </w:rPr>
            </w:pPr>
          </w:p>
        </w:tc>
        <w:tc>
          <w:tcPr>
            <w:tcW w:w="3402" w:type="dxa"/>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 xml:space="preserve">Entwicklung/Aktualisierung der internen Bewertungsplanung (Dokument) zur weiteren Spezifizierung der Bewertungsthemen und -tätigkeiten (einschließlich Datenverwaltungsvorkehrungen zur Herausarbeitung der Wirkungsindikatoren und zur Erfassung anderer Nachweise und zugehöriger Studien). </w:t>
            </w:r>
          </w:p>
        </w:tc>
        <w:tc>
          <w:tcPr>
            <w:tcW w:w="1061" w:type="dxa"/>
          </w:tcPr>
          <w:p w:rsidR="00B3609C" w:rsidRDefault="00882296">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Ab 2013</w:t>
            </w:r>
          </w:p>
        </w:tc>
        <w:tc>
          <w:tcPr>
            <w:tcW w:w="622" w:type="dxa"/>
            <w:shd w:val="clear" w:color="auto" w:fill="95B89B" w:themeFill="accent4" w:themeFillTint="99"/>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49" w:type="dxa"/>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c>
          <w:tcPr>
            <w:tcW w:w="549" w:type="dxa"/>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c>
          <w:tcPr>
            <w:tcW w:w="550" w:type="dxa"/>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c>
          <w:tcPr>
            <w:tcW w:w="593" w:type="dxa"/>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c>
          <w:tcPr>
            <w:tcW w:w="505" w:type="dxa"/>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c>
          <w:tcPr>
            <w:tcW w:w="549" w:type="dxa"/>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c>
          <w:tcPr>
            <w:tcW w:w="550" w:type="dxa"/>
            <w:tcBorders>
              <w:right w:val="single" w:sz="4" w:space="0" w:color="6E8967"/>
            </w:tcBorders>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r>
      <w:tr w:rsidR="00B3609C" w:rsidTr="00B3609C">
        <w:trPr>
          <w:trHeight w:val="79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B3609C" w:rsidRDefault="00882296">
            <w:pPr>
              <w:spacing w:line="280" w:lineRule="atLeast"/>
              <w:ind w:left="113" w:right="113"/>
              <w:jc w:val="right"/>
              <w:rPr>
                <w:rFonts w:cs="Arial"/>
                <w:b w:val="0"/>
                <w:i/>
                <w:sz w:val="16"/>
                <w:szCs w:val="16"/>
                <w:lang w:val="de-DE"/>
              </w:rPr>
            </w:pPr>
            <w:r>
              <w:rPr>
                <w:rFonts w:cs="Arial"/>
                <w:i/>
                <w:iCs/>
                <w:sz w:val="16"/>
                <w:szCs w:val="16"/>
                <w:lang w:val="de-DE"/>
              </w:rPr>
              <w:t>Vorbereitung</w:t>
            </w:r>
          </w:p>
        </w:tc>
        <w:tc>
          <w:tcPr>
            <w:tcW w:w="3402" w:type="dxa"/>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Einrichtung einer freiwilligen Lenkungsgruppe zur Lenkung des Bewertungsprozesses (regelmäßige Sitzungen).</w:t>
            </w:r>
          </w:p>
        </w:tc>
        <w:tc>
          <w:tcPr>
            <w:tcW w:w="1061" w:type="dxa"/>
          </w:tcPr>
          <w:p w:rsidR="00B3609C" w:rsidRDefault="00882296">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 xml:space="preserve">Zu Beginn des Programmplanungszeitraums </w:t>
            </w:r>
          </w:p>
        </w:tc>
        <w:tc>
          <w:tcPr>
            <w:tcW w:w="622" w:type="dxa"/>
            <w:shd w:val="clear" w:color="auto" w:fill="95B89B" w:themeFill="accent4" w:themeFillTint="99"/>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49" w:type="dxa"/>
            <w:shd w:val="clear" w:color="auto" w:fill="D0DDCC" w:themeFill="accent6" w:themeFillTint="66"/>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c>
          <w:tcPr>
            <w:tcW w:w="549" w:type="dxa"/>
            <w:shd w:val="clear" w:color="auto" w:fill="D0DDCC" w:themeFill="accent6" w:themeFillTint="66"/>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c>
          <w:tcPr>
            <w:tcW w:w="550" w:type="dxa"/>
            <w:shd w:val="clear" w:color="auto" w:fill="95B89B" w:themeFill="accent4" w:themeFillTint="99"/>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93" w:type="dxa"/>
            <w:shd w:val="clear" w:color="auto" w:fill="95B89B" w:themeFill="accent4" w:themeFillTint="99"/>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05" w:type="dxa"/>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c>
          <w:tcPr>
            <w:tcW w:w="549" w:type="dxa"/>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c>
          <w:tcPr>
            <w:tcW w:w="550" w:type="dxa"/>
            <w:tcBorders>
              <w:right w:val="single" w:sz="4" w:space="0" w:color="6E8967"/>
            </w:tcBorders>
            <w:shd w:val="clear" w:color="auto" w:fill="D0DDCC" w:themeFill="accent6" w:themeFillTint="66"/>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r>
      <w:tr w:rsidR="00B3609C" w:rsidTr="00B3609C">
        <w:trPr>
          <w:cnfStyle w:val="000000100000" w:firstRow="0" w:lastRow="0" w:firstColumn="0" w:lastColumn="0" w:oddVBand="0" w:evenVBand="0" w:oddHBand="1" w:evenHBand="0" w:firstRowFirstColumn="0" w:firstRowLastColumn="0" w:lastRowFirstColumn="0" w:lastRowLastColumn="0"/>
          <w:trHeight w:val="79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B3609C" w:rsidRDefault="00B3609C">
            <w:pPr>
              <w:spacing w:line="280" w:lineRule="atLeast"/>
              <w:ind w:left="113" w:right="113"/>
              <w:jc w:val="right"/>
              <w:rPr>
                <w:rFonts w:cs="Arial"/>
                <w:b w:val="0"/>
                <w:i/>
                <w:sz w:val="16"/>
                <w:szCs w:val="16"/>
                <w:lang w:val="de-DE"/>
              </w:rPr>
            </w:pPr>
          </w:p>
        </w:tc>
        <w:tc>
          <w:tcPr>
            <w:tcW w:w="3402" w:type="dxa"/>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 xml:space="preserve">Prüfung der Interventionslogik des Programms (Ziele, Prioritäten und Schwerpunktbereiche der ländlichen Entwicklung, Maßnahmen). </w:t>
            </w:r>
          </w:p>
        </w:tc>
        <w:tc>
          <w:tcPr>
            <w:tcW w:w="1061" w:type="dxa"/>
          </w:tcPr>
          <w:p w:rsidR="00B3609C" w:rsidRDefault="00882296">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Zu Beginn des Programmplanungszeitraums und vor jeder Bewertung</w:t>
            </w:r>
          </w:p>
        </w:tc>
        <w:tc>
          <w:tcPr>
            <w:tcW w:w="622" w:type="dxa"/>
            <w:shd w:val="clear" w:color="auto" w:fill="95B89B" w:themeFill="accent4" w:themeFillTint="99"/>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49" w:type="dxa"/>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c>
          <w:tcPr>
            <w:tcW w:w="549" w:type="dxa"/>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c>
          <w:tcPr>
            <w:tcW w:w="550" w:type="dxa"/>
            <w:shd w:val="clear" w:color="auto" w:fill="95B89B" w:themeFill="accent4" w:themeFillTint="99"/>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93" w:type="dxa"/>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c>
          <w:tcPr>
            <w:tcW w:w="505" w:type="dxa"/>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c>
          <w:tcPr>
            <w:tcW w:w="549" w:type="dxa"/>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c>
          <w:tcPr>
            <w:tcW w:w="550" w:type="dxa"/>
            <w:tcBorders>
              <w:right w:val="single" w:sz="4" w:space="0" w:color="6E8967"/>
            </w:tcBorders>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r>
      <w:tr w:rsidR="00B3609C" w:rsidTr="00B3609C">
        <w:trPr>
          <w:trHeight w:val="502"/>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B3609C" w:rsidRDefault="00B3609C">
            <w:pPr>
              <w:spacing w:line="280" w:lineRule="atLeast"/>
              <w:ind w:left="113" w:right="113"/>
              <w:jc w:val="right"/>
              <w:rPr>
                <w:rFonts w:cs="Arial"/>
                <w:b w:val="0"/>
                <w:i/>
                <w:sz w:val="16"/>
                <w:szCs w:val="16"/>
                <w:lang w:val="de-DE"/>
              </w:rPr>
            </w:pPr>
          </w:p>
        </w:tc>
        <w:tc>
          <w:tcPr>
            <w:tcW w:w="3402" w:type="dxa"/>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 xml:space="preserve">Schaffung eines gemeinsamen Verständnisses der gemeinsamen Bewertungsfragen, Entwicklung von Beurteilungskriterien und Verknüpfung derselben mit den allgemeinen (und zusätzlichen) Indikatoren. Wahrung der Übereinstimmung bei der Verknüpfung der Bewertungselemente mit der Interventionslogik des Programms zur Entwicklung des ländlichen Raums. </w:t>
            </w:r>
          </w:p>
        </w:tc>
        <w:tc>
          <w:tcPr>
            <w:tcW w:w="1061" w:type="dxa"/>
          </w:tcPr>
          <w:p w:rsidR="00B3609C" w:rsidRDefault="00882296">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Zu Beginn des Programmplanungszeitraums und vor jeder Bewertung</w:t>
            </w:r>
          </w:p>
        </w:tc>
        <w:tc>
          <w:tcPr>
            <w:tcW w:w="622" w:type="dxa"/>
            <w:shd w:val="clear" w:color="auto" w:fill="95B89B" w:themeFill="accent4" w:themeFillTint="99"/>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49" w:type="dxa"/>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c>
          <w:tcPr>
            <w:tcW w:w="549" w:type="dxa"/>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c>
          <w:tcPr>
            <w:tcW w:w="550" w:type="dxa"/>
            <w:shd w:val="clear" w:color="auto" w:fill="95B89B" w:themeFill="accent4" w:themeFillTint="99"/>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93" w:type="dxa"/>
            <w:shd w:val="clear" w:color="auto" w:fill="D0DDCC" w:themeFill="accent6" w:themeFillTint="66"/>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c>
          <w:tcPr>
            <w:tcW w:w="505" w:type="dxa"/>
            <w:shd w:val="clear" w:color="auto" w:fill="D0DDCC" w:themeFill="accent6" w:themeFillTint="66"/>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c>
          <w:tcPr>
            <w:tcW w:w="549" w:type="dxa"/>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c>
          <w:tcPr>
            <w:tcW w:w="550" w:type="dxa"/>
            <w:tcBorders>
              <w:right w:val="single" w:sz="4" w:space="0" w:color="6E8967"/>
            </w:tcBorders>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r>
      <w:tr w:rsidR="00B3609C" w:rsidTr="00B3609C">
        <w:trPr>
          <w:cnfStyle w:val="000000100000" w:firstRow="0" w:lastRow="0" w:firstColumn="0" w:lastColumn="0" w:oddVBand="0" w:evenVBand="0" w:oddHBand="1" w:evenHBand="0" w:firstRowFirstColumn="0" w:firstRowLastColumn="0" w:lastRowFirstColumn="0" w:lastRowLastColumn="0"/>
          <w:trHeight w:val="80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B3609C" w:rsidRDefault="00B3609C">
            <w:pPr>
              <w:spacing w:line="280" w:lineRule="atLeast"/>
              <w:ind w:left="113" w:right="113"/>
              <w:jc w:val="right"/>
              <w:rPr>
                <w:rFonts w:cs="Arial"/>
                <w:b w:val="0"/>
                <w:i/>
                <w:sz w:val="16"/>
                <w:szCs w:val="16"/>
                <w:lang w:val="de-DE"/>
              </w:rPr>
            </w:pPr>
          </w:p>
        </w:tc>
        <w:tc>
          <w:tcPr>
            <w:tcW w:w="3402" w:type="dxa"/>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 xml:space="preserve">Bei Bedarf Entwicklung programmspezifischer Bewertungsfragen. Ausstattung derselben mit Beurteilungskriterien und programmspezifischen Indikatoren. Wahrung der Übereinstimmung bei der Verknüpfung der Bewertungselemente mit der </w:t>
            </w:r>
            <w:r>
              <w:rPr>
                <w:rFonts w:cs="Arial"/>
                <w:color w:val="373737"/>
                <w:sz w:val="16"/>
                <w:szCs w:val="16"/>
                <w:lang w:val="de-DE"/>
              </w:rPr>
              <w:lastRenderedPageBreak/>
              <w:t>Interventionslogik des Programms zur Entwicklung des ländlichen Raums.</w:t>
            </w:r>
          </w:p>
        </w:tc>
        <w:tc>
          <w:tcPr>
            <w:tcW w:w="1061" w:type="dxa"/>
          </w:tcPr>
          <w:p w:rsidR="00B3609C" w:rsidRDefault="00882296">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lastRenderedPageBreak/>
              <w:t>Zu Beginn des Programmplanungszeitraums und vor jeder Bewertung</w:t>
            </w:r>
          </w:p>
        </w:tc>
        <w:tc>
          <w:tcPr>
            <w:tcW w:w="622" w:type="dxa"/>
            <w:shd w:val="clear" w:color="auto" w:fill="95B89B" w:themeFill="accent4" w:themeFillTint="99"/>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49" w:type="dxa"/>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c>
          <w:tcPr>
            <w:tcW w:w="549" w:type="dxa"/>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c>
          <w:tcPr>
            <w:tcW w:w="550" w:type="dxa"/>
            <w:shd w:val="clear" w:color="auto" w:fill="95B89B" w:themeFill="accent4" w:themeFillTint="99"/>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93" w:type="dxa"/>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c>
          <w:tcPr>
            <w:tcW w:w="505" w:type="dxa"/>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c>
          <w:tcPr>
            <w:tcW w:w="549" w:type="dxa"/>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c>
          <w:tcPr>
            <w:tcW w:w="550" w:type="dxa"/>
            <w:tcBorders>
              <w:right w:val="single" w:sz="4" w:space="0" w:color="6E8967"/>
            </w:tcBorders>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r>
      <w:tr w:rsidR="00B3609C" w:rsidTr="00B3609C">
        <w:trPr>
          <w:trHeight w:val="1050"/>
          <w:jc w:val="center"/>
        </w:trPr>
        <w:tc>
          <w:tcPr>
            <w:cnfStyle w:val="001000000000" w:firstRow="0" w:lastRow="0" w:firstColumn="1" w:lastColumn="0" w:oddVBand="0" w:evenVBand="0" w:oddHBand="0" w:evenHBand="0" w:firstRowFirstColumn="0" w:firstRowLastColumn="0" w:lastRowFirstColumn="0" w:lastRowLastColumn="0"/>
            <w:tcW w:w="562" w:type="dxa"/>
            <w:vMerge/>
            <w:tcBorders>
              <w:top w:val="single" w:sz="4" w:space="0" w:color="FFFFFF"/>
              <w:left w:val="single" w:sz="4" w:space="0" w:color="6E8967"/>
            </w:tcBorders>
            <w:textDirection w:val="btLr"/>
          </w:tcPr>
          <w:p w:rsidR="00B3609C" w:rsidRDefault="00B3609C">
            <w:pPr>
              <w:spacing w:line="280" w:lineRule="atLeast"/>
              <w:ind w:left="113" w:right="113"/>
              <w:jc w:val="right"/>
              <w:rPr>
                <w:rFonts w:cs="Arial"/>
                <w:b w:val="0"/>
                <w:i/>
                <w:sz w:val="16"/>
                <w:szCs w:val="16"/>
                <w:lang w:val="de-DE"/>
              </w:rPr>
            </w:pPr>
          </w:p>
        </w:tc>
        <w:tc>
          <w:tcPr>
            <w:tcW w:w="3402" w:type="dxa"/>
            <w:tcBorders>
              <w:top w:val="single" w:sz="4" w:space="0" w:color="FFFFFF"/>
            </w:tcBorders>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 xml:space="preserve">Untersuchung der vorhandenen Daten für die Berechnung der gemeinsamen (und zusätzlichen) Indikatoren zur Einholung der erforderlichen Nachweise für die Beantwortung der CEQ im Zusammenhang mit der Strategie Europa 2020. Feststellung möglicher Datenlücken in Bezug auf die ausgewählten Indikatoren. </w:t>
            </w:r>
          </w:p>
        </w:tc>
        <w:tc>
          <w:tcPr>
            <w:tcW w:w="1061" w:type="dxa"/>
            <w:tcBorders>
              <w:top w:val="single" w:sz="4" w:space="0" w:color="FFFFFF"/>
            </w:tcBorders>
          </w:tcPr>
          <w:p w:rsidR="00B3609C" w:rsidRDefault="00882296">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Zu Beginn des Programmplanungszeitraums und vor der Bewertung</w:t>
            </w:r>
          </w:p>
        </w:tc>
        <w:tc>
          <w:tcPr>
            <w:tcW w:w="622" w:type="dxa"/>
            <w:tcBorders>
              <w:top w:val="single" w:sz="4" w:space="0" w:color="FFFFFF"/>
            </w:tcBorders>
            <w:shd w:val="clear" w:color="auto" w:fill="95B89B" w:themeFill="accent4" w:themeFillTint="99"/>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49" w:type="dxa"/>
            <w:tcBorders>
              <w:top w:val="single" w:sz="4" w:space="0" w:color="FFFFFF"/>
            </w:tcBorders>
            <w:shd w:val="clear" w:color="auto" w:fill="D0DDCC" w:themeFill="accent6" w:themeFillTint="66"/>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c>
          <w:tcPr>
            <w:tcW w:w="549" w:type="dxa"/>
            <w:tcBorders>
              <w:top w:val="single" w:sz="4" w:space="0" w:color="FFFFFF"/>
            </w:tcBorders>
            <w:shd w:val="clear" w:color="auto" w:fill="D0DDCC" w:themeFill="accent6" w:themeFillTint="66"/>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c>
          <w:tcPr>
            <w:tcW w:w="550" w:type="dxa"/>
            <w:tcBorders>
              <w:top w:val="single" w:sz="4" w:space="0" w:color="FFFFFF"/>
            </w:tcBorders>
            <w:shd w:val="clear" w:color="auto" w:fill="95B89B" w:themeFill="accent4" w:themeFillTint="99"/>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93" w:type="dxa"/>
            <w:tcBorders>
              <w:top w:val="single" w:sz="4" w:space="0" w:color="FFFFFF"/>
            </w:tcBorders>
            <w:shd w:val="clear" w:color="auto" w:fill="95B89B" w:themeFill="accent4" w:themeFillTint="99"/>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05" w:type="dxa"/>
            <w:tcBorders>
              <w:top w:val="single" w:sz="4" w:space="0" w:color="FFFFFF"/>
            </w:tcBorders>
            <w:shd w:val="clear" w:color="auto" w:fill="D0DDCC" w:themeFill="accent6" w:themeFillTint="66"/>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c>
          <w:tcPr>
            <w:tcW w:w="549" w:type="dxa"/>
            <w:tcBorders>
              <w:top w:val="single" w:sz="4" w:space="0" w:color="FFFFFF"/>
            </w:tcBorders>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c>
          <w:tcPr>
            <w:tcW w:w="550" w:type="dxa"/>
            <w:tcBorders>
              <w:top w:val="single" w:sz="4" w:space="0" w:color="FFFFFF"/>
              <w:right w:val="single" w:sz="4" w:space="0" w:color="6E8967"/>
            </w:tcBorders>
            <w:shd w:val="clear" w:color="auto" w:fill="D0DDCC" w:themeFill="accent6" w:themeFillTint="66"/>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r>
      <w:tr w:rsidR="00B3609C" w:rsidTr="00B3609C">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B3609C" w:rsidRDefault="00B3609C">
            <w:pPr>
              <w:spacing w:line="280" w:lineRule="atLeast"/>
              <w:ind w:left="113" w:right="113"/>
              <w:jc w:val="right"/>
              <w:rPr>
                <w:rFonts w:cs="Arial"/>
                <w:b w:val="0"/>
                <w:i/>
                <w:sz w:val="16"/>
                <w:szCs w:val="16"/>
                <w:lang w:val="de-DE"/>
              </w:rPr>
            </w:pPr>
          </w:p>
        </w:tc>
        <w:tc>
          <w:tcPr>
            <w:tcW w:w="3402" w:type="dxa"/>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 xml:space="preserve">Erörterung möglicher Ansätze zur Bewertung/Herausarbeitung der Wirkungsindikatoren im Einklang mit den vorhandenen Daten. </w:t>
            </w:r>
          </w:p>
        </w:tc>
        <w:tc>
          <w:tcPr>
            <w:tcW w:w="1061" w:type="dxa"/>
          </w:tcPr>
          <w:p w:rsidR="00B3609C" w:rsidRDefault="00882296">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Zu Beginn des Programmplanungszeitraums und vor der Bewertung</w:t>
            </w:r>
          </w:p>
        </w:tc>
        <w:tc>
          <w:tcPr>
            <w:tcW w:w="622" w:type="dxa"/>
            <w:shd w:val="clear" w:color="auto" w:fill="95B89B" w:themeFill="accent4" w:themeFillTint="99"/>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49" w:type="dxa"/>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c>
          <w:tcPr>
            <w:tcW w:w="549" w:type="dxa"/>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c>
          <w:tcPr>
            <w:tcW w:w="550" w:type="dxa"/>
            <w:shd w:val="clear" w:color="auto" w:fill="95B89B" w:themeFill="accent4" w:themeFillTint="99"/>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93" w:type="dxa"/>
            <w:shd w:val="clear" w:color="auto" w:fill="95B89B" w:themeFill="accent4" w:themeFillTint="99"/>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05" w:type="dxa"/>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c>
          <w:tcPr>
            <w:tcW w:w="549" w:type="dxa"/>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c>
          <w:tcPr>
            <w:tcW w:w="550" w:type="dxa"/>
            <w:tcBorders>
              <w:right w:val="single" w:sz="4" w:space="0" w:color="6E8967"/>
            </w:tcBorders>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r>
      <w:tr w:rsidR="00B3609C" w:rsidTr="00B3609C">
        <w:trPr>
          <w:trHeight w:val="24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B3609C" w:rsidRDefault="00B3609C">
            <w:pPr>
              <w:spacing w:line="280" w:lineRule="atLeast"/>
              <w:ind w:left="113" w:right="113"/>
              <w:jc w:val="right"/>
              <w:rPr>
                <w:rFonts w:cs="Arial"/>
                <w:b w:val="0"/>
                <w:i/>
                <w:sz w:val="16"/>
                <w:szCs w:val="16"/>
                <w:lang w:val="de-DE"/>
              </w:rPr>
            </w:pPr>
          </w:p>
        </w:tc>
        <w:tc>
          <w:tcPr>
            <w:tcW w:w="3402" w:type="dxa"/>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 xml:space="preserve">Entwurf der Vorgaben und des Mandats und Ausschreibung der Bewertung (als Aufträge über eine fortlaufende oder eine einzige Bewertung für 2017 und 2019). </w:t>
            </w:r>
          </w:p>
        </w:tc>
        <w:tc>
          <w:tcPr>
            <w:tcW w:w="1061" w:type="dxa"/>
          </w:tcPr>
          <w:p w:rsidR="00B3609C" w:rsidRDefault="00882296">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Zu Beginn des Programmplanungszeitraums oder 2016 und 2018</w:t>
            </w:r>
          </w:p>
        </w:tc>
        <w:tc>
          <w:tcPr>
            <w:tcW w:w="622" w:type="dxa"/>
            <w:shd w:val="clear" w:color="auto" w:fill="95B89B" w:themeFill="accent4" w:themeFillTint="99"/>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49" w:type="dxa"/>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c>
          <w:tcPr>
            <w:tcW w:w="549" w:type="dxa"/>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c>
          <w:tcPr>
            <w:tcW w:w="550" w:type="dxa"/>
            <w:shd w:val="clear" w:color="auto" w:fill="D0DDCC" w:themeFill="accent6" w:themeFillTint="66"/>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c>
          <w:tcPr>
            <w:tcW w:w="593" w:type="dxa"/>
            <w:shd w:val="clear" w:color="auto" w:fill="D0DDCC" w:themeFill="accent6" w:themeFillTint="66"/>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c>
          <w:tcPr>
            <w:tcW w:w="505" w:type="dxa"/>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c>
          <w:tcPr>
            <w:tcW w:w="549" w:type="dxa"/>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c>
          <w:tcPr>
            <w:tcW w:w="550" w:type="dxa"/>
            <w:tcBorders>
              <w:right w:val="single" w:sz="4" w:space="0" w:color="6E8967"/>
            </w:tcBorders>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r>
      <w:tr w:rsidR="00B3609C" w:rsidTr="00B360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B3609C" w:rsidRDefault="00882296">
            <w:pPr>
              <w:spacing w:line="280" w:lineRule="atLeast"/>
              <w:ind w:left="113" w:right="113"/>
              <w:jc w:val="right"/>
              <w:rPr>
                <w:rFonts w:cs="Arial"/>
                <w:b w:val="0"/>
                <w:i/>
                <w:sz w:val="16"/>
                <w:szCs w:val="16"/>
                <w:lang w:val="de-DE"/>
              </w:rPr>
            </w:pPr>
            <w:r>
              <w:rPr>
                <w:rFonts w:cs="Arial"/>
                <w:i/>
                <w:iCs/>
                <w:sz w:val="16"/>
                <w:szCs w:val="16"/>
                <w:lang w:val="de-DE"/>
              </w:rPr>
              <w:t>Strukturierung</w:t>
            </w:r>
          </w:p>
        </w:tc>
        <w:tc>
          <w:tcPr>
            <w:tcW w:w="3402" w:type="dxa"/>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 xml:space="preserve">Erörterung der bestehenden Datenquellen und -lücken mit den Bewertern. Einigung über die Schließung von Datenlücken. </w:t>
            </w:r>
          </w:p>
        </w:tc>
        <w:tc>
          <w:tcPr>
            <w:tcW w:w="1061" w:type="dxa"/>
          </w:tcPr>
          <w:p w:rsidR="00B3609C" w:rsidRDefault="00882296">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2016 und 2.–3. Quartal 2018</w:t>
            </w:r>
          </w:p>
        </w:tc>
        <w:tc>
          <w:tcPr>
            <w:tcW w:w="622" w:type="dxa"/>
            <w:shd w:val="clear" w:color="auto" w:fill="95B89B" w:themeFill="accent4" w:themeFillTint="99"/>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49" w:type="dxa"/>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c>
          <w:tcPr>
            <w:tcW w:w="549" w:type="dxa"/>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c>
          <w:tcPr>
            <w:tcW w:w="550" w:type="dxa"/>
            <w:shd w:val="clear" w:color="auto" w:fill="95B89B" w:themeFill="accent4" w:themeFillTint="99"/>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93" w:type="dxa"/>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c>
          <w:tcPr>
            <w:tcW w:w="505" w:type="dxa"/>
            <w:shd w:val="clear" w:color="auto" w:fill="95B89B" w:themeFill="accent4" w:themeFillTint="99"/>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49" w:type="dxa"/>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c>
          <w:tcPr>
            <w:tcW w:w="550" w:type="dxa"/>
            <w:tcBorders>
              <w:right w:val="single" w:sz="4" w:space="0" w:color="6E8967"/>
            </w:tcBorders>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r>
      <w:tr w:rsidR="00B3609C" w:rsidTr="00B3609C">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B3609C" w:rsidRDefault="00B3609C">
            <w:pPr>
              <w:spacing w:line="280" w:lineRule="atLeast"/>
              <w:ind w:left="113" w:right="113"/>
              <w:jc w:val="right"/>
              <w:rPr>
                <w:rFonts w:cs="Arial"/>
                <w:b w:val="0"/>
                <w:i/>
                <w:sz w:val="16"/>
                <w:szCs w:val="16"/>
                <w:lang w:val="de-DE"/>
              </w:rPr>
            </w:pPr>
          </w:p>
        </w:tc>
        <w:tc>
          <w:tcPr>
            <w:tcW w:w="3402" w:type="dxa"/>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 xml:space="preserve">Diskussion der methodischen Ansätze für die Bewertung der Auswirkungen des Programms zur Entwicklung des ländlichen Raums und für die Herausarbeitung der gemeinsamen (und zusätzlichen) Wirkungsindikatoren mit den Bewertern. </w:t>
            </w:r>
          </w:p>
        </w:tc>
        <w:tc>
          <w:tcPr>
            <w:tcW w:w="1061" w:type="dxa"/>
          </w:tcPr>
          <w:p w:rsidR="00B3609C" w:rsidRDefault="00882296">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2016 und 2.–3. Quartal 2018</w:t>
            </w:r>
          </w:p>
        </w:tc>
        <w:tc>
          <w:tcPr>
            <w:tcW w:w="622" w:type="dxa"/>
            <w:shd w:val="clear" w:color="auto" w:fill="95B89B" w:themeFill="accent4" w:themeFillTint="99"/>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49" w:type="dxa"/>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c>
          <w:tcPr>
            <w:tcW w:w="549" w:type="dxa"/>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c>
          <w:tcPr>
            <w:tcW w:w="550" w:type="dxa"/>
            <w:shd w:val="clear" w:color="auto" w:fill="95B89B" w:themeFill="accent4" w:themeFillTint="99"/>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93" w:type="dxa"/>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c>
          <w:tcPr>
            <w:tcW w:w="505" w:type="dxa"/>
            <w:shd w:val="clear" w:color="auto" w:fill="95B89B" w:themeFill="accent4" w:themeFillTint="99"/>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49" w:type="dxa"/>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c>
          <w:tcPr>
            <w:tcW w:w="550" w:type="dxa"/>
            <w:tcBorders>
              <w:right w:val="single" w:sz="4" w:space="0" w:color="6E8967"/>
            </w:tcBorders>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r>
      <w:tr w:rsidR="00B3609C" w:rsidTr="00B360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B3609C" w:rsidRDefault="00882296">
            <w:pPr>
              <w:spacing w:line="280" w:lineRule="atLeast"/>
              <w:ind w:left="113" w:right="113"/>
              <w:jc w:val="right"/>
              <w:rPr>
                <w:rFonts w:cs="Arial"/>
                <w:b w:val="0"/>
                <w:i/>
                <w:sz w:val="16"/>
                <w:szCs w:val="16"/>
                <w:lang w:val="de-DE"/>
              </w:rPr>
            </w:pPr>
            <w:r>
              <w:rPr>
                <w:rFonts w:cs="Arial"/>
                <w:i/>
                <w:iCs/>
                <w:sz w:val="16"/>
                <w:szCs w:val="16"/>
                <w:lang w:val="de-DE"/>
              </w:rPr>
              <w:t>Beobachtung</w:t>
            </w:r>
          </w:p>
        </w:tc>
        <w:tc>
          <w:tcPr>
            <w:tcW w:w="3402" w:type="dxa"/>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 xml:space="preserve">Erfassen von Daten und Informationen zu den Begünstigten entsprechend der Verbindung zu den gemeinsamen (und zusätzlichen) Wirkungsindikatoren und im Einklang mit den vorgeschlagenen Methoden. </w:t>
            </w:r>
          </w:p>
        </w:tc>
        <w:tc>
          <w:tcPr>
            <w:tcW w:w="1061" w:type="dxa"/>
          </w:tcPr>
          <w:p w:rsidR="00B3609C" w:rsidRDefault="00882296">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Zu Beginn des Programms zur Entwicklung des ländlichen Raums bis Ende 2018</w:t>
            </w:r>
          </w:p>
        </w:tc>
        <w:tc>
          <w:tcPr>
            <w:tcW w:w="622" w:type="dxa"/>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c>
          <w:tcPr>
            <w:tcW w:w="549" w:type="dxa"/>
            <w:shd w:val="clear" w:color="auto" w:fill="95B89B" w:themeFill="accent4" w:themeFillTint="99"/>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49" w:type="dxa"/>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c>
          <w:tcPr>
            <w:tcW w:w="550" w:type="dxa"/>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c>
          <w:tcPr>
            <w:tcW w:w="593" w:type="dxa"/>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c>
          <w:tcPr>
            <w:tcW w:w="505" w:type="dxa"/>
            <w:shd w:val="clear" w:color="auto" w:fill="95B89B" w:themeFill="accent4" w:themeFillTint="99"/>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49" w:type="dxa"/>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c>
          <w:tcPr>
            <w:tcW w:w="550" w:type="dxa"/>
            <w:tcBorders>
              <w:right w:val="single" w:sz="4" w:space="0" w:color="6E8967"/>
            </w:tcBorders>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r>
      <w:tr w:rsidR="00B3609C" w:rsidTr="00B3609C">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B3609C" w:rsidRDefault="00B3609C">
            <w:pPr>
              <w:spacing w:line="280" w:lineRule="atLeast"/>
              <w:ind w:left="113" w:right="113"/>
              <w:jc w:val="right"/>
              <w:rPr>
                <w:rFonts w:cs="Arial"/>
                <w:b w:val="0"/>
                <w:i/>
                <w:sz w:val="16"/>
                <w:szCs w:val="16"/>
                <w:lang w:val="de-DE"/>
              </w:rPr>
            </w:pPr>
          </w:p>
        </w:tc>
        <w:tc>
          <w:tcPr>
            <w:tcW w:w="3402" w:type="dxa"/>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 xml:space="preserve">Erfassen von Daten und Informationen zu den Nichtbegünstigten entsprechend der Verbindung zu den gemeinsamen (und zusätzlichen) Wirkungsindikatoren und im Einklang mit den vorgeschlagenen Methoden. </w:t>
            </w:r>
          </w:p>
        </w:tc>
        <w:tc>
          <w:tcPr>
            <w:tcW w:w="1061" w:type="dxa"/>
          </w:tcPr>
          <w:p w:rsidR="00B3609C" w:rsidRDefault="00882296">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 xml:space="preserve">Zu Beginn des Programms zur Entwicklung des ländlichen </w:t>
            </w:r>
            <w:r>
              <w:rPr>
                <w:rFonts w:cs="Arial"/>
                <w:color w:val="373737"/>
                <w:sz w:val="16"/>
                <w:szCs w:val="16"/>
                <w:lang w:val="de-DE"/>
              </w:rPr>
              <w:lastRenderedPageBreak/>
              <w:t>Raums bis Ende 2018</w:t>
            </w:r>
          </w:p>
        </w:tc>
        <w:tc>
          <w:tcPr>
            <w:tcW w:w="622" w:type="dxa"/>
            <w:shd w:val="clear" w:color="auto" w:fill="95B89B" w:themeFill="accent4" w:themeFillTint="99"/>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lastRenderedPageBreak/>
              <w:t>x</w:t>
            </w:r>
          </w:p>
        </w:tc>
        <w:tc>
          <w:tcPr>
            <w:tcW w:w="549" w:type="dxa"/>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c>
          <w:tcPr>
            <w:tcW w:w="549" w:type="dxa"/>
            <w:shd w:val="clear" w:color="auto" w:fill="D0DDCC" w:themeFill="accent6" w:themeFillTint="66"/>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c>
          <w:tcPr>
            <w:tcW w:w="550" w:type="dxa"/>
            <w:shd w:val="clear" w:color="auto" w:fill="D0DDCC" w:themeFill="accent6" w:themeFillTint="66"/>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c>
          <w:tcPr>
            <w:tcW w:w="593" w:type="dxa"/>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c>
          <w:tcPr>
            <w:tcW w:w="505" w:type="dxa"/>
            <w:shd w:val="clear" w:color="auto" w:fill="95B89B" w:themeFill="accent4" w:themeFillTint="99"/>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49" w:type="dxa"/>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c>
          <w:tcPr>
            <w:tcW w:w="550" w:type="dxa"/>
            <w:tcBorders>
              <w:right w:val="single" w:sz="4" w:space="0" w:color="6E8967"/>
            </w:tcBorders>
            <w:shd w:val="clear" w:color="auto" w:fill="D0DDCC" w:themeFill="accent6" w:themeFillTint="66"/>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r>
      <w:tr w:rsidR="00B3609C" w:rsidTr="00B360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B3609C" w:rsidRDefault="00B3609C">
            <w:pPr>
              <w:spacing w:line="280" w:lineRule="atLeast"/>
              <w:ind w:left="113" w:right="113"/>
              <w:jc w:val="right"/>
              <w:rPr>
                <w:rFonts w:cs="Arial"/>
                <w:b w:val="0"/>
                <w:i/>
                <w:sz w:val="16"/>
                <w:szCs w:val="16"/>
                <w:lang w:val="de-DE"/>
              </w:rPr>
            </w:pPr>
          </w:p>
        </w:tc>
        <w:tc>
          <w:tcPr>
            <w:tcW w:w="3402" w:type="dxa"/>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 xml:space="preserve">Sicherung der Qualität der Daten, die sowohl aus der Vorhabendatenbank als auch aus anderen Quellen (z. B. INLB, statistisches Amt, Umweltüberwachung usw.) stammen. </w:t>
            </w:r>
          </w:p>
        </w:tc>
        <w:tc>
          <w:tcPr>
            <w:tcW w:w="1061" w:type="dxa"/>
          </w:tcPr>
          <w:p w:rsidR="00B3609C" w:rsidRDefault="00882296">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Laufend</w:t>
            </w:r>
          </w:p>
        </w:tc>
        <w:tc>
          <w:tcPr>
            <w:tcW w:w="622" w:type="dxa"/>
            <w:shd w:val="clear" w:color="auto" w:fill="95B89B" w:themeFill="accent4" w:themeFillTint="99"/>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49" w:type="dxa"/>
            <w:shd w:val="clear" w:color="auto" w:fill="95B89B" w:themeFill="accent4" w:themeFillTint="99"/>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49" w:type="dxa"/>
            <w:shd w:val="clear" w:color="auto" w:fill="95B89B" w:themeFill="accent4" w:themeFillTint="99"/>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50" w:type="dxa"/>
            <w:shd w:val="clear" w:color="auto" w:fill="95B89B" w:themeFill="accent4" w:themeFillTint="99"/>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93" w:type="dxa"/>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c>
          <w:tcPr>
            <w:tcW w:w="505" w:type="dxa"/>
            <w:shd w:val="clear" w:color="auto" w:fill="95B89B" w:themeFill="accent4" w:themeFillTint="99"/>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49" w:type="dxa"/>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c>
          <w:tcPr>
            <w:tcW w:w="550" w:type="dxa"/>
            <w:tcBorders>
              <w:right w:val="single" w:sz="4" w:space="0" w:color="6E8967"/>
            </w:tcBorders>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r>
      <w:tr w:rsidR="00B3609C" w:rsidTr="00B3609C">
        <w:trP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B3609C" w:rsidRDefault="00882296">
            <w:pPr>
              <w:spacing w:line="280" w:lineRule="atLeast"/>
              <w:ind w:left="113" w:right="113"/>
              <w:jc w:val="right"/>
              <w:rPr>
                <w:rFonts w:cs="Arial"/>
                <w:b w:val="0"/>
                <w:i/>
                <w:sz w:val="16"/>
                <w:szCs w:val="16"/>
                <w:lang w:val="de-DE"/>
              </w:rPr>
            </w:pPr>
            <w:r>
              <w:rPr>
                <w:rFonts w:cs="Arial"/>
                <w:i/>
                <w:iCs/>
                <w:sz w:val="16"/>
                <w:szCs w:val="16"/>
                <w:lang w:val="de-DE"/>
              </w:rPr>
              <w:t>Analyse</w:t>
            </w:r>
          </w:p>
        </w:tc>
        <w:tc>
          <w:tcPr>
            <w:tcW w:w="3402" w:type="dxa"/>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 xml:space="preserve">Durchführung der Bewertung und Herausarbeitung der Wirkungsindikatoren im Einklang mit dem vorgeschlagenen Bewertungsansatz und den ausgewählten Bewertungsmethoden. </w:t>
            </w:r>
          </w:p>
        </w:tc>
        <w:tc>
          <w:tcPr>
            <w:tcW w:w="1061" w:type="dxa"/>
          </w:tcPr>
          <w:p w:rsidR="00B3609C" w:rsidRDefault="00882296">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1. Quartal 2019</w:t>
            </w:r>
          </w:p>
        </w:tc>
        <w:tc>
          <w:tcPr>
            <w:tcW w:w="622" w:type="dxa"/>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c>
          <w:tcPr>
            <w:tcW w:w="549" w:type="dxa"/>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c>
          <w:tcPr>
            <w:tcW w:w="549" w:type="dxa"/>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c>
          <w:tcPr>
            <w:tcW w:w="550" w:type="dxa"/>
            <w:shd w:val="clear" w:color="auto" w:fill="D0DDCC" w:themeFill="accent6" w:themeFillTint="66"/>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c>
          <w:tcPr>
            <w:tcW w:w="593" w:type="dxa"/>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c>
          <w:tcPr>
            <w:tcW w:w="505" w:type="dxa"/>
            <w:shd w:val="clear" w:color="auto" w:fill="95B89B" w:themeFill="accent4" w:themeFillTint="99"/>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49" w:type="dxa"/>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c>
          <w:tcPr>
            <w:tcW w:w="550" w:type="dxa"/>
            <w:tcBorders>
              <w:right w:val="single" w:sz="4" w:space="0" w:color="6E8967"/>
            </w:tcBorders>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r>
      <w:tr w:rsidR="00B3609C" w:rsidTr="00B360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B3609C" w:rsidRDefault="00B3609C">
            <w:pPr>
              <w:spacing w:line="280" w:lineRule="atLeast"/>
              <w:ind w:left="113" w:right="113"/>
              <w:jc w:val="right"/>
              <w:rPr>
                <w:rFonts w:cs="Arial"/>
                <w:b w:val="0"/>
                <w:i/>
                <w:sz w:val="16"/>
                <w:szCs w:val="16"/>
                <w:lang w:val="de-DE"/>
              </w:rPr>
            </w:pPr>
          </w:p>
        </w:tc>
        <w:tc>
          <w:tcPr>
            <w:tcW w:w="3402" w:type="dxa"/>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 xml:space="preserve">Sicherung der Qualität der Analyse. </w:t>
            </w:r>
          </w:p>
        </w:tc>
        <w:tc>
          <w:tcPr>
            <w:tcW w:w="1061" w:type="dxa"/>
          </w:tcPr>
          <w:p w:rsidR="00B3609C" w:rsidRDefault="00882296">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1. Quartal 2019</w:t>
            </w:r>
          </w:p>
        </w:tc>
        <w:tc>
          <w:tcPr>
            <w:tcW w:w="622" w:type="dxa"/>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c>
          <w:tcPr>
            <w:tcW w:w="549" w:type="dxa"/>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c>
          <w:tcPr>
            <w:tcW w:w="549" w:type="dxa"/>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c>
          <w:tcPr>
            <w:tcW w:w="550" w:type="dxa"/>
            <w:shd w:val="clear" w:color="auto" w:fill="95B89B" w:themeFill="accent4" w:themeFillTint="99"/>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93" w:type="dxa"/>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c>
          <w:tcPr>
            <w:tcW w:w="505" w:type="dxa"/>
            <w:shd w:val="clear" w:color="auto" w:fill="95B89B" w:themeFill="accent4" w:themeFillTint="99"/>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49" w:type="dxa"/>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c>
          <w:tcPr>
            <w:tcW w:w="550" w:type="dxa"/>
            <w:tcBorders>
              <w:right w:val="single" w:sz="4" w:space="0" w:color="6E8967"/>
            </w:tcBorders>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r>
      <w:tr w:rsidR="00B3609C" w:rsidTr="00B3609C">
        <w:trP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B3609C" w:rsidRDefault="00882296">
            <w:pPr>
              <w:spacing w:line="280" w:lineRule="atLeast"/>
              <w:ind w:left="113" w:right="113"/>
              <w:jc w:val="right"/>
              <w:rPr>
                <w:rFonts w:cs="Arial"/>
                <w:b w:val="0"/>
                <w:i/>
                <w:sz w:val="16"/>
                <w:szCs w:val="16"/>
                <w:lang w:val="de-DE"/>
              </w:rPr>
            </w:pPr>
            <w:r>
              <w:rPr>
                <w:rFonts w:cs="Arial"/>
                <w:i/>
                <w:iCs/>
                <w:sz w:val="16"/>
                <w:szCs w:val="16"/>
                <w:lang w:val="de-DE"/>
              </w:rPr>
              <w:t>Beurteilung</w:t>
            </w:r>
          </w:p>
        </w:tc>
        <w:tc>
          <w:tcPr>
            <w:tcW w:w="3402" w:type="dxa"/>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 xml:space="preserve">Auswertung der Bewertungsergebnisse aus der Analyse, Beurteilung auf der Grundlage der Beurteilungskriterien und Beantwortung der Bewertungsfragen. </w:t>
            </w:r>
          </w:p>
        </w:tc>
        <w:tc>
          <w:tcPr>
            <w:tcW w:w="1061" w:type="dxa"/>
          </w:tcPr>
          <w:p w:rsidR="00B3609C" w:rsidRDefault="00882296">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1. Quartal 2019</w:t>
            </w:r>
          </w:p>
        </w:tc>
        <w:tc>
          <w:tcPr>
            <w:tcW w:w="622" w:type="dxa"/>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c>
          <w:tcPr>
            <w:tcW w:w="549" w:type="dxa"/>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c>
          <w:tcPr>
            <w:tcW w:w="549" w:type="dxa"/>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c>
          <w:tcPr>
            <w:tcW w:w="550" w:type="dxa"/>
            <w:shd w:val="clear" w:color="auto" w:fill="D0DDCC" w:themeFill="accent6" w:themeFillTint="66"/>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c>
          <w:tcPr>
            <w:tcW w:w="593" w:type="dxa"/>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c>
          <w:tcPr>
            <w:tcW w:w="505" w:type="dxa"/>
            <w:shd w:val="clear" w:color="auto" w:fill="95B89B" w:themeFill="accent4" w:themeFillTint="99"/>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49" w:type="dxa"/>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c>
          <w:tcPr>
            <w:tcW w:w="550" w:type="dxa"/>
            <w:tcBorders>
              <w:right w:val="single" w:sz="4" w:space="0" w:color="6E8967"/>
            </w:tcBorders>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r>
      <w:tr w:rsidR="00B3609C" w:rsidTr="00B360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B3609C" w:rsidRDefault="00B3609C">
            <w:pPr>
              <w:spacing w:line="280" w:lineRule="atLeast"/>
              <w:ind w:left="113" w:right="113"/>
              <w:jc w:val="right"/>
              <w:rPr>
                <w:rFonts w:cs="Arial"/>
                <w:b w:val="0"/>
                <w:i/>
                <w:sz w:val="16"/>
                <w:szCs w:val="16"/>
                <w:lang w:val="de-DE"/>
              </w:rPr>
            </w:pPr>
          </w:p>
        </w:tc>
        <w:tc>
          <w:tcPr>
            <w:tcW w:w="3402" w:type="dxa"/>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Formulierung von Schlussfolgerungen in Verbindung mit den Beurteilungen und bei Bedarf Formulierung von Empfehlungen.</w:t>
            </w:r>
          </w:p>
        </w:tc>
        <w:tc>
          <w:tcPr>
            <w:tcW w:w="1061" w:type="dxa"/>
          </w:tcPr>
          <w:p w:rsidR="00B3609C" w:rsidRDefault="00882296">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1. und 2. Quartal 2019</w:t>
            </w:r>
          </w:p>
        </w:tc>
        <w:tc>
          <w:tcPr>
            <w:tcW w:w="622" w:type="dxa"/>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c>
          <w:tcPr>
            <w:tcW w:w="549" w:type="dxa"/>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c>
          <w:tcPr>
            <w:tcW w:w="549" w:type="dxa"/>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c>
          <w:tcPr>
            <w:tcW w:w="550" w:type="dxa"/>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c>
          <w:tcPr>
            <w:tcW w:w="593" w:type="dxa"/>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c>
          <w:tcPr>
            <w:tcW w:w="505" w:type="dxa"/>
            <w:shd w:val="clear" w:color="auto" w:fill="95B89B" w:themeFill="accent4" w:themeFillTint="99"/>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49" w:type="dxa"/>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c>
          <w:tcPr>
            <w:tcW w:w="550" w:type="dxa"/>
            <w:tcBorders>
              <w:right w:val="single" w:sz="4" w:space="0" w:color="6E8967"/>
            </w:tcBorders>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r>
      <w:tr w:rsidR="00B3609C" w:rsidTr="00B3609C">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B3609C" w:rsidRDefault="00B3609C">
            <w:pPr>
              <w:spacing w:line="280" w:lineRule="atLeast"/>
              <w:ind w:left="113" w:right="113"/>
              <w:jc w:val="right"/>
              <w:rPr>
                <w:rFonts w:cs="Arial"/>
                <w:b w:val="0"/>
                <w:i/>
                <w:sz w:val="16"/>
                <w:szCs w:val="16"/>
                <w:lang w:val="de-DE"/>
              </w:rPr>
            </w:pPr>
          </w:p>
        </w:tc>
        <w:tc>
          <w:tcPr>
            <w:tcW w:w="3402" w:type="dxa"/>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 xml:space="preserve">Sicherung der Qualität der Beurteilungen. </w:t>
            </w:r>
          </w:p>
        </w:tc>
        <w:tc>
          <w:tcPr>
            <w:tcW w:w="1061" w:type="dxa"/>
          </w:tcPr>
          <w:p w:rsidR="00B3609C" w:rsidRDefault="00882296">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1. und 2. Quartal 2019</w:t>
            </w:r>
          </w:p>
        </w:tc>
        <w:tc>
          <w:tcPr>
            <w:tcW w:w="622" w:type="dxa"/>
            <w:shd w:val="clear" w:color="auto" w:fill="D0DDCC" w:themeFill="accent6" w:themeFillTint="66"/>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c>
          <w:tcPr>
            <w:tcW w:w="549" w:type="dxa"/>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c>
          <w:tcPr>
            <w:tcW w:w="549" w:type="dxa"/>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c>
          <w:tcPr>
            <w:tcW w:w="550" w:type="dxa"/>
            <w:shd w:val="clear" w:color="auto" w:fill="95B89B" w:themeFill="accent4" w:themeFillTint="99"/>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93" w:type="dxa"/>
            <w:shd w:val="clear" w:color="auto" w:fill="D0DDCC" w:themeFill="accent6" w:themeFillTint="66"/>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c>
          <w:tcPr>
            <w:tcW w:w="505" w:type="dxa"/>
            <w:shd w:val="clear" w:color="auto" w:fill="95B89B" w:themeFill="accent4" w:themeFillTint="99"/>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49" w:type="dxa"/>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c>
          <w:tcPr>
            <w:tcW w:w="550" w:type="dxa"/>
            <w:tcBorders>
              <w:right w:val="single" w:sz="4" w:space="0" w:color="6E8967"/>
            </w:tcBorders>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r>
      <w:tr w:rsidR="00B3609C" w:rsidTr="00B360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B3609C" w:rsidRDefault="00882296">
            <w:pPr>
              <w:spacing w:line="280" w:lineRule="atLeast"/>
              <w:ind w:left="113" w:right="113"/>
              <w:jc w:val="right"/>
              <w:rPr>
                <w:rFonts w:cs="Arial"/>
                <w:b w:val="0"/>
                <w:i/>
                <w:sz w:val="16"/>
                <w:szCs w:val="16"/>
                <w:lang w:val="de-DE"/>
              </w:rPr>
            </w:pPr>
            <w:r>
              <w:rPr>
                <w:rFonts w:cs="Arial"/>
                <w:i/>
                <w:iCs/>
                <w:sz w:val="16"/>
                <w:szCs w:val="16"/>
                <w:lang w:val="de-DE"/>
              </w:rPr>
              <w:t>Berichterstattung</w:t>
            </w:r>
          </w:p>
        </w:tc>
        <w:tc>
          <w:tcPr>
            <w:tcW w:w="3402" w:type="dxa"/>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Entwurf des Bewertungsberichts.</w:t>
            </w:r>
          </w:p>
        </w:tc>
        <w:tc>
          <w:tcPr>
            <w:tcW w:w="1061" w:type="dxa"/>
          </w:tcPr>
          <w:p w:rsidR="00B3609C" w:rsidRDefault="00882296">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2. Quartal 2019</w:t>
            </w:r>
          </w:p>
        </w:tc>
        <w:tc>
          <w:tcPr>
            <w:tcW w:w="622" w:type="dxa"/>
            <w:shd w:val="clear" w:color="auto" w:fill="95B89B" w:themeFill="accent4" w:themeFillTint="99"/>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49" w:type="dxa"/>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c>
          <w:tcPr>
            <w:tcW w:w="549" w:type="dxa"/>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c>
          <w:tcPr>
            <w:tcW w:w="550" w:type="dxa"/>
            <w:shd w:val="clear" w:color="auto" w:fill="95B89B" w:themeFill="accent4" w:themeFillTint="99"/>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93" w:type="dxa"/>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c>
          <w:tcPr>
            <w:tcW w:w="505" w:type="dxa"/>
            <w:shd w:val="clear" w:color="auto" w:fill="95B89B" w:themeFill="accent4" w:themeFillTint="99"/>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49" w:type="dxa"/>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c>
          <w:tcPr>
            <w:tcW w:w="550" w:type="dxa"/>
            <w:tcBorders>
              <w:right w:val="single" w:sz="4" w:space="0" w:color="6E8967"/>
            </w:tcBorders>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r>
      <w:tr w:rsidR="00B3609C" w:rsidTr="00B3609C">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B3609C" w:rsidRDefault="00B3609C">
            <w:pPr>
              <w:spacing w:line="280" w:lineRule="atLeast"/>
              <w:ind w:left="113" w:right="113"/>
              <w:jc w:val="right"/>
              <w:rPr>
                <w:rFonts w:cs="Arial"/>
                <w:b w:val="0"/>
                <w:i/>
                <w:sz w:val="16"/>
                <w:szCs w:val="16"/>
                <w:lang w:val="de-DE"/>
              </w:rPr>
            </w:pPr>
          </w:p>
        </w:tc>
        <w:tc>
          <w:tcPr>
            <w:tcW w:w="3402" w:type="dxa"/>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Vorstellung der Bewertungsergebnisse gegenüber dem Begleitausschuss.</w:t>
            </w:r>
          </w:p>
        </w:tc>
        <w:tc>
          <w:tcPr>
            <w:tcW w:w="1061" w:type="dxa"/>
          </w:tcPr>
          <w:p w:rsidR="00B3609C" w:rsidRDefault="00882296">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2. Quartal 2019</w:t>
            </w:r>
          </w:p>
        </w:tc>
        <w:tc>
          <w:tcPr>
            <w:tcW w:w="622" w:type="dxa"/>
            <w:shd w:val="clear" w:color="auto" w:fill="95B89B" w:themeFill="accent4" w:themeFillTint="99"/>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49" w:type="dxa"/>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c>
          <w:tcPr>
            <w:tcW w:w="549" w:type="dxa"/>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c>
          <w:tcPr>
            <w:tcW w:w="550" w:type="dxa"/>
            <w:shd w:val="clear" w:color="auto" w:fill="D0DDCC" w:themeFill="accent6" w:themeFillTint="66"/>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c>
          <w:tcPr>
            <w:tcW w:w="593" w:type="dxa"/>
            <w:shd w:val="clear" w:color="auto" w:fill="D0DDCC" w:themeFill="accent6" w:themeFillTint="66"/>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c>
          <w:tcPr>
            <w:tcW w:w="505" w:type="dxa"/>
            <w:shd w:val="clear" w:color="auto" w:fill="95B89B" w:themeFill="accent4" w:themeFillTint="99"/>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49" w:type="dxa"/>
            <w:shd w:val="clear" w:color="auto" w:fill="D0DDCC" w:themeFill="accent6" w:themeFillTint="66"/>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c>
          <w:tcPr>
            <w:tcW w:w="550" w:type="dxa"/>
            <w:tcBorders>
              <w:right w:val="single" w:sz="4" w:space="0" w:color="6E8967"/>
            </w:tcBorders>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r>
      <w:tr w:rsidR="00B3609C" w:rsidTr="00B360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B3609C" w:rsidRDefault="00B3609C">
            <w:pPr>
              <w:spacing w:line="280" w:lineRule="atLeast"/>
              <w:ind w:left="113" w:right="113"/>
              <w:jc w:val="right"/>
              <w:rPr>
                <w:rFonts w:cs="Arial"/>
                <w:b w:val="0"/>
                <w:i/>
                <w:sz w:val="16"/>
                <w:szCs w:val="16"/>
                <w:lang w:val="de-DE"/>
              </w:rPr>
            </w:pPr>
          </w:p>
        </w:tc>
        <w:tc>
          <w:tcPr>
            <w:tcW w:w="3402" w:type="dxa"/>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Ausfüllen der SFC-Vorlage des jährlichen Durchführungsberichts (einschließlich Kapitel 2 und 7) und Übermittlung an die Europäische Kommission.</w:t>
            </w:r>
          </w:p>
        </w:tc>
        <w:tc>
          <w:tcPr>
            <w:tcW w:w="1061" w:type="dxa"/>
          </w:tcPr>
          <w:p w:rsidR="00B3609C" w:rsidRDefault="00882296">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2. Quartal 2019</w:t>
            </w:r>
          </w:p>
        </w:tc>
        <w:tc>
          <w:tcPr>
            <w:tcW w:w="622" w:type="dxa"/>
            <w:shd w:val="clear" w:color="auto" w:fill="95B89B" w:themeFill="accent4" w:themeFillTint="99"/>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49" w:type="dxa"/>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c>
          <w:tcPr>
            <w:tcW w:w="549" w:type="dxa"/>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c>
          <w:tcPr>
            <w:tcW w:w="550" w:type="dxa"/>
            <w:shd w:val="clear" w:color="auto" w:fill="95B89B" w:themeFill="accent4" w:themeFillTint="99"/>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93" w:type="dxa"/>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c>
          <w:tcPr>
            <w:tcW w:w="505" w:type="dxa"/>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c>
          <w:tcPr>
            <w:tcW w:w="549" w:type="dxa"/>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c>
          <w:tcPr>
            <w:tcW w:w="550" w:type="dxa"/>
            <w:tcBorders>
              <w:right w:val="single" w:sz="4" w:space="0" w:color="6E8967"/>
            </w:tcBorders>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r>
      <w:tr w:rsidR="00B3609C" w:rsidTr="00B3609C">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B3609C" w:rsidRDefault="00B3609C">
            <w:pPr>
              <w:spacing w:line="280" w:lineRule="atLeast"/>
              <w:ind w:left="113" w:right="113"/>
              <w:jc w:val="right"/>
              <w:rPr>
                <w:rFonts w:cs="Arial"/>
                <w:b w:val="0"/>
                <w:i/>
                <w:sz w:val="16"/>
                <w:szCs w:val="16"/>
                <w:lang w:val="de-DE"/>
              </w:rPr>
            </w:pPr>
          </w:p>
        </w:tc>
        <w:tc>
          <w:tcPr>
            <w:tcW w:w="3402" w:type="dxa"/>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Veröffentlichung des jährlichen Durchführungsberichts und der Bewertungsberichte (nicht nur Kapitel 7 des jährlichen Durchführungsberichts) auf der öffentlichen Website.</w:t>
            </w:r>
          </w:p>
        </w:tc>
        <w:tc>
          <w:tcPr>
            <w:tcW w:w="1061" w:type="dxa"/>
          </w:tcPr>
          <w:p w:rsidR="00B3609C" w:rsidRDefault="00882296">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2., 3. und 4. Quartal 2019</w:t>
            </w:r>
          </w:p>
        </w:tc>
        <w:tc>
          <w:tcPr>
            <w:tcW w:w="622" w:type="dxa"/>
            <w:shd w:val="clear" w:color="auto" w:fill="95B89B" w:themeFill="accent4" w:themeFillTint="99"/>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49" w:type="dxa"/>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c>
          <w:tcPr>
            <w:tcW w:w="549" w:type="dxa"/>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c>
          <w:tcPr>
            <w:tcW w:w="550" w:type="dxa"/>
            <w:shd w:val="clear" w:color="auto" w:fill="95B89B" w:themeFill="accent4" w:themeFillTint="99"/>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93" w:type="dxa"/>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c>
          <w:tcPr>
            <w:tcW w:w="505" w:type="dxa"/>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c>
          <w:tcPr>
            <w:tcW w:w="549" w:type="dxa"/>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c>
          <w:tcPr>
            <w:tcW w:w="550" w:type="dxa"/>
            <w:tcBorders>
              <w:right w:val="single" w:sz="4" w:space="0" w:color="6E8967"/>
            </w:tcBorders>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r>
      <w:tr w:rsidR="00B3609C" w:rsidTr="00B360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B3609C" w:rsidRDefault="00B3609C">
            <w:pPr>
              <w:spacing w:line="280" w:lineRule="atLeast"/>
              <w:ind w:left="113" w:right="113"/>
              <w:jc w:val="right"/>
              <w:rPr>
                <w:rFonts w:cs="Arial"/>
                <w:b w:val="0"/>
                <w:i/>
                <w:sz w:val="16"/>
                <w:szCs w:val="16"/>
                <w:lang w:val="de-DE"/>
              </w:rPr>
            </w:pPr>
          </w:p>
        </w:tc>
        <w:tc>
          <w:tcPr>
            <w:tcW w:w="3402" w:type="dxa"/>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Aufbereitung der Bewertungsergebnisse in anderen geeigneten Formaten (z. B. Bürgerinfo) für die verschiedenen Zielgruppen.</w:t>
            </w:r>
          </w:p>
        </w:tc>
        <w:tc>
          <w:tcPr>
            <w:tcW w:w="1061" w:type="dxa"/>
          </w:tcPr>
          <w:p w:rsidR="00B3609C" w:rsidRDefault="00882296">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3. und 4. Quartal 2019</w:t>
            </w:r>
          </w:p>
        </w:tc>
        <w:tc>
          <w:tcPr>
            <w:tcW w:w="622" w:type="dxa"/>
            <w:shd w:val="clear" w:color="auto" w:fill="95B89B" w:themeFill="accent4" w:themeFillTint="99"/>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49" w:type="dxa"/>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c>
          <w:tcPr>
            <w:tcW w:w="549" w:type="dxa"/>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c>
          <w:tcPr>
            <w:tcW w:w="550" w:type="dxa"/>
            <w:shd w:val="clear" w:color="auto" w:fill="95B89B" w:themeFill="accent4" w:themeFillTint="99"/>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93" w:type="dxa"/>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c>
          <w:tcPr>
            <w:tcW w:w="505" w:type="dxa"/>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c>
          <w:tcPr>
            <w:tcW w:w="549" w:type="dxa"/>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c>
          <w:tcPr>
            <w:tcW w:w="550" w:type="dxa"/>
            <w:tcBorders>
              <w:right w:val="single" w:sz="4" w:space="0" w:color="6E8967"/>
            </w:tcBorders>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r>
      <w:tr w:rsidR="00B3609C" w:rsidTr="00B3609C">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B3609C" w:rsidRDefault="00B3609C">
            <w:pPr>
              <w:spacing w:line="280" w:lineRule="atLeast"/>
              <w:ind w:left="113" w:right="113"/>
              <w:jc w:val="right"/>
              <w:rPr>
                <w:rFonts w:cs="Arial"/>
                <w:b w:val="0"/>
                <w:i/>
                <w:sz w:val="16"/>
                <w:szCs w:val="16"/>
                <w:lang w:val="de-DE"/>
              </w:rPr>
            </w:pPr>
          </w:p>
        </w:tc>
        <w:tc>
          <w:tcPr>
            <w:tcW w:w="3402" w:type="dxa"/>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 xml:space="preserve">Kommunikation der Bewertungsergebnisse an die Zielgruppen. </w:t>
            </w:r>
          </w:p>
        </w:tc>
        <w:tc>
          <w:tcPr>
            <w:tcW w:w="1061" w:type="dxa"/>
          </w:tcPr>
          <w:p w:rsidR="00B3609C" w:rsidRDefault="00882296">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3. und 4. Quartal 2019</w:t>
            </w:r>
          </w:p>
        </w:tc>
        <w:tc>
          <w:tcPr>
            <w:tcW w:w="622" w:type="dxa"/>
            <w:shd w:val="clear" w:color="auto" w:fill="95B89B" w:themeFill="accent4" w:themeFillTint="99"/>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49" w:type="dxa"/>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c>
          <w:tcPr>
            <w:tcW w:w="549" w:type="dxa"/>
            <w:shd w:val="clear" w:color="auto" w:fill="auto"/>
          </w:tcPr>
          <w:p w:rsidR="00B3609C" w:rsidRDefault="00B3609C">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p>
        </w:tc>
        <w:tc>
          <w:tcPr>
            <w:tcW w:w="550" w:type="dxa"/>
            <w:shd w:val="clear" w:color="auto" w:fill="95B89B" w:themeFill="accent4" w:themeFillTint="99"/>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93" w:type="dxa"/>
            <w:shd w:val="clear" w:color="auto" w:fill="D0DDCC" w:themeFill="accent6" w:themeFillTint="66"/>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c>
          <w:tcPr>
            <w:tcW w:w="505" w:type="dxa"/>
            <w:shd w:val="clear" w:color="auto" w:fill="D0DDCC" w:themeFill="accent6" w:themeFillTint="66"/>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c>
          <w:tcPr>
            <w:tcW w:w="549" w:type="dxa"/>
            <w:shd w:val="clear" w:color="auto" w:fill="D0DDCC" w:themeFill="accent6" w:themeFillTint="66"/>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c>
          <w:tcPr>
            <w:tcW w:w="550" w:type="dxa"/>
            <w:tcBorders>
              <w:right w:val="single" w:sz="4" w:space="0" w:color="6E8967"/>
            </w:tcBorders>
            <w:shd w:val="clear" w:color="auto" w:fill="D0DDCC" w:themeFill="accent6" w:themeFillTint="66"/>
          </w:tcPr>
          <w:p w:rsidR="00B3609C" w:rsidRDefault="00882296">
            <w:pPr>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r>
      <w:tr w:rsidR="00B3609C" w:rsidTr="00B3609C">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562" w:type="dxa"/>
            <w:tcBorders>
              <w:left w:val="single" w:sz="4" w:space="0" w:color="6E8967"/>
              <w:bottom w:val="single" w:sz="4" w:space="0" w:color="6E8967"/>
            </w:tcBorders>
            <w:textDirection w:val="btLr"/>
          </w:tcPr>
          <w:p w:rsidR="00B3609C" w:rsidRDefault="00882296">
            <w:pPr>
              <w:spacing w:line="280" w:lineRule="atLeast"/>
              <w:ind w:left="113" w:right="113"/>
              <w:jc w:val="right"/>
              <w:rPr>
                <w:rFonts w:cs="Arial"/>
                <w:b w:val="0"/>
                <w:i/>
                <w:sz w:val="16"/>
                <w:szCs w:val="16"/>
                <w:lang w:val="de-DE"/>
              </w:rPr>
            </w:pPr>
            <w:r>
              <w:rPr>
                <w:rFonts w:cs="Arial"/>
                <w:i/>
                <w:iCs/>
                <w:sz w:val="16"/>
                <w:szCs w:val="16"/>
                <w:lang w:val="de-DE"/>
              </w:rPr>
              <w:lastRenderedPageBreak/>
              <w:t>Folgemaßnahmen</w:t>
            </w:r>
          </w:p>
        </w:tc>
        <w:tc>
          <w:tcPr>
            <w:tcW w:w="3402" w:type="dxa"/>
            <w:tcBorders>
              <w:bottom w:val="single" w:sz="4" w:space="0" w:color="6E8967"/>
            </w:tcBorders>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 xml:space="preserve">Bearbeitung und Nachbereitung der Schlussfolgerungen und Empfehlungen aus der Bewertung zur Verbesserung der Gestaltung und der Durchführung des Programms zur Entwicklung des ländlichen Raums. </w:t>
            </w:r>
          </w:p>
        </w:tc>
        <w:tc>
          <w:tcPr>
            <w:tcW w:w="1061" w:type="dxa"/>
            <w:tcBorders>
              <w:bottom w:val="single" w:sz="4" w:space="0" w:color="6E8967"/>
            </w:tcBorders>
          </w:tcPr>
          <w:p w:rsidR="00B3609C" w:rsidRDefault="00882296">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 xml:space="preserve">ab dem 2. Quartal 2019 </w:t>
            </w:r>
          </w:p>
        </w:tc>
        <w:tc>
          <w:tcPr>
            <w:tcW w:w="622" w:type="dxa"/>
            <w:tcBorders>
              <w:bottom w:val="single" w:sz="4" w:space="0" w:color="6E8967"/>
            </w:tcBorders>
            <w:shd w:val="clear" w:color="auto" w:fill="95B89B" w:themeFill="accent4" w:themeFillTint="99"/>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x</w:t>
            </w:r>
          </w:p>
        </w:tc>
        <w:tc>
          <w:tcPr>
            <w:tcW w:w="549" w:type="dxa"/>
            <w:tcBorders>
              <w:bottom w:val="single" w:sz="4" w:space="0" w:color="6E8967"/>
            </w:tcBorders>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c>
          <w:tcPr>
            <w:tcW w:w="549" w:type="dxa"/>
            <w:tcBorders>
              <w:bottom w:val="single" w:sz="4" w:space="0" w:color="6E8967"/>
            </w:tcBorders>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c>
          <w:tcPr>
            <w:tcW w:w="550" w:type="dxa"/>
            <w:tcBorders>
              <w:bottom w:val="single" w:sz="4" w:space="0" w:color="6E8967"/>
            </w:tcBorders>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c>
          <w:tcPr>
            <w:tcW w:w="593" w:type="dxa"/>
            <w:tcBorders>
              <w:bottom w:val="single" w:sz="4" w:space="0" w:color="6E8967"/>
            </w:tcBorders>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c>
          <w:tcPr>
            <w:tcW w:w="505" w:type="dxa"/>
            <w:tcBorders>
              <w:bottom w:val="single" w:sz="4" w:space="0" w:color="6E8967"/>
            </w:tcBorders>
            <w:shd w:val="clear" w:color="auto" w:fill="auto"/>
          </w:tcPr>
          <w:p w:rsidR="00B3609C" w:rsidRDefault="00B3609C">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p>
        </w:tc>
        <w:tc>
          <w:tcPr>
            <w:tcW w:w="549" w:type="dxa"/>
            <w:tcBorders>
              <w:bottom w:val="single" w:sz="4" w:space="0" w:color="6E8967"/>
            </w:tcBorders>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c>
          <w:tcPr>
            <w:tcW w:w="550" w:type="dxa"/>
            <w:tcBorders>
              <w:bottom w:val="single" w:sz="4" w:space="0" w:color="6E8967"/>
              <w:right w:val="single" w:sz="4" w:space="0" w:color="6E8967"/>
            </w:tcBorders>
          </w:tcPr>
          <w:p w:rsidR="00B3609C" w:rsidRDefault="00882296">
            <w:pPr>
              <w:cnfStyle w:val="000000100000" w:firstRow="0" w:lastRow="0" w:firstColumn="0" w:lastColumn="0" w:oddVBand="0" w:evenVBand="0" w:oddHBand="1" w:evenHBand="0" w:firstRowFirstColumn="0" w:firstRowLastColumn="0" w:lastRowFirstColumn="0" w:lastRowLastColumn="0"/>
              <w:rPr>
                <w:rFonts w:cs="Arial"/>
                <w:color w:val="373737"/>
                <w:sz w:val="16"/>
                <w:szCs w:val="16"/>
                <w:lang w:val="de-DE"/>
              </w:rPr>
            </w:pPr>
            <w:r>
              <w:rPr>
                <w:rFonts w:cs="Arial"/>
                <w:color w:val="373737"/>
                <w:sz w:val="16"/>
                <w:szCs w:val="16"/>
                <w:lang w:val="de-DE"/>
              </w:rPr>
              <w:t>y</w:t>
            </w:r>
          </w:p>
        </w:tc>
      </w:tr>
    </w:tbl>
    <w:p w:rsidR="00B3609C" w:rsidRDefault="00B3609C">
      <w:pPr>
        <w:pStyle w:val="HStandard"/>
        <w:rPr>
          <w:lang w:val="de-DE"/>
        </w:rPr>
      </w:pPr>
    </w:p>
    <w:p w:rsidR="00B3609C" w:rsidRDefault="00B3609C">
      <w:pPr>
        <w:pStyle w:val="HStandard"/>
        <w:rPr>
          <w:lang w:val="de-DE"/>
        </w:rPr>
        <w:sectPr w:rsidR="00B3609C">
          <w:footerReference w:type="default" r:id="rId34"/>
          <w:footerReference w:type="first" r:id="rId35"/>
          <w:pgSz w:w="11906" w:h="16838" w:code="9"/>
          <w:pgMar w:top="1440" w:right="1440" w:bottom="1134" w:left="1440" w:header="567" w:footer="737" w:gutter="0"/>
          <w:pgNumType w:start="1"/>
          <w:cols w:space="708"/>
          <w:titlePg/>
          <w:docGrid w:linePitch="360"/>
        </w:sectPr>
      </w:pPr>
    </w:p>
    <w:p w:rsidR="00B3609C" w:rsidRDefault="00882296">
      <w:pPr>
        <w:pStyle w:val="HHeading1"/>
        <w:numPr>
          <w:ilvl w:val="0"/>
          <w:numId w:val="4"/>
        </w:numPr>
        <w:tabs>
          <w:tab w:val="clear" w:pos="567"/>
        </w:tabs>
        <w:ind w:left="567" w:hanging="567"/>
        <w:rPr>
          <w:sz w:val="28"/>
          <w:lang w:val="de-DE"/>
        </w:rPr>
      </w:pPr>
      <w:r>
        <w:rPr>
          <w:bCs/>
          <w:sz w:val="28"/>
          <w:lang w:val="de-DE"/>
        </w:rPr>
        <w:lastRenderedPageBreak/>
        <w:t xml:space="preserve">Ansätze zur Auswertung der Auswirkungen des Programms zur Entwicklung des ländlichen Raums 2019 </w:t>
      </w:r>
      <w:r>
        <w:rPr>
          <w:b w:val="0"/>
          <w:sz w:val="28"/>
          <w:lang w:val="de-DE"/>
        </w:rPr>
        <w:br/>
      </w:r>
      <w:r>
        <w:rPr>
          <w:bCs/>
          <w:sz w:val="28"/>
          <w:lang w:val="de-DE"/>
        </w:rPr>
        <w:t>(TEIL II)</w:t>
      </w:r>
    </w:p>
    <w:p w:rsidR="00B3609C" w:rsidRDefault="00882296">
      <w:pPr>
        <w:pStyle w:val="HStandard"/>
        <w:rPr>
          <w:lang w:val="de-DE"/>
        </w:rPr>
      </w:pPr>
      <w:r>
        <w:rPr>
          <w:b/>
          <w:bCs/>
          <w:noProof/>
          <w:lang w:eastAsia="en-GB"/>
        </w:rPr>
        <mc:AlternateContent>
          <mc:Choice Requires="wps">
            <w:drawing>
              <wp:inline distT="0" distB="0" distL="0" distR="0" wp14:anchorId="7C2EF9C8" wp14:editId="31316ED5">
                <wp:extent cx="5734050" cy="1698171"/>
                <wp:effectExtent l="0" t="0" r="19050" b="16510"/>
                <wp:docPr id="1" name="Rectangle: Diagonal Corners Rounded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4050" cy="1698171"/>
                        </a:xfrm>
                        <a:custGeom>
                          <a:avLst/>
                          <a:gdLst>
                            <a:gd name="T0" fmla="*/ 254411 w 5695950"/>
                            <a:gd name="T1" fmla="*/ 0 h 1464319"/>
                            <a:gd name="T2" fmla="*/ 5695950 w 5695950"/>
                            <a:gd name="T3" fmla="*/ 0 h 1464319"/>
                            <a:gd name="T4" fmla="*/ 5695950 w 5695950"/>
                            <a:gd name="T5" fmla="*/ 0 h 1464319"/>
                            <a:gd name="T6" fmla="*/ 5695950 w 5695950"/>
                            <a:gd name="T7" fmla="*/ 1209908 h 1464319"/>
                            <a:gd name="T8" fmla="*/ 5441539 w 5695950"/>
                            <a:gd name="T9" fmla="*/ 1464319 h 1464319"/>
                            <a:gd name="T10" fmla="*/ 0 w 5695950"/>
                            <a:gd name="T11" fmla="*/ 1464319 h 1464319"/>
                            <a:gd name="T12" fmla="*/ 0 w 5695950"/>
                            <a:gd name="T13" fmla="*/ 1464319 h 1464319"/>
                            <a:gd name="T14" fmla="*/ 0 w 5695950"/>
                            <a:gd name="T15" fmla="*/ 254411 h 1464319"/>
                            <a:gd name="T16" fmla="*/ 254411 w 5695950"/>
                            <a:gd name="T17" fmla="*/ 0 h 14643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695950"/>
                            <a:gd name="T28" fmla="*/ 0 h 1464319"/>
                            <a:gd name="T29" fmla="*/ 5695950 w 5695950"/>
                            <a:gd name="T30" fmla="*/ 1464319 h 146431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695950" h="1464319">
                              <a:moveTo>
                                <a:pt x="254411" y="0"/>
                              </a:moveTo>
                              <a:lnTo>
                                <a:pt x="5695950" y="0"/>
                              </a:lnTo>
                              <a:lnTo>
                                <a:pt x="5695950" y="1209908"/>
                              </a:lnTo>
                              <a:cubicBezTo>
                                <a:pt x="5695950" y="1350415"/>
                                <a:pt x="5582046" y="1464319"/>
                                <a:pt x="5441539" y="1464319"/>
                              </a:cubicBezTo>
                              <a:lnTo>
                                <a:pt x="0" y="1464319"/>
                              </a:lnTo>
                              <a:lnTo>
                                <a:pt x="0" y="254411"/>
                              </a:lnTo>
                              <a:cubicBezTo>
                                <a:pt x="0" y="113904"/>
                                <a:pt x="113904" y="0"/>
                                <a:pt x="254411" y="0"/>
                              </a:cubicBezTo>
                              <a:close/>
                            </a:path>
                          </a:pathLst>
                        </a:custGeom>
                        <a:noFill/>
                        <a:ln w="25400">
                          <a:solidFill>
                            <a:srgbClr val="8BAB80"/>
                          </a:solidFill>
                          <a:miter lim="800000"/>
                          <a:headEnd/>
                          <a:tailEnd/>
                        </a:ln>
                        <a:extLst>
                          <a:ext uri="{909E8E84-426E-40DD-AFC4-6F175D3DCCD1}">
                            <a14:hiddenFill xmlns:a14="http://schemas.microsoft.com/office/drawing/2010/main">
                              <a:solidFill>
                                <a:srgbClr val="FFFFFF"/>
                              </a:solidFill>
                            </a14:hiddenFill>
                          </a:ext>
                        </a:extLst>
                      </wps:spPr>
                      <wps:txbx>
                        <w:txbxContent>
                          <w:p w:rsidR="00B3609C" w:rsidRDefault="00882296">
                            <w:pPr>
                              <w:pStyle w:val="Normal12PTcouleurgris"/>
                              <w:rPr>
                                <w:rStyle w:val="HStandardCar"/>
                                <w:color w:val="292929" w:themeColor="text1" w:themeShade="BF"/>
                                <w:lang w:val="de-DE"/>
                              </w:rPr>
                            </w:pPr>
                            <w:r>
                              <w:rPr>
                                <w:noProof/>
                                <w:sz w:val="18"/>
                                <w:lang w:eastAsia="en-GB"/>
                              </w:rPr>
                              <w:drawing>
                                <wp:inline distT="0" distB="0" distL="0" distR="0" wp14:anchorId="3EE5AEF6" wp14:editId="0C75EFE8">
                                  <wp:extent cx="578362" cy="539115"/>
                                  <wp:effectExtent l="0" t="0" r="0" b="0"/>
                                  <wp:docPr id="17"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rotWithShape="1">
                                          <a:blip r:embed="rId36">
                                            <a:extLst>
                                              <a:ext uri="{28A0092B-C50C-407E-A947-70E740481C1C}">
                                                <a14:useLocalDpi xmlns:a14="http://schemas.microsoft.com/office/drawing/2010/main" val="0"/>
                                              </a:ext>
                                            </a:extLst>
                                          </a:blip>
                                          <a:srcRect l="12992" r="21270"/>
                                          <a:stretch/>
                                        </pic:blipFill>
                                        <pic:spPr bwMode="auto">
                                          <a:xfrm>
                                            <a:off x="0" y="0"/>
                                            <a:ext cx="579311" cy="540000"/>
                                          </a:xfrm>
                                          <a:prstGeom prst="rect">
                                            <a:avLst/>
                                          </a:prstGeom>
                                          <a:ln>
                                            <a:noFill/>
                                          </a:ln>
                                          <a:extLst>
                                            <a:ext uri="{53640926-AAD7-44D8-BBD7-CCE9431645EC}">
                                              <a14:shadowObscured xmlns:a14="http://schemas.microsoft.com/office/drawing/2010/main"/>
                                            </a:ext>
                                          </a:extLst>
                                        </pic:spPr>
                                      </pic:pic>
                                    </a:graphicData>
                                  </a:graphic>
                                </wp:inline>
                              </w:drawing>
                            </w:r>
                            <w:r>
                              <w:rPr>
                                <w:rStyle w:val="HStandardCar"/>
                                <w:b/>
                                <w:bCs/>
                                <w:color w:val="F07E31"/>
                                <w:sz w:val="20"/>
                                <w:szCs w:val="20"/>
                                <w:lang w:val="de-DE"/>
                              </w:rPr>
                              <w:t xml:space="preserve">TEIL II </w:t>
                            </w:r>
                            <w:r>
                              <w:rPr>
                                <w:rStyle w:val="HStandardCar"/>
                                <w:color w:val="292929" w:themeColor="text1" w:themeShade="BF"/>
                                <w:sz w:val="20"/>
                                <w:szCs w:val="20"/>
                                <w:lang w:val="de-DE"/>
                              </w:rPr>
                              <w:t xml:space="preserve">der nicht verbindlichen Leitlinien „Bewertung der Erfolge und Auswirkungen des Programms zur Entwicklung des ländlichen Raums 2019“ ist im Kontext von </w:t>
                            </w:r>
                            <w:r>
                              <w:rPr>
                                <w:rStyle w:val="HStandardCar"/>
                                <w:b/>
                                <w:bCs/>
                                <w:color w:val="F07E31"/>
                                <w:sz w:val="20"/>
                                <w:szCs w:val="20"/>
                                <w:lang w:val="de-DE"/>
                              </w:rPr>
                              <w:t xml:space="preserve">TEIL III </w:t>
                            </w:r>
                            <w:r>
                              <w:rPr>
                                <w:rStyle w:val="HStandardCar"/>
                                <w:color w:val="292929" w:themeColor="text1" w:themeShade="BF"/>
                                <w:sz w:val="20"/>
                                <w:szCs w:val="20"/>
                                <w:lang w:val="de-DE"/>
                              </w:rPr>
                              <w:t xml:space="preserve">(Datenblätter für die Beantwortung der CEQ 22–30) und </w:t>
                            </w:r>
                            <w:r>
                              <w:rPr>
                                <w:rStyle w:val="HStandardCar"/>
                                <w:b/>
                                <w:bCs/>
                                <w:color w:val="F07E31"/>
                                <w:sz w:val="20"/>
                                <w:szCs w:val="20"/>
                                <w:lang w:val="de-DE"/>
                              </w:rPr>
                              <w:t xml:space="preserve">TEIL IV </w:t>
                            </w:r>
                            <w:r>
                              <w:rPr>
                                <w:rStyle w:val="HStandardCar"/>
                                <w:color w:val="292929" w:themeColor="text1" w:themeShade="BF"/>
                                <w:sz w:val="20"/>
                                <w:szCs w:val="20"/>
                                <w:lang w:val="de-DE"/>
                              </w:rPr>
                              <w:t>(Technischer Anhang) zu lesen. Diese Teile enthalten ergänzende Informationen zu den vorgeschlagenen Bewertungsansätzen, Beispiele für zusätzliche Indikatoren, detaillierte Beschreibungen der Arbeitsschritte, Informationen zur Eignung der vorgeschlagenen Bewertungsansätze, Empfehlungen („</w:t>
                            </w:r>
                            <w:proofErr w:type="spellStart"/>
                            <w:r>
                              <w:rPr>
                                <w:rStyle w:val="HStandardCar"/>
                                <w:color w:val="292929" w:themeColor="text1" w:themeShade="BF"/>
                                <w:sz w:val="20"/>
                                <w:szCs w:val="20"/>
                                <w:lang w:val="de-DE"/>
                              </w:rPr>
                              <w:t>Do‘s</w:t>
                            </w:r>
                            <w:proofErr w:type="spellEnd"/>
                            <w:r>
                              <w:rPr>
                                <w:rStyle w:val="HStandardCar"/>
                                <w:color w:val="292929" w:themeColor="text1" w:themeShade="BF"/>
                                <w:sz w:val="20"/>
                                <w:szCs w:val="20"/>
                                <w:lang w:val="de-DE"/>
                              </w:rPr>
                              <w:t xml:space="preserve"> &amp; </w:t>
                            </w:r>
                            <w:proofErr w:type="spellStart"/>
                            <w:r>
                              <w:rPr>
                                <w:rStyle w:val="HStandardCar"/>
                                <w:color w:val="292929" w:themeColor="text1" w:themeShade="BF"/>
                                <w:sz w:val="20"/>
                                <w:szCs w:val="20"/>
                                <w:lang w:val="de-DE"/>
                              </w:rPr>
                              <w:t>Dont‘s</w:t>
                            </w:r>
                            <w:proofErr w:type="spellEnd"/>
                            <w:r>
                              <w:rPr>
                                <w:rStyle w:val="HStandardCar"/>
                                <w:color w:val="292929" w:themeColor="text1" w:themeShade="BF"/>
                                <w:sz w:val="20"/>
                                <w:szCs w:val="20"/>
                                <w:lang w:val="de-DE"/>
                              </w:rPr>
                              <w:t>“), Glossar).</w:t>
                            </w:r>
                          </w:p>
                        </w:txbxContent>
                      </wps:txbx>
                      <wps:bodyPr rot="0" vert="horz" wrap="square" lIns="91440" tIns="45720" rIns="91440" bIns="45720" anchor="ctr" anchorCtr="0" upright="1">
                        <a:noAutofit/>
                      </wps:bodyPr>
                    </wps:wsp>
                  </a:graphicData>
                </a:graphic>
              </wp:inline>
            </w:drawing>
          </mc:Choice>
          <mc:Fallback>
            <w:pict>
              <v:shape w14:anchorId="7C2EF9C8" id="Rectangle: Diagonal Corners Rounded 48" o:spid="_x0000_s1029" style="width:451.5pt;height:133.7pt;visibility:visible;mso-wrap-style:square;mso-left-percent:-10001;mso-top-percent:-10001;mso-position-horizontal:absolute;mso-position-horizontal-relative:char;mso-position-vertical:absolute;mso-position-vertical-relative:line;mso-left-percent:-10001;mso-top-percent:-10001;v-text-anchor:middle" coordsize="5695950,14643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" adj="-11796480,,5400" path="m254411,l5695950,r,1209908c5695950,1350415,5582046,1464319,5441539,1464319l,1464319,,254411c,113904,113904,,254411,xe" filled="f" strokecolor="#8bab80" strokeweight="2pt">
                <v:stroke joinstyle="miter"/>
                <v:formulas/>
                <v:path arrowok="t" o:connecttype="custom" o:connectlocs="256113,0;5734050,0;5734050,0;5734050,1403131;5477937,1698171;0,1698171;0,1698171;0,295040;256113,0" o:connectangles="0,0,0,0,0,0,0,0,0" textboxrect="0,0,5695950,1464319"/>
                <v:textbox>
                  <w:txbxContent>
                    <w:p w:rsidR="00B3609C" w:rsidRDefault="00882296">
                      <w:pPr>
                        <w:pStyle w:val="Normal12PTcouleurgris"/>
                        <w:rPr>
                          <w:rStyle w:val="HStandardCar"/>
                          <w:color w:val="292929" w:themeColor="text1" w:themeShade="BF"/>
                          <w:lang w:val="de-DE"/>
                        </w:rPr>
                      </w:pPr>
                      <w:r>
                        <w:rPr>
                          <w:noProof/>
                          <w:sz w:val="18"/>
                          <w:lang w:eastAsia="en-GB"/>
                        </w:rPr>
                        <w:drawing>
                          <wp:inline distT="0" distB="0" distL="0" distR="0" wp14:anchorId="3EE5AEF6" wp14:editId="0C75EFE8">
                            <wp:extent cx="578362" cy="539115"/>
                            <wp:effectExtent l="0" t="0" r="0" b="0"/>
                            <wp:docPr id="17"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rotWithShape="1">
                                    <a:blip r:embed="rId36">
                                      <a:extLst>
                                        <a:ext uri="{28A0092B-C50C-407E-A947-70E740481C1C}">
                                          <a14:useLocalDpi xmlns:a14="http://schemas.microsoft.com/office/drawing/2010/main" val="0"/>
                                        </a:ext>
                                      </a:extLst>
                                    </a:blip>
                                    <a:srcRect l="12992" r="21270"/>
                                    <a:stretch/>
                                  </pic:blipFill>
                                  <pic:spPr bwMode="auto">
                                    <a:xfrm>
                                      <a:off x="0" y="0"/>
                                      <a:ext cx="579311" cy="540000"/>
                                    </a:xfrm>
                                    <a:prstGeom prst="rect">
                                      <a:avLst/>
                                    </a:prstGeom>
                                    <a:ln>
                                      <a:noFill/>
                                    </a:ln>
                                    <a:extLst>
                                      <a:ext uri="{53640926-AAD7-44D8-BBD7-CCE9431645EC}">
                                        <a14:shadowObscured xmlns:a14="http://schemas.microsoft.com/office/drawing/2010/main"/>
                                      </a:ext>
                                    </a:extLst>
                                  </pic:spPr>
                                </pic:pic>
                              </a:graphicData>
                            </a:graphic>
                          </wp:inline>
                        </w:drawing>
                      </w:r>
                      <w:r>
                        <w:rPr>
                          <w:rStyle w:val="HStandardCar"/>
                          <w:b/>
                          <w:bCs/>
                          <w:color w:val="F07E31"/>
                          <w:sz w:val="20"/>
                          <w:szCs w:val="20"/>
                          <w:lang w:val="de-DE"/>
                        </w:rPr>
                        <w:t xml:space="preserve">TEIL II </w:t>
                      </w:r>
                      <w:r>
                        <w:rPr>
                          <w:rStyle w:val="HStandardCar"/>
                          <w:color w:val="292929" w:themeColor="text1" w:themeShade="BF"/>
                          <w:sz w:val="20"/>
                          <w:szCs w:val="20"/>
                          <w:lang w:val="de-DE"/>
                        </w:rPr>
                        <w:t xml:space="preserve">der nicht verbindlichen Leitlinien „Bewertung der Erfolge und Auswirkungen des Programms zur Entwicklung des ländlichen Raums 2019“ ist im Kontext von </w:t>
                      </w:r>
                      <w:r>
                        <w:rPr>
                          <w:rStyle w:val="HStandardCar"/>
                          <w:b/>
                          <w:bCs/>
                          <w:color w:val="F07E31"/>
                          <w:sz w:val="20"/>
                          <w:szCs w:val="20"/>
                          <w:lang w:val="de-DE"/>
                        </w:rPr>
                        <w:t xml:space="preserve">TEIL III </w:t>
                      </w:r>
                      <w:r>
                        <w:rPr>
                          <w:rStyle w:val="HStandardCar"/>
                          <w:color w:val="292929" w:themeColor="text1" w:themeShade="BF"/>
                          <w:sz w:val="20"/>
                          <w:szCs w:val="20"/>
                          <w:lang w:val="de-DE"/>
                        </w:rPr>
                        <w:t xml:space="preserve">(Datenblätter für die Beantwortung der CEQ 22–30) und </w:t>
                      </w:r>
                      <w:r>
                        <w:rPr>
                          <w:rStyle w:val="HStandardCar"/>
                          <w:b/>
                          <w:bCs/>
                          <w:color w:val="F07E31"/>
                          <w:sz w:val="20"/>
                          <w:szCs w:val="20"/>
                          <w:lang w:val="de-DE"/>
                        </w:rPr>
                        <w:t xml:space="preserve">TEIL IV </w:t>
                      </w:r>
                      <w:r>
                        <w:rPr>
                          <w:rStyle w:val="HStandardCar"/>
                          <w:color w:val="292929" w:themeColor="text1" w:themeShade="BF"/>
                          <w:sz w:val="20"/>
                          <w:szCs w:val="20"/>
                          <w:lang w:val="de-DE"/>
                        </w:rPr>
                        <w:t>(Technischer Anhang) zu lesen. Diese Teile enthalten ergänzende Informationen zu den vorgeschlagenen Bewertungsansätzen, Beispiele für zusätzliche Indikatoren, detaillierte Beschreibungen der Arbeitsschritte, Informationen zur Eignung der vorgeschlagenen Bewertungsansätze, Empfehlungen („</w:t>
                      </w:r>
                      <w:proofErr w:type="spellStart"/>
                      <w:r>
                        <w:rPr>
                          <w:rStyle w:val="HStandardCar"/>
                          <w:color w:val="292929" w:themeColor="text1" w:themeShade="BF"/>
                          <w:sz w:val="20"/>
                          <w:szCs w:val="20"/>
                          <w:lang w:val="de-DE"/>
                        </w:rPr>
                        <w:t>Do‘s</w:t>
                      </w:r>
                      <w:proofErr w:type="spellEnd"/>
                      <w:r>
                        <w:rPr>
                          <w:rStyle w:val="HStandardCar"/>
                          <w:color w:val="292929" w:themeColor="text1" w:themeShade="BF"/>
                          <w:sz w:val="20"/>
                          <w:szCs w:val="20"/>
                          <w:lang w:val="de-DE"/>
                        </w:rPr>
                        <w:t xml:space="preserve"> &amp; </w:t>
                      </w:r>
                      <w:proofErr w:type="spellStart"/>
                      <w:r>
                        <w:rPr>
                          <w:rStyle w:val="HStandardCar"/>
                          <w:color w:val="292929" w:themeColor="text1" w:themeShade="BF"/>
                          <w:sz w:val="20"/>
                          <w:szCs w:val="20"/>
                          <w:lang w:val="de-DE"/>
                        </w:rPr>
                        <w:t>Dont‘s</w:t>
                      </w:r>
                      <w:proofErr w:type="spellEnd"/>
                      <w:r>
                        <w:rPr>
                          <w:rStyle w:val="HStandardCar"/>
                          <w:color w:val="292929" w:themeColor="text1" w:themeShade="BF"/>
                          <w:sz w:val="20"/>
                          <w:szCs w:val="20"/>
                          <w:lang w:val="de-DE"/>
                        </w:rPr>
                        <w:t>“), Glossar).</w:t>
                      </w:r>
                    </w:p>
                  </w:txbxContent>
                </v:textbox>
                <w10:anchorlock/>
              </v:shape>
            </w:pict>
          </mc:Fallback>
        </mc:AlternateContent>
      </w:r>
    </w:p>
    <w:p w:rsidR="00B3609C" w:rsidRDefault="00882296">
      <w:pPr>
        <w:pStyle w:val="HHeading2"/>
        <w:tabs>
          <w:tab w:val="clear" w:pos="567"/>
        </w:tabs>
        <w:ind w:left="709" w:hanging="709"/>
        <w:rPr>
          <w:lang w:val="de-DE"/>
        </w:rPr>
      </w:pPr>
      <w:r>
        <w:rPr>
          <w:bCs/>
          <w:lang w:val="de-DE"/>
        </w:rPr>
        <w:t>2.1</w:t>
      </w:r>
      <w:r>
        <w:rPr>
          <w:bCs/>
          <w:lang w:val="de-DE"/>
        </w:rPr>
        <w:tab/>
        <w:t>Auswahl geeigneter Ansätze für die Bewertung der Auswirkungen des Programms zur Entwicklung des ländlichen Raums</w:t>
      </w:r>
    </w:p>
    <w:p w:rsidR="00B3609C" w:rsidRDefault="00882296">
      <w:pPr>
        <w:pStyle w:val="HStandard"/>
        <w:rPr>
          <w:rFonts w:cs="Arial"/>
          <w:lang w:val="de-DE"/>
        </w:rPr>
      </w:pPr>
      <w:r>
        <w:rPr>
          <w:rFonts w:cs="Arial"/>
          <w:lang w:val="de-DE"/>
        </w:rPr>
        <w:t xml:space="preserve">Die Bewertung und Herausarbeitung der gemeinsamen Wirkungsindikatoren der zweiten Säule der GAP für 2019 ist eine Herausforderung und wirft </w:t>
      </w:r>
      <w:r>
        <w:rPr>
          <w:rFonts w:cs="Arial"/>
          <w:b/>
          <w:bCs/>
          <w:lang w:val="de-DE"/>
        </w:rPr>
        <w:t>mehrere Fragen</w:t>
      </w:r>
      <w:r>
        <w:rPr>
          <w:rFonts w:cs="Arial"/>
          <w:lang w:val="de-DE"/>
        </w:rPr>
        <w:t xml:space="preserve"> auf: </w:t>
      </w:r>
    </w:p>
    <w:p w:rsidR="00B3609C" w:rsidRDefault="00882296">
      <w:pPr>
        <w:pStyle w:val="Hlistbullet"/>
        <w:numPr>
          <w:ilvl w:val="0"/>
          <w:numId w:val="3"/>
        </w:numPr>
        <w:spacing w:line="276" w:lineRule="auto"/>
        <w:ind w:left="600" w:hanging="600"/>
        <w:rPr>
          <w:lang w:val="de-DE"/>
        </w:rPr>
      </w:pPr>
      <w:r>
        <w:rPr>
          <w:lang w:val="de-DE"/>
        </w:rPr>
        <w:t xml:space="preserve">Wie können Veränderungen, die in ländlichen Gebieten beobachtet werden, auf die Interventionen des Programms zur Entwicklung des ländlichen Raums zurückgeführt werden, und welche Bewertungsansätze sollten dafür verwendet werden? </w:t>
      </w:r>
    </w:p>
    <w:p w:rsidR="00B3609C" w:rsidRDefault="00882296">
      <w:pPr>
        <w:pStyle w:val="Hlistbullet"/>
        <w:numPr>
          <w:ilvl w:val="0"/>
          <w:numId w:val="3"/>
        </w:numPr>
        <w:spacing w:line="276" w:lineRule="auto"/>
        <w:ind w:left="600" w:hanging="600"/>
        <w:rPr>
          <w:lang w:val="de-DE"/>
        </w:rPr>
      </w:pPr>
      <w:r>
        <w:rPr>
          <w:lang w:val="de-DE"/>
        </w:rPr>
        <w:t xml:space="preserve">Welche Daten aus bestehenden Quellen (z. B. Überwachung, EU-Datenbanken, nationale und regionale Datenbanken) sollten für den vorgeschlagenen Bewertungsansatz verwendet werden? </w:t>
      </w:r>
    </w:p>
    <w:p w:rsidR="00B3609C" w:rsidRDefault="00882296">
      <w:pPr>
        <w:pStyle w:val="Hlistbullet"/>
        <w:numPr>
          <w:ilvl w:val="0"/>
          <w:numId w:val="3"/>
        </w:numPr>
        <w:spacing w:line="276" w:lineRule="auto"/>
        <w:ind w:left="600" w:hanging="600"/>
        <w:rPr>
          <w:lang w:val="de-DE"/>
        </w:rPr>
      </w:pPr>
      <w:r>
        <w:rPr>
          <w:lang w:val="de-DE"/>
        </w:rPr>
        <w:t xml:space="preserve">Welche Absprachen sollten mit den verschiedenen Datenlieferanten getroffen werden? </w:t>
      </w:r>
    </w:p>
    <w:p w:rsidR="00B3609C" w:rsidRDefault="00882296">
      <w:pPr>
        <w:pStyle w:val="Hlistbullet"/>
        <w:numPr>
          <w:ilvl w:val="0"/>
          <w:numId w:val="3"/>
        </w:numPr>
        <w:spacing w:line="276" w:lineRule="auto"/>
        <w:ind w:left="600" w:hanging="600"/>
        <w:rPr>
          <w:lang w:val="de-DE"/>
        </w:rPr>
      </w:pPr>
      <w:r>
        <w:rPr>
          <w:lang w:val="de-DE"/>
        </w:rPr>
        <w:t xml:space="preserve">Wie können die Datenqualität gesichert und Datenlücken geschlossen werden? </w:t>
      </w:r>
    </w:p>
    <w:p w:rsidR="00B3609C" w:rsidRDefault="00882296">
      <w:pPr>
        <w:pStyle w:val="HHeading3"/>
        <w:rPr>
          <w:lang w:val="de-DE"/>
        </w:rPr>
      </w:pPr>
      <w:r>
        <w:rPr>
          <w:lang w:val="de-DE"/>
        </w:rPr>
        <w:t>2.1.1</w:t>
      </w:r>
      <w:r>
        <w:rPr>
          <w:lang w:val="de-DE"/>
        </w:rPr>
        <w:tab/>
        <w:t>Nutzung von Logikmodellen zur Ermittlung geeigneter Bewertungsansätze</w:t>
      </w:r>
    </w:p>
    <w:p w:rsidR="00B3609C" w:rsidRDefault="00882296">
      <w:pPr>
        <w:pStyle w:val="HStandard"/>
        <w:rPr>
          <w:lang w:val="de-DE"/>
        </w:rPr>
      </w:pPr>
      <w:r>
        <w:rPr>
          <w:noProof/>
          <w:color w:val="F07E31" w:themeColor="accent1"/>
          <w:lang w:eastAsia="en-GB"/>
        </w:rPr>
        <mc:AlternateContent>
          <mc:Choice Requires="wps">
            <w:drawing>
              <wp:anchor distT="0" distB="0" distL="114300" distR="114300" simplePos="0" relativeHeight="251728384" behindDoc="1" locked="0" layoutInCell="1" allowOverlap="1" wp14:anchorId="5075C0E9" wp14:editId="50769B30">
                <wp:simplePos x="0" y="0"/>
                <wp:positionH relativeFrom="margin">
                  <wp:align>right</wp:align>
                </wp:positionH>
                <wp:positionV relativeFrom="paragraph">
                  <wp:posOffset>35560</wp:posOffset>
                </wp:positionV>
                <wp:extent cx="2476500" cy="2030095"/>
                <wp:effectExtent l="0" t="0" r="19050" b="27305"/>
                <wp:wrapTight wrapText="bothSides">
                  <wp:wrapPolygon edited="0">
                    <wp:start x="665" y="0"/>
                    <wp:lineTo x="0" y="811"/>
                    <wp:lineTo x="0" y="21688"/>
                    <wp:lineTo x="21102" y="21688"/>
                    <wp:lineTo x="21600" y="20877"/>
                    <wp:lineTo x="21600" y="0"/>
                    <wp:lineTo x="665" y="0"/>
                  </wp:wrapPolygon>
                </wp:wrapTight>
                <wp:docPr id="933"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0" cy="2030186"/>
                        </a:xfrm>
                        <a:prstGeom prst="round2DiagRect">
                          <a:avLst>
                            <a:gd name="adj1" fmla="val 8733"/>
                            <a:gd name="adj2" fmla="val 0"/>
                          </a:avLst>
                        </a:prstGeom>
                        <a:noFill/>
                        <a:ln w="25400" cap="flat" cmpd="sng" algn="ctr">
                          <a:solidFill>
                            <a:srgbClr val="BE4A35"/>
                          </a:solidFill>
                          <a:prstDash val="solid"/>
                        </a:ln>
                        <a:effectLst/>
                      </wps:spPr>
                      <wps:txbx>
                        <w:txbxContent>
                          <w:p w:rsidR="00B3609C" w:rsidRDefault="00882296">
                            <w:pPr>
                              <w:pStyle w:val="HHeading4"/>
                              <w:spacing w:before="0"/>
                              <w:jc w:val="both"/>
                              <w:rPr>
                                <w:i/>
                                <w:color w:val="F07E31" w:themeColor="accent1"/>
                                <w:sz w:val="18"/>
                                <w:lang w:val="de-DE"/>
                              </w:rPr>
                            </w:pPr>
                            <w:r>
                              <w:rPr>
                                <w:b w:val="0"/>
                                <w:noProof/>
                                <w:color w:val="373737"/>
                                <w:lang w:eastAsia="en-GB"/>
                              </w:rPr>
                              <w:drawing>
                                <wp:inline distT="0" distB="0" distL="0" distR="0" wp14:anchorId="2B368CF0" wp14:editId="66C99340">
                                  <wp:extent cx="664845" cy="487680"/>
                                  <wp:effectExtent l="0" t="0" r="0" b="7620"/>
                                  <wp:docPr id="18"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val="0"/>
                                <w:lang w:val="de-DE"/>
                              </w:rPr>
                              <w:t xml:space="preserve"> </w:t>
                            </w:r>
                            <w:r>
                              <w:rPr>
                                <w:bCs/>
                                <w:color w:val="373737" w:themeColor="text1"/>
                                <w:lang w:val="de-DE"/>
                              </w:rPr>
                              <w:t>Logikmodelle</w:t>
                            </w:r>
                            <w:r>
                              <w:rPr>
                                <w:b w:val="0"/>
                                <w:color w:val="373737" w:themeColor="text1"/>
                                <w:lang w:val="de-DE"/>
                              </w:rPr>
                              <w:t xml:space="preserve"> sind Entscheidungsbäume, die den Interessenträgern dabei helfen können, einen (kontrafaktischen) Bewertungsansatz zu entwickeln und die Methode auszuwählen, die am besten zu den verfügbaren Daten und Informationen passt.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75C0E9" id="_x0000_s1030" style="position:absolute;left:0;text-align:left;margin-left:143.8pt;margin-top:2.8pt;width:195pt;height:159.85pt;z-index:-25158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coordsize="2476500,203018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" adj="-11796480,,5400" path="m177296,l2476500,r,l2476500,1852890v,97918,-79378,177296,-177296,177296l,2030186r,l,177296c,79378,79378,,177296,xe" filled="f" strokecolor="#be4a35" strokeweight="2pt">
                <v:stroke joinstyle="miter"/>
                <v:formulas/>
                <v:path arrowok="t" o:connecttype="custom" o:connectlocs="177296,0;2476500,0;2476500,0;2476500,1852890;2299204,2030186;0,2030186;0,2030186;0,177296;177296,0" o:connectangles="0,0,0,0,0,0,0,0,0" textboxrect="0,0,2476500,2030186"/>
                <v:textbox>
                  <w:txbxContent>
                    <w:p w:rsidR="00B3609C" w:rsidRDefault="00882296">
                      <w:pPr>
                        <w:pStyle w:val="HHeading4"/>
                        <w:spacing w:before="0"/>
                        <w:jc w:val="both"/>
                        <w:rPr>
                          <w:i/>
                          <w:color w:val="F07E31" w:themeColor="accent1"/>
                          <w:sz w:val="18"/>
                          <w:lang w:val="de-DE"/>
                        </w:rPr>
                      </w:pPr>
                      <w:r>
                        <w:rPr>
                          <w:b w:val="0"/>
                          <w:noProof/>
                          <w:color w:val="373737"/>
                          <w:lang w:eastAsia="en-GB"/>
                        </w:rPr>
                        <w:drawing>
                          <wp:inline distT="0" distB="0" distL="0" distR="0" wp14:anchorId="2B368CF0" wp14:editId="66C99340">
                            <wp:extent cx="664845" cy="487680"/>
                            <wp:effectExtent l="0" t="0" r="0" b="7620"/>
                            <wp:docPr id="18"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val="0"/>
                          <w:lang w:val="de-DE"/>
                        </w:rPr>
                        <w:t xml:space="preserve"> </w:t>
                      </w:r>
                      <w:r>
                        <w:rPr>
                          <w:bCs/>
                          <w:color w:val="373737" w:themeColor="text1"/>
                          <w:lang w:val="de-DE"/>
                        </w:rPr>
                        <w:t>Logikmodelle</w:t>
                      </w:r>
                      <w:r>
                        <w:rPr>
                          <w:b w:val="0"/>
                          <w:color w:val="373737" w:themeColor="text1"/>
                          <w:lang w:val="de-DE"/>
                        </w:rPr>
                        <w:t xml:space="preserve"> sind Entscheidungsbäume, die den Interessenträgern dabei helfen können, einen (kontrafaktischen) Bewertungsansatz zu entwickeln und die Methode auszuwählen, die am besten zu den verfügbaren Daten und Informationen passt.</w:t>
                      </w:r>
                    </w:p>
                  </w:txbxContent>
                </v:textbox>
                <w10:wrap type="tight" anchorx="margin"/>
              </v:shape>
            </w:pict>
          </mc:Fallback>
        </mc:AlternateContent>
      </w:r>
      <w:r>
        <w:rPr>
          <w:lang w:val="de-DE"/>
        </w:rPr>
        <w:t xml:space="preserve">Logikmodelle können dem Bewerter als Orientierung dienen und ihn dazu inspirieren, neue Ansätze in Erwägung zu ziehen, die Datenerfassung besser zu planen und einen Prozess anzustoßen, der auf die Verwendung von Methoden abzielt, die weniger stark von der Datenverfügbarkeit abhängen (z. B. qualitative Methoden). Logikmodelle können auch den Verwaltungsbehörden helfen, besser zu planen und die Bewertungsergebnisse innerhalb des jeweiligen Kontextes (Daten, Bewertungsbudget und Zeitplan) vorherzusagen. </w:t>
      </w:r>
    </w:p>
    <w:p w:rsidR="00B3609C" w:rsidRDefault="00882296">
      <w:pPr>
        <w:pStyle w:val="HStandard"/>
        <w:spacing w:after="0"/>
        <w:rPr>
          <w:rFonts w:cs="Arial"/>
          <w:color w:val="373737"/>
          <w:szCs w:val="18"/>
          <w:lang w:val="de-DE"/>
        </w:rPr>
      </w:pPr>
      <w:r>
        <w:rPr>
          <w:rFonts w:cs="Arial"/>
          <w:color w:val="373737"/>
          <w:szCs w:val="18"/>
          <w:lang w:val="de-DE"/>
        </w:rPr>
        <w:t>Die Logikmodelle liefern eine Schritt-für-Schritt-Anleitung für die Gestaltung der Bewertungsansätze. Sie helfen dabei, die folgenden Aspekte besser zu verstehen:</w:t>
      </w:r>
    </w:p>
    <w:p w:rsidR="00B3609C" w:rsidRDefault="00882296">
      <w:pPr>
        <w:pStyle w:val="Hlistbullet"/>
        <w:numPr>
          <w:ilvl w:val="0"/>
          <w:numId w:val="3"/>
        </w:numPr>
        <w:spacing w:line="276" w:lineRule="auto"/>
        <w:ind w:left="600" w:hanging="600"/>
        <w:rPr>
          <w:rFonts w:cs="Arial"/>
          <w:color w:val="373737"/>
          <w:szCs w:val="18"/>
          <w:lang w:val="de-DE"/>
        </w:rPr>
      </w:pPr>
      <w:r>
        <w:rPr>
          <w:rFonts w:cs="Arial"/>
          <w:b/>
          <w:bCs/>
          <w:color w:val="373737"/>
          <w:szCs w:val="18"/>
          <w:lang w:val="de-DE"/>
        </w:rPr>
        <w:t>MÖGLICHKEITEN:</w:t>
      </w:r>
      <w:r>
        <w:rPr>
          <w:rFonts w:cs="Arial"/>
          <w:color w:val="373737"/>
          <w:szCs w:val="18"/>
          <w:lang w:val="de-DE"/>
        </w:rPr>
        <w:t xml:space="preserve"> Welche Kombinationen von Daten/Indikatoren/Methoden sind verfügbar und für die Beantwortung der Bewertungsfragen geeignet? </w:t>
      </w:r>
    </w:p>
    <w:p w:rsidR="00B3609C" w:rsidRDefault="00882296">
      <w:pPr>
        <w:pStyle w:val="Hlistbullet"/>
        <w:numPr>
          <w:ilvl w:val="0"/>
          <w:numId w:val="3"/>
        </w:numPr>
        <w:spacing w:line="276" w:lineRule="auto"/>
        <w:ind w:left="600" w:hanging="600"/>
        <w:rPr>
          <w:color w:val="373737"/>
          <w:sz w:val="22"/>
          <w:lang w:val="de-DE"/>
        </w:rPr>
      </w:pPr>
      <w:r>
        <w:rPr>
          <w:rFonts w:cs="Arial"/>
          <w:b/>
          <w:bCs/>
          <w:color w:val="373737"/>
          <w:szCs w:val="18"/>
          <w:lang w:val="de-DE"/>
        </w:rPr>
        <w:lastRenderedPageBreak/>
        <w:t>ANFORDERUNGEN:</w:t>
      </w:r>
      <w:r>
        <w:rPr>
          <w:rFonts w:cs="Arial"/>
          <w:color w:val="373737"/>
          <w:szCs w:val="18"/>
          <w:lang w:val="de-DE"/>
        </w:rPr>
        <w:t xml:space="preserve"> Welche Daten/Indikatoren/Methoden/Ansätze sind zur Bewertung der Nettoauswirkungen und zur Beantwortung der Bewertungsfrage erforderlich?</w:t>
      </w:r>
    </w:p>
    <w:p w:rsidR="00B3609C" w:rsidRDefault="00882296">
      <w:pPr>
        <w:pStyle w:val="Hlistbullet"/>
        <w:numPr>
          <w:ilvl w:val="0"/>
          <w:numId w:val="3"/>
        </w:numPr>
        <w:spacing w:line="276" w:lineRule="auto"/>
        <w:ind w:left="600" w:hanging="600"/>
        <w:rPr>
          <w:color w:val="373737"/>
          <w:sz w:val="22"/>
          <w:lang w:val="de-DE"/>
        </w:rPr>
      </w:pPr>
      <w:r>
        <w:rPr>
          <w:rFonts w:cs="Arial"/>
          <w:b/>
          <w:bCs/>
          <w:color w:val="373737"/>
          <w:szCs w:val="18"/>
          <w:lang w:val="de-DE"/>
        </w:rPr>
        <w:t>KONSEQUENZEN:</w:t>
      </w:r>
      <w:r>
        <w:rPr>
          <w:rFonts w:cs="Arial"/>
          <w:color w:val="373737"/>
          <w:szCs w:val="18"/>
          <w:lang w:val="de-DE"/>
        </w:rPr>
        <w:t xml:space="preserve"> Wie wirken sich Entscheidungen zu unterschiedlichen Zeitpunkten auf die Kosten und die Effektivität der Bewertung aus?</w:t>
      </w:r>
    </w:p>
    <w:p w:rsidR="00B3609C" w:rsidRDefault="00882296">
      <w:pPr>
        <w:pStyle w:val="HStandard"/>
        <w:rPr>
          <w:lang w:val="de-DE"/>
        </w:rPr>
      </w:pPr>
      <w:r>
        <w:rPr>
          <w:lang w:val="de-DE"/>
        </w:rPr>
        <w:t xml:space="preserve">Die in diesen Leitlinien vorgestellten Logikmodelle folgen dem im Rahmen des </w:t>
      </w:r>
      <w:hyperlink r:id="rId38" w:history="1">
        <w:r>
          <w:rPr>
            <w:rStyle w:val="Hyperlink"/>
            <w:u w:val="none"/>
            <w:lang w:val="de-DE"/>
          </w:rPr>
          <w:t>ENVIEVAL-Projekts</w:t>
        </w:r>
      </w:hyperlink>
      <w:r>
        <w:rPr>
          <w:rStyle w:val="FootnoteReference"/>
          <w:iCs/>
          <w:lang w:val="de-DE"/>
        </w:rPr>
        <w:footnoteReference w:id="26"/>
      </w:r>
      <w:r>
        <w:rPr>
          <w:lang w:val="de-DE"/>
        </w:rPr>
        <w:t xml:space="preserve"> entwickelten Ansatz aus dem </w:t>
      </w:r>
      <w:hyperlink r:id="rId39" w:history="1">
        <w:proofErr w:type="spellStart"/>
        <w:r>
          <w:rPr>
            <w:rStyle w:val="Hyperlink"/>
            <w:i/>
            <w:iCs/>
            <w:u w:val="none"/>
            <w:lang w:val="de-DE"/>
          </w:rPr>
          <w:t>Methodological</w:t>
        </w:r>
        <w:proofErr w:type="spellEnd"/>
        <w:r>
          <w:rPr>
            <w:rStyle w:val="Hyperlink"/>
            <w:i/>
            <w:iCs/>
            <w:u w:val="none"/>
            <w:lang w:val="de-DE"/>
          </w:rPr>
          <w:t xml:space="preserve"> Handbook </w:t>
        </w:r>
        <w:proofErr w:type="spellStart"/>
        <w:r>
          <w:rPr>
            <w:rStyle w:val="Hyperlink"/>
            <w:i/>
            <w:iCs/>
            <w:u w:val="none"/>
            <w:lang w:val="de-DE"/>
          </w:rPr>
          <w:t>for</w:t>
        </w:r>
        <w:proofErr w:type="spellEnd"/>
        <w:r>
          <w:rPr>
            <w:rStyle w:val="Hyperlink"/>
            <w:i/>
            <w:iCs/>
            <w:u w:val="none"/>
            <w:lang w:val="de-DE"/>
          </w:rPr>
          <w:t xml:space="preserve"> </w:t>
        </w:r>
        <w:proofErr w:type="spellStart"/>
        <w:r>
          <w:rPr>
            <w:rStyle w:val="Hyperlink"/>
            <w:i/>
            <w:iCs/>
            <w:u w:val="none"/>
            <w:lang w:val="de-DE"/>
          </w:rPr>
          <w:t>the</w:t>
        </w:r>
        <w:proofErr w:type="spellEnd"/>
        <w:r>
          <w:rPr>
            <w:rStyle w:val="Hyperlink"/>
            <w:i/>
            <w:iCs/>
            <w:u w:val="none"/>
            <w:lang w:val="de-DE"/>
          </w:rPr>
          <w:t xml:space="preserve"> </w:t>
        </w:r>
        <w:proofErr w:type="spellStart"/>
        <w:r>
          <w:rPr>
            <w:rStyle w:val="Hyperlink"/>
            <w:i/>
            <w:iCs/>
            <w:u w:val="none"/>
            <w:lang w:val="de-DE"/>
          </w:rPr>
          <w:t>evaluation</w:t>
        </w:r>
        <w:proofErr w:type="spellEnd"/>
        <w:r>
          <w:rPr>
            <w:rStyle w:val="Hyperlink"/>
            <w:i/>
            <w:iCs/>
            <w:u w:val="none"/>
            <w:lang w:val="de-DE"/>
          </w:rPr>
          <w:t xml:space="preserve"> </w:t>
        </w:r>
        <w:proofErr w:type="spellStart"/>
        <w:r>
          <w:rPr>
            <w:rStyle w:val="Hyperlink"/>
            <w:i/>
            <w:iCs/>
            <w:u w:val="none"/>
            <w:lang w:val="de-DE"/>
          </w:rPr>
          <w:t>of</w:t>
        </w:r>
        <w:proofErr w:type="spellEnd"/>
        <w:r>
          <w:rPr>
            <w:rStyle w:val="Hyperlink"/>
            <w:i/>
            <w:iCs/>
            <w:u w:val="none"/>
            <w:lang w:val="de-DE"/>
          </w:rPr>
          <w:t xml:space="preserve"> environmental </w:t>
        </w:r>
        <w:proofErr w:type="spellStart"/>
        <w:r>
          <w:rPr>
            <w:rStyle w:val="Hyperlink"/>
            <w:i/>
            <w:iCs/>
            <w:u w:val="none"/>
            <w:lang w:val="de-DE"/>
          </w:rPr>
          <w:t>impacts</w:t>
        </w:r>
        <w:proofErr w:type="spellEnd"/>
        <w:r>
          <w:rPr>
            <w:rStyle w:val="Hyperlink"/>
            <w:i/>
            <w:iCs/>
            <w:u w:val="none"/>
            <w:lang w:val="de-DE"/>
          </w:rPr>
          <w:t xml:space="preserve"> </w:t>
        </w:r>
        <w:proofErr w:type="spellStart"/>
        <w:r>
          <w:rPr>
            <w:rStyle w:val="Hyperlink"/>
            <w:i/>
            <w:iCs/>
            <w:u w:val="none"/>
            <w:lang w:val="de-DE"/>
          </w:rPr>
          <w:t>of</w:t>
        </w:r>
        <w:proofErr w:type="spellEnd"/>
        <w:r>
          <w:rPr>
            <w:rStyle w:val="Hyperlink"/>
            <w:i/>
            <w:iCs/>
            <w:u w:val="none"/>
            <w:lang w:val="de-DE"/>
          </w:rPr>
          <w:t xml:space="preserve"> RDPs.</w:t>
        </w:r>
        <w:r>
          <w:rPr>
            <w:rStyle w:val="Hyperlink"/>
            <w:u w:val="none"/>
            <w:lang w:val="de-DE"/>
          </w:rPr>
          <w:t xml:space="preserve"> </w:t>
        </w:r>
      </w:hyperlink>
      <w:r>
        <w:rPr>
          <w:lang w:val="de-DE"/>
        </w:rPr>
        <w:t>Diese verbesserten Werkzeuge für die Bewertung der Umweltauswirkungen von Maßnahmen und Programmen zur Entwicklung des ländlichen Raums in den EU-Mitgliedstaaten wurden von ENVIEVAL entwickelt und getestet.</w:t>
      </w:r>
      <w:r>
        <w:rPr>
          <w:rStyle w:val="FootnoteReference"/>
          <w:iCs/>
          <w:lang w:val="de-DE"/>
        </w:rPr>
        <w:footnoteReference w:id="27"/>
      </w:r>
      <w:r>
        <w:rPr>
          <w:lang w:val="de-DE"/>
        </w:rPr>
        <w:t xml:space="preserve"> </w:t>
      </w:r>
    </w:p>
    <w:p w:rsidR="00B3609C" w:rsidRDefault="00882296">
      <w:pPr>
        <w:pStyle w:val="HHeading4"/>
        <w:rPr>
          <w:lang w:val="de-DE"/>
        </w:rPr>
      </w:pPr>
      <w:r>
        <w:rPr>
          <w:bCs/>
          <w:lang w:val="de-DE"/>
        </w:rPr>
        <w:t>Die Stufen des Logikmodells</w:t>
      </w:r>
    </w:p>
    <w:p w:rsidR="00B3609C" w:rsidRDefault="00882296">
      <w:pPr>
        <w:pStyle w:val="HStandard"/>
        <w:rPr>
          <w:rFonts w:cs="Arial"/>
          <w:lang w:val="de-DE"/>
        </w:rPr>
      </w:pPr>
      <w:r>
        <w:rPr>
          <w:rFonts w:cs="Arial"/>
          <w:lang w:val="de-DE"/>
        </w:rPr>
        <w:t xml:space="preserve">Abbildung 2 enthält einen Überblick über die </w:t>
      </w:r>
      <w:r>
        <w:rPr>
          <w:rFonts w:cs="Arial"/>
          <w:b/>
          <w:bCs/>
          <w:lang w:val="de-DE"/>
        </w:rPr>
        <w:t>vier Stufen des Logikmodells</w:t>
      </w:r>
      <w:r>
        <w:rPr>
          <w:rFonts w:cs="Arial"/>
          <w:lang w:val="de-DE"/>
        </w:rPr>
        <w:t xml:space="preserve">. Diese Abbildung zeigt auf der </w:t>
      </w:r>
      <w:r>
        <w:rPr>
          <w:rFonts w:cs="Arial"/>
          <w:b/>
          <w:bCs/>
          <w:lang w:val="de-DE"/>
        </w:rPr>
        <w:t>1. Stufe</w:t>
      </w:r>
      <w:r>
        <w:rPr>
          <w:rFonts w:cs="Arial"/>
          <w:lang w:val="de-DE"/>
        </w:rPr>
        <w:t xml:space="preserve">, wie der Rahmen für die Bewertung festgelegt werden sollte. Dies erfordert ein Verständnis der Position der Auswirkungen in der Interventionslogik, der verfügbaren Indikatoren und der Maßeinheit der Bewertung. Die </w:t>
      </w:r>
      <w:r>
        <w:rPr>
          <w:rFonts w:cs="Arial"/>
          <w:b/>
          <w:bCs/>
          <w:lang w:val="de-DE"/>
        </w:rPr>
        <w:t>2. Stufe</w:t>
      </w:r>
      <w:r>
        <w:rPr>
          <w:rFonts w:cs="Arial"/>
          <w:lang w:val="de-DE"/>
        </w:rPr>
        <w:t xml:space="preserve"> zeigt die Optionen für den kontrafaktischen Ansatz unter Berücksichtigung der einschränkenden Faktoren. Auf der </w:t>
      </w:r>
      <w:r>
        <w:rPr>
          <w:rFonts w:cs="Arial"/>
          <w:b/>
          <w:bCs/>
          <w:lang w:val="de-DE"/>
        </w:rPr>
        <w:t>3. Stufe</w:t>
      </w:r>
      <w:r>
        <w:rPr>
          <w:rFonts w:cs="Arial"/>
          <w:lang w:val="de-DE"/>
        </w:rPr>
        <w:t xml:space="preserve"> werden die Optionen auf der Mikro- und Makroebene weiter präzisiert, um die Nettoauswirkungen zu bewerten. Auf der </w:t>
      </w:r>
      <w:r>
        <w:rPr>
          <w:rFonts w:cs="Arial"/>
          <w:b/>
          <w:bCs/>
          <w:lang w:val="de-DE"/>
        </w:rPr>
        <w:t>4. Stufe</w:t>
      </w:r>
      <w:r>
        <w:rPr>
          <w:rFonts w:cs="Arial"/>
          <w:lang w:val="de-DE"/>
        </w:rPr>
        <w:t xml:space="preserve"> wird schließlich die Übereinstimmung der Analyse auf der Mikro- und Makroebene geprüft. Ziel ist die Validierung der Ergebnisse. </w:t>
      </w:r>
    </w:p>
    <w:p w:rsidR="00B3609C" w:rsidRDefault="00882296">
      <w:pPr>
        <w:pStyle w:val="HHeadingfigures"/>
        <w:tabs>
          <w:tab w:val="clear" w:pos="2666"/>
        </w:tabs>
        <w:rPr>
          <w:lang w:val="de-DE"/>
        </w:rPr>
      </w:pPr>
      <w:r>
        <w:rPr>
          <w:bCs/>
          <w:lang w:val="de-DE"/>
        </w:rPr>
        <w:t>Vereinfachtes Ablaufdiagramm der Stufen des Logikmodells</w:t>
      </w:r>
    </w:p>
    <w:p w:rsidR="00B3609C" w:rsidRDefault="00882296">
      <w:pPr>
        <w:pStyle w:val="HStandard"/>
        <w:jc w:val="center"/>
        <w:rPr>
          <w:lang w:val="de-DE"/>
        </w:rPr>
      </w:pPr>
      <w:r>
        <w:rPr>
          <w:noProof/>
          <w:lang w:eastAsia="en-GB"/>
        </w:rPr>
        <w:drawing>
          <wp:inline distT="0" distB="0" distL="0" distR="0" wp14:anchorId="298256E8" wp14:editId="084CCE6A">
            <wp:extent cx="4398066" cy="2623930"/>
            <wp:effectExtent l="0" t="0" r="2540" b="5080"/>
            <wp:docPr id="735" name="Grafik 735" descr="D:\userdata\pixx\Bil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data\pixx\Bild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21082" cy="2637662"/>
                    </a:xfrm>
                    <a:prstGeom prst="rect">
                      <a:avLst/>
                    </a:prstGeom>
                    <a:noFill/>
                    <a:ln>
                      <a:noFill/>
                    </a:ln>
                  </pic:spPr>
                </pic:pic>
              </a:graphicData>
            </a:graphic>
          </wp:inline>
        </w:drawing>
      </w:r>
    </w:p>
    <w:p w:rsidR="00B3609C" w:rsidRDefault="00882296">
      <w:pPr>
        <w:pStyle w:val="HSource"/>
        <w:rPr>
          <w:i w:val="0"/>
          <w:lang w:val="de-DE"/>
        </w:rPr>
      </w:pPr>
      <w:r>
        <w:rPr>
          <w:iCs/>
          <w:lang w:val="de-DE"/>
        </w:rPr>
        <w:t xml:space="preserve">Quelle: Europäischer Evaluierungs-Helpdesk für ländliche Entwicklung (2018), nach ENVIEVAL (2015): </w:t>
      </w:r>
      <w:proofErr w:type="spellStart"/>
      <w:r>
        <w:rPr>
          <w:iCs/>
          <w:lang w:val="de-DE"/>
        </w:rPr>
        <w:t>Methodological</w:t>
      </w:r>
      <w:proofErr w:type="spellEnd"/>
      <w:r>
        <w:rPr>
          <w:iCs/>
          <w:lang w:val="de-DE"/>
        </w:rPr>
        <w:t xml:space="preserve"> Handbook </w:t>
      </w:r>
      <w:proofErr w:type="spellStart"/>
      <w:r>
        <w:rPr>
          <w:iCs/>
          <w:lang w:val="de-DE"/>
        </w:rPr>
        <w:t>for</w:t>
      </w:r>
      <w:proofErr w:type="spellEnd"/>
      <w:r>
        <w:rPr>
          <w:iCs/>
          <w:lang w:val="de-DE"/>
        </w:rPr>
        <w:t xml:space="preserve"> </w:t>
      </w:r>
      <w:proofErr w:type="spellStart"/>
      <w:r>
        <w:rPr>
          <w:iCs/>
          <w:lang w:val="de-DE"/>
        </w:rPr>
        <w:t>the</w:t>
      </w:r>
      <w:proofErr w:type="spellEnd"/>
      <w:r>
        <w:rPr>
          <w:iCs/>
          <w:lang w:val="de-DE"/>
        </w:rPr>
        <w:t xml:space="preserve"> </w:t>
      </w:r>
      <w:proofErr w:type="spellStart"/>
      <w:r>
        <w:rPr>
          <w:iCs/>
          <w:lang w:val="de-DE"/>
        </w:rPr>
        <w:t>evaluation</w:t>
      </w:r>
      <w:proofErr w:type="spellEnd"/>
      <w:r>
        <w:rPr>
          <w:iCs/>
          <w:lang w:val="de-DE"/>
        </w:rPr>
        <w:t xml:space="preserve"> </w:t>
      </w:r>
      <w:proofErr w:type="spellStart"/>
      <w:r>
        <w:rPr>
          <w:iCs/>
          <w:lang w:val="de-DE"/>
        </w:rPr>
        <w:t>of</w:t>
      </w:r>
      <w:proofErr w:type="spellEnd"/>
      <w:r>
        <w:rPr>
          <w:iCs/>
          <w:lang w:val="de-DE"/>
        </w:rPr>
        <w:t xml:space="preserve"> environmental </w:t>
      </w:r>
      <w:proofErr w:type="spellStart"/>
      <w:r>
        <w:rPr>
          <w:iCs/>
          <w:lang w:val="de-DE"/>
        </w:rPr>
        <w:t>impacts</w:t>
      </w:r>
      <w:proofErr w:type="spellEnd"/>
      <w:r>
        <w:rPr>
          <w:iCs/>
          <w:lang w:val="de-DE"/>
        </w:rPr>
        <w:t xml:space="preserve"> </w:t>
      </w:r>
      <w:proofErr w:type="spellStart"/>
      <w:r>
        <w:rPr>
          <w:iCs/>
          <w:lang w:val="de-DE"/>
        </w:rPr>
        <w:t>of</w:t>
      </w:r>
      <w:proofErr w:type="spellEnd"/>
      <w:r>
        <w:rPr>
          <w:iCs/>
          <w:lang w:val="de-DE"/>
        </w:rPr>
        <w:t xml:space="preserve"> RDPs: Report D9.5. Brüssel: Europäische Kommission. </w:t>
      </w:r>
    </w:p>
    <w:p w:rsidR="00B3609C" w:rsidRDefault="00B3609C">
      <w:pPr>
        <w:pStyle w:val="HStandard"/>
        <w:rPr>
          <w:rFonts w:cs="Arial"/>
          <w:lang w:val="de-DE"/>
        </w:rPr>
      </w:pPr>
    </w:p>
    <w:p w:rsidR="00B3609C" w:rsidRDefault="00882296">
      <w:pPr>
        <w:pStyle w:val="HStandard"/>
        <w:rPr>
          <w:rFonts w:cs="Arial"/>
          <w:lang w:val="de-DE"/>
        </w:rPr>
      </w:pPr>
      <w:r>
        <w:rPr>
          <w:rFonts w:cs="Arial"/>
          <w:lang w:val="de-DE"/>
        </w:rPr>
        <w:t xml:space="preserve">Die Stufen dieses Logikmodell dienen als Bezugspunkt für die Beschreibung der vorgeschlagenen Bewertungsansätze für die GAP-Wirkungsindikatoren (siehe Kapitel 2.2 bis 2.9). </w:t>
      </w:r>
    </w:p>
    <w:p w:rsidR="00B3609C" w:rsidRDefault="00882296">
      <w:pPr>
        <w:spacing w:before="0" w:after="0" w:line="240" w:lineRule="auto"/>
        <w:jc w:val="left"/>
        <w:rPr>
          <w:b/>
          <w:color w:val="57825E" w:themeColor="accent4"/>
          <w:sz w:val="20"/>
          <w:szCs w:val="20"/>
          <w:lang w:val="de-DE"/>
        </w:rPr>
      </w:pPr>
      <w:r>
        <w:rPr>
          <w:lang w:val="de-DE"/>
        </w:rPr>
        <w:br w:type="page"/>
      </w:r>
    </w:p>
    <w:p w:rsidR="00B3609C" w:rsidRDefault="00882296">
      <w:pPr>
        <w:pStyle w:val="HHeading4"/>
        <w:rPr>
          <w:lang w:val="de-DE"/>
        </w:rPr>
      </w:pPr>
      <w:r>
        <w:rPr>
          <w:bCs/>
          <w:lang w:val="de-DE"/>
        </w:rPr>
        <w:lastRenderedPageBreak/>
        <w:t>Festlegung des Rahmens für die Bewertung (1. Stufe)</w:t>
      </w:r>
    </w:p>
    <w:p w:rsidR="00B3609C" w:rsidRDefault="00882296">
      <w:pPr>
        <w:pStyle w:val="HStandard"/>
        <w:rPr>
          <w:rFonts w:cs="Arial"/>
          <w:lang w:val="de-DE"/>
        </w:rPr>
      </w:pPr>
      <w:r>
        <w:rPr>
          <w:noProof/>
          <w:color w:val="F07E31" w:themeColor="accent1"/>
          <w:lang w:eastAsia="en-GB"/>
        </w:rPr>
        <mc:AlternateContent>
          <mc:Choice Requires="wps">
            <w:drawing>
              <wp:anchor distT="0" distB="0" distL="114300" distR="114300" simplePos="0" relativeHeight="251729408" behindDoc="0" locked="0" layoutInCell="1" allowOverlap="1" wp14:anchorId="05975A9B" wp14:editId="1A7B923A">
                <wp:simplePos x="0" y="0"/>
                <wp:positionH relativeFrom="margin">
                  <wp:posOffset>-38100</wp:posOffset>
                </wp:positionH>
                <wp:positionV relativeFrom="paragraph">
                  <wp:posOffset>88900</wp:posOffset>
                </wp:positionV>
                <wp:extent cx="2317750" cy="2590800"/>
                <wp:effectExtent l="0" t="0" r="25400" b="19050"/>
                <wp:wrapThrough wrapText="bothSides">
                  <wp:wrapPolygon edited="0">
                    <wp:start x="888" y="0"/>
                    <wp:lineTo x="0" y="794"/>
                    <wp:lineTo x="0" y="21600"/>
                    <wp:lineTo x="20949" y="21600"/>
                    <wp:lineTo x="21659" y="20965"/>
                    <wp:lineTo x="21659" y="0"/>
                    <wp:lineTo x="888" y="0"/>
                  </wp:wrapPolygon>
                </wp:wrapThrough>
                <wp:docPr id="33"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7750" cy="2590800"/>
                        </a:xfrm>
                        <a:prstGeom prst="round2DiagRect">
                          <a:avLst>
                            <a:gd name="adj1" fmla="val 8733"/>
                            <a:gd name="adj2" fmla="val 0"/>
                          </a:avLst>
                        </a:prstGeom>
                        <a:noFill/>
                        <a:ln w="25400" cap="flat" cmpd="sng" algn="ctr">
                          <a:solidFill>
                            <a:srgbClr val="BE4A35"/>
                          </a:solidFill>
                          <a:prstDash val="solid"/>
                        </a:ln>
                        <a:effectLst/>
                      </wps:spPr>
                      <wps:txbx>
                        <w:txbxContent>
                          <w:p w:rsidR="00B3609C" w:rsidRDefault="00882296">
                            <w:pPr>
                              <w:pStyle w:val="HHeading4"/>
                              <w:spacing w:before="0"/>
                              <w:jc w:val="both"/>
                              <w:rPr>
                                <w:b w:val="0"/>
                                <w:i/>
                                <w:color w:val="F07E31" w:themeColor="accent1"/>
                                <w:sz w:val="18"/>
                                <w:szCs w:val="18"/>
                                <w:lang w:val="de-DE"/>
                              </w:rPr>
                            </w:pPr>
                            <w:r>
                              <w:rPr>
                                <w:b w:val="0"/>
                                <w:noProof/>
                                <w:color w:val="373737"/>
                                <w:sz w:val="18"/>
                                <w:szCs w:val="18"/>
                                <w:lang w:eastAsia="en-GB"/>
                              </w:rPr>
                              <w:drawing>
                                <wp:inline distT="0" distB="0" distL="0" distR="0" wp14:anchorId="74A34C59" wp14:editId="37B4E7D2">
                                  <wp:extent cx="664845" cy="487680"/>
                                  <wp:effectExtent l="0" t="0" r="0" b="7620"/>
                                  <wp:docPr id="19"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val="0"/>
                                <w:sz w:val="18"/>
                                <w:szCs w:val="18"/>
                                <w:lang w:val="de-DE"/>
                              </w:rPr>
                              <w:t xml:space="preserve"> </w:t>
                            </w:r>
                            <w:r>
                              <w:rPr>
                                <w:bCs/>
                                <w:color w:val="373737" w:themeColor="text1"/>
                                <w:sz w:val="18"/>
                                <w:szCs w:val="18"/>
                                <w:lang w:val="de-DE"/>
                              </w:rPr>
                              <w:t>Die Bewertung einer bestimmten Auswirkung</w:t>
                            </w:r>
                            <w:r>
                              <w:rPr>
                                <w:b w:val="0"/>
                                <w:color w:val="373737" w:themeColor="text1"/>
                                <w:sz w:val="18"/>
                                <w:szCs w:val="18"/>
                                <w:lang w:val="de-DE"/>
                              </w:rPr>
                              <w:t xml:space="preserve"> (sektoral, umweltbezogen oder sozioökonomisch) beginnt mit der Festlegung eines stimmigen Bewertungsrahmens. Dies schafft Klarheit in Bezug auf die Position der Auswirkung in der Interventionslogik und zeigt die verfügbaren Indikatoren und Analyseeinheiten für deren Messung auf.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5975A9B" id="_x0000_s1031" style="position:absolute;left:0;text-align:left;margin-left:-3pt;margin-top:7pt;width:182.5pt;height:204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coordsize="2317750,259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" adj="-11796480,,5400" path="m202409,l2317750,r,l2317750,2388391v,111787,-90622,202409,-202409,202409l,2590800r,l,202409c,90622,90622,,202409,xe" filled="f" strokecolor="#be4a35" strokeweight="2pt">
                <v:stroke joinstyle="miter"/>
                <v:formulas/>
                <v:path arrowok="t" o:connecttype="custom" o:connectlocs="202409,0;2317750,0;2317750,0;2317750,2388391;2115341,2590800;0,2590800;0,2590800;0,202409;202409,0" o:connectangles="0,0,0,0,0,0,0,0,0" textboxrect="0,0,2317750,2590800"/>
                <v:textbox>
                  <w:txbxContent>
                    <w:p w:rsidR="00B3609C" w:rsidRDefault="00882296">
                      <w:pPr>
                        <w:pStyle w:val="HHeading4"/>
                        <w:spacing w:before="0"/>
                        <w:jc w:val="both"/>
                        <w:rPr>
                          <w:b w:val="0"/>
                          <w:i/>
                          <w:color w:val="F07E31" w:themeColor="accent1"/>
                          <w:sz w:val="18"/>
                          <w:szCs w:val="18"/>
                          <w:lang w:val="de-DE"/>
                        </w:rPr>
                      </w:pPr>
                      <w:r>
                        <w:rPr>
                          <w:b w:val="0"/>
                          <w:noProof/>
                          <w:color w:val="373737"/>
                          <w:sz w:val="18"/>
                          <w:szCs w:val="18"/>
                          <w:lang w:eastAsia="en-GB"/>
                        </w:rPr>
                        <w:drawing>
                          <wp:inline distT="0" distB="0" distL="0" distR="0" wp14:anchorId="74A34C59" wp14:editId="37B4E7D2">
                            <wp:extent cx="664845" cy="487680"/>
                            <wp:effectExtent l="0" t="0" r="0" b="7620"/>
                            <wp:docPr id="19"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val="0"/>
                          <w:sz w:val="18"/>
                          <w:szCs w:val="18"/>
                          <w:lang w:val="de-DE"/>
                        </w:rPr>
                        <w:t xml:space="preserve"> </w:t>
                      </w:r>
                      <w:r>
                        <w:rPr>
                          <w:bCs/>
                          <w:color w:val="373737" w:themeColor="text1"/>
                          <w:sz w:val="18"/>
                          <w:szCs w:val="18"/>
                          <w:lang w:val="de-DE"/>
                        </w:rPr>
                        <w:t>Die Bewertung einer bestimmten Auswirkung</w:t>
                      </w:r>
                      <w:r>
                        <w:rPr>
                          <w:b w:val="0"/>
                          <w:color w:val="373737" w:themeColor="text1"/>
                          <w:sz w:val="18"/>
                          <w:szCs w:val="18"/>
                          <w:lang w:val="de-DE"/>
                        </w:rPr>
                        <w:t xml:space="preserve"> (sektoral, umweltbezogen oder sozioökonomisch) beginnt mit der Festlegung eines stimmigen Bewertungsrahmens. Dies schafft Klarheit in Bezug auf die Position der Auswirkung in der Interventionslogik und zeigt die verfügbaren Indikatoren und Analyseeinheiten für deren Messung auf.</w:t>
                      </w:r>
                    </w:p>
                  </w:txbxContent>
                </v:textbox>
                <w10:wrap type="through" anchorx="margin"/>
              </v:shape>
            </w:pict>
          </mc:Fallback>
        </mc:AlternateContent>
      </w:r>
      <w:r>
        <w:rPr>
          <w:lang w:val="de-DE"/>
        </w:rPr>
        <w:t>Der Rahmen für die Bewertung kann mithilfe der folgenden Schritte vorbereitet werden:</w:t>
      </w:r>
    </w:p>
    <w:p w:rsidR="00B3609C" w:rsidRDefault="00882296">
      <w:pPr>
        <w:pStyle w:val="HStandard"/>
        <w:rPr>
          <w:rFonts w:cs="Arial"/>
          <w:lang w:val="de-DE"/>
        </w:rPr>
      </w:pPr>
      <w:r>
        <w:rPr>
          <w:rFonts w:cs="Arial"/>
          <w:b/>
          <w:bCs/>
          <w:color w:val="F07E31" w:themeColor="accent1"/>
          <w:lang w:val="de-DE"/>
        </w:rPr>
        <w:t>Schritt 1 –</w:t>
      </w:r>
      <w:r>
        <w:rPr>
          <w:rFonts w:cs="Arial"/>
          <w:b/>
          <w:bCs/>
          <w:lang w:val="de-DE"/>
        </w:rPr>
        <w:t xml:space="preserve"> </w:t>
      </w:r>
      <w:r>
        <w:rPr>
          <w:rFonts w:cs="Arial"/>
          <w:b/>
          <w:bCs/>
          <w:color w:val="F07E31" w:themeColor="accent1"/>
          <w:lang w:val="de-DE"/>
        </w:rPr>
        <w:t>Erläuterung der CMES-Interventionslogik:</w:t>
      </w:r>
      <w:r>
        <w:rPr>
          <w:rFonts w:cs="Arial"/>
          <w:lang w:val="de-DE"/>
        </w:rPr>
        <w:t xml:space="preserve"> Die Interventionslogik zeigt die Hierarchie der politischen Ziele in Bezug auf die jeweiligen Bewertungsfragen, Maßnahmen und Schwerpunktbereiche sowie </w:t>
      </w:r>
      <w:r>
        <w:rPr>
          <w:rFonts w:cs="Arial"/>
          <w:b/>
          <w:bCs/>
          <w:lang w:val="de-DE"/>
        </w:rPr>
        <w:t>in Bezug auf die zugehörigen CMES-Output-, Ergebnis- und Wirkungsindikatoren</w:t>
      </w:r>
      <w:r>
        <w:rPr>
          <w:rFonts w:cs="Arial"/>
          <w:lang w:val="de-DE"/>
        </w:rPr>
        <w:t>. Die Indikatoren werden im Kontext der verfügbaren Daten geprüft.</w:t>
      </w:r>
    </w:p>
    <w:p w:rsidR="00B3609C" w:rsidRDefault="00882296">
      <w:pPr>
        <w:pStyle w:val="HStandard"/>
        <w:rPr>
          <w:rFonts w:cs="Arial"/>
          <w:bCs/>
          <w:lang w:val="de-DE"/>
        </w:rPr>
      </w:pPr>
      <w:r>
        <w:rPr>
          <w:rFonts w:cs="Arial"/>
          <w:b/>
          <w:bCs/>
          <w:color w:val="F07E31" w:themeColor="accent1"/>
          <w:lang w:val="de-DE"/>
        </w:rPr>
        <w:t>Schritt 2 – Auswahl zusätzlicher (Ergebnis- und/oder Wirkungs-) Indikatoren:</w:t>
      </w:r>
      <w:r>
        <w:rPr>
          <w:rFonts w:cs="Arial"/>
          <w:color w:val="F07E31" w:themeColor="accent1"/>
          <w:lang w:val="de-DE"/>
        </w:rPr>
        <w:t xml:space="preserve"> </w:t>
      </w:r>
      <w:r>
        <w:rPr>
          <w:rFonts w:cs="Arial"/>
          <w:lang w:val="de-DE"/>
        </w:rPr>
        <w:t xml:space="preserve">Diese Indikatoren können die obligatorischen CMES-Indikatoren ergänzen. </w:t>
      </w:r>
      <w:r>
        <w:rPr>
          <w:rFonts w:cs="Arial"/>
          <w:b/>
          <w:bCs/>
          <w:lang w:val="de-DE"/>
        </w:rPr>
        <w:t>Die Verwendung zusätzlicher Indikatoren ist freiwillig</w:t>
      </w:r>
      <w:r>
        <w:rPr>
          <w:rFonts w:cs="Arial"/>
          <w:lang w:val="de-DE"/>
        </w:rPr>
        <w:t xml:space="preserve"> und sollte sorgfältig abgewogen werden. Dabei sollten die Kosten, die Verfügbarkeit der Daten, die Eignung und der Mehrwert für die Bewertung berücksichtigt werden. Zusätzliche Indikatoren können dabei helfen, die Nettoergebnisse und -auswirkungen zu quantifizieren, wenn nicht genügend Daten für die gemeinsamen Indikatoren zur Verfügung stehen oder wenn Lücken in den gemeinsamen Ergebnis- und Wirkungsindikatoren geschlossen werden müssen. Die zusätzlichen Indikatoren können auch qualitativer Natur sein (z. B. der Grad der von den Interessenträgern wahrgenommenen Veränderung, basierend auf der Likert-Skala), um die quantitativen Nachweise zu ergänzen oder um fehlende alternative quantifizierbare Nachweise zu ersetzen. </w:t>
      </w:r>
    </w:p>
    <w:p w:rsidR="00B3609C" w:rsidRDefault="00882296">
      <w:pPr>
        <w:pStyle w:val="HStandard"/>
        <w:rPr>
          <w:rFonts w:cs="Arial"/>
          <w:lang w:val="de-DE"/>
        </w:rPr>
      </w:pPr>
      <w:r>
        <w:rPr>
          <w:b/>
          <w:bCs/>
          <w:color w:val="F07E31" w:themeColor="accent1"/>
          <w:lang w:val="de-DE"/>
        </w:rPr>
        <w:t>Schritt 3 – Definition der Analyseeinheit (= der „kleinste Teil eines organisierten Systems“) für die Bewertung auf der Mikro- und Makroebene (falls zutreffend):</w:t>
      </w:r>
      <w:r>
        <w:rPr>
          <w:color w:val="F07E31" w:themeColor="accent1"/>
          <w:lang w:val="de-DE"/>
        </w:rPr>
        <w:t xml:space="preserve"> </w:t>
      </w:r>
      <w:r>
        <w:rPr>
          <w:lang w:val="de-DE"/>
        </w:rPr>
        <w:t>Die Analyseeinheiten auf der Mikroebene könnten landwirtschaftliche Betriebe, Parzellen, Gemeinschaften oder Regionen sein, während es auf der Makroebene Einzugsflächen, regionale Einheiten oder das gesamte Gebiet des Programms zur Entwicklung des ländlichen Raums sein könnten. Mit einer definierten Analyseeinheit kann der Indikator die Änderungen der Flächenbewirtschaftung sowie umweltbezogene, sektorale oder sozioökonomische Veränderungen messen, die auf die Interventionen des Programms zur Entwicklung des ländlichen Raums zurückzuführen sind. Die jeweiligen Daten sollten für dieselbe Einheitskategorie erhoben werden und Begünstigte und Nichtbegünstigte des Programms umfassen.</w:t>
      </w:r>
    </w:p>
    <w:p w:rsidR="00B3609C" w:rsidRDefault="00882296">
      <w:pPr>
        <w:pStyle w:val="HHeading4"/>
        <w:rPr>
          <w:lang w:val="de-DE"/>
        </w:rPr>
      </w:pPr>
      <w:r>
        <w:rPr>
          <w:noProof/>
          <w:color w:val="F07E31" w:themeColor="accent1"/>
          <w:lang w:eastAsia="en-GB"/>
        </w:rPr>
        <mc:AlternateContent>
          <mc:Choice Requires="wps">
            <w:drawing>
              <wp:anchor distT="0" distB="0" distL="114300" distR="114300" simplePos="0" relativeHeight="251730432" behindDoc="0" locked="0" layoutInCell="1" allowOverlap="1" wp14:anchorId="11A56B1A" wp14:editId="120A887C">
                <wp:simplePos x="0" y="0"/>
                <wp:positionH relativeFrom="column">
                  <wp:posOffset>3238500</wp:posOffset>
                </wp:positionH>
                <wp:positionV relativeFrom="paragraph">
                  <wp:posOffset>405765</wp:posOffset>
                </wp:positionV>
                <wp:extent cx="2447925" cy="1697990"/>
                <wp:effectExtent l="0" t="0" r="28575" b="16510"/>
                <wp:wrapThrough wrapText="bothSides">
                  <wp:wrapPolygon edited="0">
                    <wp:start x="504" y="0"/>
                    <wp:lineTo x="0" y="727"/>
                    <wp:lineTo x="0" y="21568"/>
                    <wp:lineTo x="21348" y="21568"/>
                    <wp:lineTo x="21684" y="20841"/>
                    <wp:lineTo x="21684" y="0"/>
                    <wp:lineTo x="504" y="0"/>
                  </wp:wrapPolygon>
                </wp:wrapThrough>
                <wp:docPr id="38"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1697990"/>
                        </a:xfrm>
                        <a:prstGeom prst="round2DiagRect">
                          <a:avLst>
                            <a:gd name="adj1" fmla="val 8733"/>
                            <a:gd name="adj2" fmla="val 0"/>
                          </a:avLst>
                        </a:prstGeom>
                        <a:noFill/>
                        <a:ln w="25400" cap="flat" cmpd="sng" algn="ctr">
                          <a:solidFill>
                            <a:srgbClr val="BE4A35"/>
                          </a:solidFill>
                          <a:prstDash val="solid"/>
                        </a:ln>
                        <a:effectLst/>
                      </wps:spPr>
                      <wps:txbx>
                        <w:txbxContent>
                          <w:p w:rsidR="00B3609C" w:rsidRDefault="00882296">
                            <w:pPr>
                              <w:pStyle w:val="HHeading4"/>
                              <w:spacing w:before="0"/>
                              <w:jc w:val="both"/>
                              <w:rPr>
                                <w:b w:val="0"/>
                                <w:i/>
                                <w:color w:val="373737" w:themeColor="text1"/>
                                <w:sz w:val="18"/>
                                <w:lang w:val="de-DE"/>
                              </w:rPr>
                            </w:pPr>
                            <w:r>
                              <w:rPr>
                                <w:b w:val="0"/>
                                <w:noProof/>
                                <w:color w:val="373737" w:themeColor="text1"/>
                                <w:lang w:eastAsia="en-GB"/>
                              </w:rPr>
                              <w:drawing>
                                <wp:inline distT="0" distB="0" distL="0" distR="0" wp14:anchorId="457B3348" wp14:editId="226B21C8">
                                  <wp:extent cx="664845" cy="487680"/>
                                  <wp:effectExtent l="0" t="0" r="0" b="7620"/>
                                  <wp:docPr id="2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val="0"/>
                                <w:color w:val="373737" w:themeColor="text1"/>
                                <w:lang w:val="de-DE"/>
                              </w:rPr>
                              <w:t xml:space="preserve"> Die </w:t>
                            </w:r>
                            <w:r>
                              <w:rPr>
                                <w:bCs/>
                                <w:color w:val="373737" w:themeColor="text1"/>
                                <w:lang w:val="de-DE"/>
                              </w:rPr>
                              <w:t>Wirkungen des Programms</w:t>
                            </w:r>
                            <w:r>
                              <w:rPr>
                                <w:b w:val="0"/>
                                <w:color w:val="373737" w:themeColor="text1"/>
                                <w:lang w:val="de-DE"/>
                              </w:rPr>
                              <w:t xml:space="preserve"> können aufgrund anderer Einflussfaktoren nie direkt beobachtet werden, sodass für ihre Bewertung eine kontrafaktische Analyse erforderlich 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A56B1A" id="_x0000_s1032" style="position:absolute;margin-left:255pt;margin-top:31.95pt;width:192.75pt;height:133.7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47925,1697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" adj="-11796480,,5400" path="m148285,l2447925,r,l2447925,1549705v,81896,-66389,148285,-148285,148285l,1697990r,l,148285c,66389,66389,,148285,xe" filled="f" strokecolor="#be4a35" strokeweight="2pt">
                <v:stroke joinstyle="miter"/>
                <v:formulas/>
                <v:path arrowok="t" o:connecttype="custom" o:connectlocs="148285,0;2447925,0;2447925,0;2447925,1549705;2299640,1697990;0,1697990;0,1697990;0,148285;148285,0" o:connectangles="0,0,0,0,0,0,0,0,0" textboxrect="0,0,2447925,1697990"/>
                <v:textbox>
                  <w:txbxContent>
                    <w:p w:rsidR="00B3609C" w:rsidRDefault="00882296">
                      <w:pPr>
                        <w:pStyle w:val="HHeading4"/>
                        <w:spacing w:before="0"/>
                        <w:jc w:val="both"/>
                        <w:rPr>
                          <w:b w:val="0"/>
                          <w:i/>
                          <w:color w:val="373737" w:themeColor="text1"/>
                          <w:sz w:val="18"/>
                          <w:lang w:val="de-DE"/>
                        </w:rPr>
                      </w:pPr>
                      <w:r>
                        <w:rPr>
                          <w:b w:val="0"/>
                          <w:noProof/>
                          <w:color w:val="373737" w:themeColor="text1"/>
                          <w:lang w:eastAsia="en-GB"/>
                        </w:rPr>
                        <w:drawing>
                          <wp:inline distT="0" distB="0" distL="0" distR="0" wp14:anchorId="457B3348" wp14:editId="226B21C8">
                            <wp:extent cx="664845" cy="487680"/>
                            <wp:effectExtent l="0" t="0" r="0" b="7620"/>
                            <wp:docPr id="2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val="0"/>
                          <w:color w:val="373737" w:themeColor="text1"/>
                          <w:lang w:val="de-DE"/>
                        </w:rPr>
                        <w:t xml:space="preserve"> Die </w:t>
                      </w:r>
                      <w:r>
                        <w:rPr>
                          <w:bCs/>
                          <w:color w:val="373737" w:themeColor="text1"/>
                          <w:lang w:val="de-DE"/>
                        </w:rPr>
                        <w:t>Wirkungen des Programms</w:t>
                      </w:r>
                      <w:r>
                        <w:rPr>
                          <w:b w:val="0"/>
                          <w:color w:val="373737" w:themeColor="text1"/>
                          <w:lang w:val="de-DE"/>
                        </w:rPr>
                        <w:t xml:space="preserve"> können aufgrund anderer Einflussfaktoren nie direkt beobachtet werden, sodass für ihre Bewertung eine kontrafaktische Analyse erforderlich ist.</w:t>
                      </w:r>
                    </w:p>
                  </w:txbxContent>
                </v:textbox>
                <w10:wrap type="through"/>
              </v:shape>
            </w:pict>
          </mc:Fallback>
        </mc:AlternateContent>
      </w:r>
      <w:r>
        <w:rPr>
          <w:bCs/>
          <w:lang w:val="de-DE"/>
        </w:rPr>
        <w:t>Entwicklung des kontrafaktischen Szenarios (2. Stufe)</w:t>
      </w:r>
    </w:p>
    <w:p w:rsidR="00B3609C" w:rsidRDefault="00882296">
      <w:pPr>
        <w:pStyle w:val="HStandard"/>
        <w:rPr>
          <w:rFonts w:cs="Arial"/>
          <w:lang w:val="de-DE"/>
        </w:rPr>
      </w:pPr>
      <w:r>
        <w:rPr>
          <w:lang w:val="de-DE"/>
        </w:rPr>
        <w:t>Die Wirkung des Programms ist die Differenz zwischen dem Wert des jeweiligen Ergebnisses (z. B. Bruttowertschöpfung oder Arbeitsproduktivität) für dieselbe Einheit mit dem Programm und ohne das Programm. Diese Definition gilt für jede Analyseeinheit (z. B. Person, landwirtschaftlicher Betrieb, Unternehmen, Landfläche, Gemeinschaft, Dorf, Region, Programmplanungsgebiet oder Land) und für jedes Ergebnis (ausgedrückt als sektorale, umweltbezogene oder sozioökonomische Indikatoren), das plausibel auf das Programm zurückgeführt werden kann.</w:t>
      </w:r>
    </w:p>
    <w:p w:rsidR="00B3609C" w:rsidRDefault="00882296">
      <w:pPr>
        <w:pStyle w:val="HStandard"/>
        <w:rPr>
          <w:rFonts w:cs="Arial"/>
          <w:lang w:val="de-DE"/>
        </w:rPr>
      </w:pPr>
      <w:r>
        <w:rPr>
          <w:rFonts w:cs="Arial"/>
          <w:lang w:val="de-DE"/>
        </w:rPr>
        <w:lastRenderedPageBreak/>
        <w:t xml:space="preserve">Die 2. Stufe hilft dem Bewerter dabei, die Art(en) kontrafaktischer Szenarien zu ermitteln, die mit den verfügbaren Daten konstruiert werden können. Dabei werden mehrere einschränkende Faktoren berücksichtigt (z. B. mangelnde Datenverfügbarkeit, Bewertungsverträge mit kurzer Laufzeit, begrenzte Bewertungskapazität). Zudem hilft die 2. Stufe dabei, tragfähige „zweitbeste“ Lösungen zu ermitteln (z. B. für die Bewertung von Umweltauswirkungen). Eine systematische Erforschung der möglichen Optionen zur Gestaltung eines kontrafaktischen Szenarios ist wichtig, selbst wenn Daten fehlen. Eine solche Erforschung liefert wertvolle Informationen darüber, welche Bedingungen erfüllt sein müssen, um ein belastbares kontrafaktisches Szenario anwenden zu können, und sie zeigt zudem alternative Optionen auf (z. B. Vergleiche naiver Gruppen, qualitative Bewertungen). </w:t>
      </w:r>
    </w:p>
    <w:p w:rsidR="00B3609C" w:rsidRDefault="00882296">
      <w:pPr>
        <w:pStyle w:val="HStandard"/>
        <w:rPr>
          <w:lang w:val="de-DE"/>
        </w:rPr>
      </w:pPr>
      <w:r>
        <w:rPr>
          <w:lang w:val="de-DE"/>
        </w:rPr>
        <w:t xml:space="preserve">Im Logikmodell kann die kontrafaktische Stufe sowohl für Bewertungen auf der Mikro- als auch für Bewertungen auf der Makroebene angewendet werden und ist mit der Wahl des Bewertungsansatzes und den Methoden verknüpft. </w:t>
      </w:r>
      <w:r>
        <w:rPr>
          <w:b/>
          <w:bCs/>
          <w:lang w:val="de-DE"/>
        </w:rPr>
        <w:t>Dabei entscheidet der Programmbewerter, auf welcher Ebene (Mikro/Makro) die Analyse der Wirkungen des Programms durchgeführt wird.</w:t>
      </w:r>
      <w:r>
        <w:rPr>
          <w:lang w:val="de-DE"/>
        </w:rPr>
        <w:t xml:space="preserve"> Diese Entscheidung ist abhängig von den verfügbaren Daten und muss vor der Wahl der Analyseeinheit getroffen werden, für die (wirtschaftliche, umweltbezogene oder sozioökonomische) Daten erfasst werden. </w:t>
      </w:r>
    </w:p>
    <w:p w:rsidR="00B3609C" w:rsidRDefault="00882296">
      <w:pPr>
        <w:spacing w:before="0" w:after="0" w:line="240" w:lineRule="auto"/>
        <w:jc w:val="left"/>
        <w:rPr>
          <w:color w:val="373737" w:themeColor="text1"/>
          <w:sz w:val="20"/>
          <w:szCs w:val="20"/>
          <w:lang w:val="de-DE"/>
        </w:rPr>
      </w:pPr>
      <w:r>
        <w:rPr>
          <w:noProof/>
          <w:lang w:eastAsia="en-GB"/>
        </w:rPr>
        <mc:AlternateContent>
          <mc:Choice Requires="wps">
            <w:drawing>
              <wp:anchor distT="0" distB="0" distL="114300" distR="114300" simplePos="0" relativeHeight="251732480" behindDoc="0" locked="0" layoutInCell="1" allowOverlap="1" wp14:anchorId="3922ADD3" wp14:editId="02735B03">
                <wp:simplePos x="0" y="0"/>
                <wp:positionH relativeFrom="margin">
                  <wp:align>right</wp:align>
                </wp:positionH>
                <wp:positionV relativeFrom="paragraph">
                  <wp:posOffset>86360</wp:posOffset>
                </wp:positionV>
                <wp:extent cx="5873750" cy="1992085"/>
                <wp:effectExtent l="0" t="0" r="12700" b="27305"/>
                <wp:wrapNone/>
                <wp:docPr id="46"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3750" cy="1992085"/>
                        </a:xfrm>
                        <a:prstGeom prst="round2DiagRect">
                          <a:avLst>
                            <a:gd name="adj1" fmla="val 8733"/>
                            <a:gd name="adj2" fmla="val 0"/>
                          </a:avLst>
                        </a:prstGeom>
                        <a:noFill/>
                        <a:ln w="25400" cap="flat" cmpd="sng" algn="ctr">
                          <a:solidFill>
                            <a:srgbClr val="BE4A35"/>
                          </a:solidFill>
                          <a:prstDash val="solid"/>
                        </a:ln>
                        <a:effectLst/>
                      </wps:spPr>
                      <wps:txbx>
                        <w:txbxContent>
                          <w:p w:rsidR="00B3609C" w:rsidRDefault="00882296">
                            <w:pPr>
                              <w:pStyle w:val="HHeading4"/>
                              <w:spacing w:before="0"/>
                              <w:jc w:val="both"/>
                              <w:rPr>
                                <w:rFonts w:cs="Arial"/>
                                <w:b w:val="0"/>
                                <w:color w:val="373737" w:themeColor="text1"/>
                                <w:lang w:val="de-DE"/>
                              </w:rPr>
                            </w:pPr>
                            <w:r>
                              <w:rPr>
                                <w:b w:val="0"/>
                                <w:noProof/>
                                <w:color w:val="373737" w:themeColor="text1"/>
                                <w:lang w:eastAsia="en-GB"/>
                              </w:rPr>
                              <w:drawing>
                                <wp:inline distT="0" distB="0" distL="0" distR="0" wp14:anchorId="0A5EC1A5" wp14:editId="70379E7F">
                                  <wp:extent cx="664845" cy="487680"/>
                                  <wp:effectExtent l="0" t="0" r="0" b="7620"/>
                                  <wp:docPr id="2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Cs/>
                                <w:color w:val="373737" w:themeColor="text1"/>
                                <w:lang w:val="de-DE"/>
                              </w:rPr>
                              <w:t>Mitgliedstaaten mit mehreren Programmen zur Entwicklung des ländlichen Raums</w:t>
                            </w:r>
                            <w:r>
                              <w:rPr>
                                <w:b w:val="0"/>
                                <w:color w:val="373737" w:themeColor="text1"/>
                                <w:lang w:val="de-DE"/>
                              </w:rPr>
                              <w:t xml:space="preserve"> könnten vor der Herausforderung stehen, dass EU-Datenquellen (z. B. Eurostat) auf der Ebene der einzelnen regionalen Programme zur Entwicklung des ländlichen Raums keine Werte für die gemeinsamen GAP-Wirkungsindikatoren liefern. In einem solchen Fall kann der regionale Wert des Indikators (NUTS 2) auf der Grundlage nationaler Daten geschätzt werden oder, falls möglich, durch Zusammenfassung der Daten der Einheiten, die innerhalb der jeweiligen Region erhoben wurden (I.01, I.02, I.03), ermittelt werden.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22ADD3" id="_x0000_s1033" style="position:absolute;margin-left:411.3pt;margin-top:6.8pt;width:462.5pt;height:156.85pt;z-index:251732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coordsize="5873750,19920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" adj="-11796480,,5400" path="m173969,l5873750,r,l5873750,1818116v,96080,-77889,173969,-173969,173969l,1992085r,l,173969c,77889,77889,,173969,xe" filled="f" strokecolor="#be4a35" strokeweight="2pt">
                <v:stroke joinstyle="miter"/>
                <v:formulas/>
                <v:path arrowok="t" o:connecttype="custom" o:connectlocs="173969,0;5873750,0;5873750,0;5873750,1818116;5699781,1992085;0,1992085;0,1992085;0,173969;173969,0" o:connectangles="0,0,0,0,0,0,0,0,0" textboxrect="0,0,5873750,1992085"/>
                <v:textbox>
                  <w:txbxContent>
                    <w:p w:rsidR="00B3609C" w:rsidRDefault="00882296">
                      <w:pPr>
                        <w:pStyle w:val="HHeading4"/>
                        <w:spacing w:before="0"/>
                        <w:jc w:val="both"/>
                        <w:rPr>
                          <w:rFonts w:cs="Arial"/>
                          <w:b w:val="0"/>
                          <w:color w:val="373737" w:themeColor="text1"/>
                          <w:lang w:val="de-DE"/>
                        </w:rPr>
                      </w:pPr>
                      <w:r>
                        <w:rPr>
                          <w:b w:val="0"/>
                          <w:noProof/>
                          <w:color w:val="373737" w:themeColor="text1"/>
                          <w:lang w:eastAsia="en-GB"/>
                        </w:rPr>
                        <w:drawing>
                          <wp:inline distT="0" distB="0" distL="0" distR="0" wp14:anchorId="0A5EC1A5" wp14:editId="70379E7F">
                            <wp:extent cx="664845" cy="487680"/>
                            <wp:effectExtent l="0" t="0" r="0" b="7620"/>
                            <wp:docPr id="2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Cs/>
                          <w:color w:val="373737" w:themeColor="text1"/>
                          <w:lang w:val="de-DE"/>
                        </w:rPr>
                        <w:t>Mitgliedstaaten mit mehreren Programmen zur Entwicklung des ländlichen Raums</w:t>
                      </w:r>
                      <w:r>
                        <w:rPr>
                          <w:b w:val="0"/>
                          <w:color w:val="373737" w:themeColor="text1"/>
                          <w:lang w:val="de-DE"/>
                        </w:rPr>
                        <w:t xml:space="preserve"> könnten vor der Herausforderung stehen, dass EU-Datenquellen (z. B. Eurostat) auf der Ebene der einzelnen regionalen Programme zur Entwicklung des ländlichen Raums keine Werte für die gemeinsamen GAP-Wirkungsindikatoren liefern. In einem solchen Fall kann der regionale Wert des Indikators (NUTS 2) auf der Grundlage nationaler Daten geschätzt werden oder, falls möglich, durch Zusammenfassung der Daten der Einheiten, die innerhalb der jeweiligen Region erhoben wurden (I.01, I.02, I.03), ermittelt werden.</w:t>
                      </w:r>
                    </w:p>
                  </w:txbxContent>
                </v:textbox>
                <w10:wrap anchorx="margin"/>
              </v:shape>
            </w:pict>
          </mc:Fallback>
        </mc:AlternateContent>
      </w:r>
      <w:r>
        <w:rPr>
          <w:lang w:val="de-DE"/>
        </w:rPr>
        <w:br w:type="page"/>
      </w:r>
    </w:p>
    <w:p w:rsidR="00B3609C" w:rsidRDefault="00882296">
      <w:pPr>
        <w:pStyle w:val="HStandard"/>
        <w:rPr>
          <w:rFonts w:cs="Arial"/>
          <w:lang w:val="de-DE"/>
        </w:rPr>
      </w:pPr>
      <w:r>
        <w:rPr>
          <w:b/>
          <w:bCs/>
          <w:i/>
          <w:iCs/>
          <w:noProof/>
          <w:color w:val="F07E31" w:themeColor="accent1"/>
          <w:lang w:eastAsia="en-GB"/>
        </w:rPr>
        <w:lastRenderedPageBreak/>
        <mc:AlternateContent>
          <mc:Choice Requires="wps">
            <w:drawing>
              <wp:anchor distT="0" distB="0" distL="114300" distR="114300" simplePos="0" relativeHeight="251733504" behindDoc="0" locked="0" layoutInCell="1" allowOverlap="1" wp14:anchorId="1E773006" wp14:editId="5D7A16EB">
                <wp:simplePos x="0" y="0"/>
                <wp:positionH relativeFrom="column">
                  <wp:posOffset>-114300</wp:posOffset>
                </wp:positionH>
                <wp:positionV relativeFrom="paragraph">
                  <wp:posOffset>-103414</wp:posOffset>
                </wp:positionV>
                <wp:extent cx="6229350" cy="8719457"/>
                <wp:effectExtent l="0" t="0" r="19050" b="24765"/>
                <wp:wrapNone/>
                <wp:docPr id="946" name="Rectangle: Rounded Corners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9350" cy="8719457"/>
                        </a:xfrm>
                        <a:prstGeom prst="roundRect">
                          <a:avLst>
                            <a:gd name="adj" fmla="val 4563"/>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D9D9F4" id="Rectangle: Rounded Corners 946" o:spid="_x0000_s1026" style="position:absolute;margin-left:-9pt;margin-top:-8.15pt;width:490.5pt;height:686.5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" filled="f" strokecolor="#be4a35 [3205]" strokeweight="2pt">
                <v:path arrowok="t"/>
              </v:roundrect>
            </w:pict>
          </mc:Fallback>
        </mc:AlternateContent>
      </w:r>
      <w:r>
        <w:rPr>
          <w:b/>
          <w:bCs/>
          <w:i/>
          <w:iCs/>
          <w:noProof/>
          <w:color w:val="F07E31" w:themeColor="accent1"/>
          <w:lang w:eastAsia="en-GB"/>
        </w:rPr>
        <mc:AlternateContent>
          <mc:Choice Requires="wps">
            <w:drawing>
              <wp:inline distT="0" distB="0" distL="0" distR="0" wp14:anchorId="2FCE23D1" wp14:editId="1240D8BA">
                <wp:extent cx="6093460" cy="2634018"/>
                <wp:effectExtent l="0" t="0" r="0" b="0"/>
                <wp:docPr id="2"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3460" cy="2634018"/>
                        </a:xfrm>
                        <a:custGeom>
                          <a:avLst/>
                          <a:gdLst>
                            <a:gd name="T0" fmla="*/ 150406 w 6093460"/>
                            <a:gd name="T1" fmla="*/ 0 h 2609850"/>
                            <a:gd name="T2" fmla="*/ 6093460 w 6093460"/>
                            <a:gd name="T3" fmla="*/ 0 h 2609850"/>
                            <a:gd name="T4" fmla="*/ 6093460 w 6093460"/>
                            <a:gd name="T5" fmla="*/ 0 h 2609850"/>
                            <a:gd name="T6" fmla="*/ 6093460 w 6093460"/>
                            <a:gd name="T7" fmla="*/ 2459444 h 2609850"/>
                            <a:gd name="T8" fmla="*/ 5943054 w 6093460"/>
                            <a:gd name="T9" fmla="*/ 2609850 h 2609850"/>
                            <a:gd name="T10" fmla="*/ 0 w 6093460"/>
                            <a:gd name="T11" fmla="*/ 2609850 h 2609850"/>
                            <a:gd name="T12" fmla="*/ 0 w 6093460"/>
                            <a:gd name="T13" fmla="*/ 2609850 h 2609850"/>
                            <a:gd name="T14" fmla="*/ 0 w 6093460"/>
                            <a:gd name="T15" fmla="*/ 150406 h 2609850"/>
                            <a:gd name="T16" fmla="*/ 150406 w 6093460"/>
                            <a:gd name="T17" fmla="*/ 0 h 26098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093460"/>
                            <a:gd name="T28" fmla="*/ 0 h 2609850"/>
                            <a:gd name="T29" fmla="*/ 6093460 w 6093460"/>
                            <a:gd name="T30" fmla="*/ 2609850 h 26098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093460" h="2609850">
                              <a:moveTo>
                                <a:pt x="150406" y="0"/>
                              </a:moveTo>
                              <a:lnTo>
                                <a:pt x="6093460" y="0"/>
                              </a:lnTo>
                              <a:lnTo>
                                <a:pt x="6093460" y="2459444"/>
                              </a:lnTo>
                              <a:cubicBezTo>
                                <a:pt x="6093460" y="2542511"/>
                                <a:pt x="6026121" y="2609850"/>
                                <a:pt x="5943054" y="2609850"/>
                              </a:cubicBezTo>
                              <a:lnTo>
                                <a:pt x="0" y="2609850"/>
                              </a:lnTo>
                              <a:lnTo>
                                <a:pt x="0" y="150406"/>
                              </a:lnTo>
                              <a:cubicBezTo>
                                <a:pt x="0" y="67339"/>
                                <a:pt x="67339" y="0"/>
                                <a:pt x="150406" y="0"/>
                              </a:cubicBez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B3609C" w:rsidRDefault="00882296">
                            <w:pPr>
                              <w:pStyle w:val="HHeading4"/>
                              <w:spacing w:before="0"/>
                              <w:jc w:val="both"/>
                              <w:rPr>
                                <w:rFonts w:cs="Arial"/>
                                <w:color w:val="373737"/>
                                <w:sz w:val="18"/>
                                <w:szCs w:val="18"/>
                                <w:lang w:val="de-DE"/>
                              </w:rPr>
                            </w:pPr>
                            <w:r>
                              <w:rPr>
                                <w:b w:val="0"/>
                                <w:noProof/>
                                <w:color w:val="373737"/>
                                <w:lang w:eastAsia="en-GB"/>
                              </w:rPr>
                              <w:drawing>
                                <wp:inline distT="0" distB="0" distL="0" distR="0" wp14:anchorId="1A7E125A" wp14:editId="7192D6DE">
                                  <wp:extent cx="664845" cy="487680"/>
                                  <wp:effectExtent l="0" t="0" r="0" b="7620"/>
                                  <wp:docPr id="27"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Cs/>
                                <w:lang w:val="de-DE"/>
                              </w:rPr>
                              <w:t xml:space="preserve"> KURZANLEITUNG NR. 1:</w:t>
                            </w:r>
                            <w:r>
                              <w:rPr>
                                <w:b w:val="0"/>
                                <w:lang w:val="de-DE"/>
                              </w:rPr>
                              <w:t xml:space="preserve"> </w:t>
                            </w:r>
                            <w:r>
                              <w:rPr>
                                <w:bCs/>
                                <w:lang w:val="de-DE"/>
                              </w:rPr>
                              <w:t>Wie kann das Logikmodell genutzt werden, um verschiedene Optionen für den Entwurf des kontrafaktischen Szenarios zu ermitteln und um über den Bewertungsansatz zu entscheiden?</w:t>
                            </w:r>
                          </w:p>
                          <w:p w:rsidR="00B3609C" w:rsidRDefault="00882296">
                            <w:pPr>
                              <w:pStyle w:val="HStandard"/>
                              <w:spacing w:after="0"/>
                              <w:rPr>
                                <w:rFonts w:cs="Arial"/>
                                <w:sz w:val="18"/>
                                <w:lang w:val="de-DE"/>
                              </w:rPr>
                            </w:pPr>
                            <w:r>
                              <w:rPr>
                                <w:rFonts w:cs="Arial"/>
                                <w:sz w:val="18"/>
                                <w:lang w:val="de-DE"/>
                              </w:rPr>
                              <w:t xml:space="preserve">Die Schritte in der kontrafaktischen Stufe des Entscheidungsbaums dienen als Orientierungshilfe für die Beantwortung der folgenden Schlüsselfragen, die beim Entwurf des kontrafaktischen Szenarios zu beantworten sind: </w:t>
                            </w:r>
                          </w:p>
                          <w:p w:rsidR="00B3609C" w:rsidRDefault="00882296">
                            <w:pPr>
                              <w:pStyle w:val="Hlistbullet"/>
                              <w:rPr>
                                <w:sz w:val="18"/>
                                <w:lang w:val="de-DE"/>
                              </w:rPr>
                            </w:pPr>
                            <w:r>
                              <w:rPr>
                                <w:sz w:val="18"/>
                                <w:lang w:val="de-DE"/>
                              </w:rPr>
                              <w:t>Welche Optionen stehen für die Konstruktion eines kontrafaktischen Szenarios zur Verfügung?</w:t>
                            </w:r>
                          </w:p>
                          <w:p w:rsidR="00B3609C" w:rsidRDefault="00882296">
                            <w:pPr>
                              <w:pStyle w:val="Hlistbullet"/>
                              <w:rPr>
                                <w:sz w:val="18"/>
                                <w:lang w:val="de-DE"/>
                              </w:rPr>
                            </w:pPr>
                            <w:r>
                              <w:rPr>
                                <w:sz w:val="18"/>
                                <w:lang w:val="de-DE"/>
                              </w:rPr>
                              <w:t>Lassen die Umsetzung und Inanspruchnahme der Maßnahmen die Einrichtung einer Kontrollgruppe zu?</w:t>
                            </w:r>
                          </w:p>
                          <w:p w:rsidR="00B3609C" w:rsidRDefault="00882296">
                            <w:pPr>
                              <w:pStyle w:val="Hlistbullet"/>
                              <w:rPr>
                                <w:sz w:val="18"/>
                                <w:lang w:val="de-DE"/>
                              </w:rPr>
                            </w:pPr>
                            <w:r>
                              <w:rPr>
                                <w:sz w:val="18"/>
                                <w:lang w:val="de-DE"/>
                              </w:rPr>
                              <w:t>In welchem Umfang stehen Daten zu anderen Faktoren, die die ausgewählten Indikatoren beeinflussen, zur Verfügung?</w:t>
                            </w:r>
                          </w:p>
                          <w:p w:rsidR="00B3609C" w:rsidRDefault="00882296">
                            <w:pPr>
                              <w:pStyle w:val="Hlistbullet"/>
                              <w:rPr>
                                <w:sz w:val="18"/>
                                <w:lang w:val="de-DE"/>
                              </w:rPr>
                            </w:pPr>
                            <w:r>
                              <w:rPr>
                                <w:sz w:val="18"/>
                                <w:lang w:val="de-DE"/>
                              </w:rPr>
                              <w:t>Stehen für die ausgewählten Indikatoren Daten zu verschiedenen Zeitpunkten (vorher/nachher) für die Begünstigten und Nichtbegünstigten zur Verfügung?</w:t>
                            </w:r>
                          </w:p>
                          <w:p w:rsidR="00B3609C" w:rsidRDefault="00882296">
                            <w:pPr>
                              <w:pStyle w:val="Hlistbullet"/>
                              <w:rPr>
                                <w:sz w:val="18"/>
                                <w:lang w:val="de-DE"/>
                              </w:rPr>
                            </w:pPr>
                            <w:r>
                              <w:rPr>
                                <w:sz w:val="18"/>
                                <w:lang w:val="de-DE"/>
                              </w:rPr>
                              <w:t>Kann ich belastbare, auf Statistiken basierende Methoden nutzen, um die Nettoauswirkungen der bewerteten Maßnahmen kosteneffizient zu quantifizieren?</w:t>
                            </w:r>
                          </w:p>
                          <w:p w:rsidR="00B3609C" w:rsidRDefault="00B3609C">
                            <w:pPr>
                              <w:pStyle w:val="Hlistbullet"/>
                              <w:spacing w:before="0" w:after="0" w:line="280" w:lineRule="atLeast"/>
                              <w:jc w:val="right"/>
                              <w:rPr>
                                <w:i/>
                                <w:color w:val="F07E31" w:themeColor="accent1"/>
                                <w:sz w:val="18"/>
                                <w:lang w:val="de-DE"/>
                              </w:rPr>
                            </w:pPr>
                          </w:p>
                        </w:txbxContent>
                      </wps:txbx>
                      <wps:bodyPr rot="0" vert="horz" wrap="square" lIns="91440" tIns="45720" rIns="91440" bIns="45720" anchor="ctr" anchorCtr="0" upright="1">
                        <a:noAutofit/>
                      </wps:bodyPr>
                    </wps:wsp>
                  </a:graphicData>
                </a:graphic>
              </wp:inline>
            </w:drawing>
          </mc:Choice>
          <mc:Fallback>
            <w:pict>
              <v:shape w14:anchorId="2FCE23D1" id="Rectangle: Diagonal Corners Rounded 90" o:spid="_x0000_s1034" style="width:479.8pt;height:207.4pt;visibility:visible;mso-wrap-style:square;mso-left-percent:-10001;mso-top-percent:-10001;mso-position-horizontal:absolute;mso-position-horizontal-relative:char;mso-position-vertical:absolute;mso-position-vertical-relative:line;mso-left-percent:-10001;mso-top-percent:-10001;v-text-anchor:middle" coordsize="6093460,2609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" adj="-11796480,,5400" path="m150406,l6093460,r,2459444c6093460,2542511,6026121,2609850,5943054,2609850l,2609850,,150406c,67339,67339,,150406,xe" filled="f" stroked="f" strokeweight="2pt">
                <v:stroke joinstyle="miter"/>
                <v:formulas/>
                <v:path arrowok="t" o:connecttype="custom" o:connectlocs="150406,0;6093460,0;6093460,0;6093460,2482219;5943054,2634018;0,2634018;0,2634018;0,151799;150406,0" o:connectangles="0,0,0,0,0,0,0,0,0" textboxrect="0,0,6093460,2609850"/>
                <v:textbox>
                  <w:txbxContent>
                    <w:p w:rsidR="00B3609C" w:rsidRDefault="00882296">
                      <w:pPr>
                        <w:pStyle w:val="HHeading4"/>
                        <w:spacing w:before="0"/>
                        <w:jc w:val="both"/>
                        <w:rPr>
                          <w:rFonts w:cs="Arial"/>
                          <w:color w:val="373737"/>
                          <w:sz w:val="18"/>
                          <w:szCs w:val="18"/>
                          <w:lang w:val="de-DE"/>
                        </w:rPr>
                      </w:pPr>
                      <w:r>
                        <w:rPr>
                          <w:b w:val="0"/>
                          <w:noProof/>
                          <w:color w:val="373737"/>
                          <w:lang w:eastAsia="en-GB"/>
                        </w:rPr>
                        <w:drawing>
                          <wp:inline distT="0" distB="0" distL="0" distR="0" wp14:anchorId="1A7E125A" wp14:editId="7192D6DE">
                            <wp:extent cx="664845" cy="487680"/>
                            <wp:effectExtent l="0" t="0" r="0" b="7620"/>
                            <wp:docPr id="27"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Cs/>
                          <w:lang w:val="de-DE"/>
                        </w:rPr>
                        <w:t xml:space="preserve"> KURZANLEITUNG NR. 1:</w:t>
                      </w:r>
                      <w:r>
                        <w:rPr>
                          <w:b w:val="0"/>
                          <w:lang w:val="de-DE"/>
                        </w:rPr>
                        <w:t xml:space="preserve"> </w:t>
                      </w:r>
                      <w:r>
                        <w:rPr>
                          <w:bCs/>
                          <w:lang w:val="de-DE"/>
                        </w:rPr>
                        <w:t>Wie kann das Logikmodell genutzt werden, um verschiedene Optionen für den Entwurf des kontrafaktischen Szenarios zu ermitteln und um über den Bewertungsansatz zu entscheiden?</w:t>
                      </w:r>
                    </w:p>
                    <w:p w:rsidR="00B3609C" w:rsidRDefault="00882296">
                      <w:pPr>
                        <w:pStyle w:val="HStandard"/>
                        <w:spacing w:after="0"/>
                        <w:rPr>
                          <w:rFonts w:cs="Arial"/>
                          <w:sz w:val="18"/>
                          <w:lang w:val="de-DE"/>
                        </w:rPr>
                      </w:pPr>
                      <w:r>
                        <w:rPr>
                          <w:rFonts w:cs="Arial"/>
                          <w:sz w:val="18"/>
                          <w:lang w:val="de-DE"/>
                        </w:rPr>
                        <w:t xml:space="preserve">Die Schritte in der kontrafaktischen Stufe des Entscheidungsbaums dienen als Orientierungshilfe für die Beantwortung der folgenden Schlüsselfragen, die beim Entwurf des kontrafaktischen Szenarios zu beantworten sind: </w:t>
                      </w:r>
                    </w:p>
                    <w:p w:rsidR="00B3609C" w:rsidRDefault="00882296">
                      <w:pPr>
                        <w:pStyle w:val="Hlistbullet"/>
                        <w:rPr>
                          <w:sz w:val="18"/>
                          <w:lang w:val="de-DE"/>
                        </w:rPr>
                      </w:pPr>
                      <w:r>
                        <w:rPr>
                          <w:sz w:val="18"/>
                          <w:lang w:val="de-DE"/>
                        </w:rPr>
                        <w:t>Welche Optionen stehen für die Konstruktion eines kontrafaktischen Szenarios zur Verfügung?</w:t>
                      </w:r>
                    </w:p>
                    <w:p w:rsidR="00B3609C" w:rsidRDefault="00882296">
                      <w:pPr>
                        <w:pStyle w:val="Hlistbullet"/>
                        <w:rPr>
                          <w:sz w:val="18"/>
                          <w:lang w:val="de-DE"/>
                        </w:rPr>
                      </w:pPr>
                      <w:r>
                        <w:rPr>
                          <w:sz w:val="18"/>
                          <w:lang w:val="de-DE"/>
                        </w:rPr>
                        <w:t>Lassen die Umsetzung und Inanspruchnahme der Maßnahmen die Einrichtung einer Kontrollgruppe zu?</w:t>
                      </w:r>
                    </w:p>
                    <w:p w:rsidR="00B3609C" w:rsidRDefault="00882296">
                      <w:pPr>
                        <w:pStyle w:val="Hlistbullet"/>
                        <w:rPr>
                          <w:sz w:val="18"/>
                          <w:lang w:val="de-DE"/>
                        </w:rPr>
                      </w:pPr>
                      <w:r>
                        <w:rPr>
                          <w:sz w:val="18"/>
                          <w:lang w:val="de-DE"/>
                        </w:rPr>
                        <w:t>In welchem Umfang stehen Daten zu anderen Faktoren, die die ausgewählten Indikatoren beeinflussen, zur Verfügung?</w:t>
                      </w:r>
                    </w:p>
                    <w:p w:rsidR="00B3609C" w:rsidRDefault="00882296">
                      <w:pPr>
                        <w:pStyle w:val="Hlistbullet"/>
                        <w:rPr>
                          <w:sz w:val="18"/>
                          <w:lang w:val="de-DE"/>
                        </w:rPr>
                      </w:pPr>
                      <w:r>
                        <w:rPr>
                          <w:sz w:val="18"/>
                          <w:lang w:val="de-DE"/>
                        </w:rPr>
                        <w:t>Stehen für die ausgewählten Indikatoren Daten zu verschiedenen Zeitpunkten (vorher/nachher) für die Begünstigten und Nichtbegünstigten zur Verfügung?</w:t>
                      </w:r>
                    </w:p>
                    <w:p w:rsidR="00B3609C" w:rsidRDefault="00882296">
                      <w:pPr>
                        <w:pStyle w:val="Hlistbullet"/>
                        <w:rPr>
                          <w:sz w:val="18"/>
                          <w:lang w:val="de-DE"/>
                        </w:rPr>
                      </w:pPr>
                      <w:r>
                        <w:rPr>
                          <w:sz w:val="18"/>
                          <w:lang w:val="de-DE"/>
                        </w:rPr>
                        <w:t>Kann ich belastbare, auf Statistiken basierende Methoden nutzen, um die Nettoauswirkungen der bewerteten Maßnahmen kosteneffizient zu quantifizieren?</w:t>
                      </w:r>
                    </w:p>
                    <w:p w:rsidR="00B3609C" w:rsidRDefault="00B3609C">
                      <w:pPr>
                        <w:pStyle w:val="Hlistbullet"/>
                        <w:spacing w:before="0" w:after="0" w:line="280" w:lineRule="atLeast"/>
                        <w:jc w:val="right"/>
                        <w:rPr>
                          <w:i/>
                          <w:color w:val="F07E31" w:themeColor="accent1"/>
                          <w:sz w:val="18"/>
                          <w:lang w:val="de-DE"/>
                        </w:rPr>
                      </w:pPr>
                    </w:p>
                  </w:txbxContent>
                </v:textbox>
                <w10:anchorlock/>
              </v:shape>
            </w:pict>
          </mc:Fallback>
        </mc:AlternateContent>
      </w:r>
    </w:p>
    <w:p w:rsidR="00B3609C" w:rsidRDefault="00882296">
      <w:pPr>
        <w:pStyle w:val="HHeadingfigures"/>
        <w:tabs>
          <w:tab w:val="clear" w:pos="2666"/>
        </w:tabs>
        <w:rPr>
          <w:lang w:val="de-DE"/>
        </w:rPr>
      </w:pPr>
      <w:r>
        <w:rPr>
          <w:b w:val="0"/>
          <w:noProof/>
          <w:lang w:eastAsia="en-GB"/>
        </w:rPr>
        <mc:AlternateContent>
          <mc:Choice Requires="wps">
            <w:drawing>
              <wp:anchor distT="0" distB="0" distL="114300" distR="114300" simplePos="0" relativeHeight="251735552" behindDoc="0" locked="0" layoutInCell="1" allowOverlap="1" wp14:anchorId="5CC71C34" wp14:editId="5D91DF6A">
                <wp:simplePos x="0" y="0"/>
                <wp:positionH relativeFrom="margin">
                  <wp:posOffset>2333625</wp:posOffset>
                </wp:positionH>
                <wp:positionV relativeFrom="paragraph">
                  <wp:posOffset>218440</wp:posOffset>
                </wp:positionV>
                <wp:extent cx="3533775" cy="752475"/>
                <wp:effectExtent l="0" t="0" r="28575" b="28575"/>
                <wp:wrapNone/>
                <wp:docPr id="47" name="TextBox 100">
                  <a:extLst xmlns:a="http://schemas.openxmlformats.org/drawingml/2006/main">
                    <a:ext uri="{FF2B5EF4-FFF2-40B4-BE49-F238E27FC236}">
                      <a16:creationId xmlns:a16="http://schemas.microsoft.com/office/drawing/2014/main" id="{89C1602A-F83C-47BF-B06E-B30749FB2A31}"/>
                    </a:ext>
                  </a:extLst>
                </wp:docPr>
                <wp:cNvGraphicFramePr/>
                <a:graphic xmlns:a="http://schemas.openxmlformats.org/drawingml/2006/main">
                  <a:graphicData uri="http://schemas.microsoft.com/office/word/2010/wordprocessingShape">
                    <wps:wsp>
                      <wps:cNvSpPr txBox="1"/>
                      <wps:spPr>
                        <a:xfrm>
                          <a:off x="0" y="0"/>
                          <a:ext cx="3533775" cy="752475"/>
                        </a:xfrm>
                        <a:prstGeom prst="rect">
                          <a:avLst/>
                        </a:prstGeom>
                        <a:noFill/>
                        <a:ln w="19050" cap="flat" cmpd="sng" algn="ctr">
                          <a:solidFill>
                            <a:srgbClr val="6F6F6F"/>
                          </a:solidFill>
                          <a:prstDash val="solid"/>
                          <a:miter lim="800000"/>
                        </a:ln>
                        <a:effectLst/>
                      </wps:spPr>
                      <wps:txbx>
                        <w:txbxContent>
                          <w:p w:rsidR="00B3609C" w:rsidRDefault="00882296">
                            <w:pPr>
                              <w:pStyle w:val="NormalWeb"/>
                              <w:spacing w:before="0" w:beforeAutospacing="0" w:after="0" w:afterAutospacing="0"/>
                              <w:rPr>
                                <w:sz w:val="14"/>
                                <w:szCs w:val="14"/>
                              </w:rPr>
                            </w:pPr>
                            <w:r>
                              <w:rPr>
                                <w:rFonts w:ascii="Arial" w:hAnsi="Arial" w:cs="Arial"/>
                                <w:color w:val="6F6F6F"/>
                                <w:kern w:val="24"/>
                                <w:sz w:val="14"/>
                                <w:szCs w:val="14"/>
                                <w:lang w:val="de-DE"/>
                              </w:rPr>
                              <w:t xml:space="preserve">* </w:t>
                            </w:r>
                            <w:proofErr w:type="gramStart"/>
                            <w:r>
                              <w:rPr>
                                <w:rFonts w:ascii="Arial" w:hAnsi="Arial" w:cs="Arial"/>
                                <w:color w:val="6F6F6F"/>
                                <w:kern w:val="24"/>
                                <w:sz w:val="14"/>
                                <w:szCs w:val="14"/>
                                <w:lang w:val="de-DE"/>
                              </w:rPr>
                              <w:t>Geht</w:t>
                            </w:r>
                            <w:proofErr w:type="gramEnd"/>
                            <w:r>
                              <w:rPr>
                                <w:rFonts w:ascii="Arial" w:hAnsi="Arial" w:cs="Arial"/>
                                <w:color w:val="6F6F6F"/>
                                <w:kern w:val="24"/>
                                <w:sz w:val="14"/>
                                <w:szCs w:val="14"/>
                                <w:lang w:val="de-DE"/>
                              </w:rPr>
                              <w:t xml:space="preserve"> davon aus, dass der verwendete Indikator auf die Analyseeinheit (z. B. landwirtschaftlicher Betrieb oder Region) abgestimmt wurde.</w:t>
                            </w:r>
                          </w:p>
                          <w:p w:rsidR="00B3609C" w:rsidRDefault="00882296">
                            <w:pPr>
                              <w:pStyle w:val="NormalWeb"/>
                              <w:spacing w:before="0" w:beforeAutospacing="0" w:after="0" w:afterAutospacing="0"/>
                              <w:rPr>
                                <w:sz w:val="14"/>
                                <w:szCs w:val="14"/>
                              </w:rPr>
                            </w:pPr>
                            <w:r>
                              <w:rPr>
                                <w:rFonts w:ascii="Arial" w:hAnsi="Arial" w:cs="Arial"/>
                                <w:color w:val="6F6F6F"/>
                                <w:kern w:val="24"/>
                                <w:sz w:val="14"/>
                                <w:szCs w:val="14"/>
                                <w:lang w:val="de-DE"/>
                              </w:rPr>
                              <w:t xml:space="preserve">** </w:t>
                            </w:r>
                            <w:proofErr w:type="gramStart"/>
                            <w:r>
                              <w:rPr>
                                <w:rFonts w:ascii="Arial" w:hAnsi="Arial" w:cs="Arial"/>
                                <w:color w:val="6F6F6F"/>
                                <w:kern w:val="24"/>
                                <w:sz w:val="14"/>
                                <w:szCs w:val="14"/>
                                <w:lang w:val="de-DE"/>
                              </w:rPr>
                              <w:t>Erfordert</w:t>
                            </w:r>
                            <w:proofErr w:type="gramEnd"/>
                            <w:r>
                              <w:rPr>
                                <w:rFonts w:ascii="Arial" w:hAnsi="Arial" w:cs="Arial"/>
                                <w:color w:val="6F6F6F"/>
                                <w:kern w:val="24"/>
                                <w:sz w:val="14"/>
                                <w:szCs w:val="14"/>
                                <w:lang w:val="de-DE"/>
                              </w:rPr>
                              <w:t xml:space="preserve"> eine gemeinsame Grundlage verglichener landwirtschaftlicher Betriebe oder Regionen und statistisch repräsentative Proben für jede Vergleichsgruppe.</w:t>
                            </w:r>
                          </w:p>
                          <w:p w:rsidR="00B3609C" w:rsidRDefault="00882296">
                            <w:pPr>
                              <w:pStyle w:val="NormalWeb"/>
                              <w:spacing w:before="0" w:beforeAutospacing="0" w:after="0" w:afterAutospacing="0"/>
                              <w:rPr>
                                <w:sz w:val="14"/>
                                <w:szCs w:val="14"/>
                              </w:rPr>
                            </w:pPr>
                            <w:r>
                              <w:rPr>
                                <w:rFonts w:ascii="Arial" w:hAnsi="Arial" w:cs="Arial"/>
                                <w:color w:val="6F6F6F"/>
                                <w:kern w:val="24"/>
                                <w:sz w:val="14"/>
                                <w:szCs w:val="14"/>
                                <w:lang w:val="de-DE"/>
                              </w:rPr>
                              <w:t xml:space="preserve">*** Zu Faktoren, die bestimmen, welche Anzahl von Vergleichsgruppen am sinnvollsten ist, siehe ENVIEVAL (2015): </w:t>
                            </w:r>
                            <w:hyperlink r:id="rId42" w:history="1">
                              <w:proofErr w:type="spellStart"/>
                              <w:r>
                                <w:rPr>
                                  <w:rStyle w:val="Hyperlink"/>
                                  <w:sz w:val="14"/>
                                  <w:szCs w:val="14"/>
                                  <w:lang w:val="de-DE"/>
                                </w:rPr>
                                <w:t>Methodological</w:t>
                              </w:r>
                              <w:proofErr w:type="spellEnd"/>
                              <w:r>
                                <w:rPr>
                                  <w:rStyle w:val="Hyperlink"/>
                                  <w:sz w:val="14"/>
                                  <w:szCs w:val="14"/>
                                  <w:lang w:val="de-DE"/>
                                </w:rPr>
                                <w:t xml:space="preserve"> Handbook</w:t>
                              </w:r>
                            </w:hyperlink>
                            <w:r>
                              <w:rPr>
                                <w:rFonts w:ascii="Arial" w:hAnsi="Arial" w:cs="Arial"/>
                                <w:color w:val="F07E31"/>
                                <w:kern w:val="24"/>
                                <w:sz w:val="14"/>
                                <w:szCs w:val="14"/>
                                <w:lang w:val="de-DE"/>
                              </w:rPr>
                              <w:t xml:space="preserve">, </w:t>
                            </w:r>
                            <w:r>
                              <w:rPr>
                                <w:rFonts w:ascii="Arial" w:hAnsi="Arial" w:cs="Arial"/>
                                <w:color w:val="6F6F6F"/>
                                <w:kern w:val="24"/>
                                <w:sz w:val="14"/>
                                <w:szCs w:val="14"/>
                                <w:lang w:val="de-DE"/>
                              </w:rPr>
                              <w:t>S. 24/25.</w:t>
                            </w:r>
                            <w:r>
                              <w:rPr>
                                <w:rFonts w:ascii="Arial" w:hAnsi="Arial" w:cs="Arial"/>
                                <w:color w:val="373737" w:themeColor="text1"/>
                                <w:kern w:val="24"/>
                                <w:sz w:val="14"/>
                                <w:szCs w:val="14"/>
                                <w:lang w:val="de-DE"/>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CC71C34" id="TextBox 100" o:spid="_x0000_s1035" type="#_x0000_t202" style="position:absolute;left:0;text-align:left;margin-left:183.75pt;margin-top:17.2pt;width:278.25pt;height:59.25pt;z-index:25173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" filled="f" strokecolor="#6f6f6f" strokeweight="1.5pt">
                <v:textbox>
                  <w:txbxContent>
                    <w:p w:rsidR="00B3609C" w:rsidRDefault="00882296">
                      <w:pPr>
                        <w:pStyle w:val="NormalWeb"/>
                        <w:spacing w:before="0" w:beforeAutospacing="0" w:after="0" w:afterAutospacing="0"/>
                        <w:rPr>
                          <w:sz w:val="14"/>
                          <w:szCs w:val="14"/>
                        </w:rPr>
                      </w:pPr>
                      <w:r>
                        <w:rPr>
                          <w:rFonts w:ascii="Arial" w:hAnsi="Arial" w:cs="Arial"/>
                          <w:color w:val="6F6F6F"/>
                          <w:kern w:val="24"/>
                          <w:sz w:val="14"/>
                          <w:szCs w:val="14"/>
                          <w:lang w:val="de-DE"/>
                        </w:rPr>
                        <w:t>* Geht davon aus, dass der verwendete Indikator auf die Analyseeinheit (z. B. landwirtschaftlicher Betrieb oder Region) abgestimmt wurde.</w:t>
                      </w:r>
                    </w:p>
                    <w:p w:rsidR="00B3609C" w:rsidRDefault="00882296">
                      <w:pPr>
                        <w:pStyle w:val="NormalWeb"/>
                        <w:spacing w:before="0" w:beforeAutospacing="0" w:after="0" w:afterAutospacing="0"/>
                        <w:rPr>
                          <w:sz w:val="14"/>
                          <w:szCs w:val="14"/>
                        </w:rPr>
                      </w:pPr>
                      <w:r>
                        <w:rPr>
                          <w:rFonts w:ascii="Arial" w:hAnsi="Arial" w:cs="Arial"/>
                          <w:color w:val="6F6F6F"/>
                          <w:kern w:val="24"/>
                          <w:sz w:val="14"/>
                          <w:szCs w:val="14"/>
                          <w:lang w:val="de-DE"/>
                        </w:rPr>
                        <w:t>** Erfordert eine gemeinsame Grundlage verglichener landwirtschaftlicher Betriebe oder Regionen und statistisch repräsentative Proben für jede Vergleichsgruppe.</w:t>
                      </w:r>
                    </w:p>
                    <w:p w:rsidR="00B3609C" w:rsidRDefault="00882296">
                      <w:pPr>
                        <w:pStyle w:val="NormalWeb"/>
                        <w:spacing w:before="0" w:beforeAutospacing="0" w:after="0" w:afterAutospacing="0"/>
                        <w:rPr>
                          <w:sz w:val="14"/>
                          <w:szCs w:val="14"/>
                        </w:rPr>
                      </w:pPr>
                      <w:r>
                        <w:rPr>
                          <w:rFonts w:ascii="Arial" w:hAnsi="Arial" w:cs="Arial"/>
                          <w:color w:val="6F6F6F"/>
                          <w:kern w:val="24"/>
                          <w:sz w:val="14"/>
                          <w:szCs w:val="14"/>
                          <w:lang w:val="de-DE"/>
                        </w:rPr>
                        <w:t xml:space="preserve">*** Zu Faktoren, die bestimmen, welche Anzahl von Vergleichsgruppen am sinnvollsten ist, siehe ENVIEVAL (2015): </w:t>
                      </w:r>
                      <w:hyperlink r:id="rId43" w:history="1">
                        <w:r>
                          <w:rPr>
                            <w:rStyle w:val="Hyperlink"/>
                            <w:sz w:val="14"/>
                            <w:szCs w:val="14"/>
                            <w:lang w:val="de-DE"/>
                          </w:rPr>
                          <w:t>Methodological Handbook</w:t>
                        </w:r>
                      </w:hyperlink>
                      <w:r>
                        <w:rPr>
                          <w:rFonts w:ascii="Arial" w:hAnsi="Arial" w:cs="Arial"/>
                          <w:color w:val="F07E31"/>
                          <w:kern w:val="24"/>
                          <w:sz w:val="14"/>
                          <w:szCs w:val="14"/>
                          <w:lang w:val="de-DE"/>
                        </w:rPr>
                        <w:t xml:space="preserve">, </w:t>
                      </w:r>
                      <w:r>
                        <w:rPr>
                          <w:rFonts w:ascii="Arial" w:hAnsi="Arial" w:cs="Arial"/>
                          <w:color w:val="6F6F6F"/>
                          <w:kern w:val="24"/>
                          <w:sz w:val="14"/>
                          <w:szCs w:val="14"/>
                          <w:lang w:val="de-DE"/>
                        </w:rPr>
                        <w:t>S. 24/25.</w:t>
                      </w:r>
                      <w:r>
                        <w:rPr>
                          <w:rFonts w:ascii="Arial" w:hAnsi="Arial" w:cs="Arial"/>
                          <w:color w:val="373737" w:themeColor="text1"/>
                          <w:kern w:val="24"/>
                          <w:sz w:val="14"/>
                          <w:szCs w:val="14"/>
                          <w:lang w:val="de-DE"/>
                        </w:rPr>
                        <w:t xml:space="preserve">  </w:t>
                      </w:r>
                    </w:p>
                  </w:txbxContent>
                </v:textbox>
                <w10:wrap anchorx="margin"/>
              </v:shape>
            </w:pict>
          </mc:Fallback>
        </mc:AlternateContent>
      </w:r>
      <w:r>
        <w:rPr>
          <w:bCs/>
          <w:lang w:val="de-DE"/>
        </w:rPr>
        <w:t>Logikmodell für die Ermittlung von Optionen zur Entwicklung des kontrafaktischen Szenarios</w:t>
      </w:r>
    </w:p>
    <w:p w:rsidR="00B3609C" w:rsidRDefault="00882296">
      <w:pPr>
        <w:pStyle w:val="HStandard"/>
        <w:rPr>
          <w:lang w:val="de-DE"/>
        </w:rPr>
      </w:pPr>
      <w:r>
        <w:rPr>
          <w:noProof/>
          <w:color w:val="auto"/>
          <w:sz w:val="18"/>
          <w:szCs w:val="24"/>
          <w:lang w:val="de-DE"/>
        </w:rPr>
        <w:t xml:space="preserve"> </w:t>
      </w:r>
      <w:r>
        <w:rPr>
          <w:noProof/>
          <w:color w:val="auto"/>
          <w:sz w:val="18"/>
          <w:szCs w:val="24"/>
          <w:lang w:eastAsia="en-GB"/>
        </w:rPr>
        <w:drawing>
          <wp:inline distT="0" distB="0" distL="0" distR="0" wp14:anchorId="4034CE42" wp14:editId="44D99145">
            <wp:extent cx="5540991" cy="4030202"/>
            <wp:effectExtent l="0" t="0" r="3175" b="8890"/>
            <wp:docPr id="746" name="Grafik 746" descr="D:\userdata\pixx\Bil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data\pixx\Bild4.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40459" cy="4029815"/>
                    </a:xfrm>
                    <a:prstGeom prst="rect">
                      <a:avLst/>
                    </a:prstGeom>
                    <a:noFill/>
                    <a:ln>
                      <a:noFill/>
                    </a:ln>
                  </pic:spPr>
                </pic:pic>
              </a:graphicData>
            </a:graphic>
          </wp:inline>
        </w:drawing>
      </w:r>
    </w:p>
    <w:p w:rsidR="00B3609C" w:rsidRDefault="00882296">
      <w:pPr>
        <w:pStyle w:val="HSource"/>
        <w:rPr>
          <w:lang w:val="de-DE"/>
        </w:rPr>
      </w:pPr>
      <w:r>
        <w:rPr>
          <w:iCs/>
          <w:lang w:val="de-DE"/>
        </w:rPr>
        <w:t>Quelle: nach ENVIEVAL (2015).</w:t>
      </w:r>
    </w:p>
    <w:p w:rsidR="00B3609C" w:rsidRDefault="00882296">
      <w:pPr>
        <w:pStyle w:val="Hlistbullet"/>
        <w:spacing w:before="0" w:after="0" w:line="280" w:lineRule="atLeast"/>
        <w:rPr>
          <w:rFonts w:cs="Arial"/>
          <w:sz w:val="18"/>
          <w:lang w:val="de-DE"/>
        </w:rPr>
      </w:pPr>
      <w:r>
        <w:rPr>
          <w:rFonts w:cs="Arial"/>
          <w:sz w:val="18"/>
          <w:lang w:val="de-DE"/>
        </w:rPr>
        <w:t xml:space="preserve">Das Logikmodell beginnt mit der Beschreibung der Inanspruchnahme des Programms zur Entwicklung des ländlichen Raums und der Datensituation im Hinblick auf die verfügbaren CMES-Wirkungsindikatoren (und Ergebnisindikatoren), jedoch auch im Hinblick auf die zusätzlichen Indikatoren, falls solche ausgewählt wurden (dunkelgrau hinterlegte Kästchen). Eine Reihe von Entscheidungsfragen (rote Kästchen) führen zu den möglichen Optionen für den Entwurf des kontrafaktischen Szenarios (rot hinterlegte Kästchen). </w:t>
      </w:r>
    </w:p>
    <w:p w:rsidR="00B3609C" w:rsidRDefault="00882296">
      <w:pPr>
        <w:pStyle w:val="Hlistbullet"/>
        <w:spacing w:before="0" w:after="0" w:line="280" w:lineRule="atLeast"/>
        <w:jc w:val="center"/>
        <w:rPr>
          <w:i/>
          <w:color w:val="F07E31" w:themeColor="accent1"/>
          <w:sz w:val="18"/>
          <w:lang w:val="de-DE"/>
        </w:rPr>
      </w:pPr>
      <w:r>
        <w:rPr>
          <w:i/>
          <w:iCs/>
          <w:color w:val="F07E31" w:themeColor="accent1"/>
          <w:sz w:val="18"/>
          <w:lang w:val="de-DE"/>
        </w:rPr>
        <w:t xml:space="preserve">Weitere Informationen zur Nutzung der Logikmodelle siehe </w:t>
      </w:r>
      <w:hyperlink r:id="rId45" w:history="1">
        <w:r>
          <w:rPr>
            <w:rStyle w:val="Hyperlink"/>
            <w:i/>
            <w:iCs/>
            <w:sz w:val="18"/>
            <w:lang w:val="de-DE"/>
          </w:rPr>
          <w:t>Forschungsprojekt ENVIEVAL des RP 7</w:t>
        </w:r>
      </w:hyperlink>
      <w:r>
        <w:rPr>
          <w:rStyle w:val="Hyperlink"/>
          <w:i/>
          <w:iCs/>
          <w:sz w:val="18"/>
          <w:lang w:val="de-DE"/>
        </w:rPr>
        <w:t xml:space="preserve"> und dessen</w:t>
      </w:r>
      <w:r>
        <w:rPr>
          <w:i/>
          <w:iCs/>
          <w:color w:val="F07E31" w:themeColor="accent1"/>
          <w:sz w:val="18"/>
          <w:u w:val="single"/>
          <w:lang w:val="de-DE"/>
        </w:rPr>
        <w:t xml:space="preserve"> </w:t>
      </w:r>
      <w:hyperlink r:id="rId46" w:history="1">
        <w:r>
          <w:rPr>
            <w:rStyle w:val="Hyperlink"/>
            <w:i/>
            <w:iCs/>
            <w:sz w:val="18"/>
            <w:lang w:val="de-DE"/>
          </w:rPr>
          <w:t>„</w:t>
        </w:r>
        <w:proofErr w:type="spellStart"/>
        <w:r>
          <w:rPr>
            <w:rStyle w:val="Hyperlink"/>
            <w:i/>
            <w:iCs/>
            <w:sz w:val="18"/>
            <w:lang w:val="de-DE"/>
          </w:rPr>
          <w:t>Methodological</w:t>
        </w:r>
        <w:proofErr w:type="spellEnd"/>
        <w:r>
          <w:rPr>
            <w:rStyle w:val="Hyperlink"/>
            <w:i/>
            <w:iCs/>
            <w:sz w:val="18"/>
            <w:lang w:val="de-DE"/>
          </w:rPr>
          <w:t xml:space="preserve"> Handbook </w:t>
        </w:r>
        <w:proofErr w:type="spellStart"/>
        <w:r>
          <w:rPr>
            <w:rStyle w:val="Hyperlink"/>
            <w:i/>
            <w:iCs/>
            <w:sz w:val="18"/>
            <w:lang w:val="de-DE"/>
          </w:rPr>
          <w:t>for</w:t>
        </w:r>
        <w:proofErr w:type="spellEnd"/>
        <w:r>
          <w:rPr>
            <w:rStyle w:val="Hyperlink"/>
            <w:i/>
            <w:iCs/>
            <w:sz w:val="18"/>
            <w:lang w:val="de-DE"/>
          </w:rPr>
          <w:t xml:space="preserve"> </w:t>
        </w:r>
        <w:proofErr w:type="spellStart"/>
        <w:r>
          <w:rPr>
            <w:rStyle w:val="Hyperlink"/>
            <w:i/>
            <w:iCs/>
            <w:sz w:val="18"/>
            <w:lang w:val="de-DE"/>
          </w:rPr>
          <w:t>the</w:t>
        </w:r>
        <w:proofErr w:type="spellEnd"/>
        <w:r>
          <w:rPr>
            <w:rStyle w:val="Hyperlink"/>
            <w:i/>
            <w:iCs/>
            <w:sz w:val="18"/>
            <w:lang w:val="de-DE"/>
          </w:rPr>
          <w:t xml:space="preserve"> </w:t>
        </w:r>
        <w:proofErr w:type="spellStart"/>
        <w:r>
          <w:rPr>
            <w:rStyle w:val="Hyperlink"/>
            <w:i/>
            <w:iCs/>
            <w:sz w:val="18"/>
            <w:lang w:val="de-DE"/>
          </w:rPr>
          <w:t>evaluation</w:t>
        </w:r>
        <w:proofErr w:type="spellEnd"/>
        <w:r>
          <w:rPr>
            <w:rStyle w:val="Hyperlink"/>
            <w:i/>
            <w:iCs/>
            <w:sz w:val="18"/>
            <w:lang w:val="de-DE"/>
          </w:rPr>
          <w:t xml:space="preserve"> </w:t>
        </w:r>
        <w:proofErr w:type="spellStart"/>
        <w:r>
          <w:rPr>
            <w:rStyle w:val="Hyperlink"/>
            <w:i/>
            <w:iCs/>
            <w:sz w:val="18"/>
            <w:lang w:val="de-DE"/>
          </w:rPr>
          <w:t>of</w:t>
        </w:r>
        <w:proofErr w:type="spellEnd"/>
        <w:r>
          <w:rPr>
            <w:rStyle w:val="Hyperlink"/>
            <w:i/>
            <w:iCs/>
            <w:sz w:val="18"/>
            <w:lang w:val="de-DE"/>
          </w:rPr>
          <w:t xml:space="preserve"> environmental </w:t>
        </w:r>
        <w:proofErr w:type="spellStart"/>
        <w:r>
          <w:rPr>
            <w:rStyle w:val="Hyperlink"/>
            <w:i/>
            <w:iCs/>
            <w:sz w:val="18"/>
            <w:lang w:val="de-DE"/>
          </w:rPr>
          <w:t>impacts</w:t>
        </w:r>
        <w:proofErr w:type="spellEnd"/>
        <w:r>
          <w:rPr>
            <w:rStyle w:val="Hyperlink"/>
            <w:i/>
            <w:iCs/>
            <w:sz w:val="18"/>
            <w:lang w:val="de-DE"/>
          </w:rPr>
          <w:t xml:space="preserve"> </w:t>
        </w:r>
        <w:proofErr w:type="spellStart"/>
        <w:r>
          <w:rPr>
            <w:rStyle w:val="Hyperlink"/>
            <w:i/>
            <w:iCs/>
            <w:sz w:val="18"/>
            <w:lang w:val="de-DE"/>
          </w:rPr>
          <w:t>of</w:t>
        </w:r>
        <w:proofErr w:type="spellEnd"/>
        <w:r>
          <w:rPr>
            <w:rStyle w:val="Hyperlink"/>
            <w:i/>
            <w:iCs/>
            <w:sz w:val="18"/>
            <w:lang w:val="de-DE"/>
          </w:rPr>
          <w:t xml:space="preserve"> RDPs“</w:t>
        </w:r>
        <w:r>
          <w:rPr>
            <w:rStyle w:val="Hyperlink"/>
            <w:i/>
            <w:iCs/>
            <w:sz w:val="18"/>
            <w:u w:val="none"/>
            <w:lang w:val="de-DE"/>
          </w:rPr>
          <w:t>.</w:t>
        </w:r>
      </w:hyperlink>
    </w:p>
    <w:p w:rsidR="00B3609C" w:rsidRDefault="00B3609C">
      <w:pPr>
        <w:pStyle w:val="HStandard"/>
        <w:rPr>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B3609C">
        <w:tc>
          <w:tcPr>
            <w:tcW w:w="9026" w:type="dxa"/>
            <w:shd w:val="clear" w:color="auto" w:fill="auto"/>
          </w:tcPr>
          <w:p w:rsidR="00B3609C" w:rsidRDefault="00882296">
            <w:pPr>
              <w:pStyle w:val="Hlistbullet"/>
              <w:spacing w:before="0" w:after="0" w:line="280" w:lineRule="atLeast"/>
              <w:rPr>
                <w:sz w:val="18"/>
                <w:szCs w:val="18"/>
                <w:lang w:val="de-DE"/>
              </w:rPr>
            </w:pPr>
            <w:r>
              <w:rPr>
                <w:lang w:val="de-DE"/>
              </w:rPr>
              <w:lastRenderedPageBreak/>
              <w:br w:type="column"/>
            </w:r>
            <w:r>
              <w:rPr>
                <w:b/>
                <w:bCs/>
                <w:i/>
                <w:iCs/>
                <w:noProof/>
                <w:color w:val="F07E31" w:themeColor="accent1"/>
                <w:lang w:eastAsia="en-GB"/>
              </w:rPr>
              <mc:AlternateContent>
                <mc:Choice Requires="wps">
                  <w:drawing>
                    <wp:inline distT="0" distB="0" distL="0" distR="0" wp14:anchorId="10C25CED" wp14:editId="0B73B8B5">
                      <wp:extent cx="5567045" cy="9013910"/>
                      <wp:effectExtent l="0" t="0" r="14605" b="15875"/>
                      <wp:docPr id="3"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7045" cy="9013910"/>
                              </a:xfrm>
                              <a:custGeom>
                                <a:avLst/>
                                <a:gdLst>
                                  <a:gd name="T0" fmla="*/ 276626 w 5567045"/>
                                  <a:gd name="T1" fmla="*/ 0 h 8401050"/>
                                  <a:gd name="T2" fmla="*/ 5567045 w 5567045"/>
                                  <a:gd name="T3" fmla="*/ 0 h 8401050"/>
                                  <a:gd name="T4" fmla="*/ 5567045 w 5567045"/>
                                  <a:gd name="T5" fmla="*/ 0 h 8401050"/>
                                  <a:gd name="T6" fmla="*/ 5567045 w 5567045"/>
                                  <a:gd name="T7" fmla="*/ 8124424 h 8401050"/>
                                  <a:gd name="T8" fmla="*/ 5290419 w 5567045"/>
                                  <a:gd name="T9" fmla="*/ 8401050 h 8401050"/>
                                  <a:gd name="T10" fmla="*/ 0 w 5567045"/>
                                  <a:gd name="T11" fmla="*/ 8401050 h 8401050"/>
                                  <a:gd name="T12" fmla="*/ 0 w 5567045"/>
                                  <a:gd name="T13" fmla="*/ 8401050 h 8401050"/>
                                  <a:gd name="T14" fmla="*/ 0 w 5567045"/>
                                  <a:gd name="T15" fmla="*/ 276626 h 8401050"/>
                                  <a:gd name="T16" fmla="*/ 276626 w 5567045"/>
                                  <a:gd name="T17" fmla="*/ 0 h 84010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567045"/>
                                  <a:gd name="T28" fmla="*/ 0 h 8401050"/>
                                  <a:gd name="T29" fmla="*/ 5567045 w 5567045"/>
                                  <a:gd name="T30" fmla="*/ 8401050 h 84010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567045" h="8401050">
                                    <a:moveTo>
                                      <a:pt x="276626" y="0"/>
                                    </a:moveTo>
                                    <a:lnTo>
                                      <a:pt x="5567045" y="0"/>
                                    </a:lnTo>
                                    <a:lnTo>
                                      <a:pt x="5567045" y="8124424"/>
                                    </a:lnTo>
                                    <a:cubicBezTo>
                                      <a:pt x="5567045" y="8277200"/>
                                      <a:pt x="5443195" y="8401050"/>
                                      <a:pt x="5290419" y="8401050"/>
                                    </a:cubicBezTo>
                                    <a:lnTo>
                                      <a:pt x="0" y="8401050"/>
                                    </a:lnTo>
                                    <a:lnTo>
                                      <a:pt x="0" y="276626"/>
                                    </a:lnTo>
                                    <a:cubicBezTo>
                                      <a:pt x="0" y="123850"/>
                                      <a:pt x="123850" y="0"/>
                                      <a:pt x="276626"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B3609C" w:rsidRDefault="00882296">
                                  <w:pPr>
                                    <w:pStyle w:val="HHeading4"/>
                                    <w:rPr>
                                      <w:lang w:val="de-DE"/>
                                    </w:rPr>
                                  </w:pPr>
                                  <w:r>
                                    <w:rPr>
                                      <w:b w:val="0"/>
                                      <w:noProof/>
                                      <w:color w:val="373737"/>
                                      <w:lang w:eastAsia="en-GB"/>
                                    </w:rPr>
                                    <w:drawing>
                                      <wp:inline distT="0" distB="0" distL="0" distR="0" wp14:anchorId="5538EAFE" wp14:editId="039BF5DB">
                                        <wp:extent cx="664845" cy="487680"/>
                                        <wp:effectExtent l="0" t="0" r="0" b="7620"/>
                                        <wp:docPr id="89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Cs/>
                                      <w:lang w:val="de-DE"/>
                                    </w:rPr>
                                    <w:t xml:space="preserve"> KURZANLEITUNG NR. 2:</w:t>
                                  </w:r>
                                  <w:r>
                                    <w:rPr>
                                      <w:b w:val="0"/>
                                      <w:lang w:val="de-DE"/>
                                    </w:rPr>
                                    <w:t xml:space="preserve"> </w:t>
                                  </w:r>
                                  <w:r>
                                    <w:rPr>
                                      <w:bCs/>
                                      <w:lang w:val="de-DE"/>
                                    </w:rPr>
                                    <w:t>Erstellung einer Kontrollgruppe auf der Mikroebene (mit Bezug zur 2. Stufe)</w:t>
                                  </w:r>
                                </w:p>
                                <w:p w:rsidR="00B3609C" w:rsidRDefault="00882296">
                                  <w:pPr>
                                    <w:pStyle w:val="HStandard"/>
                                    <w:spacing w:after="0"/>
                                    <w:rPr>
                                      <w:rFonts w:cs="Arial"/>
                                      <w:color w:val="373737"/>
                                      <w:sz w:val="18"/>
                                      <w:szCs w:val="18"/>
                                      <w:lang w:val="de-DE"/>
                                    </w:rPr>
                                  </w:pPr>
                                  <w:r>
                                    <w:rPr>
                                      <w:rFonts w:cs="Arial"/>
                                      <w:color w:val="373737"/>
                                      <w:sz w:val="18"/>
                                      <w:szCs w:val="18"/>
                                      <w:lang w:val="de-DE"/>
                                    </w:rPr>
                                    <w:t>Die kontrafaktische Analyse auf der Mikroebene sollte auf Vergleichen zwischen Kontrollgruppen aus Begünstigten und Nichtbegünstigte basieren. Diese Kontrollgruppen sollten (in beobachtbarer und nichtbeobachtbarer Hinsicht) so ähnlich wie möglich sein. Wenn die beiden Gruppen statistisch ausreichend ähnlich sind (d. h. ähnliche Merkmale aufweisen), kann davon ausgegangen werden, dass sämtliche Unterschiede bei den Ergebnissen auf das Programm zurückgeführt werden können. Die kontrafaktische Analyse ermöglicht die Feststellung einer Kausalität, indem sie beobachtete Veränderungen der Ergebnisse auf das Programm zurückführt und verzerrende Faktoren entfernt.</w:t>
                                  </w:r>
                                </w:p>
                                <w:p w:rsidR="00B3609C" w:rsidRDefault="00B3609C">
                                  <w:pPr>
                                    <w:pStyle w:val="HStandard"/>
                                    <w:spacing w:after="0"/>
                                    <w:rPr>
                                      <w:rFonts w:cs="Arial"/>
                                      <w:color w:val="373737"/>
                                      <w:sz w:val="18"/>
                                      <w:szCs w:val="18"/>
                                      <w:lang w:val="de-DE"/>
                                    </w:rPr>
                                  </w:pPr>
                                </w:p>
                                <w:p w:rsidR="00B3609C" w:rsidRDefault="00882296">
                                  <w:pPr>
                                    <w:pStyle w:val="HStandard"/>
                                    <w:spacing w:after="0"/>
                                    <w:rPr>
                                      <w:rFonts w:cs="Arial"/>
                                      <w:color w:val="373737"/>
                                      <w:sz w:val="18"/>
                                      <w:szCs w:val="18"/>
                                      <w:lang w:val="de-DE"/>
                                    </w:rPr>
                                  </w:pPr>
                                  <w:r>
                                    <w:rPr>
                                      <w:rFonts w:cs="Arial"/>
                                      <w:color w:val="373737"/>
                                      <w:sz w:val="18"/>
                                      <w:szCs w:val="18"/>
                                      <w:lang w:val="de-DE"/>
                                    </w:rPr>
                                    <w:t xml:space="preserve">Die Erstellung einer geeigneten Kontrollgruppe kann aufgrund der thematischen Einschränkungen des Programms und der strengen Programmvorgaben für die Förderfähigkeit eine Herausforderung sein. Die Programmbegünstigten der Bewertung, die im Rahmen des Programms unterstützt wurden, können sich erheblich von den Nichtbegünstigten unterscheiden, und zwar sowohl im Hinblick auf ihre strukturellen Merkmale als auch im Hinblick auf die wirtschaftliche, umweltbezogene und sozioökonomische Leistung. </w:t>
                                  </w:r>
                                </w:p>
                                <w:p w:rsidR="00B3609C" w:rsidRDefault="00B3609C">
                                  <w:pPr>
                                    <w:pStyle w:val="HStandard"/>
                                    <w:spacing w:after="0"/>
                                    <w:rPr>
                                      <w:rFonts w:cs="Arial"/>
                                      <w:color w:val="373737"/>
                                      <w:sz w:val="18"/>
                                      <w:szCs w:val="18"/>
                                      <w:lang w:val="de-DE"/>
                                    </w:rPr>
                                  </w:pPr>
                                </w:p>
                                <w:p w:rsidR="00B3609C" w:rsidRDefault="00882296">
                                  <w:pPr>
                                    <w:pStyle w:val="HStandard"/>
                                    <w:spacing w:after="0"/>
                                    <w:rPr>
                                      <w:rFonts w:cs="Arial"/>
                                      <w:color w:val="373737"/>
                                      <w:sz w:val="18"/>
                                      <w:szCs w:val="18"/>
                                      <w:lang w:val="de-DE"/>
                                    </w:rPr>
                                  </w:pPr>
                                  <w:r>
                                    <w:rPr>
                                      <w:rFonts w:cs="Arial"/>
                                      <w:color w:val="373737"/>
                                      <w:sz w:val="18"/>
                                      <w:szCs w:val="18"/>
                                      <w:lang w:val="de-DE"/>
                                    </w:rPr>
                                    <w:t>Bei der Erstellung einer Kontrollgruppe ist Folgendes zu beachten:</w:t>
                                  </w:r>
                                </w:p>
                                <w:p w:rsidR="00B3609C" w:rsidRDefault="00882296">
                                  <w:pPr>
                                    <w:pStyle w:val="Hlistbullet"/>
                                    <w:numPr>
                                      <w:ilvl w:val="0"/>
                                      <w:numId w:val="3"/>
                                    </w:numPr>
                                    <w:spacing w:line="276" w:lineRule="auto"/>
                                    <w:ind w:left="600" w:hanging="600"/>
                                    <w:rPr>
                                      <w:color w:val="373737"/>
                                      <w:sz w:val="18"/>
                                      <w:szCs w:val="18"/>
                                      <w:lang w:val="de-DE"/>
                                    </w:rPr>
                                  </w:pPr>
                                  <w:r>
                                    <w:rPr>
                                      <w:b/>
                                      <w:bCs/>
                                      <w:color w:val="F07E31" w:themeColor="accent1"/>
                                      <w:sz w:val="18"/>
                                      <w:szCs w:val="18"/>
                                      <w:lang w:val="de-DE"/>
                                    </w:rPr>
                                    <w:t>Schritt 1: Nehmen</w:t>
                                  </w:r>
                                  <w:r>
                                    <w:rPr>
                                      <w:color w:val="373737"/>
                                      <w:sz w:val="18"/>
                                      <w:szCs w:val="18"/>
                                      <w:lang w:val="de-DE"/>
                                    </w:rPr>
                                    <w:t xml:space="preserve"> Sie aus einer verfügbaren Datenbank (z. B. INLB) eine Stichprobe von Begünstigten des Programms zur Entwicklung des ländlichen Raums (z. B. landwirtschaftliche Betriebe/Landwirte/nicht zum Agrarsektor gehörende Betriebe/Gemeinschaften/Ge</w:t>
                                  </w:r>
                                  <w:r>
                                    <w:rPr>
                                      <w:color w:val="373737"/>
                                      <w:sz w:val="18"/>
                                      <w:szCs w:val="18"/>
                                      <w:lang w:val="de-DE"/>
                                    </w:rPr>
                                    <w:softHyphen/>
                                    <w:t xml:space="preserve">biete/Regionen) und nutzen Sie das Überwachungssystem des Programms zur Entwicklung des ländlichen Raums als Bezugspunkt (z. B. die Datenbank der Zahlstelle). </w:t>
                                  </w:r>
                                </w:p>
                                <w:p w:rsidR="00B3609C" w:rsidRDefault="00882296">
                                  <w:pPr>
                                    <w:pStyle w:val="Hlistbullet"/>
                                    <w:numPr>
                                      <w:ilvl w:val="0"/>
                                      <w:numId w:val="3"/>
                                    </w:numPr>
                                    <w:spacing w:line="276" w:lineRule="auto"/>
                                    <w:ind w:left="600" w:hanging="600"/>
                                    <w:rPr>
                                      <w:color w:val="373737"/>
                                      <w:sz w:val="18"/>
                                      <w:szCs w:val="18"/>
                                      <w:lang w:val="de-DE"/>
                                    </w:rPr>
                                  </w:pPr>
                                  <w:r>
                                    <w:rPr>
                                      <w:b/>
                                      <w:bCs/>
                                      <w:color w:val="F07E31" w:themeColor="accent1"/>
                                      <w:sz w:val="18"/>
                                      <w:szCs w:val="18"/>
                                      <w:lang w:val="de-DE"/>
                                    </w:rPr>
                                    <w:t>Schritt </w:t>
                                  </w:r>
                                  <w:proofErr w:type="gramStart"/>
                                  <w:r>
                                    <w:rPr>
                                      <w:b/>
                                      <w:bCs/>
                                      <w:color w:val="F07E31" w:themeColor="accent1"/>
                                      <w:sz w:val="18"/>
                                      <w:szCs w:val="18"/>
                                      <w:lang w:val="de-DE"/>
                                    </w:rPr>
                                    <w:t>2:</w:t>
                                  </w:r>
                                  <w:r>
                                    <w:rPr>
                                      <w:color w:val="373737"/>
                                      <w:sz w:val="18"/>
                                      <w:szCs w:val="18"/>
                                      <w:lang w:val="de-DE"/>
                                    </w:rPr>
                                    <w:t>Wählen</w:t>
                                  </w:r>
                                  <w:proofErr w:type="gramEnd"/>
                                  <w:r>
                                    <w:rPr>
                                      <w:color w:val="373737"/>
                                      <w:sz w:val="18"/>
                                      <w:szCs w:val="18"/>
                                      <w:lang w:val="de-DE"/>
                                    </w:rPr>
                                    <w:t xml:space="preserve"> Sie aus allen relevanten Einheiten in der Datenbank diejenigen aus, die in demselben Zeitraum keine Unterstützung durch die Maßnahmen des Programms zur Entwicklung des ländlichen Raums erhielten („Nichtbegünstigte“).</w:t>
                                  </w:r>
                                </w:p>
                                <w:p w:rsidR="00B3609C" w:rsidRDefault="00882296">
                                  <w:pPr>
                                    <w:pStyle w:val="Hlistbullet"/>
                                    <w:numPr>
                                      <w:ilvl w:val="0"/>
                                      <w:numId w:val="3"/>
                                    </w:numPr>
                                    <w:spacing w:line="276" w:lineRule="auto"/>
                                    <w:ind w:left="600" w:hanging="600"/>
                                    <w:rPr>
                                      <w:color w:val="373737"/>
                                      <w:sz w:val="18"/>
                                      <w:szCs w:val="18"/>
                                      <w:lang w:val="de-DE"/>
                                    </w:rPr>
                                  </w:pPr>
                                  <w:r>
                                    <w:rPr>
                                      <w:b/>
                                      <w:bCs/>
                                      <w:color w:val="F07E31" w:themeColor="accent1"/>
                                      <w:sz w:val="18"/>
                                      <w:szCs w:val="18"/>
                                      <w:lang w:val="de-DE"/>
                                    </w:rPr>
                                    <w:t>Schritt 3:</w:t>
                                  </w:r>
                                  <w:r>
                                    <w:rPr>
                                      <w:color w:val="373737"/>
                                      <w:sz w:val="18"/>
                                      <w:szCs w:val="18"/>
                                      <w:lang w:val="de-DE"/>
                                    </w:rPr>
                                    <w:t xml:space="preserve"> Treffen Sie aus der Gruppe der Nichtbegünstigten eine Vorauswahl derjenigen Einheiten, die die Förderfähigkeitsbedingungen NICHT erfüllt haben (aufgrund zu hohen Einkommens, Größe, Standort usw.) und entfernen Sie diese aus der Analyse. </w:t>
                                  </w:r>
                                </w:p>
                                <w:p w:rsidR="00B3609C" w:rsidRDefault="00882296">
                                  <w:pPr>
                                    <w:pStyle w:val="Hlistbullet"/>
                                    <w:numPr>
                                      <w:ilvl w:val="0"/>
                                      <w:numId w:val="3"/>
                                    </w:numPr>
                                    <w:spacing w:line="276" w:lineRule="auto"/>
                                    <w:ind w:left="600" w:hanging="600"/>
                                    <w:rPr>
                                      <w:color w:val="373737"/>
                                      <w:sz w:val="18"/>
                                      <w:szCs w:val="18"/>
                                      <w:lang w:val="de-DE"/>
                                    </w:rPr>
                                  </w:pPr>
                                  <w:r>
                                    <w:rPr>
                                      <w:b/>
                                      <w:bCs/>
                                      <w:color w:val="F07E31" w:themeColor="accent1"/>
                                      <w:sz w:val="18"/>
                                      <w:szCs w:val="18"/>
                                      <w:lang w:val="de-DE"/>
                                    </w:rPr>
                                    <w:t>Schritt 4:</w:t>
                                  </w:r>
                                  <w:r>
                                    <w:rPr>
                                      <w:color w:val="373737"/>
                                      <w:sz w:val="18"/>
                                      <w:szCs w:val="18"/>
                                      <w:lang w:val="de-DE"/>
                                    </w:rPr>
                                    <w:t xml:space="preserve"> Erfassen Sie für alle Einheiten in beiden Gruppen (Begünstigte und Nichtbegünstigte) Daten zu deren wichtigsten Merkmalen (Variablen) für das Jahr 2013 (d. h. vor Beginn der Laufzeit des Programms). Beachten Sie dabei, dass die in der Analyse eingeschlossenen Variablen sowohl für die Auswahl einer Einheit als auch für die auf der Mikroebene ermittelten Indikatoren (gemeinsame und zusätzliche Wirkungsindikatoren) relevant sein sollten. Eine der vorgeschlagenen Variablen (die als wichtige Kontrollvariable verwendet wird) kann sein: i) die Höhe der Mittel, die eine Einheit („Begünstigter“ und „Nichtbegünstigter“) im Rahmen des vorhergehenden Programmplanungszeitraums 2007–2013 erhalten hat, und/oder ii) die Höhe der Mittel, die eine Einheit („Begünstigter“ und „Nichtbegünstigter“) aus anderen öffentlichen Quellen (z. B. Strukturfonds der EU, erste Säule) im analysierten Zeitraum erhalten hat.</w:t>
                                  </w:r>
                                </w:p>
                                <w:p w:rsidR="00B3609C" w:rsidRDefault="00882296">
                                  <w:pPr>
                                    <w:pStyle w:val="Hlistbullet"/>
                                    <w:numPr>
                                      <w:ilvl w:val="0"/>
                                      <w:numId w:val="3"/>
                                    </w:numPr>
                                    <w:spacing w:line="276" w:lineRule="auto"/>
                                    <w:ind w:left="600" w:hanging="600"/>
                                    <w:rPr>
                                      <w:color w:val="373737"/>
                                      <w:sz w:val="18"/>
                                      <w:szCs w:val="18"/>
                                      <w:lang w:val="de-DE"/>
                                    </w:rPr>
                                  </w:pPr>
                                  <w:r>
                                    <w:rPr>
                                      <w:b/>
                                      <w:bCs/>
                                      <w:color w:val="F07E31" w:themeColor="accent1"/>
                                      <w:sz w:val="18"/>
                                      <w:szCs w:val="18"/>
                                      <w:lang w:val="de-DE"/>
                                    </w:rPr>
                                    <w:t>Schritt 5:</w:t>
                                  </w:r>
                                  <w:r>
                                    <w:rPr>
                                      <w:color w:val="373737"/>
                                      <w:sz w:val="18"/>
                                      <w:szCs w:val="18"/>
                                      <w:lang w:val="de-DE"/>
                                    </w:rPr>
                                    <w:t xml:space="preserve"> Wenden Sie geeignete Techniken an (z. B. </w:t>
                                  </w:r>
                                  <w:proofErr w:type="spellStart"/>
                                  <w:r>
                                    <w:rPr>
                                      <w:color w:val="373737"/>
                                      <w:sz w:val="18"/>
                                      <w:szCs w:val="18"/>
                                      <w:lang w:val="de-DE"/>
                                    </w:rPr>
                                    <w:t>Matching</w:t>
                                  </w:r>
                                  <w:proofErr w:type="spellEnd"/>
                                  <w:r>
                                    <w:rPr>
                                      <w:color w:val="373737"/>
                                      <w:sz w:val="18"/>
                                      <w:szCs w:val="18"/>
                                      <w:lang w:val="de-DE"/>
                                    </w:rPr>
                                    <w:t>), um aus der Stichprobe der „Nichtbegünstigten“ (siehe Schritte 2–3) eine geeignete „Kontrollgruppe“ zu erstellen (einige der „Nichtbegünstigten“ und/oder einige der „Begünstigten“ werden aufgrund fehlender geeigneter Kontrolleinheiten aus der Analyse ausgeschlossen).</w:t>
                                  </w:r>
                                </w:p>
                                <w:p w:rsidR="00B3609C" w:rsidRDefault="00882296">
                                  <w:pPr>
                                    <w:pStyle w:val="Hlistbullet"/>
                                    <w:numPr>
                                      <w:ilvl w:val="0"/>
                                      <w:numId w:val="3"/>
                                    </w:numPr>
                                    <w:spacing w:line="276" w:lineRule="auto"/>
                                    <w:ind w:left="600" w:hanging="600"/>
                                    <w:rPr>
                                      <w:lang w:val="de-DE"/>
                                    </w:rPr>
                                  </w:pPr>
                                  <w:r>
                                    <w:rPr>
                                      <w:b/>
                                      <w:bCs/>
                                      <w:color w:val="F07E31" w:themeColor="accent1"/>
                                      <w:sz w:val="18"/>
                                      <w:szCs w:val="18"/>
                                      <w:lang w:val="de-DE"/>
                                    </w:rPr>
                                    <w:t>Schritt 6:</w:t>
                                  </w:r>
                                  <w:r>
                                    <w:rPr>
                                      <w:color w:val="373737"/>
                                      <w:sz w:val="18"/>
                                      <w:szCs w:val="18"/>
                                      <w:lang w:val="de-DE"/>
                                    </w:rPr>
                                    <w:t xml:space="preserve"> Prüfen Sie statistisch die „Ähnlichkeit“ der beiden Gruppen, bevor diese im Rahmen des Programms Fördermittel erhielten (z. B. durch Durchführung statistischer Tests zu in die Analyse eingeschlossenen </w:t>
                                  </w:r>
                                  <w:proofErr w:type="spellStart"/>
                                  <w:r>
                                    <w:rPr>
                                      <w:color w:val="373737"/>
                                      <w:sz w:val="18"/>
                                      <w:szCs w:val="18"/>
                                      <w:lang w:val="de-DE"/>
                                    </w:rPr>
                                    <w:t>Kovariaten</w:t>
                                  </w:r>
                                  <w:proofErr w:type="spellEnd"/>
                                  <w:r>
                                    <w:rPr>
                                      <w:color w:val="373737"/>
                                      <w:sz w:val="18"/>
                                      <w:szCs w:val="18"/>
                                      <w:lang w:val="de-DE"/>
                                    </w:rPr>
                                    <w:t>). Der Durchschnittswert einer Einheit in der Gruppe der „Begünstigten“ sollte nicht signifikant von dem der entsprechenden Einheit in der „Kontrollgruppe“ abweichen.</w:t>
                                  </w:r>
                                </w:p>
                                <w:p w:rsidR="00B3609C" w:rsidRDefault="00882296">
                                  <w:pPr>
                                    <w:pStyle w:val="Hlistbullet"/>
                                    <w:jc w:val="center"/>
                                    <w:rPr>
                                      <w:i/>
                                      <w:color w:val="F07E31" w:themeColor="accent1"/>
                                      <w:sz w:val="18"/>
                                      <w:szCs w:val="18"/>
                                      <w:lang w:val="de-DE"/>
                                    </w:rPr>
                                  </w:pPr>
                                  <w:r>
                                    <w:rPr>
                                      <w:i/>
                                      <w:iCs/>
                                      <w:color w:val="F07E31" w:themeColor="accent1"/>
                                      <w:sz w:val="18"/>
                                      <w:szCs w:val="18"/>
                                      <w:lang w:val="de-DE"/>
                                    </w:rPr>
                                    <w:t xml:space="preserve">Weitere Informationen zur Gestaltung der Kontrollgruppen, </w:t>
                                  </w:r>
                                  <w:proofErr w:type="spellStart"/>
                                  <w:r>
                                    <w:rPr>
                                      <w:i/>
                                      <w:iCs/>
                                      <w:color w:val="F07E31" w:themeColor="accent1"/>
                                      <w:sz w:val="18"/>
                                      <w:szCs w:val="18"/>
                                      <w:lang w:val="de-DE"/>
                                    </w:rPr>
                                    <w:t>Matching</w:t>
                                  </w:r>
                                  <w:proofErr w:type="spellEnd"/>
                                  <w:r>
                                    <w:rPr>
                                      <w:i/>
                                      <w:iCs/>
                                      <w:color w:val="F07E31" w:themeColor="accent1"/>
                                      <w:sz w:val="18"/>
                                      <w:szCs w:val="18"/>
                                      <w:lang w:val="de-DE"/>
                                    </w:rPr>
                                    <w:t xml:space="preserve"> usw. siehe</w:t>
                                  </w:r>
                                  <w:r>
                                    <w:rPr>
                                      <w:color w:val="F07E31" w:themeColor="accent1"/>
                                      <w:sz w:val="18"/>
                                      <w:szCs w:val="18"/>
                                      <w:lang w:val="de-DE"/>
                                    </w:rPr>
                                    <w:br/>
                                  </w:r>
                                  <w:r>
                                    <w:rPr>
                                      <w:i/>
                                      <w:iCs/>
                                      <w:color w:val="F07E31" w:themeColor="accent1"/>
                                      <w:sz w:val="18"/>
                                      <w:szCs w:val="18"/>
                                      <w:lang w:val="de-DE"/>
                                    </w:rPr>
                                    <w:t xml:space="preserve"> </w:t>
                                  </w:r>
                                  <w:hyperlink r:id="rId47" w:history="1">
                                    <w:r>
                                      <w:rPr>
                                        <w:rStyle w:val="Hyperlink"/>
                                        <w:i/>
                                        <w:iCs/>
                                        <w:color w:val="F07E31" w:themeColor="accent1"/>
                                        <w:sz w:val="18"/>
                                        <w:szCs w:val="18"/>
                                        <w:lang w:val="de-DE"/>
                                      </w:rPr>
                                      <w:t xml:space="preserve">Guidelines </w:t>
                                    </w:r>
                                    <w:proofErr w:type="spellStart"/>
                                    <w:r>
                                      <w:rPr>
                                        <w:rStyle w:val="Hyperlink"/>
                                        <w:i/>
                                        <w:iCs/>
                                        <w:color w:val="F07E31" w:themeColor="accent1"/>
                                        <w:sz w:val="18"/>
                                        <w:szCs w:val="18"/>
                                        <w:lang w:val="de-DE"/>
                                      </w:rPr>
                                      <w:t>for</w:t>
                                    </w:r>
                                    <w:proofErr w:type="spellEnd"/>
                                    <w:r>
                                      <w:rPr>
                                        <w:rStyle w:val="Hyperlink"/>
                                        <w:i/>
                                        <w:iCs/>
                                        <w:color w:val="F07E31" w:themeColor="accent1"/>
                                        <w:sz w:val="18"/>
                                        <w:szCs w:val="18"/>
                                        <w:lang w:val="de-DE"/>
                                      </w:rPr>
                                      <w:t xml:space="preserve"> ex </w:t>
                                    </w:r>
                                    <w:proofErr w:type="spellStart"/>
                                    <w:r>
                                      <w:rPr>
                                        <w:rStyle w:val="Hyperlink"/>
                                        <w:i/>
                                        <w:iCs/>
                                        <w:color w:val="F07E31" w:themeColor="accent1"/>
                                        <w:sz w:val="18"/>
                                        <w:szCs w:val="18"/>
                                        <w:lang w:val="de-DE"/>
                                      </w:rPr>
                                      <w:t>post</w:t>
                                    </w:r>
                                    <w:proofErr w:type="spellEnd"/>
                                    <w:r>
                                      <w:rPr>
                                        <w:rStyle w:val="Hyperlink"/>
                                        <w:i/>
                                        <w:iCs/>
                                        <w:color w:val="F07E31" w:themeColor="accent1"/>
                                        <w:sz w:val="18"/>
                                        <w:szCs w:val="18"/>
                                        <w:lang w:val="de-DE"/>
                                      </w:rPr>
                                      <w:t xml:space="preserve"> </w:t>
                                    </w:r>
                                    <w:proofErr w:type="spellStart"/>
                                    <w:r>
                                      <w:rPr>
                                        <w:rStyle w:val="Hyperlink"/>
                                        <w:i/>
                                        <w:iCs/>
                                        <w:color w:val="F07E31" w:themeColor="accent1"/>
                                        <w:sz w:val="18"/>
                                        <w:szCs w:val="18"/>
                                        <w:lang w:val="de-DE"/>
                                      </w:rPr>
                                      <w:t>evaluation</w:t>
                                    </w:r>
                                    <w:proofErr w:type="spellEnd"/>
                                    <w:r>
                                      <w:rPr>
                                        <w:rStyle w:val="Hyperlink"/>
                                        <w:i/>
                                        <w:iCs/>
                                        <w:color w:val="F07E31" w:themeColor="accent1"/>
                                        <w:sz w:val="18"/>
                                        <w:szCs w:val="18"/>
                                        <w:lang w:val="de-DE"/>
                                      </w:rPr>
                                      <w:t xml:space="preserve"> </w:t>
                                    </w:r>
                                    <w:proofErr w:type="spellStart"/>
                                    <w:r>
                                      <w:rPr>
                                        <w:rStyle w:val="Hyperlink"/>
                                        <w:i/>
                                        <w:iCs/>
                                        <w:color w:val="F07E31" w:themeColor="accent1"/>
                                        <w:sz w:val="18"/>
                                        <w:szCs w:val="18"/>
                                        <w:lang w:val="de-DE"/>
                                      </w:rPr>
                                      <w:t>of</w:t>
                                    </w:r>
                                    <w:proofErr w:type="spellEnd"/>
                                    <w:r>
                                      <w:rPr>
                                        <w:rStyle w:val="Hyperlink"/>
                                        <w:i/>
                                        <w:iCs/>
                                        <w:color w:val="F07E31" w:themeColor="accent1"/>
                                        <w:sz w:val="18"/>
                                        <w:szCs w:val="18"/>
                                        <w:lang w:val="de-DE"/>
                                      </w:rPr>
                                      <w:t xml:space="preserve"> 2007–2013 RDPs</w:t>
                                    </w:r>
                                  </w:hyperlink>
                                  <w:r>
                                    <w:rPr>
                                      <w:rStyle w:val="Hyperlink"/>
                                      <w:i/>
                                      <w:iCs/>
                                      <w:color w:val="F07E31" w:themeColor="accent1"/>
                                      <w:sz w:val="18"/>
                                      <w:szCs w:val="18"/>
                                      <w:lang w:val="de-DE"/>
                                    </w:rPr>
                                    <w:t>, Kapitel 4.</w:t>
                                  </w:r>
                                </w:p>
                              </w:txbxContent>
                            </wps:txbx>
                            <wps:bodyPr rot="0" vert="horz" wrap="square" lIns="91440" tIns="45720" rIns="91440" bIns="45720" anchor="ctr" anchorCtr="0" upright="1">
                              <a:noAutofit/>
                            </wps:bodyPr>
                          </wps:wsp>
                        </a:graphicData>
                      </a:graphic>
                    </wp:inline>
                  </w:drawing>
                </mc:Choice>
                <mc:Fallback>
                  <w:pict>
                    <v:shape w14:anchorId="10C25CED" id="AutoShape 67" o:spid="_x0000_s1036" style="width:438.35pt;height:709.75pt;visibility:visible;mso-wrap-style:square;mso-left-percent:-10001;mso-top-percent:-10001;mso-position-horizontal:absolute;mso-position-horizontal-relative:char;mso-position-vertical:absolute;mso-position-vertical-relative:line;mso-left-percent:-10001;mso-top-percent:-10001;v-text-anchor:middle" coordsize="5567045,8401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" adj="-11796480,,5400" path="m276626,l5567045,r,8124424c5567045,8277200,5443195,8401050,5290419,8401050l,8401050,,276626c,123850,123850,,276626,xe" filled="f" strokecolor="#be4a35" strokeweight="2pt">
                      <v:stroke joinstyle="miter"/>
                      <v:formulas/>
                      <v:path arrowok="t" o:connecttype="custom" o:connectlocs="276626,0;5567045,0;5567045,0;5567045,8717104;5290419,9013910;0,9013910;0,9013910;0,296806;276626,0" o:connectangles="0,0,0,0,0,0,0,0,0" textboxrect="0,0,5567045,8401050"/>
                      <v:textbox>
                        <w:txbxContent>
                          <w:p w:rsidR="00B3609C" w:rsidRDefault="00882296">
                            <w:pPr>
                              <w:pStyle w:val="HHeading4"/>
                              <w:rPr>
                                <w:lang w:val="de-DE"/>
                              </w:rPr>
                            </w:pPr>
                            <w:r>
                              <w:rPr>
                                <w:b w:val="0"/>
                                <w:noProof/>
                                <w:color w:val="373737"/>
                                <w:lang w:eastAsia="en-GB"/>
                              </w:rPr>
                              <w:drawing>
                                <wp:inline distT="0" distB="0" distL="0" distR="0" wp14:anchorId="5538EAFE" wp14:editId="039BF5DB">
                                  <wp:extent cx="664845" cy="487680"/>
                                  <wp:effectExtent l="0" t="0" r="0" b="7620"/>
                                  <wp:docPr id="89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Cs/>
                                <w:lang w:val="de-DE"/>
                              </w:rPr>
                              <w:t xml:space="preserve"> KURZANLEITUNG NR. 2:</w:t>
                            </w:r>
                            <w:r>
                              <w:rPr>
                                <w:b w:val="0"/>
                                <w:lang w:val="de-DE"/>
                              </w:rPr>
                              <w:t xml:space="preserve"> </w:t>
                            </w:r>
                            <w:r>
                              <w:rPr>
                                <w:bCs/>
                                <w:lang w:val="de-DE"/>
                              </w:rPr>
                              <w:t>Erstellung einer Kontrollgruppe auf der Mikroebene (mit Bezug zur 2. Stufe)</w:t>
                            </w:r>
                          </w:p>
                          <w:p w:rsidR="00B3609C" w:rsidRDefault="00882296">
                            <w:pPr>
                              <w:pStyle w:val="HStandard"/>
                              <w:spacing w:after="0"/>
                              <w:rPr>
                                <w:rFonts w:cs="Arial"/>
                                <w:color w:val="373737"/>
                                <w:sz w:val="18"/>
                                <w:szCs w:val="18"/>
                                <w:lang w:val="de-DE"/>
                              </w:rPr>
                            </w:pPr>
                            <w:r>
                              <w:rPr>
                                <w:rFonts w:cs="Arial"/>
                                <w:color w:val="373737"/>
                                <w:sz w:val="18"/>
                                <w:szCs w:val="18"/>
                                <w:lang w:val="de-DE"/>
                              </w:rPr>
                              <w:t>Die kontrafaktische Analyse auf der Mikroebene sollte auf Vergleichen zwischen Kontrollgruppen aus Begünstigten und Nichtbegünstigte basieren. Diese Kontrollgruppen sollten (in beobachtbarer und nichtbeobachtbarer Hinsicht) so ähnlich wie möglich sein. Wenn die beiden Gruppen statistisch ausreichend ähnlich sind (d. h. ähnliche Merkmale aufweisen), kann davon ausgegangen werden, dass sämtliche Unterschiede bei den Ergebnissen auf das Programm zurückgeführt werden können. Die kontrafaktische Analyse ermöglicht die Feststellung einer Kausalität, indem sie beobachtete Veränderungen der Ergebnisse auf das Programm zurückführt und verzerrende Faktoren entfernt.</w:t>
                            </w:r>
                          </w:p>
                          <w:p w:rsidR="00B3609C" w:rsidRDefault="00B3609C">
                            <w:pPr>
                              <w:pStyle w:val="HStandard"/>
                              <w:spacing w:after="0"/>
                              <w:rPr>
                                <w:rFonts w:cs="Arial"/>
                                <w:color w:val="373737"/>
                                <w:sz w:val="18"/>
                                <w:szCs w:val="18"/>
                                <w:lang w:val="de-DE"/>
                              </w:rPr>
                            </w:pPr>
                          </w:p>
                          <w:p w:rsidR="00B3609C" w:rsidRDefault="00882296">
                            <w:pPr>
                              <w:pStyle w:val="HStandard"/>
                              <w:spacing w:after="0"/>
                              <w:rPr>
                                <w:rFonts w:cs="Arial"/>
                                <w:color w:val="373737"/>
                                <w:sz w:val="18"/>
                                <w:szCs w:val="18"/>
                                <w:lang w:val="de-DE"/>
                              </w:rPr>
                            </w:pPr>
                            <w:r>
                              <w:rPr>
                                <w:rFonts w:cs="Arial"/>
                                <w:color w:val="373737"/>
                                <w:sz w:val="18"/>
                                <w:szCs w:val="18"/>
                                <w:lang w:val="de-DE"/>
                              </w:rPr>
                              <w:t xml:space="preserve">Die Erstellung einer geeigneten Kontrollgruppe kann aufgrund der thematischen Einschränkungen des Programms und der strengen Programmvorgaben für die Förderfähigkeit eine Herausforderung sein. Die Programmbegünstigten der Bewertung, die im Rahmen des Programms unterstützt wurden, können sich erheblich von den Nichtbegünstigten unterscheiden, und zwar sowohl im Hinblick auf ihre strukturellen Merkmale als auch im Hinblick auf die wirtschaftliche, umweltbezogene und sozioökonomische Leistung. </w:t>
                            </w:r>
                          </w:p>
                          <w:p w:rsidR="00B3609C" w:rsidRDefault="00B3609C">
                            <w:pPr>
                              <w:pStyle w:val="HStandard"/>
                              <w:spacing w:after="0"/>
                              <w:rPr>
                                <w:rFonts w:cs="Arial"/>
                                <w:color w:val="373737"/>
                                <w:sz w:val="18"/>
                                <w:szCs w:val="18"/>
                                <w:lang w:val="de-DE"/>
                              </w:rPr>
                            </w:pPr>
                          </w:p>
                          <w:p w:rsidR="00B3609C" w:rsidRDefault="00882296">
                            <w:pPr>
                              <w:pStyle w:val="HStandard"/>
                              <w:spacing w:after="0"/>
                              <w:rPr>
                                <w:rFonts w:cs="Arial"/>
                                <w:color w:val="373737"/>
                                <w:sz w:val="18"/>
                                <w:szCs w:val="18"/>
                                <w:lang w:val="de-DE"/>
                              </w:rPr>
                            </w:pPr>
                            <w:r>
                              <w:rPr>
                                <w:rFonts w:cs="Arial"/>
                                <w:color w:val="373737"/>
                                <w:sz w:val="18"/>
                                <w:szCs w:val="18"/>
                                <w:lang w:val="de-DE"/>
                              </w:rPr>
                              <w:t>Bei der Erstellung einer Kontrollgruppe ist Folgendes zu beachten:</w:t>
                            </w:r>
                          </w:p>
                          <w:p w:rsidR="00B3609C" w:rsidRDefault="00882296">
                            <w:pPr>
                              <w:pStyle w:val="Hlistbullet"/>
                              <w:numPr>
                                <w:ilvl w:val="0"/>
                                <w:numId w:val="3"/>
                              </w:numPr>
                              <w:spacing w:line="276" w:lineRule="auto"/>
                              <w:ind w:left="600" w:hanging="600"/>
                              <w:rPr>
                                <w:color w:val="373737"/>
                                <w:sz w:val="18"/>
                                <w:szCs w:val="18"/>
                                <w:lang w:val="de-DE"/>
                              </w:rPr>
                            </w:pPr>
                            <w:r>
                              <w:rPr>
                                <w:b/>
                                <w:bCs/>
                                <w:color w:val="F07E31" w:themeColor="accent1"/>
                                <w:sz w:val="18"/>
                                <w:szCs w:val="18"/>
                                <w:lang w:val="de-DE"/>
                              </w:rPr>
                              <w:t>Schritt 1: Nehmen</w:t>
                            </w:r>
                            <w:r>
                              <w:rPr>
                                <w:color w:val="373737"/>
                                <w:sz w:val="18"/>
                                <w:szCs w:val="18"/>
                                <w:lang w:val="de-DE"/>
                              </w:rPr>
                              <w:t xml:space="preserve"> Sie aus einer verfügbaren Datenbank (z. B. INLB) eine Stichprobe von Begünstigten des Programms zur Entwicklung des ländlichen Raums (z. B. landwirtschaftliche Betriebe/Landwirte/nicht zum Agrarsektor gehörende Betriebe/Gemeinschaften/Ge</w:t>
                            </w:r>
                            <w:r>
                              <w:rPr>
                                <w:color w:val="373737"/>
                                <w:sz w:val="18"/>
                                <w:szCs w:val="18"/>
                                <w:lang w:val="de-DE"/>
                              </w:rPr>
                              <w:softHyphen/>
                              <w:t xml:space="preserve">biete/Regionen) und nutzen Sie das Überwachungssystem des Programms zur Entwicklung des ländlichen Raums als Bezugspunkt (z. B. die Datenbank der Zahlstelle). </w:t>
                            </w:r>
                          </w:p>
                          <w:p w:rsidR="00B3609C" w:rsidRDefault="00882296">
                            <w:pPr>
                              <w:pStyle w:val="Hlistbullet"/>
                              <w:numPr>
                                <w:ilvl w:val="0"/>
                                <w:numId w:val="3"/>
                              </w:numPr>
                              <w:spacing w:line="276" w:lineRule="auto"/>
                              <w:ind w:left="600" w:hanging="600"/>
                              <w:rPr>
                                <w:color w:val="373737"/>
                                <w:sz w:val="18"/>
                                <w:szCs w:val="18"/>
                                <w:lang w:val="de-DE"/>
                              </w:rPr>
                            </w:pPr>
                            <w:r>
                              <w:rPr>
                                <w:b/>
                                <w:bCs/>
                                <w:color w:val="F07E31" w:themeColor="accent1"/>
                                <w:sz w:val="18"/>
                                <w:szCs w:val="18"/>
                                <w:lang w:val="de-DE"/>
                              </w:rPr>
                              <w:t>Schritt </w:t>
                            </w:r>
                            <w:proofErr w:type="gramStart"/>
                            <w:r>
                              <w:rPr>
                                <w:b/>
                                <w:bCs/>
                                <w:color w:val="F07E31" w:themeColor="accent1"/>
                                <w:sz w:val="18"/>
                                <w:szCs w:val="18"/>
                                <w:lang w:val="de-DE"/>
                              </w:rPr>
                              <w:t>2:</w:t>
                            </w:r>
                            <w:r>
                              <w:rPr>
                                <w:color w:val="373737"/>
                                <w:sz w:val="18"/>
                                <w:szCs w:val="18"/>
                                <w:lang w:val="de-DE"/>
                              </w:rPr>
                              <w:t>Wählen</w:t>
                            </w:r>
                            <w:proofErr w:type="gramEnd"/>
                            <w:r>
                              <w:rPr>
                                <w:color w:val="373737"/>
                                <w:sz w:val="18"/>
                                <w:szCs w:val="18"/>
                                <w:lang w:val="de-DE"/>
                              </w:rPr>
                              <w:t xml:space="preserve"> Sie aus allen relevanten Einheiten in der Datenbank diejenigen aus, die in demselben Zeitraum keine Unterstützung durch die Maßnahmen des Programms zur Entwicklung des ländlichen Raums erhielten („Nichtbegünstigte“).</w:t>
                            </w:r>
                          </w:p>
                          <w:p w:rsidR="00B3609C" w:rsidRDefault="00882296">
                            <w:pPr>
                              <w:pStyle w:val="Hlistbullet"/>
                              <w:numPr>
                                <w:ilvl w:val="0"/>
                                <w:numId w:val="3"/>
                              </w:numPr>
                              <w:spacing w:line="276" w:lineRule="auto"/>
                              <w:ind w:left="600" w:hanging="600"/>
                              <w:rPr>
                                <w:color w:val="373737"/>
                                <w:sz w:val="18"/>
                                <w:szCs w:val="18"/>
                                <w:lang w:val="de-DE"/>
                              </w:rPr>
                            </w:pPr>
                            <w:r>
                              <w:rPr>
                                <w:b/>
                                <w:bCs/>
                                <w:color w:val="F07E31" w:themeColor="accent1"/>
                                <w:sz w:val="18"/>
                                <w:szCs w:val="18"/>
                                <w:lang w:val="de-DE"/>
                              </w:rPr>
                              <w:t>Schritt 3:</w:t>
                            </w:r>
                            <w:r>
                              <w:rPr>
                                <w:color w:val="373737"/>
                                <w:sz w:val="18"/>
                                <w:szCs w:val="18"/>
                                <w:lang w:val="de-DE"/>
                              </w:rPr>
                              <w:t xml:space="preserve"> Treffen Sie aus der Gruppe der Nichtbegünstigten eine Vorauswahl derjenigen Einheiten, die die Förderfähigkeitsbedingungen NICHT erfüllt haben (aufgrund zu hohen Einkommens, Größe, Standort usw.) und entfernen Sie diese aus der Analyse. </w:t>
                            </w:r>
                          </w:p>
                          <w:p w:rsidR="00B3609C" w:rsidRDefault="00882296">
                            <w:pPr>
                              <w:pStyle w:val="Hlistbullet"/>
                              <w:numPr>
                                <w:ilvl w:val="0"/>
                                <w:numId w:val="3"/>
                              </w:numPr>
                              <w:spacing w:line="276" w:lineRule="auto"/>
                              <w:ind w:left="600" w:hanging="600"/>
                              <w:rPr>
                                <w:color w:val="373737"/>
                                <w:sz w:val="18"/>
                                <w:szCs w:val="18"/>
                                <w:lang w:val="de-DE"/>
                              </w:rPr>
                            </w:pPr>
                            <w:r>
                              <w:rPr>
                                <w:b/>
                                <w:bCs/>
                                <w:color w:val="F07E31" w:themeColor="accent1"/>
                                <w:sz w:val="18"/>
                                <w:szCs w:val="18"/>
                                <w:lang w:val="de-DE"/>
                              </w:rPr>
                              <w:t>Schritt 4:</w:t>
                            </w:r>
                            <w:r>
                              <w:rPr>
                                <w:color w:val="373737"/>
                                <w:sz w:val="18"/>
                                <w:szCs w:val="18"/>
                                <w:lang w:val="de-DE"/>
                              </w:rPr>
                              <w:t xml:space="preserve"> Erfassen Sie für alle Einheiten in beiden Gruppen (Begünstigte und Nichtbegünstigte) Daten zu deren wichtigsten Merkmalen (Variablen) für das Jahr 2013 (d. h. vor Beginn der Laufzeit des Programms). Beachten Sie dabei, dass die in der Analyse eingeschlossenen Variablen sowohl für die Auswahl einer Einheit als auch für die auf der Mikroebene ermittelten Indikatoren (gemeinsame und zusätzliche Wirkungsindikatoren) relevant sein sollten. Eine der vorgeschlagenen Variablen (die als wichtige Kontrollvariable verwendet wird) kann sein: i) die Höhe der Mittel, die eine Einheit („Begünstigter“ und „Nichtbegünstigter“) im Rahmen des vorhergehenden Programmplanungszeitraums 2007–2013 erhalten hat, und/oder ii) die Höhe der Mittel, die eine Einheit („Begünstigter“ und „Nichtbegünstigter“) aus anderen öffentlichen Quellen (z. B. Strukturfonds der EU, erste Säule) im analysierten Zeitraum erhalten hat.</w:t>
                            </w:r>
                          </w:p>
                          <w:p w:rsidR="00B3609C" w:rsidRDefault="00882296">
                            <w:pPr>
                              <w:pStyle w:val="Hlistbullet"/>
                              <w:numPr>
                                <w:ilvl w:val="0"/>
                                <w:numId w:val="3"/>
                              </w:numPr>
                              <w:spacing w:line="276" w:lineRule="auto"/>
                              <w:ind w:left="600" w:hanging="600"/>
                              <w:rPr>
                                <w:color w:val="373737"/>
                                <w:sz w:val="18"/>
                                <w:szCs w:val="18"/>
                                <w:lang w:val="de-DE"/>
                              </w:rPr>
                            </w:pPr>
                            <w:r>
                              <w:rPr>
                                <w:b/>
                                <w:bCs/>
                                <w:color w:val="F07E31" w:themeColor="accent1"/>
                                <w:sz w:val="18"/>
                                <w:szCs w:val="18"/>
                                <w:lang w:val="de-DE"/>
                              </w:rPr>
                              <w:t>Schritt 5:</w:t>
                            </w:r>
                            <w:r>
                              <w:rPr>
                                <w:color w:val="373737"/>
                                <w:sz w:val="18"/>
                                <w:szCs w:val="18"/>
                                <w:lang w:val="de-DE"/>
                              </w:rPr>
                              <w:t xml:space="preserve"> Wenden Sie geeignete Techniken an (z. B. </w:t>
                            </w:r>
                            <w:proofErr w:type="spellStart"/>
                            <w:r>
                              <w:rPr>
                                <w:color w:val="373737"/>
                                <w:sz w:val="18"/>
                                <w:szCs w:val="18"/>
                                <w:lang w:val="de-DE"/>
                              </w:rPr>
                              <w:t>Matching</w:t>
                            </w:r>
                            <w:proofErr w:type="spellEnd"/>
                            <w:r>
                              <w:rPr>
                                <w:color w:val="373737"/>
                                <w:sz w:val="18"/>
                                <w:szCs w:val="18"/>
                                <w:lang w:val="de-DE"/>
                              </w:rPr>
                              <w:t>), um aus der Stichprobe der „Nichtbegünstigten“ (siehe Schritte 2–3) eine geeignete „Kontrollgruppe“ zu erstellen (einige der „Nichtbegünstigten“ und/oder einige der „Begünstigten“ werden aufgrund fehlender geeigneter Kontrolleinheiten aus der Analyse ausgeschlossen).</w:t>
                            </w:r>
                          </w:p>
                          <w:p w:rsidR="00B3609C" w:rsidRDefault="00882296">
                            <w:pPr>
                              <w:pStyle w:val="Hlistbullet"/>
                              <w:numPr>
                                <w:ilvl w:val="0"/>
                                <w:numId w:val="3"/>
                              </w:numPr>
                              <w:spacing w:line="276" w:lineRule="auto"/>
                              <w:ind w:left="600" w:hanging="600"/>
                              <w:rPr>
                                <w:lang w:val="de-DE"/>
                              </w:rPr>
                            </w:pPr>
                            <w:r>
                              <w:rPr>
                                <w:b/>
                                <w:bCs/>
                                <w:color w:val="F07E31" w:themeColor="accent1"/>
                                <w:sz w:val="18"/>
                                <w:szCs w:val="18"/>
                                <w:lang w:val="de-DE"/>
                              </w:rPr>
                              <w:t>Schritt 6:</w:t>
                            </w:r>
                            <w:r>
                              <w:rPr>
                                <w:color w:val="373737"/>
                                <w:sz w:val="18"/>
                                <w:szCs w:val="18"/>
                                <w:lang w:val="de-DE"/>
                              </w:rPr>
                              <w:t xml:space="preserve"> Prüfen Sie statistisch die „Ähnlichkeit“ der beiden Gruppen, bevor diese im Rahmen des Programms Fördermittel erhielten (z. B. durch Durchführung statistischer Tests zu in die Analyse eingeschlossenen </w:t>
                            </w:r>
                            <w:proofErr w:type="spellStart"/>
                            <w:r>
                              <w:rPr>
                                <w:color w:val="373737"/>
                                <w:sz w:val="18"/>
                                <w:szCs w:val="18"/>
                                <w:lang w:val="de-DE"/>
                              </w:rPr>
                              <w:t>Kovariaten</w:t>
                            </w:r>
                            <w:proofErr w:type="spellEnd"/>
                            <w:r>
                              <w:rPr>
                                <w:color w:val="373737"/>
                                <w:sz w:val="18"/>
                                <w:szCs w:val="18"/>
                                <w:lang w:val="de-DE"/>
                              </w:rPr>
                              <w:t>). Der Durchschnittswert einer Einheit in der Gruppe der „Begünstigten“ sollte nicht signifikant von dem der entsprechenden Einheit in der „Kontrollgruppe“ abweichen.</w:t>
                            </w:r>
                          </w:p>
                          <w:p w:rsidR="00B3609C" w:rsidRDefault="00882296">
                            <w:pPr>
                              <w:pStyle w:val="Hlistbullet"/>
                              <w:jc w:val="center"/>
                              <w:rPr>
                                <w:i/>
                                <w:color w:val="F07E31" w:themeColor="accent1"/>
                                <w:sz w:val="18"/>
                                <w:szCs w:val="18"/>
                                <w:lang w:val="de-DE"/>
                              </w:rPr>
                            </w:pPr>
                            <w:r>
                              <w:rPr>
                                <w:i/>
                                <w:iCs/>
                                <w:color w:val="F07E31" w:themeColor="accent1"/>
                                <w:sz w:val="18"/>
                                <w:szCs w:val="18"/>
                                <w:lang w:val="de-DE"/>
                              </w:rPr>
                              <w:t xml:space="preserve">Weitere Informationen zur Gestaltung der Kontrollgruppen, </w:t>
                            </w:r>
                            <w:proofErr w:type="spellStart"/>
                            <w:r>
                              <w:rPr>
                                <w:i/>
                                <w:iCs/>
                                <w:color w:val="F07E31" w:themeColor="accent1"/>
                                <w:sz w:val="18"/>
                                <w:szCs w:val="18"/>
                                <w:lang w:val="de-DE"/>
                              </w:rPr>
                              <w:t>Matching</w:t>
                            </w:r>
                            <w:proofErr w:type="spellEnd"/>
                            <w:r>
                              <w:rPr>
                                <w:i/>
                                <w:iCs/>
                                <w:color w:val="F07E31" w:themeColor="accent1"/>
                                <w:sz w:val="18"/>
                                <w:szCs w:val="18"/>
                                <w:lang w:val="de-DE"/>
                              </w:rPr>
                              <w:t xml:space="preserve"> usw. siehe</w:t>
                            </w:r>
                            <w:r>
                              <w:rPr>
                                <w:color w:val="F07E31" w:themeColor="accent1"/>
                                <w:sz w:val="18"/>
                                <w:szCs w:val="18"/>
                                <w:lang w:val="de-DE"/>
                              </w:rPr>
                              <w:br/>
                            </w:r>
                            <w:r>
                              <w:rPr>
                                <w:i/>
                                <w:iCs/>
                                <w:color w:val="F07E31" w:themeColor="accent1"/>
                                <w:sz w:val="18"/>
                                <w:szCs w:val="18"/>
                                <w:lang w:val="de-DE"/>
                              </w:rPr>
                              <w:t xml:space="preserve"> </w:t>
                            </w:r>
                            <w:hyperlink r:id="rId48" w:history="1">
                              <w:r>
                                <w:rPr>
                                  <w:rStyle w:val="Hyperlink"/>
                                  <w:i/>
                                  <w:iCs/>
                                  <w:color w:val="F07E31" w:themeColor="accent1"/>
                                  <w:sz w:val="18"/>
                                  <w:szCs w:val="18"/>
                                  <w:lang w:val="de-DE"/>
                                </w:rPr>
                                <w:t xml:space="preserve">Guidelines </w:t>
                              </w:r>
                              <w:proofErr w:type="spellStart"/>
                              <w:r>
                                <w:rPr>
                                  <w:rStyle w:val="Hyperlink"/>
                                  <w:i/>
                                  <w:iCs/>
                                  <w:color w:val="F07E31" w:themeColor="accent1"/>
                                  <w:sz w:val="18"/>
                                  <w:szCs w:val="18"/>
                                  <w:lang w:val="de-DE"/>
                                </w:rPr>
                                <w:t>for</w:t>
                              </w:r>
                              <w:proofErr w:type="spellEnd"/>
                              <w:r>
                                <w:rPr>
                                  <w:rStyle w:val="Hyperlink"/>
                                  <w:i/>
                                  <w:iCs/>
                                  <w:color w:val="F07E31" w:themeColor="accent1"/>
                                  <w:sz w:val="18"/>
                                  <w:szCs w:val="18"/>
                                  <w:lang w:val="de-DE"/>
                                </w:rPr>
                                <w:t xml:space="preserve"> ex </w:t>
                              </w:r>
                              <w:proofErr w:type="spellStart"/>
                              <w:r>
                                <w:rPr>
                                  <w:rStyle w:val="Hyperlink"/>
                                  <w:i/>
                                  <w:iCs/>
                                  <w:color w:val="F07E31" w:themeColor="accent1"/>
                                  <w:sz w:val="18"/>
                                  <w:szCs w:val="18"/>
                                  <w:lang w:val="de-DE"/>
                                </w:rPr>
                                <w:t>post</w:t>
                              </w:r>
                              <w:proofErr w:type="spellEnd"/>
                              <w:r>
                                <w:rPr>
                                  <w:rStyle w:val="Hyperlink"/>
                                  <w:i/>
                                  <w:iCs/>
                                  <w:color w:val="F07E31" w:themeColor="accent1"/>
                                  <w:sz w:val="18"/>
                                  <w:szCs w:val="18"/>
                                  <w:lang w:val="de-DE"/>
                                </w:rPr>
                                <w:t xml:space="preserve"> </w:t>
                              </w:r>
                              <w:proofErr w:type="spellStart"/>
                              <w:r>
                                <w:rPr>
                                  <w:rStyle w:val="Hyperlink"/>
                                  <w:i/>
                                  <w:iCs/>
                                  <w:color w:val="F07E31" w:themeColor="accent1"/>
                                  <w:sz w:val="18"/>
                                  <w:szCs w:val="18"/>
                                  <w:lang w:val="de-DE"/>
                                </w:rPr>
                                <w:t>evaluation</w:t>
                              </w:r>
                              <w:proofErr w:type="spellEnd"/>
                              <w:r>
                                <w:rPr>
                                  <w:rStyle w:val="Hyperlink"/>
                                  <w:i/>
                                  <w:iCs/>
                                  <w:color w:val="F07E31" w:themeColor="accent1"/>
                                  <w:sz w:val="18"/>
                                  <w:szCs w:val="18"/>
                                  <w:lang w:val="de-DE"/>
                                </w:rPr>
                                <w:t xml:space="preserve"> </w:t>
                              </w:r>
                              <w:proofErr w:type="spellStart"/>
                              <w:r>
                                <w:rPr>
                                  <w:rStyle w:val="Hyperlink"/>
                                  <w:i/>
                                  <w:iCs/>
                                  <w:color w:val="F07E31" w:themeColor="accent1"/>
                                  <w:sz w:val="18"/>
                                  <w:szCs w:val="18"/>
                                  <w:lang w:val="de-DE"/>
                                </w:rPr>
                                <w:t>of</w:t>
                              </w:r>
                              <w:proofErr w:type="spellEnd"/>
                              <w:r>
                                <w:rPr>
                                  <w:rStyle w:val="Hyperlink"/>
                                  <w:i/>
                                  <w:iCs/>
                                  <w:color w:val="F07E31" w:themeColor="accent1"/>
                                  <w:sz w:val="18"/>
                                  <w:szCs w:val="18"/>
                                  <w:lang w:val="de-DE"/>
                                </w:rPr>
                                <w:t xml:space="preserve"> 2007–2013 RDPs</w:t>
                              </w:r>
                            </w:hyperlink>
                            <w:r>
                              <w:rPr>
                                <w:rStyle w:val="Hyperlink"/>
                                <w:i/>
                                <w:iCs/>
                                <w:color w:val="F07E31" w:themeColor="accent1"/>
                                <w:sz w:val="18"/>
                                <w:szCs w:val="18"/>
                                <w:lang w:val="de-DE"/>
                              </w:rPr>
                              <w:t>, Kapitel 4.</w:t>
                            </w:r>
                          </w:p>
                        </w:txbxContent>
                      </v:textbox>
                      <w10:anchorlock/>
                    </v:shape>
                  </w:pict>
                </mc:Fallback>
              </mc:AlternateContent>
            </w:r>
          </w:p>
        </w:tc>
      </w:tr>
    </w:tbl>
    <w:p w:rsidR="00B3609C" w:rsidRDefault="00882296">
      <w:pPr>
        <w:pStyle w:val="HStandard"/>
        <w:rPr>
          <w:lang w:val="de-DE"/>
        </w:rPr>
      </w:pPr>
      <w:r>
        <w:rPr>
          <w:b/>
          <w:bCs/>
          <w:i/>
          <w:iCs/>
          <w:noProof/>
          <w:color w:val="F07E31" w:themeColor="accent1"/>
          <w:lang w:eastAsia="en-GB"/>
        </w:rPr>
        <w:lastRenderedPageBreak/>
        <mc:AlternateContent>
          <mc:Choice Requires="wps">
            <w:drawing>
              <wp:inline distT="0" distB="0" distL="0" distR="0" wp14:anchorId="7181AB9A" wp14:editId="16A12776">
                <wp:extent cx="5766179" cy="9002486"/>
                <wp:effectExtent l="0" t="0" r="25400" b="27305"/>
                <wp:docPr id="4"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6179" cy="9002486"/>
                        </a:xfrm>
                        <a:custGeom>
                          <a:avLst/>
                          <a:gdLst>
                            <a:gd name="T0" fmla="*/ 290989 w 5731510"/>
                            <a:gd name="T1" fmla="*/ 0 h 8451850"/>
                            <a:gd name="T2" fmla="*/ 5731510 w 5731510"/>
                            <a:gd name="T3" fmla="*/ 0 h 8451850"/>
                            <a:gd name="T4" fmla="*/ 5731510 w 5731510"/>
                            <a:gd name="T5" fmla="*/ 0 h 8451850"/>
                            <a:gd name="T6" fmla="*/ 5731510 w 5731510"/>
                            <a:gd name="T7" fmla="*/ 8160861 h 8451850"/>
                            <a:gd name="T8" fmla="*/ 5440521 w 5731510"/>
                            <a:gd name="T9" fmla="*/ 8451850 h 8451850"/>
                            <a:gd name="T10" fmla="*/ 0 w 5731510"/>
                            <a:gd name="T11" fmla="*/ 8451850 h 8451850"/>
                            <a:gd name="T12" fmla="*/ 0 w 5731510"/>
                            <a:gd name="T13" fmla="*/ 8451850 h 8451850"/>
                            <a:gd name="T14" fmla="*/ 0 w 5731510"/>
                            <a:gd name="T15" fmla="*/ 290989 h 8451850"/>
                            <a:gd name="T16" fmla="*/ 290989 w 5731510"/>
                            <a:gd name="T17" fmla="*/ 0 h 84518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8451850"/>
                            <a:gd name="T29" fmla="*/ 5731510 w 5731510"/>
                            <a:gd name="T30" fmla="*/ 8451850 h 84518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8451850">
                              <a:moveTo>
                                <a:pt x="290989" y="0"/>
                              </a:moveTo>
                              <a:lnTo>
                                <a:pt x="5731510" y="0"/>
                              </a:lnTo>
                              <a:lnTo>
                                <a:pt x="5731510" y="8160861"/>
                              </a:lnTo>
                              <a:cubicBezTo>
                                <a:pt x="5731510" y="8321570"/>
                                <a:pt x="5601230" y="8451850"/>
                                <a:pt x="5440521" y="8451850"/>
                              </a:cubicBezTo>
                              <a:lnTo>
                                <a:pt x="0" y="8451850"/>
                              </a:lnTo>
                              <a:lnTo>
                                <a:pt x="0" y="290989"/>
                              </a:lnTo>
                              <a:cubicBezTo>
                                <a:pt x="0" y="130280"/>
                                <a:pt x="130280" y="0"/>
                                <a:pt x="290989"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B3609C" w:rsidRDefault="00882296">
                            <w:pPr>
                              <w:pStyle w:val="HHeading4"/>
                              <w:spacing w:after="120"/>
                              <w:rPr>
                                <w:sz w:val="17"/>
                                <w:szCs w:val="17"/>
                                <w:lang w:val="de-DE"/>
                              </w:rPr>
                            </w:pPr>
                            <w:r>
                              <w:rPr>
                                <w:b w:val="0"/>
                                <w:noProof/>
                                <w:sz w:val="17"/>
                                <w:szCs w:val="17"/>
                                <w:lang w:eastAsia="en-GB"/>
                              </w:rPr>
                              <w:drawing>
                                <wp:inline distT="0" distB="0" distL="0" distR="0" wp14:anchorId="3283395F" wp14:editId="6F3CBFF6">
                                  <wp:extent cx="664845" cy="487680"/>
                                  <wp:effectExtent l="0" t="0" r="0" b="7620"/>
                                  <wp:docPr id="899"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Cs/>
                                <w:sz w:val="17"/>
                                <w:szCs w:val="17"/>
                                <w:lang w:val="de-DE"/>
                              </w:rPr>
                              <w:t>KURZANLEITUNG NR. 3:</w:t>
                            </w:r>
                            <w:r>
                              <w:rPr>
                                <w:b w:val="0"/>
                                <w:sz w:val="17"/>
                                <w:szCs w:val="17"/>
                                <w:lang w:val="de-DE"/>
                              </w:rPr>
                              <w:t xml:space="preserve"> </w:t>
                            </w:r>
                            <w:r>
                              <w:rPr>
                                <w:bCs/>
                                <w:sz w:val="17"/>
                                <w:szCs w:val="17"/>
                                <w:lang w:val="de-DE"/>
                              </w:rPr>
                              <w:t>Abwägungen bei der Wahl der Bewertungsmethoden</w:t>
                            </w:r>
                          </w:p>
                          <w:p w:rsidR="00B3609C" w:rsidRDefault="00882296">
                            <w:pPr>
                              <w:pStyle w:val="HStandard"/>
                              <w:spacing w:after="0"/>
                              <w:rPr>
                                <w:rFonts w:cs="Arial"/>
                                <w:color w:val="373737"/>
                                <w:sz w:val="17"/>
                                <w:szCs w:val="17"/>
                                <w:lang w:val="de-DE"/>
                              </w:rPr>
                            </w:pPr>
                            <w:r>
                              <w:rPr>
                                <w:rFonts w:cs="Arial"/>
                                <w:color w:val="373737"/>
                                <w:sz w:val="17"/>
                                <w:szCs w:val="17"/>
                                <w:lang w:val="de-DE"/>
                              </w:rPr>
                              <w:t>Bei Bewertungen gelten die nicht verfügbaren Daten häufig als größte Einschränkung bei der Wahl der Bewertungsmethoden. Die Anwendung „naiver“ Techniken (ohne kontrafaktische Szenarien) führt in solchen Fällen jedoch zu erheblichen Schwächen im Zusammenhang mit der methodischen Genauigkeit, Glaubwürdigkeit, Belastbarkeit und Gültigkeit. Den Interessenträgen wird daher empfohlen, zwischen dem Datenbedarf und potenziellen verzerrenden systematischen Fehlern bei den Ergebnissen, die bei schwächeren Methoden entstehen, abzuwägen. Bewertungsmethoden, die zu einer höheren Qualität der Ergebnisse führen, sind in Bezug auf die Daten in der Regel anspruchsvoller.</w:t>
                            </w:r>
                          </w:p>
                          <w:p w:rsidR="00B3609C" w:rsidRDefault="00B3609C">
                            <w:pPr>
                              <w:pStyle w:val="HStandard"/>
                              <w:spacing w:after="0"/>
                              <w:rPr>
                                <w:rFonts w:cs="Arial"/>
                                <w:color w:val="373737"/>
                                <w:sz w:val="17"/>
                                <w:szCs w:val="17"/>
                                <w:lang w:val="de-DE"/>
                              </w:rPr>
                            </w:pPr>
                          </w:p>
                          <w:p w:rsidR="00B3609C" w:rsidRDefault="00882296">
                            <w:pPr>
                              <w:spacing w:before="0" w:after="0" w:line="240" w:lineRule="auto"/>
                              <w:rPr>
                                <w:rFonts w:cs="Arial"/>
                                <w:color w:val="373737"/>
                                <w:sz w:val="17"/>
                                <w:szCs w:val="17"/>
                                <w:highlight w:val="yellow"/>
                                <w:lang w:val="de-DE"/>
                              </w:rPr>
                            </w:pPr>
                            <w:r>
                              <w:rPr>
                                <w:rFonts w:cs="Arial"/>
                                <w:b/>
                                <w:bCs/>
                                <w:sz w:val="17"/>
                                <w:szCs w:val="17"/>
                                <w:lang w:val="de-DE"/>
                              </w:rPr>
                              <w:t>V</w:t>
                            </w:r>
                            <w:r>
                              <w:rPr>
                                <w:rFonts w:cs="Arial"/>
                                <w:b/>
                                <w:bCs/>
                                <w:color w:val="373737"/>
                                <w:sz w:val="17"/>
                                <w:szCs w:val="17"/>
                                <w:lang w:val="de-DE"/>
                              </w:rPr>
                              <w:t xml:space="preserve">ergleich der Methoden </w:t>
                            </w:r>
                            <w:r>
                              <w:rPr>
                                <w:rFonts w:cs="Arial"/>
                                <w:color w:val="373737"/>
                                <w:sz w:val="17"/>
                                <w:szCs w:val="17"/>
                                <w:lang w:val="de-DE"/>
                              </w:rPr>
                              <w:t xml:space="preserve">(Legende: +++++ = höchster Wert; + = niedrigster Wert): </w:t>
                            </w:r>
                          </w:p>
                          <w:tbl>
                            <w:tblPr>
                              <w:tblStyle w:val="Tabukasmriekou5tmavzvraznenie11"/>
                              <w:tblW w:w="8330" w:type="dxa"/>
                              <w:tblLayout w:type="fixed"/>
                              <w:tblLook w:val="04A0" w:firstRow="1" w:lastRow="0" w:firstColumn="1" w:lastColumn="0" w:noHBand="0" w:noVBand="1"/>
                            </w:tblPr>
                            <w:tblGrid>
                              <w:gridCol w:w="2093"/>
                              <w:gridCol w:w="1701"/>
                              <w:gridCol w:w="1701"/>
                              <w:gridCol w:w="1417"/>
                              <w:gridCol w:w="1418"/>
                            </w:tblGrid>
                            <w:tr w:rsidR="00B3609C" w:rsidTr="00B3609C">
                              <w:trPr>
                                <w:cnfStyle w:val="100000000000" w:firstRow="1" w:lastRow="0" w:firstColumn="0" w:lastColumn="0" w:oddVBand="0" w:evenVBand="0" w:oddHBand="0"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093" w:type="dxa"/>
                                </w:tcPr>
                                <w:p w:rsidR="00B3609C" w:rsidRDefault="00882296">
                                  <w:pPr>
                                    <w:jc w:val="center"/>
                                    <w:rPr>
                                      <w:rFonts w:cs="Arial"/>
                                      <w:sz w:val="17"/>
                                      <w:szCs w:val="17"/>
                                    </w:rPr>
                                  </w:pPr>
                                  <w:r>
                                    <w:rPr>
                                      <w:rFonts w:cs="Arial"/>
                                      <w:sz w:val="17"/>
                                      <w:szCs w:val="17"/>
                                      <w:lang w:val="de-DE"/>
                                    </w:rPr>
                                    <w:t>Methode</w:t>
                                  </w:r>
                                </w:p>
                              </w:tc>
                              <w:tc>
                                <w:tcPr>
                                  <w:tcW w:w="1701" w:type="dxa"/>
                                </w:tcPr>
                                <w:p w:rsidR="00B3609C" w:rsidRDefault="00882296">
                                  <w:pPr>
                                    <w:jc w:val="center"/>
                                    <w:cnfStyle w:val="100000000000" w:firstRow="1" w:lastRow="0" w:firstColumn="0" w:lastColumn="0" w:oddVBand="0" w:evenVBand="0" w:oddHBand="0" w:evenHBand="0" w:firstRowFirstColumn="0" w:firstRowLastColumn="0" w:lastRowFirstColumn="0" w:lastRowLastColumn="0"/>
                                    <w:rPr>
                                      <w:rFonts w:cs="Arial"/>
                                      <w:sz w:val="17"/>
                                      <w:szCs w:val="17"/>
                                    </w:rPr>
                                  </w:pPr>
                                  <w:r>
                                    <w:rPr>
                                      <w:rFonts w:cs="Arial"/>
                                      <w:sz w:val="17"/>
                                      <w:szCs w:val="17"/>
                                      <w:lang w:val="de-DE"/>
                                    </w:rPr>
                                    <w:t>Glaubwürdigkeit/Genauigkeit, Zuverlässigkeit usw.</w:t>
                                  </w:r>
                                </w:p>
                              </w:tc>
                              <w:tc>
                                <w:tcPr>
                                  <w:tcW w:w="1701" w:type="dxa"/>
                                </w:tcPr>
                                <w:p w:rsidR="00B3609C" w:rsidRDefault="00882296">
                                  <w:pPr>
                                    <w:jc w:val="center"/>
                                    <w:cnfStyle w:val="100000000000" w:firstRow="1" w:lastRow="0" w:firstColumn="0" w:lastColumn="0" w:oddVBand="0" w:evenVBand="0" w:oddHBand="0" w:evenHBand="0" w:firstRowFirstColumn="0" w:firstRowLastColumn="0" w:lastRowFirstColumn="0" w:lastRowLastColumn="0"/>
                                    <w:rPr>
                                      <w:rFonts w:cs="Arial"/>
                                      <w:sz w:val="17"/>
                                      <w:szCs w:val="17"/>
                                      <w:lang w:val="de-DE"/>
                                    </w:rPr>
                                  </w:pPr>
                                  <w:r>
                                    <w:rPr>
                                      <w:rFonts w:cs="Arial"/>
                                      <w:sz w:val="17"/>
                                      <w:szCs w:val="17"/>
                                      <w:lang w:val="de-DE"/>
                                    </w:rPr>
                                    <w:t>Fähigkeit zur Begrenzung der Auswahl und anderer verzerrender systematischer Fehler</w:t>
                                  </w:r>
                                </w:p>
                              </w:tc>
                              <w:tc>
                                <w:tcPr>
                                  <w:tcW w:w="1417" w:type="dxa"/>
                                </w:tcPr>
                                <w:p w:rsidR="00B3609C" w:rsidRDefault="00882296">
                                  <w:pPr>
                                    <w:jc w:val="center"/>
                                    <w:cnfStyle w:val="100000000000" w:firstRow="1" w:lastRow="0" w:firstColumn="0" w:lastColumn="0" w:oddVBand="0" w:evenVBand="0" w:oddHBand="0" w:evenHBand="0" w:firstRowFirstColumn="0" w:firstRowLastColumn="0" w:lastRowFirstColumn="0" w:lastRowLastColumn="0"/>
                                    <w:rPr>
                                      <w:rFonts w:cs="Arial"/>
                                      <w:sz w:val="17"/>
                                      <w:szCs w:val="17"/>
                                    </w:rPr>
                                  </w:pPr>
                                  <w:r>
                                    <w:rPr>
                                      <w:rFonts w:cs="Arial"/>
                                      <w:sz w:val="17"/>
                                      <w:szCs w:val="17"/>
                                      <w:lang w:val="de-DE"/>
                                    </w:rPr>
                                    <w:t>Qualität der Bewertung</w:t>
                                  </w:r>
                                </w:p>
                              </w:tc>
                              <w:tc>
                                <w:tcPr>
                                  <w:tcW w:w="1418" w:type="dxa"/>
                                </w:tcPr>
                                <w:p w:rsidR="00B3609C" w:rsidRDefault="00882296">
                                  <w:pPr>
                                    <w:jc w:val="center"/>
                                    <w:cnfStyle w:val="100000000000" w:firstRow="1" w:lastRow="0" w:firstColumn="0" w:lastColumn="0" w:oddVBand="0" w:evenVBand="0" w:oddHBand="0" w:evenHBand="0" w:firstRowFirstColumn="0" w:firstRowLastColumn="0" w:lastRowFirstColumn="0" w:lastRowLastColumn="0"/>
                                    <w:rPr>
                                      <w:rFonts w:cs="Arial"/>
                                      <w:sz w:val="17"/>
                                      <w:szCs w:val="17"/>
                                    </w:rPr>
                                  </w:pPr>
                                  <w:r>
                                    <w:rPr>
                                      <w:rFonts w:cs="Arial"/>
                                      <w:sz w:val="17"/>
                                      <w:szCs w:val="17"/>
                                      <w:lang w:val="de-DE"/>
                                    </w:rPr>
                                    <w:t>Datenbedarf</w:t>
                                  </w:r>
                                </w:p>
                              </w:tc>
                            </w:tr>
                            <w:tr w:rsidR="00B3609C" w:rsidTr="00B3609C">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2093" w:type="dxa"/>
                                </w:tcPr>
                                <w:p w:rsidR="00B3609C" w:rsidRDefault="00882296">
                                  <w:pPr>
                                    <w:jc w:val="left"/>
                                    <w:rPr>
                                      <w:rFonts w:cs="Arial"/>
                                      <w:sz w:val="17"/>
                                      <w:szCs w:val="17"/>
                                    </w:rPr>
                                  </w:pPr>
                                  <w:r>
                                    <w:rPr>
                                      <w:rFonts w:cs="Arial"/>
                                      <w:sz w:val="17"/>
                                      <w:szCs w:val="17"/>
                                      <w:lang w:val="de-DE"/>
                                    </w:rPr>
                                    <w:t>Experimenteller Ansatz</w:t>
                                  </w:r>
                                </w:p>
                              </w:tc>
                              <w:tc>
                                <w:tcPr>
                                  <w:tcW w:w="1701" w:type="dxa"/>
                                </w:tcPr>
                                <w:p w:rsidR="00B3609C" w:rsidRDefault="00882296">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701" w:type="dxa"/>
                                </w:tcPr>
                                <w:p w:rsidR="00B3609C" w:rsidRDefault="00882296">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417" w:type="dxa"/>
                                </w:tcPr>
                                <w:p w:rsidR="00B3609C" w:rsidRDefault="00882296">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418" w:type="dxa"/>
                                </w:tcPr>
                                <w:p w:rsidR="00B3609C" w:rsidRDefault="00882296">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r>
                            <w:tr w:rsidR="00B3609C" w:rsidTr="00B3609C">
                              <w:tc>
                                <w:tcPr>
                                  <w:cnfStyle w:val="001000000000" w:firstRow="0" w:lastRow="0" w:firstColumn="1" w:lastColumn="0" w:oddVBand="0" w:evenVBand="0" w:oddHBand="0" w:evenHBand="0" w:firstRowFirstColumn="0" w:firstRowLastColumn="0" w:lastRowFirstColumn="0" w:lastRowLastColumn="0"/>
                                  <w:tcW w:w="2093" w:type="dxa"/>
                                </w:tcPr>
                                <w:p w:rsidR="00B3609C" w:rsidRDefault="00882296">
                                  <w:pPr>
                                    <w:jc w:val="left"/>
                                    <w:rPr>
                                      <w:rFonts w:cs="Arial"/>
                                      <w:sz w:val="17"/>
                                      <w:szCs w:val="17"/>
                                    </w:rPr>
                                  </w:pPr>
                                  <w:r>
                                    <w:rPr>
                                      <w:rFonts w:cs="Arial"/>
                                      <w:sz w:val="17"/>
                                      <w:szCs w:val="17"/>
                                      <w:lang w:val="de-DE"/>
                                    </w:rPr>
                                    <w:t>Quasi-experimentelle Ansätze</w:t>
                                  </w:r>
                                </w:p>
                              </w:tc>
                              <w:tc>
                                <w:tcPr>
                                  <w:tcW w:w="1701" w:type="dxa"/>
                                </w:tcPr>
                                <w:p w:rsidR="00B3609C" w:rsidRDefault="00882296">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701" w:type="dxa"/>
                                </w:tcPr>
                                <w:p w:rsidR="00B3609C" w:rsidRDefault="00882296">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417" w:type="dxa"/>
                                </w:tcPr>
                                <w:p w:rsidR="00B3609C" w:rsidRDefault="00882296">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418" w:type="dxa"/>
                                </w:tcPr>
                                <w:p w:rsidR="00B3609C" w:rsidRDefault="00882296">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r>
                            <w:tr w:rsidR="00B3609C" w:rsidTr="00B360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3609C" w:rsidRDefault="00882296">
                                  <w:pPr>
                                    <w:jc w:val="left"/>
                                    <w:rPr>
                                      <w:rFonts w:cs="Arial"/>
                                      <w:sz w:val="17"/>
                                      <w:szCs w:val="17"/>
                                      <w:lang w:val="de-DE"/>
                                    </w:rPr>
                                  </w:pPr>
                                  <w:proofErr w:type="spellStart"/>
                                  <w:r>
                                    <w:rPr>
                                      <w:rFonts w:cs="Arial"/>
                                      <w:sz w:val="17"/>
                                      <w:szCs w:val="17"/>
                                      <w:lang w:val="de-DE"/>
                                    </w:rPr>
                                    <w:t>Matching</w:t>
                                  </w:r>
                                  <w:proofErr w:type="spellEnd"/>
                                  <w:r>
                                    <w:rPr>
                                      <w:rFonts w:cs="Arial"/>
                                      <w:sz w:val="17"/>
                                      <w:szCs w:val="17"/>
                                      <w:lang w:val="de-DE"/>
                                    </w:rPr>
                                    <w:t xml:space="preserve">-Ansätze (in Kombination mit </w:t>
                                  </w:r>
                                  <w:proofErr w:type="spellStart"/>
                                  <w:r>
                                    <w:rPr>
                                      <w:rFonts w:cs="Arial"/>
                                      <w:sz w:val="17"/>
                                      <w:szCs w:val="17"/>
                                      <w:lang w:val="de-DE"/>
                                    </w:rPr>
                                    <w:t>DiD</w:t>
                                  </w:r>
                                  <w:proofErr w:type="spellEnd"/>
                                  <w:r>
                                    <w:rPr>
                                      <w:rFonts w:cs="Arial"/>
                                      <w:sz w:val="17"/>
                                      <w:szCs w:val="17"/>
                                      <w:lang w:val="de-DE"/>
                                    </w:rPr>
                                    <w:t>)</w:t>
                                  </w:r>
                                </w:p>
                              </w:tc>
                              <w:tc>
                                <w:tcPr>
                                  <w:tcW w:w="1701" w:type="dxa"/>
                                </w:tcPr>
                                <w:p w:rsidR="00B3609C" w:rsidRDefault="00882296">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701" w:type="dxa"/>
                                </w:tcPr>
                                <w:p w:rsidR="00B3609C" w:rsidRDefault="00882296">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417" w:type="dxa"/>
                                </w:tcPr>
                                <w:p w:rsidR="00B3609C" w:rsidRDefault="00882296">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418" w:type="dxa"/>
                                </w:tcPr>
                                <w:p w:rsidR="00B3609C" w:rsidRDefault="00882296">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r>
                            <w:tr w:rsidR="00B3609C" w:rsidTr="00B3609C">
                              <w:trPr>
                                <w:trHeight w:val="416"/>
                              </w:trPr>
                              <w:tc>
                                <w:tcPr>
                                  <w:cnfStyle w:val="001000000000" w:firstRow="0" w:lastRow="0" w:firstColumn="1" w:lastColumn="0" w:oddVBand="0" w:evenVBand="0" w:oddHBand="0" w:evenHBand="0" w:firstRowFirstColumn="0" w:firstRowLastColumn="0" w:lastRowFirstColumn="0" w:lastRowLastColumn="0"/>
                                  <w:tcW w:w="2093" w:type="dxa"/>
                                </w:tcPr>
                                <w:p w:rsidR="00B3609C" w:rsidRDefault="00882296">
                                  <w:pPr>
                                    <w:jc w:val="left"/>
                                    <w:rPr>
                                      <w:rFonts w:cs="Arial"/>
                                      <w:sz w:val="17"/>
                                      <w:szCs w:val="17"/>
                                    </w:rPr>
                                  </w:pPr>
                                  <w:r>
                                    <w:rPr>
                                      <w:rFonts w:cs="Arial"/>
                                      <w:sz w:val="17"/>
                                      <w:szCs w:val="17"/>
                                      <w:lang w:val="de-DE"/>
                                    </w:rPr>
                                    <w:t>Regressions-Diskontinuitäts-Analyse (RDD)</w:t>
                                  </w:r>
                                </w:p>
                              </w:tc>
                              <w:tc>
                                <w:tcPr>
                                  <w:tcW w:w="1701" w:type="dxa"/>
                                </w:tcPr>
                                <w:p w:rsidR="00B3609C" w:rsidRDefault="00882296">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701" w:type="dxa"/>
                                </w:tcPr>
                                <w:p w:rsidR="00B3609C" w:rsidRDefault="00882296">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417" w:type="dxa"/>
                                </w:tcPr>
                                <w:p w:rsidR="00B3609C" w:rsidRDefault="00882296">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418" w:type="dxa"/>
                                </w:tcPr>
                                <w:p w:rsidR="00B3609C" w:rsidRDefault="00882296">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r>
                            <w:tr w:rsidR="00B3609C" w:rsidTr="00B3609C">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093" w:type="dxa"/>
                                </w:tcPr>
                                <w:p w:rsidR="00B3609C" w:rsidRDefault="00882296">
                                  <w:pPr>
                                    <w:jc w:val="left"/>
                                    <w:rPr>
                                      <w:rFonts w:cs="Arial"/>
                                      <w:sz w:val="17"/>
                                      <w:szCs w:val="17"/>
                                    </w:rPr>
                                  </w:pPr>
                                  <w:r>
                                    <w:rPr>
                                      <w:rFonts w:cs="Arial"/>
                                      <w:sz w:val="17"/>
                                      <w:szCs w:val="17"/>
                                      <w:lang w:val="de-DE"/>
                                    </w:rPr>
                                    <w:t>Instrumentenvariablenmethode</w:t>
                                  </w:r>
                                </w:p>
                              </w:tc>
                              <w:tc>
                                <w:tcPr>
                                  <w:tcW w:w="1701" w:type="dxa"/>
                                </w:tcPr>
                                <w:p w:rsidR="00B3609C" w:rsidRDefault="00882296">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701" w:type="dxa"/>
                                </w:tcPr>
                                <w:p w:rsidR="00B3609C" w:rsidRDefault="00882296">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417" w:type="dxa"/>
                                </w:tcPr>
                                <w:p w:rsidR="00B3609C" w:rsidRDefault="00882296">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418" w:type="dxa"/>
                                </w:tcPr>
                                <w:p w:rsidR="00B3609C" w:rsidRDefault="00882296">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r>
                            <w:tr w:rsidR="00B3609C" w:rsidTr="00B3609C">
                              <w:trPr>
                                <w:trHeight w:val="414"/>
                              </w:trPr>
                              <w:tc>
                                <w:tcPr>
                                  <w:cnfStyle w:val="001000000000" w:firstRow="0" w:lastRow="0" w:firstColumn="1" w:lastColumn="0" w:oddVBand="0" w:evenVBand="0" w:oddHBand="0" w:evenHBand="0" w:firstRowFirstColumn="0" w:firstRowLastColumn="0" w:lastRowFirstColumn="0" w:lastRowLastColumn="0"/>
                                  <w:tcW w:w="2093" w:type="dxa"/>
                                </w:tcPr>
                                <w:p w:rsidR="00B3609C" w:rsidRDefault="00882296">
                                  <w:pPr>
                                    <w:jc w:val="left"/>
                                    <w:rPr>
                                      <w:rFonts w:cs="Arial"/>
                                      <w:sz w:val="17"/>
                                      <w:szCs w:val="17"/>
                                    </w:rPr>
                                  </w:pPr>
                                  <w:proofErr w:type="spellStart"/>
                                  <w:r>
                                    <w:rPr>
                                      <w:rFonts w:cs="Arial"/>
                                      <w:sz w:val="17"/>
                                      <w:szCs w:val="17"/>
                                      <w:lang w:val="de-DE"/>
                                    </w:rPr>
                                    <w:t>DiD</w:t>
                                  </w:r>
                                  <w:proofErr w:type="spellEnd"/>
                                  <w:r>
                                    <w:rPr>
                                      <w:rFonts w:cs="Arial"/>
                                      <w:sz w:val="17"/>
                                      <w:szCs w:val="17"/>
                                      <w:lang w:val="de-DE"/>
                                    </w:rPr>
                                    <w:t>-Methode</w:t>
                                  </w:r>
                                </w:p>
                              </w:tc>
                              <w:tc>
                                <w:tcPr>
                                  <w:tcW w:w="1701" w:type="dxa"/>
                                </w:tcPr>
                                <w:p w:rsidR="00B3609C" w:rsidRDefault="00882296">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701" w:type="dxa"/>
                                </w:tcPr>
                                <w:p w:rsidR="00B3609C" w:rsidRDefault="00882296">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417" w:type="dxa"/>
                                </w:tcPr>
                                <w:p w:rsidR="00B3609C" w:rsidRDefault="00882296">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418" w:type="dxa"/>
                                </w:tcPr>
                                <w:p w:rsidR="00B3609C" w:rsidRDefault="00882296">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r>
                            <w:tr w:rsidR="00B3609C" w:rsidTr="00B360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3609C" w:rsidRDefault="00882296">
                                  <w:pPr>
                                    <w:jc w:val="left"/>
                                    <w:rPr>
                                      <w:rFonts w:cs="Arial"/>
                                      <w:sz w:val="17"/>
                                      <w:szCs w:val="17"/>
                                      <w:lang w:val="de-DE"/>
                                    </w:rPr>
                                  </w:pPr>
                                  <w:r>
                                    <w:rPr>
                                      <w:rFonts w:cs="Arial"/>
                                      <w:sz w:val="17"/>
                                      <w:szCs w:val="17"/>
                                      <w:lang w:val="de-DE"/>
                                    </w:rPr>
                                    <w:t>Vergleiche mit Nichtbegünstigten in ei</w:t>
                                  </w:r>
                                  <w:r>
                                    <w:rPr>
                                      <w:rFonts w:cs="Arial"/>
                                      <w:sz w:val="17"/>
                                      <w:szCs w:val="17"/>
                                      <w:lang w:val="de-DE"/>
                                    </w:rPr>
                                    <w:softHyphen/>
                                    <w:t>nem bestimmten Zeitraum (naiver Ansatz)</w:t>
                                  </w:r>
                                </w:p>
                              </w:tc>
                              <w:tc>
                                <w:tcPr>
                                  <w:tcW w:w="1701" w:type="dxa"/>
                                </w:tcPr>
                                <w:p w:rsidR="00B3609C" w:rsidRDefault="00882296">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701" w:type="dxa"/>
                                </w:tcPr>
                                <w:p w:rsidR="00B3609C" w:rsidRDefault="00882296">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417" w:type="dxa"/>
                                </w:tcPr>
                                <w:p w:rsidR="00B3609C" w:rsidRDefault="00882296">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418" w:type="dxa"/>
                                </w:tcPr>
                                <w:p w:rsidR="00B3609C" w:rsidRDefault="00882296">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r>
                            <w:tr w:rsidR="00B3609C" w:rsidTr="00B3609C">
                              <w:tc>
                                <w:tcPr>
                                  <w:cnfStyle w:val="001000000000" w:firstRow="0" w:lastRow="0" w:firstColumn="1" w:lastColumn="0" w:oddVBand="0" w:evenVBand="0" w:oddHBand="0" w:evenHBand="0" w:firstRowFirstColumn="0" w:firstRowLastColumn="0" w:lastRowFirstColumn="0" w:lastRowLastColumn="0"/>
                                  <w:tcW w:w="2093" w:type="dxa"/>
                                </w:tcPr>
                                <w:p w:rsidR="00B3609C" w:rsidRDefault="00882296">
                                  <w:pPr>
                                    <w:jc w:val="left"/>
                                    <w:rPr>
                                      <w:rFonts w:cs="Arial"/>
                                      <w:sz w:val="17"/>
                                      <w:szCs w:val="17"/>
                                      <w:lang w:val="de-DE"/>
                                    </w:rPr>
                                  </w:pPr>
                                  <w:r>
                                    <w:rPr>
                                      <w:rFonts w:cs="Arial"/>
                                      <w:sz w:val="17"/>
                                      <w:szCs w:val="17"/>
                                      <w:lang w:val="de-DE"/>
                                    </w:rPr>
                                    <w:t>Vorher-Nachher-Vergleich mit Begünstigten des Programms (naiver Ansatz)</w:t>
                                  </w:r>
                                </w:p>
                              </w:tc>
                              <w:tc>
                                <w:tcPr>
                                  <w:tcW w:w="1701" w:type="dxa"/>
                                </w:tcPr>
                                <w:p w:rsidR="00B3609C" w:rsidRDefault="00882296">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701" w:type="dxa"/>
                                </w:tcPr>
                                <w:p w:rsidR="00B3609C" w:rsidRDefault="00882296">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417" w:type="dxa"/>
                                </w:tcPr>
                                <w:p w:rsidR="00B3609C" w:rsidRDefault="00882296">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418" w:type="dxa"/>
                                </w:tcPr>
                                <w:p w:rsidR="00B3609C" w:rsidRDefault="00882296">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r>
                            <w:tr w:rsidR="00B3609C" w:rsidTr="00B360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3609C" w:rsidRDefault="00882296">
                                  <w:pPr>
                                    <w:jc w:val="left"/>
                                    <w:rPr>
                                      <w:rFonts w:cs="Arial"/>
                                      <w:sz w:val="17"/>
                                      <w:szCs w:val="17"/>
                                      <w:lang w:val="de-DE"/>
                                    </w:rPr>
                                  </w:pPr>
                                  <w:r>
                                    <w:rPr>
                                      <w:rFonts w:cs="Arial"/>
                                      <w:sz w:val="17"/>
                                      <w:szCs w:val="17"/>
                                      <w:lang w:val="de-DE"/>
                                    </w:rPr>
                                    <w:t>Angewendete qualitative Ansätze zur Schätzung der Programmergebnisse/-auswirkungen</w:t>
                                  </w:r>
                                </w:p>
                              </w:tc>
                              <w:tc>
                                <w:tcPr>
                                  <w:tcW w:w="1701" w:type="dxa"/>
                                </w:tcPr>
                                <w:p w:rsidR="00B3609C" w:rsidRDefault="00882296">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701" w:type="dxa"/>
                                </w:tcPr>
                                <w:p w:rsidR="00B3609C" w:rsidRDefault="00882296">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417" w:type="dxa"/>
                                </w:tcPr>
                                <w:p w:rsidR="00B3609C" w:rsidRDefault="00882296">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418" w:type="dxa"/>
                                </w:tcPr>
                                <w:p w:rsidR="00B3609C" w:rsidRDefault="00882296">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r>
                          </w:tbl>
                          <w:p w:rsidR="00B3609C" w:rsidRDefault="00882296">
                            <w:pPr>
                              <w:pStyle w:val="HStandard"/>
                              <w:jc w:val="center"/>
                              <w:rPr>
                                <w:i/>
                                <w:color w:val="F07E31" w:themeColor="accent1"/>
                                <w:sz w:val="17"/>
                                <w:szCs w:val="17"/>
                                <w:lang w:val="de-DE"/>
                              </w:rPr>
                            </w:pPr>
                            <w:r>
                              <w:rPr>
                                <w:i/>
                                <w:iCs/>
                                <w:color w:val="F07E31" w:themeColor="accent1"/>
                                <w:sz w:val="17"/>
                                <w:szCs w:val="17"/>
                                <w:lang w:val="de-DE"/>
                              </w:rPr>
                              <w:t>Weitere Informationen über die Kriterien zur Auswahl der Bewertungsansätze</w:t>
                            </w:r>
                            <w:r>
                              <w:rPr>
                                <w:color w:val="F07E31" w:themeColor="accent1"/>
                                <w:sz w:val="17"/>
                                <w:szCs w:val="17"/>
                                <w:lang w:val="de-DE"/>
                              </w:rPr>
                              <w:br/>
                            </w:r>
                            <w:r>
                              <w:rPr>
                                <w:i/>
                                <w:iCs/>
                                <w:color w:val="F07E31" w:themeColor="accent1"/>
                                <w:sz w:val="17"/>
                                <w:szCs w:val="17"/>
                                <w:lang w:val="de-DE"/>
                              </w:rPr>
                              <w:t xml:space="preserve">siehe </w:t>
                            </w:r>
                            <w:hyperlink r:id="rId49" w:history="1">
                              <w:r>
                                <w:rPr>
                                  <w:rStyle w:val="Hyperlink"/>
                                  <w:rFonts w:cs="Arial"/>
                                  <w:i/>
                                  <w:iCs/>
                                  <w:color w:val="F07E31" w:themeColor="accent1"/>
                                  <w:sz w:val="17"/>
                                  <w:szCs w:val="17"/>
                                  <w:lang w:val="de-DE"/>
                                </w:rPr>
                                <w:t xml:space="preserve">Guidelines </w:t>
                              </w:r>
                              <w:proofErr w:type="spellStart"/>
                              <w:r>
                                <w:rPr>
                                  <w:rStyle w:val="Hyperlink"/>
                                  <w:rFonts w:cs="Arial"/>
                                  <w:i/>
                                  <w:iCs/>
                                  <w:color w:val="F07E31" w:themeColor="accent1"/>
                                  <w:sz w:val="17"/>
                                  <w:szCs w:val="17"/>
                                  <w:lang w:val="de-DE"/>
                                </w:rPr>
                                <w:t>for</w:t>
                              </w:r>
                              <w:proofErr w:type="spellEnd"/>
                              <w:r>
                                <w:rPr>
                                  <w:rStyle w:val="Hyperlink"/>
                                  <w:rFonts w:cs="Arial"/>
                                  <w:i/>
                                  <w:iCs/>
                                  <w:color w:val="F07E31" w:themeColor="accent1"/>
                                  <w:sz w:val="17"/>
                                  <w:szCs w:val="17"/>
                                  <w:lang w:val="de-DE"/>
                                </w:rPr>
                                <w:t xml:space="preserve"> ex </w:t>
                              </w:r>
                              <w:proofErr w:type="spellStart"/>
                              <w:r>
                                <w:rPr>
                                  <w:rStyle w:val="Hyperlink"/>
                                  <w:rFonts w:cs="Arial"/>
                                  <w:i/>
                                  <w:iCs/>
                                  <w:color w:val="F07E31" w:themeColor="accent1"/>
                                  <w:sz w:val="17"/>
                                  <w:szCs w:val="17"/>
                                  <w:lang w:val="de-DE"/>
                                </w:rPr>
                                <w:t>post</w:t>
                              </w:r>
                              <w:proofErr w:type="spellEnd"/>
                              <w:r>
                                <w:rPr>
                                  <w:rStyle w:val="Hyperlink"/>
                                  <w:rFonts w:cs="Arial"/>
                                  <w:i/>
                                  <w:iCs/>
                                  <w:color w:val="F07E31" w:themeColor="accent1"/>
                                  <w:sz w:val="17"/>
                                  <w:szCs w:val="17"/>
                                  <w:lang w:val="de-DE"/>
                                </w:rPr>
                                <w:t xml:space="preserve"> </w:t>
                              </w:r>
                              <w:proofErr w:type="spellStart"/>
                              <w:r>
                                <w:rPr>
                                  <w:rStyle w:val="Hyperlink"/>
                                  <w:rFonts w:cs="Arial"/>
                                  <w:i/>
                                  <w:iCs/>
                                  <w:color w:val="F07E31" w:themeColor="accent1"/>
                                  <w:sz w:val="17"/>
                                  <w:szCs w:val="17"/>
                                  <w:lang w:val="de-DE"/>
                                </w:rPr>
                                <w:t>evaluation</w:t>
                              </w:r>
                              <w:proofErr w:type="spellEnd"/>
                              <w:r>
                                <w:rPr>
                                  <w:rStyle w:val="Hyperlink"/>
                                  <w:rFonts w:cs="Arial"/>
                                  <w:i/>
                                  <w:iCs/>
                                  <w:color w:val="F07E31" w:themeColor="accent1"/>
                                  <w:sz w:val="17"/>
                                  <w:szCs w:val="17"/>
                                  <w:lang w:val="de-DE"/>
                                </w:rPr>
                                <w:t xml:space="preserve"> </w:t>
                              </w:r>
                              <w:proofErr w:type="spellStart"/>
                              <w:r>
                                <w:rPr>
                                  <w:rStyle w:val="Hyperlink"/>
                                  <w:rFonts w:cs="Arial"/>
                                  <w:i/>
                                  <w:iCs/>
                                  <w:color w:val="F07E31" w:themeColor="accent1"/>
                                  <w:sz w:val="17"/>
                                  <w:szCs w:val="17"/>
                                  <w:lang w:val="de-DE"/>
                                </w:rPr>
                                <w:t>of</w:t>
                              </w:r>
                              <w:proofErr w:type="spellEnd"/>
                              <w:r>
                                <w:rPr>
                                  <w:rStyle w:val="Hyperlink"/>
                                  <w:rFonts w:cs="Arial"/>
                                  <w:i/>
                                  <w:iCs/>
                                  <w:color w:val="F07E31" w:themeColor="accent1"/>
                                  <w:sz w:val="17"/>
                                  <w:szCs w:val="17"/>
                                  <w:lang w:val="de-DE"/>
                                </w:rPr>
                                <w:t xml:space="preserve"> 2007–2013 RDPs</w:t>
                              </w:r>
                            </w:hyperlink>
                            <w:r>
                              <w:rPr>
                                <w:rStyle w:val="Hyperlink"/>
                                <w:rFonts w:cs="Arial"/>
                                <w:i/>
                                <w:iCs/>
                                <w:color w:val="F07E31" w:themeColor="accent1"/>
                                <w:sz w:val="17"/>
                                <w:szCs w:val="17"/>
                                <w:lang w:val="de-DE"/>
                              </w:rPr>
                              <w:t xml:space="preserve">, </w:t>
                            </w:r>
                            <w:r>
                              <w:rPr>
                                <w:i/>
                                <w:iCs/>
                                <w:color w:val="F07E31" w:themeColor="accent1"/>
                                <w:sz w:val="17"/>
                                <w:szCs w:val="17"/>
                                <w:u w:val="single"/>
                                <w:lang w:val="de-DE"/>
                              </w:rPr>
                              <w:t>Kapitel 4.3.4.2.</w:t>
                            </w:r>
                          </w:p>
                        </w:txbxContent>
                      </wps:txbx>
                      <wps:bodyPr rot="0" vert="horz" wrap="square" lIns="91440" tIns="45720" rIns="91440" bIns="45720" anchor="ctr" anchorCtr="0" upright="1">
                        <a:noAutofit/>
                      </wps:bodyPr>
                    </wps:wsp>
                  </a:graphicData>
                </a:graphic>
              </wp:inline>
            </w:drawing>
          </mc:Choice>
          <mc:Fallback>
            <w:pict>
              <v:shape w14:anchorId="7181AB9A" id="AutoShape 66" o:spid="_x0000_s1037" style="width:454.05pt;height:708.85pt;visibility:visible;mso-wrap-style:square;mso-left-percent:-10001;mso-top-percent:-10001;mso-position-horizontal:absolute;mso-position-horizontal-relative:char;mso-position-vertical:absolute;mso-position-vertical-relative:line;mso-left-percent:-10001;mso-top-percent:-10001;v-text-anchor:middle" coordsize="5731510,8451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" adj="-11796480,,5400" path="m290989,l5731510,r,8160861c5731510,8321570,5601230,8451850,5440521,8451850l,8451850,,290989c,130280,130280,,290989,xe" filled="f" strokecolor="#be4a35" strokeweight="2pt">
                <v:stroke joinstyle="miter"/>
                <v:formulas/>
                <v:path arrowok="t" o:connecttype="custom" o:connectlocs="292749,0;5766179,0;5766179,0;5766179,8692539;5473430,9002486;0,9002486;0,9002486;0,309947;292749,0" o:connectangles="0,0,0,0,0,0,0,0,0" textboxrect="0,0,5731510,8451850"/>
                <v:textbox>
                  <w:txbxContent>
                    <w:p w:rsidR="00B3609C" w:rsidRDefault="00882296">
                      <w:pPr>
                        <w:pStyle w:val="HHeading4"/>
                        <w:spacing w:after="120"/>
                        <w:rPr>
                          <w:sz w:val="17"/>
                          <w:szCs w:val="17"/>
                          <w:lang w:val="de-DE"/>
                        </w:rPr>
                      </w:pPr>
                      <w:r>
                        <w:rPr>
                          <w:b w:val="0"/>
                          <w:noProof/>
                          <w:sz w:val="17"/>
                          <w:szCs w:val="17"/>
                          <w:lang w:eastAsia="en-GB"/>
                        </w:rPr>
                        <w:drawing>
                          <wp:inline distT="0" distB="0" distL="0" distR="0" wp14:anchorId="3283395F" wp14:editId="6F3CBFF6">
                            <wp:extent cx="664845" cy="487680"/>
                            <wp:effectExtent l="0" t="0" r="0" b="7620"/>
                            <wp:docPr id="899"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Cs/>
                          <w:sz w:val="17"/>
                          <w:szCs w:val="17"/>
                          <w:lang w:val="de-DE"/>
                        </w:rPr>
                        <w:t>KURZANLEITUNG NR. 3:</w:t>
                      </w:r>
                      <w:r>
                        <w:rPr>
                          <w:b w:val="0"/>
                          <w:sz w:val="17"/>
                          <w:szCs w:val="17"/>
                          <w:lang w:val="de-DE"/>
                        </w:rPr>
                        <w:t xml:space="preserve"> </w:t>
                      </w:r>
                      <w:r>
                        <w:rPr>
                          <w:bCs/>
                          <w:sz w:val="17"/>
                          <w:szCs w:val="17"/>
                          <w:lang w:val="de-DE"/>
                        </w:rPr>
                        <w:t>Abwägungen bei der Wahl der Bewertungsmethoden</w:t>
                      </w:r>
                    </w:p>
                    <w:p w:rsidR="00B3609C" w:rsidRDefault="00882296">
                      <w:pPr>
                        <w:pStyle w:val="HStandard"/>
                        <w:spacing w:after="0"/>
                        <w:rPr>
                          <w:rFonts w:cs="Arial"/>
                          <w:color w:val="373737"/>
                          <w:sz w:val="17"/>
                          <w:szCs w:val="17"/>
                          <w:lang w:val="de-DE"/>
                        </w:rPr>
                      </w:pPr>
                      <w:r>
                        <w:rPr>
                          <w:rFonts w:cs="Arial"/>
                          <w:color w:val="373737"/>
                          <w:sz w:val="17"/>
                          <w:szCs w:val="17"/>
                          <w:lang w:val="de-DE"/>
                        </w:rPr>
                        <w:t>Bei Bewertungen gelten die nicht verfügbaren Daten häufig als größte Einschränkung bei der Wahl der Bewertungsmethoden. Die Anwendung „naiver“ Techniken (ohne kontrafaktische Szenarien) führt in solchen Fällen jedoch zu erheblichen Schwächen im Zusammenhang mit der methodischen Genauigkeit, Glaubwürdigkeit, Belastbarkeit und Gültigkeit. Den Interessenträgen wird daher empfohlen, zwischen dem Datenbedarf und potenziellen verzerrenden systematischen Fehlern bei den Ergebnissen, die bei schwächeren Methoden entstehen, abzuwägen. Bewertungsmethoden, die zu einer höheren Qualität der Ergebnisse führen, sind in Bezug auf die Daten in der Regel anspruchsvoller.</w:t>
                      </w:r>
                    </w:p>
                    <w:p w:rsidR="00B3609C" w:rsidRDefault="00B3609C">
                      <w:pPr>
                        <w:pStyle w:val="HStandard"/>
                        <w:spacing w:after="0"/>
                        <w:rPr>
                          <w:rFonts w:cs="Arial"/>
                          <w:color w:val="373737"/>
                          <w:sz w:val="17"/>
                          <w:szCs w:val="17"/>
                          <w:lang w:val="de-DE"/>
                        </w:rPr>
                      </w:pPr>
                    </w:p>
                    <w:p w:rsidR="00B3609C" w:rsidRDefault="00882296">
                      <w:pPr>
                        <w:spacing w:before="0" w:after="0" w:line="240" w:lineRule="auto"/>
                        <w:rPr>
                          <w:rFonts w:cs="Arial"/>
                          <w:color w:val="373737"/>
                          <w:sz w:val="17"/>
                          <w:szCs w:val="17"/>
                          <w:highlight w:val="yellow"/>
                          <w:lang w:val="de-DE"/>
                        </w:rPr>
                      </w:pPr>
                      <w:r>
                        <w:rPr>
                          <w:rFonts w:cs="Arial"/>
                          <w:b/>
                          <w:bCs/>
                          <w:sz w:val="17"/>
                          <w:szCs w:val="17"/>
                          <w:lang w:val="de-DE"/>
                        </w:rPr>
                        <w:t>V</w:t>
                      </w:r>
                      <w:r>
                        <w:rPr>
                          <w:rFonts w:cs="Arial"/>
                          <w:b/>
                          <w:bCs/>
                          <w:color w:val="373737"/>
                          <w:sz w:val="17"/>
                          <w:szCs w:val="17"/>
                          <w:lang w:val="de-DE"/>
                        </w:rPr>
                        <w:t xml:space="preserve">ergleich der Methoden </w:t>
                      </w:r>
                      <w:r>
                        <w:rPr>
                          <w:rFonts w:cs="Arial"/>
                          <w:color w:val="373737"/>
                          <w:sz w:val="17"/>
                          <w:szCs w:val="17"/>
                          <w:lang w:val="de-DE"/>
                        </w:rPr>
                        <w:t xml:space="preserve">(Legende: +++++ = höchster Wert; + = niedrigster Wert): </w:t>
                      </w:r>
                    </w:p>
                    <w:tbl>
                      <w:tblPr>
                        <w:tblStyle w:val="Tabukasmriekou5tmavzvraznenie11"/>
                        <w:tblW w:w="8330" w:type="dxa"/>
                        <w:tblLayout w:type="fixed"/>
                        <w:tblLook w:val="04A0" w:firstRow="1" w:lastRow="0" w:firstColumn="1" w:lastColumn="0" w:noHBand="0" w:noVBand="1"/>
                      </w:tblPr>
                      <w:tblGrid>
                        <w:gridCol w:w="2093"/>
                        <w:gridCol w:w="1701"/>
                        <w:gridCol w:w="1701"/>
                        <w:gridCol w:w="1417"/>
                        <w:gridCol w:w="1418"/>
                      </w:tblGrid>
                      <w:tr w:rsidR="00B3609C" w:rsidTr="00B3609C">
                        <w:trPr>
                          <w:cnfStyle w:val="100000000000" w:firstRow="1" w:lastRow="0" w:firstColumn="0" w:lastColumn="0" w:oddVBand="0" w:evenVBand="0" w:oddHBand="0"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093" w:type="dxa"/>
                          </w:tcPr>
                          <w:p w:rsidR="00B3609C" w:rsidRDefault="00882296">
                            <w:pPr>
                              <w:jc w:val="center"/>
                              <w:rPr>
                                <w:rFonts w:cs="Arial"/>
                                <w:sz w:val="17"/>
                                <w:szCs w:val="17"/>
                              </w:rPr>
                            </w:pPr>
                            <w:r>
                              <w:rPr>
                                <w:rFonts w:cs="Arial"/>
                                <w:sz w:val="17"/>
                                <w:szCs w:val="17"/>
                                <w:lang w:val="de-DE"/>
                              </w:rPr>
                              <w:t>Methode</w:t>
                            </w:r>
                          </w:p>
                        </w:tc>
                        <w:tc>
                          <w:tcPr>
                            <w:tcW w:w="1701" w:type="dxa"/>
                          </w:tcPr>
                          <w:p w:rsidR="00B3609C" w:rsidRDefault="00882296">
                            <w:pPr>
                              <w:jc w:val="center"/>
                              <w:cnfStyle w:val="100000000000" w:firstRow="1" w:lastRow="0" w:firstColumn="0" w:lastColumn="0" w:oddVBand="0" w:evenVBand="0" w:oddHBand="0" w:evenHBand="0" w:firstRowFirstColumn="0" w:firstRowLastColumn="0" w:lastRowFirstColumn="0" w:lastRowLastColumn="0"/>
                              <w:rPr>
                                <w:rFonts w:cs="Arial"/>
                                <w:sz w:val="17"/>
                                <w:szCs w:val="17"/>
                              </w:rPr>
                            </w:pPr>
                            <w:r>
                              <w:rPr>
                                <w:rFonts w:cs="Arial"/>
                                <w:sz w:val="17"/>
                                <w:szCs w:val="17"/>
                                <w:lang w:val="de-DE"/>
                              </w:rPr>
                              <w:t>Glaubwürdigkeit/Genauigkeit, Zuverlässigkeit usw.</w:t>
                            </w:r>
                          </w:p>
                        </w:tc>
                        <w:tc>
                          <w:tcPr>
                            <w:tcW w:w="1701" w:type="dxa"/>
                          </w:tcPr>
                          <w:p w:rsidR="00B3609C" w:rsidRDefault="00882296">
                            <w:pPr>
                              <w:jc w:val="center"/>
                              <w:cnfStyle w:val="100000000000" w:firstRow="1" w:lastRow="0" w:firstColumn="0" w:lastColumn="0" w:oddVBand="0" w:evenVBand="0" w:oddHBand="0" w:evenHBand="0" w:firstRowFirstColumn="0" w:firstRowLastColumn="0" w:lastRowFirstColumn="0" w:lastRowLastColumn="0"/>
                              <w:rPr>
                                <w:rFonts w:cs="Arial"/>
                                <w:sz w:val="17"/>
                                <w:szCs w:val="17"/>
                                <w:lang w:val="de-DE"/>
                              </w:rPr>
                            </w:pPr>
                            <w:r>
                              <w:rPr>
                                <w:rFonts w:cs="Arial"/>
                                <w:sz w:val="17"/>
                                <w:szCs w:val="17"/>
                                <w:lang w:val="de-DE"/>
                              </w:rPr>
                              <w:t>Fähigkeit zur Begrenzung der Auswahl und anderer verzerrender systematischer Fehler</w:t>
                            </w:r>
                          </w:p>
                        </w:tc>
                        <w:tc>
                          <w:tcPr>
                            <w:tcW w:w="1417" w:type="dxa"/>
                          </w:tcPr>
                          <w:p w:rsidR="00B3609C" w:rsidRDefault="00882296">
                            <w:pPr>
                              <w:jc w:val="center"/>
                              <w:cnfStyle w:val="100000000000" w:firstRow="1" w:lastRow="0" w:firstColumn="0" w:lastColumn="0" w:oddVBand="0" w:evenVBand="0" w:oddHBand="0" w:evenHBand="0" w:firstRowFirstColumn="0" w:firstRowLastColumn="0" w:lastRowFirstColumn="0" w:lastRowLastColumn="0"/>
                              <w:rPr>
                                <w:rFonts w:cs="Arial"/>
                                <w:sz w:val="17"/>
                                <w:szCs w:val="17"/>
                              </w:rPr>
                            </w:pPr>
                            <w:r>
                              <w:rPr>
                                <w:rFonts w:cs="Arial"/>
                                <w:sz w:val="17"/>
                                <w:szCs w:val="17"/>
                                <w:lang w:val="de-DE"/>
                              </w:rPr>
                              <w:t>Qualität der Bewertung</w:t>
                            </w:r>
                          </w:p>
                        </w:tc>
                        <w:tc>
                          <w:tcPr>
                            <w:tcW w:w="1418" w:type="dxa"/>
                          </w:tcPr>
                          <w:p w:rsidR="00B3609C" w:rsidRDefault="00882296">
                            <w:pPr>
                              <w:jc w:val="center"/>
                              <w:cnfStyle w:val="100000000000" w:firstRow="1" w:lastRow="0" w:firstColumn="0" w:lastColumn="0" w:oddVBand="0" w:evenVBand="0" w:oddHBand="0" w:evenHBand="0" w:firstRowFirstColumn="0" w:firstRowLastColumn="0" w:lastRowFirstColumn="0" w:lastRowLastColumn="0"/>
                              <w:rPr>
                                <w:rFonts w:cs="Arial"/>
                                <w:sz w:val="17"/>
                                <w:szCs w:val="17"/>
                              </w:rPr>
                            </w:pPr>
                            <w:r>
                              <w:rPr>
                                <w:rFonts w:cs="Arial"/>
                                <w:sz w:val="17"/>
                                <w:szCs w:val="17"/>
                                <w:lang w:val="de-DE"/>
                              </w:rPr>
                              <w:t>Datenbedarf</w:t>
                            </w:r>
                          </w:p>
                        </w:tc>
                      </w:tr>
                      <w:tr w:rsidR="00B3609C" w:rsidTr="00B3609C">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2093" w:type="dxa"/>
                          </w:tcPr>
                          <w:p w:rsidR="00B3609C" w:rsidRDefault="00882296">
                            <w:pPr>
                              <w:jc w:val="left"/>
                              <w:rPr>
                                <w:rFonts w:cs="Arial"/>
                                <w:sz w:val="17"/>
                                <w:szCs w:val="17"/>
                              </w:rPr>
                            </w:pPr>
                            <w:r>
                              <w:rPr>
                                <w:rFonts w:cs="Arial"/>
                                <w:sz w:val="17"/>
                                <w:szCs w:val="17"/>
                                <w:lang w:val="de-DE"/>
                              </w:rPr>
                              <w:t>Experimenteller Ansatz</w:t>
                            </w:r>
                          </w:p>
                        </w:tc>
                        <w:tc>
                          <w:tcPr>
                            <w:tcW w:w="1701" w:type="dxa"/>
                          </w:tcPr>
                          <w:p w:rsidR="00B3609C" w:rsidRDefault="00882296">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701" w:type="dxa"/>
                          </w:tcPr>
                          <w:p w:rsidR="00B3609C" w:rsidRDefault="00882296">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417" w:type="dxa"/>
                          </w:tcPr>
                          <w:p w:rsidR="00B3609C" w:rsidRDefault="00882296">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418" w:type="dxa"/>
                          </w:tcPr>
                          <w:p w:rsidR="00B3609C" w:rsidRDefault="00882296">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r>
                      <w:tr w:rsidR="00B3609C" w:rsidTr="00B3609C">
                        <w:tc>
                          <w:tcPr>
                            <w:cnfStyle w:val="001000000000" w:firstRow="0" w:lastRow="0" w:firstColumn="1" w:lastColumn="0" w:oddVBand="0" w:evenVBand="0" w:oddHBand="0" w:evenHBand="0" w:firstRowFirstColumn="0" w:firstRowLastColumn="0" w:lastRowFirstColumn="0" w:lastRowLastColumn="0"/>
                            <w:tcW w:w="2093" w:type="dxa"/>
                          </w:tcPr>
                          <w:p w:rsidR="00B3609C" w:rsidRDefault="00882296">
                            <w:pPr>
                              <w:jc w:val="left"/>
                              <w:rPr>
                                <w:rFonts w:cs="Arial"/>
                                <w:sz w:val="17"/>
                                <w:szCs w:val="17"/>
                              </w:rPr>
                            </w:pPr>
                            <w:r>
                              <w:rPr>
                                <w:rFonts w:cs="Arial"/>
                                <w:sz w:val="17"/>
                                <w:szCs w:val="17"/>
                                <w:lang w:val="de-DE"/>
                              </w:rPr>
                              <w:t>Quasi-experimentelle Ansätze</w:t>
                            </w:r>
                          </w:p>
                        </w:tc>
                        <w:tc>
                          <w:tcPr>
                            <w:tcW w:w="1701" w:type="dxa"/>
                          </w:tcPr>
                          <w:p w:rsidR="00B3609C" w:rsidRDefault="00882296">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701" w:type="dxa"/>
                          </w:tcPr>
                          <w:p w:rsidR="00B3609C" w:rsidRDefault="00882296">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417" w:type="dxa"/>
                          </w:tcPr>
                          <w:p w:rsidR="00B3609C" w:rsidRDefault="00882296">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418" w:type="dxa"/>
                          </w:tcPr>
                          <w:p w:rsidR="00B3609C" w:rsidRDefault="00882296">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r>
                      <w:tr w:rsidR="00B3609C" w:rsidTr="00B360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3609C" w:rsidRDefault="00882296">
                            <w:pPr>
                              <w:jc w:val="left"/>
                              <w:rPr>
                                <w:rFonts w:cs="Arial"/>
                                <w:sz w:val="17"/>
                                <w:szCs w:val="17"/>
                                <w:lang w:val="de-DE"/>
                              </w:rPr>
                            </w:pPr>
                            <w:proofErr w:type="spellStart"/>
                            <w:r>
                              <w:rPr>
                                <w:rFonts w:cs="Arial"/>
                                <w:sz w:val="17"/>
                                <w:szCs w:val="17"/>
                                <w:lang w:val="de-DE"/>
                              </w:rPr>
                              <w:t>Matching</w:t>
                            </w:r>
                            <w:proofErr w:type="spellEnd"/>
                            <w:r>
                              <w:rPr>
                                <w:rFonts w:cs="Arial"/>
                                <w:sz w:val="17"/>
                                <w:szCs w:val="17"/>
                                <w:lang w:val="de-DE"/>
                              </w:rPr>
                              <w:t xml:space="preserve">-Ansätze (in Kombination mit </w:t>
                            </w:r>
                            <w:proofErr w:type="spellStart"/>
                            <w:r>
                              <w:rPr>
                                <w:rFonts w:cs="Arial"/>
                                <w:sz w:val="17"/>
                                <w:szCs w:val="17"/>
                                <w:lang w:val="de-DE"/>
                              </w:rPr>
                              <w:t>DiD</w:t>
                            </w:r>
                            <w:proofErr w:type="spellEnd"/>
                            <w:r>
                              <w:rPr>
                                <w:rFonts w:cs="Arial"/>
                                <w:sz w:val="17"/>
                                <w:szCs w:val="17"/>
                                <w:lang w:val="de-DE"/>
                              </w:rPr>
                              <w:t>)</w:t>
                            </w:r>
                          </w:p>
                        </w:tc>
                        <w:tc>
                          <w:tcPr>
                            <w:tcW w:w="1701" w:type="dxa"/>
                          </w:tcPr>
                          <w:p w:rsidR="00B3609C" w:rsidRDefault="00882296">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701" w:type="dxa"/>
                          </w:tcPr>
                          <w:p w:rsidR="00B3609C" w:rsidRDefault="00882296">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417" w:type="dxa"/>
                          </w:tcPr>
                          <w:p w:rsidR="00B3609C" w:rsidRDefault="00882296">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418" w:type="dxa"/>
                          </w:tcPr>
                          <w:p w:rsidR="00B3609C" w:rsidRDefault="00882296">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r>
                      <w:tr w:rsidR="00B3609C" w:rsidTr="00B3609C">
                        <w:trPr>
                          <w:trHeight w:val="416"/>
                        </w:trPr>
                        <w:tc>
                          <w:tcPr>
                            <w:cnfStyle w:val="001000000000" w:firstRow="0" w:lastRow="0" w:firstColumn="1" w:lastColumn="0" w:oddVBand="0" w:evenVBand="0" w:oddHBand="0" w:evenHBand="0" w:firstRowFirstColumn="0" w:firstRowLastColumn="0" w:lastRowFirstColumn="0" w:lastRowLastColumn="0"/>
                            <w:tcW w:w="2093" w:type="dxa"/>
                          </w:tcPr>
                          <w:p w:rsidR="00B3609C" w:rsidRDefault="00882296">
                            <w:pPr>
                              <w:jc w:val="left"/>
                              <w:rPr>
                                <w:rFonts w:cs="Arial"/>
                                <w:sz w:val="17"/>
                                <w:szCs w:val="17"/>
                              </w:rPr>
                            </w:pPr>
                            <w:r>
                              <w:rPr>
                                <w:rFonts w:cs="Arial"/>
                                <w:sz w:val="17"/>
                                <w:szCs w:val="17"/>
                                <w:lang w:val="de-DE"/>
                              </w:rPr>
                              <w:t>Regressions-Diskontinuitäts-Analyse (RDD)</w:t>
                            </w:r>
                          </w:p>
                        </w:tc>
                        <w:tc>
                          <w:tcPr>
                            <w:tcW w:w="1701" w:type="dxa"/>
                          </w:tcPr>
                          <w:p w:rsidR="00B3609C" w:rsidRDefault="00882296">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701" w:type="dxa"/>
                          </w:tcPr>
                          <w:p w:rsidR="00B3609C" w:rsidRDefault="00882296">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417" w:type="dxa"/>
                          </w:tcPr>
                          <w:p w:rsidR="00B3609C" w:rsidRDefault="00882296">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418" w:type="dxa"/>
                          </w:tcPr>
                          <w:p w:rsidR="00B3609C" w:rsidRDefault="00882296">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r>
                      <w:tr w:rsidR="00B3609C" w:rsidTr="00B3609C">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093" w:type="dxa"/>
                          </w:tcPr>
                          <w:p w:rsidR="00B3609C" w:rsidRDefault="00882296">
                            <w:pPr>
                              <w:jc w:val="left"/>
                              <w:rPr>
                                <w:rFonts w:cs="Arial"/>
                                <w:sz w:val="17"/>
                                <w:szCs w:val="17"/>
                              </w:rPr>
                            </w:pPr>
                            <w:r>
                              <w:rPr>
                                <w:rFonts w:cs="Arial"/>
                                <w:sz w:val="17"/>
                                <w:szCs w:val="17"/>
                                <w:lang w:val="de-DE"/>
                              </w:rPr>
                              <w:t>Instrumentenvariablenmethode</w:t>
                            </w:r>
                          </w:p>
                        </w:tc>
                        <w:tc>
                          <w:tcPr>
                            <w:tcW w:w="1701" w:type="dxa"/>
                          </w:tcPr>
                          <w:p w:rsidR="00B3609C" w:rsidRDefault="00882296">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701" w:type="dxa"/>
                          </w:tcPr>
                          <w:p w:rsidR="00B3609C" w:rsidRDefault="00882296">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417" w:type="dxa"/>
                          </w:tcPr>
                          <w:p w:rsidR="00B3609C" w:rsidRDefault="00882296">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418" w:type="dxa"/>
                          </w:tcPr>
                          <w:p w:rsidR="00B3609C" w:rsidRDefault="00882296">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r>
                      <w:tr w:rsidR="00B3609C" w:rsidTr="00B3609C">
                        <w:trPr>
                          <w:trHeight w:val="414"/>
                        </w:trPr>
                        <w:tc>
                          <w:tcPr>
                            <w:cnfStyle w:val="001000000000" w:firstRow="0" w:lastRow="0" w:firstColumn="1" w:lastColumn="0" w:oddVBand="0" w:evenVBand="0" w:oddHBand="0" w:evenHBand="0" w:firstRowFirstColumn="0" w:firstRowLastColumn="0" w:lastRowFirstColumn="0" w:lastRowLastColumn="0"/>
                            <w:tcW w:w="2093" w:type="dxa"/>
                          </w:tcPr>
                          <w:p w:rsidR="00B3609C" w:rsidRDefault="00882296">
                            <w:pPr>
                              <w:jc w:val="left"/>
                              <w:rPr>
                                <w:rFonts w:cs="Arial"/>
                                <w:sz w:val="17"/>
                                <w:szCs w:val="17"/>
                              </w:rPr>
                            </w:pPr>
                            <w:proofErr w:type="spellStart"/>
                            <w:r>
                              <w:rPr>
                                <w:rFonts w:cs="Arial"/>
                                <w:sz w:val="17"/>
                                <w:szCs w:val="17"/>
                                <w:lang w:val="de-DE"/>
                              </w:rPr>
                              <w:t>DiD</w:t>
                            </w:r>
                            <w:proofErr w:type="spellEnd"/>
                            <w:r>
                              <w:rPr>
                                <w:rFonts w:cs="Arial"/>
                                <w:sz w:val="17"/>
                                <w:szCs w:val="17"/>
                                <w:lang w:val="de-DE"/>
                              </w:rPr>
                              <w:t>-Methode</w:t>
                            </w:r>
                          </w:p>
                        </w:tc>
                        <w:tc>
                          <w:tcPr>
                            <w:tcW w:w="1701" w:type="dxa"/>
                          </w:tcPr>
                          <w:p w:rsidR="00B3609C" w:rsidRDefault="00882296">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701" w:type="dxa"/>
                          </w:tcPr>
                          <w:p w:rsidR="00B3609C" w:rsidRDefault="00882296">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417" w:type="dxa"/>
                          </w:tcPr>
                          <w:p w:rsidR="00B3609C" w:rsidRDefault="00882296">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418" w:type="dxa"/>
                          </w:tcPr>
                          <w:p w:rsidR="00B3609C" w:rsidRDefault="00882296">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r>
                      <w:tr w:rsidR="00B3609C" w:rsidTr="00B360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3609C" w:rsidRDefault="00882296">
                            <w:pPr>
                              <w:jc w:val="left"/>
                              <w:rPr>
                                <w:rFonts w:cs="Arial"/>
                                <w:sz w:val="17"/>
                                <w:szCs w:val="17"/>
                                <w:lang w:val="de-DE"/>
                              </w:rPr>
                            </w:pPr>
                            <w:r>
                              <w:rPr>
                                <w:rFonts w:cs="Arial"/>
                                <w:sz w:val="17"/>
                                <w:szCs w:val="17"/>
                                <w:lang w:val="de-DE"/>
                              </w:rPr>
                              <w:t>Vergleiche mit Nichtbegünstigten in ei</w:t>
                            </w:r>
                            <w:r>
                              <w:rPr>
                                <w:rFonts w:cs="Arial"/>
                                <w:sz w:val="17"/>
                                <w:szCs w:val="17"/>
                                <w:lang w:val="de-DE"/>
                              </w:rPr>
                              <w:softHyphen/>
                              <w:t>nem bestimmten Zeitraum (naiver Ansatz)</w:t>
                            </w:r>
                          </w:p>
                        </w:tc>
                        <w:tc>
                          <w:tcPr>
                            <w:tcW w:w="1701" w:type="dxa"/>
                          </w:tcPr>
                          <w:p w:rsidR="00B3609C" w:rsidRDefault="00882296">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701" w:type="dxa"/>
                          </w:tcPr>
                          <w:p w:rsidR="00B3609C" w:rsidRDefault="00882296">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417" w:type="dxa"/>
                          </w:tcPr>
                          <w:p w:rsidR="00B3609C" w:rsidRDefault="00882296">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418" w:type="dxa"/>
                          </w:tcPr>
                          <w:p w:rsidR="00B3609C" w:rsidRDefault="00882296">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r>
                      <w:tr w:rsidR="00B3609C" w:rsidTr="00B3609C">
                        <w:tc>
                          <w:tcPr>
                            <w:cnfStyle w:val="001000000000" w:firstRow="0" w:lastRow="0" w:firstColumn="1" w:lastColumn="0" w:oddVBand="0" w:evenVBand="0" w:oddHBand="0" w:evenHBand="0" w:firstRowFirstColumn="0" w:firstRowLastColumn="0" w:lastRowFirstColumn="0" w:lastRowLastColumn="0"/>
                            <w:tcW w:w="2093" w:type="dxa"/>
                          </w:tcPr>
                          <w:p w:rsidR="00B3609C" w:rsidRDefault="00882296">
                            <w:pPr>
                              <w:jc w:val="left"/>
                              <w:rPr>
                                <w:rFonts w:cs="Arial"/>
                                <w:sz w:val="17"/>
                                <w:szCs w:val="17"/>
                                <w:lang w:val="de-DE"/>
                              </w:rPr>
                            </w:pPr>
                            <w:r>
                              <w:rPr>
                                <w:rFonts w:cs="Arial"/>
                                <w:sz w:val="17"/>
                                <w:szCs w:val="17"/>
                                <w:lang w:val="de-DE"/>
                              </w:rPr>
                              <w:t>Vorher-Nachher-Vergleich mit Begünstigten des Programms (naiver Ansatz)</w:t>
                            </w:r>
                          </w:p>
                        </w:tc>
                        <w:tc>
                          <w:tcPr>
                            <w:tcW w:w="1701" w:type="dxa"/>
                          </w:tcPr>
                          <w:p w:rsidR="00B3609C" w:rsidRDefault="00882296">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701" w:type="dxa"/>
                          </w:tcPr>
                          <w:p w:rsidR="00B3609C" w:rsidRDefault="00882296">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417" w:type="dxa"/>
                          </w:tcPr>
                          <w:p w:rsidR="00B3609C" w:rsidRDefault="00882296">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418" w:type="dxa"/>
                          </w:tcPr>
                          <w:p w:rsidR="00B3609C" w:rsidRDefault="00882296">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r>
                      <w:tr w:rsidR="00B3609C" w:rsidTr="00B360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3609C" w:rsidRDefault="00882296">
                            <w:pPr>
                              <w:jc w:val="left"/>
                              <w:rPr>
                                <w:rFonts w:cs="Arial"/>
                                <w:sz w:val="17"/>
                                <w:szCs w:val="17"/>
                                <w:lang w:val="de-DE"/>
                              </w:rPr>
                            </w:pPr>
                            <w:r>
                              <w:rPr>
                                <w:rFonts w:cs="Arial"/>
                                <w:sz w:val="17"/>
                                <w:szCs w:val="17"/>
                                <w:lang w:val="de-DE"/>
                              </w:rPr>
                              <w:t>Angewendete qualitative Ansätze zur Schätzung der Programmergebnisse/-auswirkungen</w:t>
                            </w:r>
                          </w:p>
                        </w:tc>
                        <w:tc>
                          <w:tcPr>
                            <w:tcW w:w="1701" w:type="dxa"/>
                          </w:tcPr>
                          <w:p w:rsidR="00B3609C" w:rsidRDefault="00882296">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701" w:type="dxa"/>
                          </w:tcPr>
                          <w:p w:rsidR="00B3609C" w:rsidRDefault="00882296">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417" w:type="dxa"/>
                          </w:tcPr>
                          <w:p w:rsidR="00B3609C" w:rsidRDefault="00882296">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c>
                          <w:tcPr>
                            <w:tcW w:w="1418" w:type="dxa"/>
                          </w:tcPr>
                          <w:p w:rsidR="00B3609C" w:rsidRDefault="00882296">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 w:val="17"/>
                                <w:szCs w:val="17"/>
                              </w:rPr>
                            </w:pPr>
                            <w:r>
                              <w:rPr>
                                <w:rFonts w:cs="Arial"/>
                                <w:b/>
                                <w:bCs/>
                                <w:color w:val="373737" w:themeColor="text1"/>
                                <w:sz w:val="17"/>
                                <w:szCs w:val="17"/>
                                <w:lang w:val="de-DE"/>
                              </w:rPr>
                              <w:t>+</w:t>
                            </w:r>
                          </w:p>
                        </w:tc>
                      </w:tr>
                    </w:tbl>
                    <w:p w:rsidR="00B3609C" w:rsidRDefault="00882296">
                      <w:pPr>
                        <w:pStyle w:val="HStandard"/>
                        <w:jc w:val="center"/>
                        <w:rPr>
                          <w:i/>
                          <w:color w:val="F07E31" w:themeColor="accent1"/>
                          <w:sz w:val="17"/>
                          <w:szCs w:val="17"/>
                          <w:lang w:val="de-DE"/>
                        </w:rPr>
                      </w:pPr>
                      <w:r>
                        <w:rPr>
                          <w:i/>
                          <w:iCs/>
                          <w:color w:val="F07E31" w:themeColor="accent1"/>
                          <w:sz w:val="17"/>
                          <w:szCs w:val="17"/>
                          <w:lang w:val="de-DE"/>
                        </w:rPr>
                        <w:t>Weitere Informationen über die Kriterien zur Auswahl der Bewertungsansätze</w:t>
                      </w:r>
                      <w:r>
                        <w:rPr>
                          <w:color w:val="F07E31" w:themeColor="accent1"/>
                          <w:sz w:val="17"/>
                          <w:szCs w:val="17"/>
                          <w:lang w:val="de-DE"/>
                        </w:rPr>
                        <w:br/>
                      </w:r>
                      <w:r>
                        <w:rPr>
                          <w:i/>
                          <w:iCs/>
                          <w:color w:val="F07E31" w:themeColor="accent1"/>
                          <w:sz w:val="17"/>
                          <w:szCs w:val="17"/>
                          <w:lang w:val="de-DE"/>
                        </w:rPr>
                        <w:t xml:space="preserve">siehe </w:t>
                      </w:r>
                      <w:hyperlink r:id="rId50" w:history="1">
                        <w:r>
                          <w:rPr>
                            <w:rStyle w:val="Hyperlink"/>
                            <w:rFonts w:cs="Arial"/>
                            <w:i/>
                            <w:iCs/>
                            <w:color w:val="F07E31" w:themeColor="accent1"/>
                            <w:sz w:val="17"/>
                            <w:szCs w:val="17"/>
                            <w:lang w:val="de-DE"/>
                          </w:rPr>
                          <w:t xml:space="preserve">Guidelines </w:t>
                        </w:r>
                        <w:proofErr w:type="spellStart"/>
                        <w:r>
                          <w:rPr>
                            <w:rStyle w:val="Hyperlink"/>
                            <w:rFonts w:cs="Arial"/>
                            <w:i/>
                            <w:iCs/>
                            <w:color w:val="F07E31" w:themeColor="accent1"/>
                            <w:sz w:val="17"/>
                            <w:szCs w:val="17"/>
                            <w:lang w:val="de-DE"/>
                          </w:rPr>
                          <w:t>for</w:t>
                        </w:r>
                        <w:proofErr w:type="spellEnd"/>
                        <w:r>
                          <w:rPr>
                            <w:rStyle w:val="Hyperlink"/>
                            <w:rFonts w:cs="Arial"/>
                            <w:i/>
                            <w:iCs/>
                            <w:color w:val="F07E31" w:themeColor="accent1"/>
                            <w:sz w:val="17"/>
                            <w:szCs w:val="17"/>
                            <w:lang w:val="de-DE"/>
                          </w:rPr>
                          <w:t xml:space="preserve"> ex </w:t>
                        </w:r>
                        <w:proofErr w:type="spellStart"/>
                        <w:r>
                          <w:rPr>
                            <w:rStyle w:val="Hyperlink"/>
                            <w:rFonts w:cs="Arial"/>
                            <w:i/>
                            <w:iCs/>
                            <w:color w:val="F07E31" w:themeColor="accent1"/>
                            <w:sz w:val="17"/>
                            <w:szCs w:val="17"/>
                            <w:lang w:val="de-DE"/>
                          </w:rPr>
                          <w:t>post</w:t>
                        </w:r>
                        <w:proofErr w:type="spellEnd"/>
                        <w:r>
                          <w:rPr>
                            <w:rStyle w:val="Hyperlink"/>
                            <w:rFonts w:cs="Arial"/>
                            <w:i/>
                            <w:iCs/>
                            <w:color w:val="F07E31" w:themeColor="accent1"/>
                            <w:sz w:val="17"/>
                            <w:szCs w:val="17"/>
                            <w:lang w:val="de-DE"/>
                          </w:rPr>
                          <w:t xml:space="preserve"> </w:t>
                        </w:r>
                        <w:proofErr w:type="spellStart"/>
                        <w:r>
                          <w:rPr>
                            <w:rStyle w:val="Hyperlink"/>
                            <w:rFonts w:cs="Arial"/>
                            <w:i/>
                            <w:iCs/>
                            <w:color w:val="F07E31" w:themeColor="accent1"/>
                            <w:sz w:val="17"/>
                            <w:szCs w:val="17"/>
                            <w:lang w:val="de-DE"/>
                          </w:rPr>
                          <w:t>evaluation</w:t>
                        </w:r>
                        <w:proofErr w:type="spellEnd"/>
                        <w:r>
                          <w:rPr>
                            <w:rStyle w:val="Hyperlink"/>
                            <w:rFonts w:cs="Arial"/>
                            <w:i/>
                            <w:iCs/>
                            <w:color w:val="F07E31" w:themeColor="accent1"/>
                            <w:sz w:val="17"/>
                            <w:szCs w:val="17"/>
                            <w:lang w:val="de-DE"/>
                          </w:rPr>
                          <w:t xml:space="preserve"> </w:t>
                        </w:r>
                        <w:proofErr w:type="spellStart"/>
                        <w:r>
                          <w:rPr>
                            <w:rStyle w:val="Hyperlink"/>
                            <w:rFonts w:cs="Arial"/>
                            <w:i/>
                            <w:iCs/>
                            <w:color w:val="F07E31" w:themeColor="accent1"/>
                            <w:sz w:val="17"/>
                            <w:szCs w:val="17"/>
                            <w:lang w:val="de-DE"/>
                          </w:rPr>
                          <w:t>of</w:t>
                        </w:r>
                        <w:proofErr w:type="spellEnd"/>
                        <w:r>
                          <w:rPr>
                            <w:rStyle w:val="Hyperlink"/>
                            <w:rFonts w:cs="Arial"/>
                            <w:i/>
                            <w:iCs/>
                            <w:color w:val="F07E31" w:themeColor="accent1"/>
                            <w:sz w:val="17"/>
                            <w:szCs w:val="17"/>
                            <w:lang w:val="de-DE"/>
                          </w:rPr>
                          <w:t xml:space="preserve"> 2007–2013 RDPs</w:t>
                        </w:r>
                      </w:hyperlink>
                      <w:r>
                        <w:rPr>
                          <w:rStyle w:val="Hyperlink"/>
                          <w:rFonts w:cs="Arial"/>
                          <w:i/>
                          <w:iCs/>
                          <w:color w:val="F07E31" w:themeColor="accent1"/>
                          <w:sz w:val="17"/>
                          <w:szCs w:val="17"/>
                          <w:lang w:val="de-DE"/>
                        </w:rPr>
                        <w:t xml:space="preserve">, </w:t>
                      </w:r>
                      <w:r>
                        <w:rPr>
                          <w:i/>
                          <w:iCs/>
                          <w:color w:val="F07E31" w:themeColor="accent1"/>
                          <w:sz w:val="17"/>
                          <w:szCs w:val="17"/>
                          <w:u w:val="single"/>
                          <w:lang w:val="de-DE"/>
                        </w:rPr>
                        <w:t>Kapitel 4.3.4.2.</w:t>
                      </w:r>
                    </w:p>
                  </w:txbxContent>
                </v:textbox>
                <w10:anchorlock/>
              </v:shape>
            </w:pict>
          </mc:Fallback>
        </mc:AlternateContent>
      </w:r>
    </w:p>
    <w:p w:rsidR="00B3609C" w:rsidRDefault="00882296">
      <w:pPr>
        <w:pStyle w:val="HHeading4"/>
        <w:rPr>
          <w:lang w:val="de-DE"/>
        </w:rPr>
      </w:pPr>
      <w:r>
        <w:rPr>
          <w:bCs/>
          <w:lang w:val="de-DE"/>
        </w:rPr>
        <w:lastRenderedPageBreak/>
        <w:t>Bewertung auf der Mikro- und Makroebene und Herausarbeitung der Auswirkungen (3. Stufe)</w:t>
      </w:r>
    </w:p>
    <w:p w:rsidR="00B3609C" w:rsidRDefault="00882296">
      <w:pPr>
        <w:pStyle w:val="HStandard"/>
        <w:rPr>
          <w:rFonts w:cs="Arial"/>
          <w:lang w:val="de-DE"/>
        </w:rPr>
      </w:pPr>
      <w:r>
        <w:rPr>
          <w:rFonts w:cs="Arial"/>
          <w:lang w:val="de-DE"/>
        </w:rPr>
        <w:t xml:space="preserve">Anschließend werden auf der </w:t>
      </w:r>
      <w:r>
        <w:rPr>
          <w:rFonts w:cs="Arial"/>
          <w:b/>
          <w:bCs/>
          <w:lang w:val="de-DE"/>
        </w:rPr>
        <w:t>Mikro- oder Makroebene</w:t>
      </w:r>
      <w:r>
        <w:rPr>
          <w:rFonts w:cs="Arial"/>
          <w:lang w:val="de-DE"/>
        </w:rPr>
        <w:t xml:space="preserve"> </w:t>
      </w:r>
      <w:proofErr w:type="gramStart"/>
      <w:r>
        <w:rPr>
          <w:rFonts w:cs="Arial"/>
          <w:lang w:val="de-DE"/>
        </w:rPr>
        <w:t>des Logikmodell</w:t>
      </w:r>
      <w:proofErr w:type="gramEnd"/>
      <w:r>
        <w:rPr>
          <w:rFonts w:cs="Arial"/>
          <w:lang w:val="de-DE"/>
        </w:rPr>
        <w:t xml:space="preserve"> die Bewertungsoptionen präzisiert. Die Arbeitsschritte auf dieser Stufe führen den Bewerter zu Methoden, die zu einer übereinstimmenden Bewertung der </w:t>
      </w:r>
      <w:r>
        <w:rPr>
          <w:rFonts w:cs="Arial"/>
          <w:b/>
          <w:bCs/>
          <w:lang w:val="de-DE"/>
        </w:rPr>
        <w:t>Nettoauswirkungen auf den Mikro- und Makroebenen</w:t>
      </w:r>
      <w:r>
        <w:rPr>
          <w:rFonts w:cs="Arial"/>
          <w:lang w:val="de-DE"/>
        </w:rPr>
        <w:t xml:space="preserve"> beitragen.</w:t>
      </w:r>
      <w:r>
        <w:rPr>
          <w:rStyle w:val="FootnoteReference"/>
          <w:rFonts w:cs="Arial"/>
          <w:b/>
          <w:bCs/>
          <w:iCs/>
          <w:lang w:val="de-DE"/>
        </w:rPr>
        <w:footnoteReference w:id="28"/>
      </w:r>
      <w:r>
        <w:rPr>
          <w:rFonts w:cs="Arial"/>
          <w:lang w:val="de-DE"/>
        </w:rPr>
        <w:t xml:space="preserve"> Für jedes mögliche kontrafaktische Szenario wird ein separates Logikmodell auf der Mikroebene erstellt. In einigen Bewertungsszenarien ist die Hochskalierung der Erkenntnisse aus der Mikroebene die Grundlage für die Bewertung auf der Makroebene. In anderen Szenarien ergänzen sich die Bewertungen auf der Mikro- und der Makroebene. Dies erfordert allerdings eine Übereinstimmungsprüfung. </w:t>
      </w:r>
    </w:p>
    <w:p w:rsidR="00B3609C" w:rsidRDefault="00882296">
      <w:pPr>
        <w:pStyle w:val="HStandard"/>
        <w:spacing w:after="0"/>
        <w:rPr>
          <w:rFonts w:cs="Arial"/>
          <w:lang w:val="de-DE"/>
        </w:rPr>
      </w:pPr>
      <w:r>
        <w:rPr>
          <w:b/>
          <w:bCs/>
          <w:i/>
          <w:iCs/>
          <w:noProof/>
          <w:color w:val="F07E31" w:themeColor="accent1"/>
          <w:lang w:eastAsia="en-GB"/>
        </w:rPr>
        <mc:AlternateContent>
          <mc:Choice Requires="wps">
            <w:drawing>
              <wp:inline distT="0" distB="0" distL="0" distR="0" wp14:anchorId="3F739EBA" wp14:editId="519D1CA3">
                <wp:extent cx="5731510" cy="1480458"/>
                <wp:effectExtent l="0" t="0" r="21590" b="24765"/>
                <wp:docPr id="5"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480458"/>
                        </a:xfrm>
                        <a:custGeom>
                          <a:avLst/>
                          <a:gdLst>
                            <a:gd name="T0" fmla="*/ 126364 w 5731510"/>
                            <a:gd name="T1" fmla="*/ 0 h 1446971"/>
                            <a:gd name="T2" fmla="*/ 5731510 w 5731510"/>
                            <a:gd name="T3" fmla="*/ 0 h 1446971"/>
                            <a:gd name="T4" fmla="*/ 5731510 w 5731510"/>
                            <a:gd name="T5" fmla="*/ 0 h 1446971"/>
                            <a:gd name="T6" fmla="*/ 5731510 w 5731510"/>
                            <a:gd name="T7" fmla="*/ 1320607 h 1446971"/>
                            <a:gd name="T8" fmla="*/ 5605146 w 5731510"/>
                            <a:gd name="T9" fmla="*/ 1446971 h 1446971"/>
                            <a:gd name="T10" fmla="*/ 0 w 5731510"/>
                            <a:gd name="T11" fmla="*/ 1446971 h 1446971"/>
                            <a:gd name="T12" fmla="*/ 0 w 5731510"/>
                            <a:gd name="T13" fmla="*/ 1446971 h 1446971"/>
                            <a:gd name="T14" fmla="*/ 0 w 5731510"/>
                            <a:gd name="T15" fmla="*/ 126364 h 1446971"/>
                            <a:gd name="T16" fmla="*/ 126364 w 5731510"/>
                            <a:gd name="T17" fmla="*/ 0 h 14469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1446971"/>
                            <a:gd name="T29" fmla="*/ 5731510 w 5731510"/>
                            <a:gd name="T30" fmla="*/ 1446971 h 144697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1446971">
                              <a:moveTo>
                                <a:pt x="126364" y="0"/>
                              </a:moveTo>
                              <a:lnTo>
                                <a:pt x="5731510" y="0"/>
                              </a:lnTo>
                              <a:lnTo>
                                <a:pt x="5731510" y="1320607"/>
                              </a:lnTo>
                              <a:cubicBezTo>
                                <a:pt x="5731510" y="1390396"/>
                                <a:pt x="5674935" y="1446971"/>
                                <a:pt x="5605146" y="1446971"/>
                              </a:cubicBezTo>
                              <a:lnTo>
                                <a:pt x="0" y="1446971"/>
                              </a:lnTo>
                              <a:lnTo>
                                <a:pt x="0" y="126364"/>
                              </a:lnTo>
                              <a:cubicBezTo>
                                <a:pt x="0" y="56575"/>
                                <a:pt x="56575" y="0"/>
                                <a:pt x="126364"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B3609C" w:rsidRDefault="00882296">
                            <w:pPr>
                              <w:pStyle w:val="HHeading4"/>
                              <w:spacing w:before="0"/>
                              <w:jc w:val="both"/>
                              <w:rPr>
                                <w:b w:val="0"/>
                                <w:i/>
                                <w:color w:val="373737" w:themeColor="text1"/>
                                <w:sz w:val="18"/>
                                <w:lang w:val="de-DE"/>
                              </w:rPr>
                            </w:pPr>
                            <w:r>
                              <w:rPr>
                                <w:b w:val="0"/>
                                <w:noProof/>
                                <w:color w:val="373737" w:themeColor="text1"/>
                                <w:lang w:eastAsia="en-GB"/>
                              </w:rPr>
                              <w:drawing>
                                <wp:inline distT="0" distB="0" distL="0" distR="0" wp14:anchorId="5F19E589" wp14:editId="7F87A915">
                                  <wp:extent cx="664845" cy="487680"/>
                                  <wp:effectExtent l="0" t="0" r="0" b="7620"/>
                                  <wp:docPr id="900"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Cs/>
                                <w:color w:val="373737" w:themeColor="text1"/>
                                <w:lang w:val="de-DE"/>
                              </w:rPr>
                              <w:t xml:space="preserve"> Die quantitativen Nachweise sollten</w:t>
                            </w:r>
                            <w:r>
                              <w:rPr>
                                <w:rStyle w:val="CommentReference"/>
                                <w:bCs/>
                                <w:color w:val="373737" w:themeColor="text1"/>
                                <w:lang w:val="de-DE"/>
                              </w:rPr>
                              <w:t xml:space="preserve"> </w:t>
                            </w:r>
                            <w:r>
                              <w:rPr>
                                <w:bCs/>
                                <w:color w:val="373737" w:themeColor="text1"/>
                                <w:lang w:val="de-DE"/>
                              </w:rPr>
                              <w:t>mithilfe einer qualitativen Bewertung kritisch ausgewertet werden.</w:t>
                            </w:r>
                            <w:r>
                              <w:rPr>
                                <w:b w:val="0"/>
                                <w:color w:val="373737" w:themeColor="text1"/>
                                <w:lang w:val="de-DE"/>
                              </w:rPr>
                              <w:t xml:space="preserve"> Zudem kann die qualitative Bewertung auch dabei helfen, die quantitative Bewertung hinsichtlich a) der Bewertung der Repräsentativität der verfügbaren Daten, b) der Kreuzvalidierung der Erkenntnisse, c) der Erfassung der verschiedenen Dimensionen des gleichen Phänomens zu ergänzen.</w:t>
                            </w:r>
                          </w:p>
                        </w:txbxContent>
                      </wps:txbx>
                      <wps:bodyPr rot="0" vert="horz" wrap="square" lIns="91440" tIns="45720" rIns="91440" bIns="45720" anchor="ctr" anchorCtr="0" upright="1">
                        <a:noAutofit/>
                      </wps:bodyPr>
                    </wps:wsp>
                  </a:graphicData>
                </a:graphic>
              </wp:inline>
            </w:drawing>
          </mc:Choice>
          <mc:Fallback>
            <w:pict>
              <v:shape w14:anchorId="3F739EBA" id="AutoShape 65" o:spid="_x0000_s1038" style="width:451.3pt;height:116.55pt;visibility:visible;mso-wrap-style:square;mso-left-percent:-10001;mso-top-percent:-10001;mso-position-horizontal:absolute;mso-position-horizontal-relative:char;mso-position-vertical:absolute;mso-position-vertical-relative:line;mso-left-percent:-10001;mso-top-percent:-10001;v-text-anchor:middle" coordsize="5731510,14469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" adj="-11796480,,5400" path="m126364,l5731510,r,1320607c5731510,1390396,5674935,1446971,5605146,1446971l,1446971,,126364c,56575,56575,,126364,xe" filled="f" strokecolor="#be4a35" strokeweight="2pt">
                <v:stroke joinstyle="miter"/>
                <v:formulas/>
                <v:path arrowok="t" o:connecttype="custom" o:connectlocs="126364,0;5731510,0;5731510,0;5731510,1351170;5605146,1480458;0,1480458;0,1480458;0,129288;126364,0" o:connectangles="0,0,0,0,0,0,0,0,0" textboxrect="0,0,5731510,1446971"/>
                <v:textbox>
                  <w:txbxContent>
                    <w:p w:rsidR="00B3609C" w:rsidRDefault="00882296">
                      <w:pPr>
                        <w:pStyle w:val="HHeading4"/>
                        <w:spacing w:before="0"/>
                        <w:jc w:val="both"/>
                        <w:rPr>
                          <w:b w:val="0"/>
                          <w:i/>
                          <w:color w:val="373737" w:themeColor="text1"/>
                          <w:sz w:val="18"/>
                          <w:lang w:val="de-DE"/>
                        </w:rPr>
                      </w:pPr>
                      <w:r>
                        <w:rPr>
                          <w:b w:val="0"/>
                          <w:noProof/>
                          <w:color w:val="373737" w:themeColor="text1"/>
                          <w:lang w:eastAsia="en-GB"/>
                        </w:rPr>
                        <w:drawing>
                          <wp:inline distT="0" distB="0" distL="0" distR="0" wp14:anchorId="5F19E589" wp14:editId="7F87A915">
                            <wp:extent cx="664845" cy="487680"/>
                            <wp:effectExtent l="0" t="0" r="0" b="7620"/>
                            <wp:docPr id="900"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Cs/>
                          <w:color w:val="373737" w:themeColor="text1"/>
                          <w:lang w:val="de-DE"/>
                        </w:rPr>
                        <w:t xml:space="preserve"> Die quantitativen Nachweise sollten</w:t>
                      </w:r>
                      <w:r>
                        <w:rPr>
                          <w:rStyle w:val="CommentReference"/>
                          <w:bCs/>
                          <w:color w:val="373737" w:themeColor="text1"/>
                          <w:lang w:val="de-DE"/>
                        </w:rPr>
                        <w:t xml:space="preserve"> </w:t>
                      </w:r>
                      <w:r>
                        <w:rPr>
                          <w:bCs/>
                          <w:color w:val="373737" w:themeColor="text1"/>
                          <w:lang w:val="de-DE"/>
                        </w:rPr>
                        <w:t>mithilfe einer qualitativen Bewertung kritisch ausgewertet werden.</w:t>
                      </w:r>
                      <w:r>
                        <w:rPr>
                          <w:b w:val="0"/>
                          <w:color w:val="373737" w:themeColor="text1"/>
                          <w:lang w:val="de-DE"/>
                        </w:rPr>
                        <w:t xml:space="preserve"> Zudem kann die qualitative Bewertung auch dabei helfen, die quantitative Bewertung hinsichtlich a) der Bewertung der Repräsentativität der verfügbaren Daten, b) der Kreuzvalidierung der Erkenntnisse, c) der Erfassung der verschiedenen Dimensionen des gleichen Phänomens zu ergänzen.</w:t>
                      </w:r>
                    </w:p>
                  </w:txbxContent>
                </v:textbox>
                <w10:anchorlock/>
              </v:shape>
            </w:pict>
          </mc:Fallback>
        </mc:AlternateContent>
      </w:r>
    </w:p>
    <w:p w:rsidR="00B3609C" w:rsidRDefault="00882296">
      <w:pPr>
        <w:pStyle w:val="HStandard"/>
        <w:spacing w:after="0"/>
        <w:rPr>
          <w:rFonts w:cs="Arial"/>
          <w:lang w:val="de-DE"/>
        </w:rPr>
      </w:pPr>
      <w:r>
        <w:rPr>
          <w:rFonts w:cs="Arial"/>
          <w:lang w:val="de-DE"/>
        </w:rPr>
        <w:t>Die Anwendung der Schritte des Entscheidungsbaums in den Stufen der Mikro- und Makroebene hilft dem Bewerter, die folgenden Fragen bei der Entwicklung des Bewertungsansatzes zu beantworten:</w:t>
      </w:r>
    </w:p>
    <w:p w:rsidR="00B3609C" w:rsidRDefault="00882296">
      <w:pPr>
        <w:pStyle w:val="Hlistbullet"/>
        <w:numPr>
          <w:ilvl w:val="0"/>
          <w:numId w:val="3"/>
        </w:numPr>
        <w:spacing w:line="276" w:lineRule="auto"/>
        <w:ind w:left="600" w:hanging="600"/>
        <w:rPr>
          <w:lang w:val="de-DE"/>
        </w:rPr>
      </w:pPr>
      <w:r>
        <w:rPr>
          <w:lang w:val="de-DE"/>
        </w:rPr>
        <w:t>Muss ich eine spezifische umweltbezogene, sektorale (landwirtschaftlich-ökonomische) oder sozioökonomische Methode anwenden, um die Änderungen der Indikatorwerte zu quantifizieren, oder kann ich bei Verwendung der kontrafaktischen Methoden direkt die Indikatorwerte nutzen?</w:t>
      </w:r>
    </w:p>
    <w:p w:rsidR="00B3609C" w:rsidRDefault="00882296">
      <w:pPr>
        <w:pStyle w:val="Hlistbullet"/>
        <w:numPr>
          <w:ilvl w:val="0"/>
          <w:numId w:val="3"/>
        </w:numPr>
        <w:spacing w:line="276" w:lineRule="auto"/>
        <w:ind w:left="600" w:hanging="600"/>
        <w:rPr>
          <w:lang w:val="de-DE"/>
        </w:rPr>
      </w:pPr>
      <w:r>
        <w:rPr>
          <w:lang w:val="de-DE"/>
        </w:rPr>
        <w:t>Falls eine spezifische Methode verwendet werden sollte, eignen sich die Daten für eine der verfügbaren Methoden zur Bewertung einer umweltbezogenen, sektoralen oder sozioökonomischen Auswirkung?</w:t>
      </w:r>
    </w:p>
    <w:p w:rsidR="00B3609C" w:rsidRDefault="00882296">
      <w:pPr>
        <w:pStyle w:val="Hlistbullet"/>
        <w:numPr>
          <w:ilvl w:val="0"/>
          <w:numId w:val="3"/>
        </w:numPr>
        <w:spacing w:line="276" w:lineRule="auto"/>
        <w:ind w:left="600" w:hanging="600"/>
        <w:rPr>
          <w:lang w:val="de-DE"/>
        </w:rPr>
      </w:pPr>
      <w:r>
        <w:rPr>
          <w:lang w:val="de-DE"/>
        </w:rPr>
        <w:t>Muss ich im Rahmen eines statistischen Stichprobenverfahrens neue Primärdaten erheben, und was wird das kosten?</w:t>
      </w:r>
    </w:p>
    <w:p w:rsidR="00B3609C" w:rsidRDefault="00882296">
      <w:pPr>
        <w:pStyle w:val="Hlistbullet"/>
        <w:numPr>
          <w:ilvl w:val="0"/>
          <w:numId w:val="3"/>
        </w:numPr>
        <w:spacing w:line="276" w:lineRule="auto"/>
        <w:ind w:left="600" w:hanging="600"/>
        <w:rPr>
          <w:lang w:val="de-DE"/>
        </w:rPr>
      </w:pPr>
      <w:r>
        <w:rPr>
          <w:color w:val="373737"/>
          <w:sz w:val="18"/>
          <w:szCs w:val="18"/>
          <w:lang w:val="de-DE"/>
        </w:rPr>
        <w:t>Ist</w:t>
      </w:r>
      <w:r>
        <w:rPr>
          <w:lang w:val="de-DE"/>
        </w:rPr>
        <w:t xml:space="preserve"> es erforderlich, besondere Aufgaben durchzuführen, um die Qualität der Daten aus der Erhebung/Überwachung zu verbessern?</w:t>
      </w:r>
    </w:p>
    <w:p w:rsidR="00B3609C" w:rsidRDefault="00882296">
      <w:pPr>
        <w:pStyle w:val="Hlistbullet"/>
        <w:numPr>
          <w:ilvl w:val="0"/>
          <w:numId w:val="3"/>
        </w:numPr>
        <w:spacing w:line="276" w:lineRule="auto"/>
        <w:ind w:left="600" w:hanging="600"/>
        <w:rPr>
          <w:lang w:val="de-DE"/>
        </w:rPr>
      </w:pPr>
      <w:r>
        <w:rPr>
          <w:lang w:val="de-DE"/>
        </w:rPr>
        <w:t>Wenn ich die Änderungen der Indikatorwerte nicht quantifizieren kann, oder wenn die Kosten dafür sehr hoch sind, welche alternativen (qualitativen) Methoden kann ich verwenden, um die Änderungen der Indikatorwerte zu bewerten?</w:t>
      </w:r>
    </w:p>
    <w:p w:rsidR="00B3609C" w:rsidRDefault="00B3609C">
      <w:pPr>
        <w:pStyle w:val="Hlistbullet"/>
        <w:rPr>
          <w:lang w:val="de-DE"/>
        </w:rPr>
      </w:pPr>
    </w:p>
    <w:p w:rsidR="00B3609C" w:rsidRDefault="00B3609C">
      <w:pPr>
        <w:pStyle w:val="Hlistbullet"/>
        <w:rPr>
          <w:lang w:val="de-DE"/>
        </w:rPr>
      </w:pPr>
    </w:p>
    <w:p w:rsidR="00B3609C" w:rsidRDefault="00882296">
      <w:pPr>
        <w:pStyle w:val="Hlistbullet"/>
        <w:rPr>
          <w:lang w:val="de-DE"/>
        </w:rPr>
      </w:pPr>
      <w:r>
        <w:rPr>
          <w:lang w:val="de-DE"/>
        </w:rPr>
        <w:br w:type="column"/>
      </w:r>
      <w:r>
        <w:rPr>
          <w:b/>
          <w:bCs/>
          <w:i/>
          <w:iCs/>
          <w:noProof/>
          <w:color w:val="F07E31" w:themeColor="accent1"/>
          <w:lang w:eastAsia="en-GB"/>
        </w:rPr>
        <w:lastRenderedPageBreak/>
        <mc:AlternateContent>
          <mc:Choice Requires="wps">
            <w:drawing>
              <wp:inline distT="0" distB="0" distL="0" distR="0" wp14:anchorId="1360759B" wp14:editId="768C6D5C">
                <wp:extent cx="6005015" cy="8768687"/>
                <wp:effectExtent l="0" t="0" r="15240" b="22225"/>
                <wp:docPr id="7"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5015" cy="8768687"/>
                        </a:xfrm>
                        <a:custGeom>
                          <a:avLst/>
                          <a:gdLst>
                            <a:gd name="T0" fmla="*/ 518013 w 5931673"/>
                            <a:gd name="T1" fmla="*/ 0 h 8670814"/>
                            <a:gd name="T2" fmla="*/ 5931673 w 5931673"/>
                            <a:gd name="T3" fmla="*/ 0 h 8670814"/>
                            <a:gd name="T4" fmla="*/ 5931673 w 5931673"/>
                            <a:gd name="T5" fmla="*/ 0 h 8670814"/>
                            <a:gd name="T6" fmla="*/ 5931673 w 5931673"/>
                            <a:gd name="T7" fmla="*/ 8152801 h 8670814"/>
                            <a:gd name="T8" fmla="*/ 5413660 w 5931673"/>
                            <a:gd name="T9" fmla="*/ 8670814 h 8670814"/>
                            <a:gd name="T10" fmla="*/ 0 w 5931673"/>
                            <a:gd name="T11" fmla="*/ 8670814 h 8670814"/>
                            <a:gd name="T12" fmla="*/ 0 w 5931673"/>
                            <a:gd name="T13" fmla="*/ 8670814 h 8670814"/>
                            <a:gd name="T14" fmla="*/ 0 w 5931673"/>
                            <a:gd name="T15" fmla="*/ 518013 h 8670814"/>
                            <a:gd name="T16" fmla="*/ 518013 w 5931673"/>
                            <a:gd name="T17" fmla="*/ 0 h 86708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931673"/>
                            <a:gd name="T28" fmla="*/ 0 h 8670814"/>
                            <a:gd name="T29" fmla="*/ 5931673 w 5931673"/>
                            <a:gd name="T30" fmla="*/ 8670814 h 867081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931673" h="8670814">
                              <a:moveTo>
                                <a:pt x="518013" y="0"/>
                              </a:moveTo>
                              <a:lnTo>
                                <a:pt x="5931673" y="0"/>
                              </a:lnTo>
                              <a:lnTo>
                                <a:pt x="5931673" y="8152801"/>
                              </a:lnTo>
                              <a:cubicBezTo>
                                <a:pt x="5931673" y="8438892"/>
                                <a:pt x="5699751" y="8670814"/>
                                <a:pt x="5413660" y="8670814"/>
                              </a:cubicBezTo>
                              <a:lnTo>
                                <a:pt x="0" y="8670814"/>
                              </a:lnTo>
                              <a:lnTo>
                                <a:pt x="0" y="518013"/>
                              </a:lnTo>
                              <a:cubicBezTo>
                                <a:pt x="0" y="231922"/>
                                <a:pt x="231922" y="0"/>
                                <a:pt x="518013"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B3609C" w:rsidRDefault="00882296">
                            <w:pPr>
                              <w:pStyle w:val="HHeading4"/>
                              <w:rPr>
                                <w:sz w:val="16"/>
                                <w:szCs w:val="16"/>
                                <w:lang w:val="de-DE"/>
                              </w:rPr>
                            </w:pPr>
                            <w:r>
                              <w:rPr>
                                <w:b w:val="0"/>
                                <w:noProof/>
                                <w:sz w:val="16"/>
                                <w:szCs w:val="16"/>
                                <w:lang w:eastAsia="en-GB"/>
                              </w:rPr>
                              <w:drawing>
                                <wp:inline distT="0" distB="0" distL="0" distR="0" wp14:anchorId="3C0379E0" wp14:editId="6C6759B1">
                                  <wp:extent cx="664845" cy="487680"/>
                                  <wp:effectExtent l="0" t="0" r="0" b="7620"/>
                                  <wp:docPr id="901"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Cs/>
                                <w:sz w:val="16"/>
                                <w:szCs w:val="16"/>
                                <w:lang w:val="de-DE"/>
                              </w:rPr>
                              <w:t>KURZANLEITUNG NR. 4:</w:t>
                            </w:r>
                            <w:r>
                              <w:rPr>
                                <w:b w:val="0"/>
                                <w:sz w:val="16"/>
                                <w:szCs w:val="16"/>
                                <w:lang w:val="de-DE"/>
                              </w:rPr>
                              <w:t xml:space="preserve"> </w:t>
                            </w:r>
                            <w:r>
                              <w:rPr>
                                <w:bCs/>
                                <w:sz w:val="16"/>
                                <w:szCs w:val="16"/>
                                <w:lang w:val="de-DE"/>
                              </w:rPr>
                              <w:t>Bewertung der Nettowirkungen des Programms zur Entwicklung des ländlichen Raums (mit Bezug auf die 3. Stufe)</w:t>
                            </w:r>
                          </w:p>
                          <w:p w:rsidR="00B3609C" w:rsidRDefault="00882296">
                            <w:pPr>
                              <w:pStyle w:val="HStandard"/>
                              <w:spacing w:after="0"/>
                              <w:rPr>
                                <w:rFonts w:cs="Arial"/>
                                <w:sz w:val="16"/>
                                <w:szCs w:val="16"/>
                                <w:lang w:val="de-DE"/>
                              </w:rPr>
                            </w:pPr>
                            <w:r>
                              <w:rPr>
                                <w:rFonts w:cs="Arial"/>
                                <w:sz w:val="16"/>
                                <w:szCs w:val="16"/>
                                <w:lang w:val="de-DE"/>
                              </w:rPr>
                              <w:t xml:space="preserve">Bei der Bewertung der Nettowirkungen des Programms auf einer </w:t>
                            </w:r>
                            <w:r>
                              <w:rPr>
                                <w:rFonts w:cs="Arial"/>
                                <w:b/>
                                <w:bCs/>
                                <w:sz w:val="16"/>
                                <w:szCs w:val="16"/>
                                <w:lang w:val="de-DE"/>
                              </w:rPr>
                              <w:t>Makroebene oder auf Ebene des Programmplanungsgebiets</w:t>
                            </w:r>
                            <w:r>
                              <w:rPr>
                                <w:rFonts w:cs="Arial"/>
                                <w:sz w:val="16"/>
                                <w:szCs w:val="16"/>
                                <w:lang w:val="de-DE"/>
                              </w:rPr>
                              <w:t xml:space="preserve"> unter Verwendung der kontrafaktischen Szenarien können zwei zentrale Ansätze angewendet werden: Der </w:t>
                            </w:r>
                            <w:r>
                              <w:rPr>
                                <w:rFonts w:cs="Arial"/>
                                <w:b/>
                                <w:bCs/>
                                <w:sz w:val="16"/>
                                <w:szCs w:val="16"/>
                                <w:lang w:val="de-DE"/>
                              </w:rPr>
                              <w:t>erste Ansatz</w:t>
                            </w:r>
                            <w:r>
                              <w:rPr>
                                <w:rFonts w:cs="Arial"/>
                                <w:sz w:val="16"/>
                                <w:szCs w:val="16"/>
                                <w:lang w:val="de-DE"/>
                              </w:rPr>
                              <w:t xml:space="preserve"> basiert auf einer Mikroanalyse und auf einer Extrapolation ihrer Ergebnisse auf die Makroebene (Hochskalierung). Beim </w:t>
                            </w:r>
                            <w:r>
                              <w:rPr>
                                <w:rFonts w:cs="Arial"/>
                                <w:b/>
                                <w:bCs/>
                                <w:sz w:val="16"/>
                                <w:szCs w:val="16"/>
                                <w:lang w:val="de-DE"/>
                              </w:rPr>
                              <w:t>zweiten Ansatz</w:t>
                            </w:r>
                            <w:r>
                              <w:rPr>
                                <w:rFonts w:cs="Arial"/>
                                <w:sz w:val="16"/>
                                <w:szCs w:val="16"/>
                                <w:lang w:val="de-DE"/>
                              </w:rPr>
                              <w:t xml:space="preserve"> werden verschiedene Analyseinstrumente verwendet, etwa das </w:t>
                            </w:r>
                            <w:hyperlink r:id="rId51" w:history="1">
                              <w:r>
                                <w:rPr>
                                  <w:rStyle w:val="Hyperlink"/>
                                  <w:sz w:val="16"/>
                                  <w:szCs w:val="16"/>
                                  <w:lang w:val="de-DE"/>
                                </w:rPr>
                                <w:t>berechenbare allgemeine Gleichgewichtsmodell</w:t>
                              </w:r>
                            </w:hyperlink>
                            <w:r>
                              <w:rPr>
                                <w:rFonts w:cs="Arial"/>
                                <w:sz w:val="16"/>
                                <w:szCs w:val="16"/>
                                <w:lang w:val="de-DE"/>
                              </w:rPr>
                              <w:t xml:space="preserve">, das partielle Gleichgewichtsmodell, das räumlich-ökonometrische Modell oder andere Modellierungstechniken, bei denen die entsprechenden Modellparameter(z. B. Produktivität oder Emissionskoeffizienten) ökonometrisch geschätzt werden, und zwar auf eine Art und Weise, </w:t>
                            </w:r>
                            <w:r>
                              <w:rPr>
                                <w:rFonts w:cs="Arial"/>
                                <w:b/>
                                <w:bCs/>
                                <w:sz w:val="16"/>
                                <w:szCs w:val="16"/>
                                <w:lang w:val="de-DE"/>
                              </w:rPr>
                              <w:t>bei der</w:t>
                            </w:r>
                            <w:r>
                              <w:rPr>
                                <w:rFonts w:cs="Arial"/>
                                <w:sz w:val="16"/>
                                <w:szCs w:val="16"/>
                                <w:lang w:val="de-DE"/>
                              </w:rPr>
                              <w:t xml:space="preserve"> belastbare kausale Verbindungen, mögliche verzerrende systematische Fehler bei der Auswahl, </w:t>
                            </w:r>
                            <w:proofErr w:type="spellStart"/>
                            <w:r>
                              <w:rPr>
                                <w:rFonts w:cs="Arial"/>
                                <w:sz w:val="16"/>
                                <w:szCs w:val="16"/>
                                <w:lang w:val="de-DE"/>
                              </w:rPr>
                              <w:t>Endogenität</w:t>
                            </w:r>
                            <w:proofErr w:type="spellEnd"/>
                            <w:r>
                              <w:rPr>
                                <w:rFonts w:cs="Arial"/>
                                <w:sz w:val="16"/>
                                <w:szCs w:val="16"/>
                                <w:lang w:val="de-DE"/>
                              </w:rPr>
                              <w:t xml:space="preserve"> und räumliche Abhängigkeiten </w:t>
                            </w:r>
                            <w:r>
                              <w:rPr>
                                <w:rFonts w:cs="Arial"/>
                                <w:b/>
                                <w:bCs/>
                                <w:sz w:val="16"/>
                                <w:szCs w:val="16"/>
                                <w:lang w:val="de-DE"/>
                              </w:rPr>
                              <w:t>berücksichtigt werden</w:t>
                            </w:r>
                            <w:r>
                              <w:rPr>
                                <w:rFonts w:cs="Arial"/>
                                <w:sz w:val="16"/>
                                <w:szCs w:val="16"/>
                                <w:lang w:val="de-DE"/>
                              </w:rPr>
                              <w:t>. Dieser Ansatz beinhaltet auch die Kombination eines „Top-down“-</w:t>
                            </w:r>
                            <w:proofErr w:type="spellStart"/>
                            <w:r>
                              <w:rPr>
                                <w:rFonts w:cs="Arial"/>
                                <w:sz w:val="16"/>
                                <w:szCs w:val="16"/>
                                <w:lang w:val="de-DE"/>
                              </w:rPr>
                              <w:t>Makroebenenansatzes</w:t>
                            </w:r>
                            <w:proofErr w:type="spellEnd"/>
                            <w:r>
                              <w:rPr>
                                <w:rFonts w:cs="Arial"/>
                                <w:sz w:val="16"/>
                                <w:szCs w:val="16"/>
                                <w:lang w:val="de-DE"/>
                              </w:rPr>
                              <w:t xml:space="preserve"> (z. B. Modelle mit nationalem oder regionalen Geltungsbereich) zur Bewertung der Programmauswirkungen mit einem „</w:t>
                            </w:r>
                            <w:proofErr w:type="spellStart"/>
                            <w:r>
                              <w:rPr>
                                <w:rFonts w:cs="Arial"/>
                                <w:sz w:val="16"/>
                                <w:szCs w:val="16"/>
                                <w:lang w:val="de-DE"/>
                              </w:rPr>
                              <w:t>Bottom-up</w:t>
                            </w:r>
                            <w:proofErr w:type="spellEnd"/>
                            <w:r>
                              <w:rPr>
                                <w:rFonts w:cs="Arial"/>
                                <w:sz w:val="16"/>
                                <w:szCs w:val="16"/>
                                <w:lang w:val="de-DE"/>
                              </w:rPr>
                              <w:t>“-</w:t>
                            </w:r>
                            <w:proofErr w:type="spellStart"/>
                            <w:r>
                              <w:rPr>
                                <w:rFonts w:cs="Arial"/>
                                <w:sz w:val="16"/>
                                <w:szCs w:val="16"/>
                                <w:lang w:val="de-DE"/>
                              </w:rPr>
                              <w:t>Mikroebenenansatz</w:t>
                            </w:r>
                            <w:proofErr w:type="spellEnd"/>
                            <w:r>
                              <w:rPr>
                                <w:rFonts w:cs="Arial"/>
                                <w:sz w:val="16"/>
                                <w:szCs w:val="16"/>
                                <w:lang w:val="de-DE"/>
                              </w:rPr>
                              <w:t xml:space="preserve"> zur Bewertung der Nettowirkungen der verschiedenen Maßnahmen bzw. der Kombinationen der Maßnahmen.</w:t>
                            </w:r>
                          </w:p>
                          <w:p w:rsidR="00B3609C" w:rsidRDefault="00B3609C">
                            <w:pPr>
                              <w:pStyle w:val="HStandard"/>
                              <w:spacing w:after="0"/>
                              <w:rPr>
                                <w:rFonts w:cs="Arial"/>
                                <w:sz w:val="16"/>
                                <w:szCs w:val="16"/>
                                <w:lang w:val="de-DE"/>
                              </w:rPr>
                            </w:pPr>
                          </w:p>
                          <w:p w:rsidR="00B3609C" w:rsidRDefault="00882296">
                            <w:pPr>
                              <w:pStyle w:val="HStandard"/>
                              <w:spacing w:after="0"/>
                              <w:rPr>
                                <w:rFonts w:cs="Arial"/>
                                <w:sz w:val="16"/>
                                <w:szCs w:val="16"/>
                                <w:lang w:val="de-DE"/>
                              </w:rPr>
                            </w:pPr>
                            <w:r>
                              <w:rPr>
                                <w:rFonts w:cs="Arial"/>
                                <w:sz w:val="16"/>
                                <w:szCs w:val="16"/>
                                <w:lang w:val="de-DE"/>
                              </w:rPr>
                              <w:t xml:space="preserve">Dabei ist es wichtig zu beachten, dass – unabhängig vom gewählten Ansatz – die Analyse der Nettowirkungen eines Programms zur Entwicklung des ländlichen Raums nur dann möglich ist, wenn ausreichend quantitative Daten zur Verfügung stehen und fortschrittliche methodische Techniken angewendet werden. De Verwendung naiver quantitativer Bewertungsoptionen (z. B. Vorher-Nachher, Verwendung nicht angemessener Kontrollen usw.) kann die erhaltenen Ergebnisse der „Nettoauswirkungen“ in beide Richtungen (positiv oder negativ) signifikant verzerren. </w:t>
                            </w:r>
                          </w:p>
                          <w:p w:rsidR="00B3609C" w:rsidRDefault="00B3609C">
                            <w:pPr>
                              <w:pStyle w:val="HStandard"/>
                              <w:spacing w:after="0"/>
                              <w:rPr>
                                <w:rFonts w:cs="Arial"/>
                                <w:sz w:val="16"/>
                                <w:szCs w:val="16"/>
                                <w:lang w:val="de-DE"/>
                              </w:rPr>
                            </w:pPr>
                          </w:p>
                          <w:p w:rsidR="00B3609C" w:rsidRDefault="00882296">
                            <w:pPr>
                              <w:pStyle w:val="HStandard"/>
                              <w:spacing w:after="0"/>
                              <w:rPr>
                                <w:rFonts w:cs="Arial"/>
                                <w:sz w:val="16"/>
                                <w:szCs w:val="16"/>
                                <w:lang w:val="de-DE"/>
                              </w:rPr>
                            </w:pPr>
                            <w:r>
                              <w:rPr>
                                <w:rFonts w:cs="Arial"/>
                                <w:sz w:val="16"/>
                                <w:szCs w:val="16"/>
                                <w:lang w:val="de-DE"/>
                              </w:rPr>
                              <w:t xml:space="preserve">Da der </w:t>
                            </w:r>
                            <w:r>
                              <w:rPr>
                                <w:rFonts w:cs="Arial"/>
                                <w:b/>
                                <w:bCs/>
                                <w:sz w:val="16"/>
                                <w:szCs w:val="16"/>
                                <w:lang w:val="de-DE"/>
                              </w:rPr>
                              <w:t>erste Ansatz</w:t>
                            </w:r>
                            <w:r>
                              <w:rPr>
                                <w:rFonts w:cs="Arial"/>
                                <w:sz w:val="16"/>
                                <w:szCs w:val="16"/>
                                <w:lang w:val="de-DE"/>
                              </w:rPr>
                              <w:t xml:space="preserve"> (Extrapolation der Mikroanalyse auf die Makroebene des Programmplanungsgebiets) am einfachsten und vielversprechendsten ist, werden im Folgenden die wichtigsten Schritte beschrieben. Der Ansatz besteht aus fünf Hauptschritten, die sowohl auf sektorale als auch auf umweltbezogene und sozioökonomische Wirkungsindikatoren angewendet werden können. Der grundlegende Unterschied zwischen der in diesen drei Bereichen durchgeführten Analyse der Nettoauswirkung des Programms zur Entwicklung des ländlichen Raums besteht in der Definition der Einheiten, auf denen die Analyse basiert: z. B. landwirtschaftliche Betriebe (Unternehmen) oder Verwaltungsregionen (z. B. NUTS 4, NUTS 5 usw.) für sektorale Indikatoren; Grundstücke oder kleine geografische Regionen (regionale Raumdaten) für Umweltindikatoren; und Verwaltungsregionen (z. B. NUTS 3, NUTS 4 oder NUTS 5) für sozioökonomische Indikatoren. Die einzelnen Schritte stellen sich wie folgt dar:</w:t>
                            </w:r>
                          </w:p>
                          <w:p w:rsidR="00B3609C" w:rsidRDefault="00B3609C">
                            <w:pPr>
                              <w:pStyle w:val="HStandard"/>
                              <w:spacing w:after="0"/>
                              <w:rPr>
                                <w:rFonts w:cs="Arial"/>
                                <w:sz w:val="16"/>
                                <w:szCs w:val="16"/>
                                <w:lang w:val="de-DE"/>
                              </w:rPr>
                            </w:pPr>
                          </w:p>
                          <w:p w:rsidR="00B3609C" w:rsidRDefault="00882296">
                            <w:pPr>
                              <w:pStyle w:val="Hlistbullet"/>
                              <w:jc w:val="left"/>
                              <w:rPr>
                                <w:sz w:val="16"/>
                                <w:szCs w:val="16"/>
                                <w:lang w:val="de-DE"/>
                              </w:rPr>
                            </w:pPr>
                            <w:r>
                              <w:rPr>
                                <w:b/>
                                <w:bCs/>
                                <w:color w:val="F07E31" w:themeColor="accent1"/>
                                <w:sz w:val="16"/>
                                <w:szCs w:val="16"/>
                                <w:lang w:val="de-DE"/>
                              </w:rPr>
                              <w:t>Schritt 1:</w:t>
                            </w:r>
                            <w:r>
                              <w:rPr>
                                <w:sz w:val="16"/>
                                <w:szCs w:val="16"/>
                                <w:lang w:val="de-DE"/>
                              </w:rPr>
                              <w:t xml:space="preserve"> Schätzen Sie die </w:t>
                            </w:r>
                            <w:r>
                              <w:rPr>
                                <w:b/>
                                <w:bCs/>
                                <w:sz w:val="16"/>
                                <w:szCs w:val="16"/>
                                <w:lang w:val="de-DE"/>
                              </w:rPr>
                              <w:t>unmittelbaren Wirkungen</w:t>
                            </w:r>
                            <w:r>
                              <w:rPr>
                                <w:sz w:val="16"/>
                                <w:szCs w:val="16"/>
                                <w:lang w:val="de-DE"/>
                              </w:rPr>
                              <w:t xml:space="preserve"> des Programms zur Entwicklung des ländlichen Raums </w:t>
                            </w:r>
                            <w:r>
                              <w:rPr>
                                <w:b/>
                                <w:bCs/>
                                <w:sz w:val="16"/>
                                <w:szCs w:val="16"/>
                                <w:lang w:val="de-DE"/>
                              </w:rPr>
                              <w:t>auf die Begünstigten auf der Mikroebene</w:t>
                            </w:r>
                            <w:r>
                              <w:rPr>
                                <w:sz w:val="16"/>
                                <w:szCs w:val="16"/>
                                <w:lang w:val="de-DE"/>
                              </w:rPr>
                              <w:t>:</w:t>
                            </w:r>
                          </w:p>
                          <w:p w:rsidR="00B3609C" w:rsidRDefault="00882296">
                            <w:pPr>
                              <w:pStyle w:val="HStandard"/>
                              <w:numPr>
                                <w:ilvl w:val="1"/>
                                <w:numId w:val="1"/>
                              </w:numPr>
                              <w:spacing w:after="0"/>
                              <w:ind w:left="924" w:hanging="357"/>
                              <w:rPr>
                                <w:rFonts w:cs="Arial"/>
                                <w:sz w:val="16"/>
                                <w:szCs w:val="16"/>
                                <w:lang w:val="de-DE"/>
                              </w:rPr>
                            </w:pPr>
                            <w:r>
                              <w:rPr>
                                <w:rFonts w:cs="Arial"/>
                                <w:sz w:val="16"/>
                                <w:szCs w:val="16"/>
                                <w:lang w:val="de-DE"/>
                              </w:rPr>
                              <w:t>Ermitteln Sie auf der Mikroebene für die Gruppe der Begünstigten und die Kontrollgruppe den Durchschnittswert der gemeinsamen oder zusätzlichen Wirkungsindikatoren vor der Förderung (d. h. im Jahr 2013) und nach der Förderung (d. h. in den Jahren 2018 oder 2019).</w:t>
                            </w:r>
                          </w:p>
                          <w:p w:rsidR="00B3609C" w:rsidRDefault="00882296">
                            <w:pPr>
                              <w:pStyle w:val="HStandard"/>
                              <w:numPr>
                                <w:ilvl w:val="1"/>
                                <w:numId w:val="1"/>
                              </w:numPr>
                              <w:spacing w:after="0"/>
                              <w:ind w:left="924" w:hanging="357"/>
                              <w:rPr>
                                <w:rFonts w:cs="Arial"/>
                                <w:sz w:val="16"/>
                                <w:szCs w:val="16"/>
                                <w:lang w:val="de-DE"/>
                              </w:rPr>
                            </w:pPr>
                            <w:r>
                              <w:rPr>
                                <w:rFonts w:cs="Arial"/>
                                <w:sz w:val="16"/>
                                <w:szCs w:val="16"/>
                                <w:lang w:val="de-DE"/>
                              </w:rPr>
                              <w:t xml:space="preserve">Berechnen Sie spezifische politische Indikatoren (z. B. den durchschnittlichen Behandlungseffekt auf behandelte Einheiten, ATT) und verwenden Sie als Ergebnis die jeweiligen gemeinsamen oder zusätzlichen Wirkungsindikatoren. Berechnen Sie die </w:t>
                            </w:r>
                            <w:r>
                              <w:rPr>
                                <w:rFonts w:cs="Arial"/>
                                <w:b/>
                                <w:bCs/>
                                <w:sz w:val="16"/>
                                <w:szCs w:val="16"/>
                                <w:lang w:val="de-DE"/>
                              </w:rPr>
                              <w:t>unmittelbaren Nettowirkungen</w:t>
                            </w:r>
                            <w:r>
                              <w:rPr>
                                <w:rFonts w:cs="Arial"/>
                                <w:sz w:val="16"/>
                                <w:szCs w:val="16"/>
                                <w:lang w:val="de-DE"/>
                              </w:rPr>
                              <w:t xml:space="preserve"> des Programms zur Entwicklung des ländlichen Raums </w:t>
                            </w:r>
                            <w:r>
                              <w:rPr>
                                <w:rFonts w:cs="Arial"/>
                                <w:b/>
                                <w:bCs/>
                                <w:sz w:val="16"/>
                                <w:szCs w:val="16"/>
                                <w:lang w:val="de-DE"/>
                              </w:rPr>
                              <w:t>auf die genannten Indikatoren</w:t>
                            </w:r>
                            <w:r>
                              <w:rPr>
                                <w:rFonts w:cs="Arial"/>
                                <w:sz w:val="16"/>
                                <w:szCs w:val="16"/>
                                <w:lang w:val="de-DE"/>
                              </w:rPr>
                              <w:t>, indem Sie die berechneten durchschnittlichen Behandlungseffekte auf behandelte Einheiten mit der Differenz-in-Differenzen-Methode kombinieren.</w:t>
                            </w:r>
                          </w:p>
                          <w:p w:rsidR="00B3609C" w:rsidRDefault="00882296">
                            <w:pPr>
                              <w:pStyle w:val="HStandard"/>
                              <w:numPr>
                                <w:ilvl w:val="1"/>
                                <w:numId w:val="1"/>
                              </w:numPr>
                              <w:spacing w:after="0"/>
                              <w:ind w:left="924" w:hanging="357"/>
                              <w:rPr>
                                <w:rFonts w:cs="Arial"/>
                                <w:sz w:val="16"/>
                                <w:szCs w:val="16"/>
                                <w:lang w:val="de-DE"/>
                              </w:rPr>
                            </w:pPr>
                            <w:r>
                              <w:rPr>
                                <w:rFonts w:cs="Arial"/>
                                <w:sz w:val="16"/>
                                <w:szCs w:val="16"/>
                                <w:lang w:val="de-DE"/>
                              </w:rPr>
                              <w:t>Unterziehen Sie die Ergebnisse, die Sie erhalten, einer Sensitivitätsanalyse.</w:t>
                            </w:r>
                          </w:p>
                          <w:p w:rsidR="00B3609C" w:rsidRDefault="00882296">
                            <w:pPr>
                              <w:pStyle w:val="Hlistbullet"/>
                              <w:spacing w:before="0" w:after="120" w:line="280" w:lineRule="atLeast"/>
                              <w:rPr>
                                <w:rFonts w:cs="Arial"/>
                                <w:sz w:val="16"/>
                                <w:szCs w:val="16"/>
                                <w:lang w:val="de-DE"/>
                              </w:rPr>
                            </w:pPr>
                            <w:r>
                              <w:rPr>
                                <w:b/>
                                <w:bCs/>
                                <w:color w:val="F07E31" w:themeColor="accent1"/>
                                <w:sz w:val="16"/>
                                <w:szCs w:val="16"/>
                                <w:lang w:val="de-DE"/>
                              </w:rPr>
                              <w:t>Schritt 2:</w:t>
                            </w:r>
                            <w:r>
                              <w:rPr>
                                <w:color w:val="F07E31" w:themeColor="accent1"/>
                                <w:sz w:val="16"/>
                                <w:szCs w:val="16"/>
                                <w:lang w:val="de-DE"/>
                              </w:rPr>
                              <w:t xml:space="preserve"> </w:t>
                            </w:r>
                            <w:r>
                              <w:rPr>
                                <w:sz w:val="16"/>
                                <w:szCs w:val="16"/>
                                <w:lang w:val="de-DE"/>
                              </w:rPr>
                              <w:t xml:space="preserve">Schätzen Sie die </w:t>
                            </w:r>
                            <w:r>
                              <w:rPr>
                                <w:b/>
                                <w:bCs/>
                                <w:sz w:val="16"/>
                                <w:szCs w:val="16"/>
                                <w:lang w:val="de-DE"/>
                              </w:rPr>
                              <w:t>mittelbaren Wirkungen</w:t>
                            </w:r>
                            <w:r>
                              <w:rPr>
                                <w:sz w:val="16"/>
                                <w:szCs w:val="16"/>
                                <w:lang w:val="de-DE"/>
                              </w:rPr>
                              <w:t xml:space="preserve"> des Programms zur Entwicklung des ländlichen Raums </w:t>
                            </w:r>
                            <w:r>
                              <w:rPr>
                                <w:b/>
                                <w:bCs/>
                                <w:sz w:val="16"/>
                                <w:szCs w:val="16"/>
                                <w:lang w:val="de-DE"/>
                              </w:rPr>
                              <w:t>auf die Begünstigten auf der Mikroebene</w:t>
                            </w:r>
                            <w:r>
                              <w:rPr>
                                <w:sz w:val="16"/>
                                <w:szCs w:val="16"/>
                                <w:lang w:val="de-DE"/>
                              </w:rPr>
                              <w:t>: Auch hier sollten die beobachteten Änderungen der Indikatorwerte in Veränderungen, die auf das Programm zurückgeführt werden können (Gesamtwirkung primärer und sekundärer Beiträge), und von anderen Faktoren verursachte Veränderungen aufgeteilt werden.</w:t>
                            </w:r>
                            <w:r>
                              <w:rPr>
                                <w:color w:val="auto"/>
                                <w:sz w:val="16"/>
                                <w:szCs w:val="16"/>
                                <w:lang w:val="de-DE"/>
                              </w:rPr>
                              <w:t xml:space="preserve"> </w:t>
                            </w:r>
                            <w:r>
                              <w:rPr>
                                <w:sz w:val="16"/>
                                <w:szCs w:val="16"/>
                                <w:lang w:val="de-DE"/>
                              </w:rPr>
                              <w:t xml:space="preserve">Die mittelbaren Wirkungen des Programms zur Entwicklung des ländlichen Raums (z. B. Substitutions-, Verdrängungs-, Multiplikatoreffekte) sollten separat ermittelt und dargestellt werden. </w:t>
                            </w:r>
                          </w:p>
                          <w:p w:rsidR="00B3609C" w:rsidRDefault="00B3609C">
                            <w:pPr>
                              <w:pStyle w:val="Hlistbullet"/>
                              <w:spacing w:before="0" w:after="120" w:line="280" w:lineRule="atLeast"/>
                              <w:rPr>
                                <w:i/>
                                <w:color w:val="F07E31" w:themeColor="accent1"/>
                                <w:sz w:val="16"/>
                                <w:szCs w:val="16"/>
                                <w:lang w:val="de-DE"/>
                              </w:rPr>
                            </w:pPr>
                          </w:p>
                        </w:txbxContent>
                      </wps:txbx>
                      <wps:bodyPr rot="0" vert="horz" wrap="square" lIns="91440" tIns="45720" rIns="91440" bIns="45720" anchor="ctr" anchorCtr="0" upright="1">
                        <a:noAutofit/>
                      </wps:bodyPr>
                    </wps:wsp>
                  </a:graphicData>
                </a:graphic>
              </wp:inline>
            </w:drawing>
          </mc:Choice>
          <mc:Fallback>
            <w:pict>
              <v:shape w14:anchorId="1360759B" id="AutoShape 64" o:spid="_x0000_s1039" style="width:472.85pt;height:690.45pt;visibility:visible;mso-wrap-style:square;mso-left-percent:-10001;mso-top-percent:-10001;mso-position-horizontal:absolute;mso-position-horizontal-relative:char;mso-position-vertical:absolute;mso-position-vertical-relative:line;mso-left-percent:-10001;mso-top-percent:-10001;v-text-anchor:middle" coordsize="5931673,86708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" adj="-11796480,,5400" path="m518013,l5931673,r,8152801c5931673,8438892,5699751,8670814,5413660,8670814l,8670814,,518013c,231922,231922,,518013,xe" filled="f" strokecolor="#be4a35" strokeweight="2pt">
                <v:stroke joinstyle="miter"/>
                <v:formulas/>
                <v:path arrowok="t" o:connecttype="custom" o:connectlocs="524418,0;6005015,0;6005015,0;6005015,8244827;5480597,8768687;0,8768687;0,8768687;0,523860;524418,0" o:connectangles="0,0,0,0,0,0,0,0,0" textboxrect="0,0,5931673,8670814"/>
                <v:textbox>
                  <w:txbxContent>
                    <w:p w:rsidR="00B3609C" w:rsidRDefault="00882296">
                      <w:pPr>
                        <w:pStyle w:val="HHeading4"/>
                        <w:rPr>
                          <w:sz w:val="16"/>
                          <w:szCs w:val="16"/>
                          <w:lang w:val="de-DE"/>
                        </w:rPr>
                      </w:pPr>
                      <w:r>
                        <w:rPr>
                          <w:b w:val="0"/>
                          <w:noProof/>
                          <w:sz w:val="16"/>
                          <w:szCs w:val="16"/>
                          <w:lang w:eastAsia="en-GB"/>
                        </w:rPr>
                        <w:drawing>
                          <wp:inline distT="0" distB="0" distL="0" distR="0" wp14:anchorId="3C0379E0" wp14:editId="6C6759B1">
                            <wp:extent cx="664845" cy="487680"/>
                            <wp:effectExtent l="0" t="0" r="0" b="7620"/>
                            <wp:docPr id="901"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Cs/>
                          <w:sz w:val="16"/>
                          <w:szCs w:val="16"/>
                          <w:lang w:val="de-DE"/>
                        </w:rPr>
                        <w:t>KURZANLEITUNG NR. 4:</w:t>
                      </w:r>
                      <w:r>
                        <w:rPr>
                          <w:b w:val="0"/>
                          <w:sz w:val="16"/>
                          <w:szCs w:val="16"/>
                          <w:lang w:val="de-DE"/>
                        </w:rPr>
                        <w:t xml:space="preserve"> </w:t>
                      </w:r>
                      <w:r>
                        <w:rPr>
                          <w:bCs/>
                          <w:sz w:val="16"/>
                          <w:szCs w:val="16"/>
                          <w:lang w:val="de-DE"/>
                        </w:rPr>
                        <w:t>Bewertung der Nettowirkungen des Programms zur Entwicklung des ländlichen Raums (mit Bezug auf die 3. Stufe)</w:t>
                      </w:r>
                    </w:p>
                    <w:p w:rsidR="00B3609C" w:rsidRDefault="00882296">
                      <w:pPr>
                        <w:pStyle w:val="HStandard"/>
                        <w:spacing w:after="0"/>
                        <w:rPr>
                          <w:rFonts w:cs="Arial"/>
                          <w:sz w:val="16"/>
                          <w:szCs w:val="16"/>
                          <w:lang w:val="de-DE"/>
                        </w:rPr>
                      </w:pPr>
                      <w:r>
                        <w:rPr>
                          <w:rFonts w:cs="Arial"/>
                          <w:sz w:val="16"/>
                          <w:szCs w:val="16"/>
                          <w:lang w:val="de-DE"/>
                        </w:rPr>
                        <w:t xml:space="preserve">Bei der Bewertung der Nettowirkungen des Programms auf einer </w:t>
                      </w:r>
                      <w:r>
                        <w:rPr>
                          <w:rFonts w:cs="Arial"/>
                          <w:b/>
                          <w:bCs/>
                          <w:sz w:val="16"/>
                          <w:szCs w:val="16"/>
                          <w:lang w:val="de-DE"/>
                        </w:rPr>
                        <w:t>Makroebene oder auf Ebene des Programmplanungsgebiets</w:t>
                      </w:r>
                      <w:r>
                        <w:rPr>
                          <w:rFonts w:cs="Arial"/>
                          <w:sz w:val="16"/>
                          <w:szCs w:val="16"/>
                          <w:lang w:val="de-DE"/>
                        </w:rPr>
                        <w:t xml:space="preserve"> unter Verwendung der kontrafaktischen Szenarien können zwei zentrale Ansätze angewendet werden: Der </w:t>
                      </w:r>
                      <w:r>
                        <w:rPr>
                          <w:rFonts w:cs="Arial"/>
                          <w:b/>
                          <w:bCs/>
                          <w:sz w:val="16"/>
                          <w:szCs w:val="16"/>
                          <w:lang w:val="de-DE"/>
                        </w:rPr>
                        <w:t>erste Ansatz</w:t>
                      </w:r>
                      <w:r>
                        <w:rPr>
                          <w:rFonts w:cs="Arial"/>
                          <w:sz w:val="16"/>
                          <w:szCs w:val="16"/>
                          <w:lang w:val="de-DE"/>
                        </w:rPr>
                        <w:t xml:space="preserve"> basiert auf einer Mikroanalyse und auf einer Extrapolation ihrer Ergebnisse auf die Makroebene (Hochskalierung). Beim </w:t>
                      </w:r>
                      <w:r>
                        <w:rPr>
                          <w:rFonts w:cs="Arial"/>
                          <w:b/>
                          <w:bCs/>
                          <w:sz w:val="16"/>
                          <w:szCs w:val="16"/>
                          <w:lang w:val="de-DE"/>
                        </w:rPr>
                        <w:t>zweiten Ansatz</w:t>
                      </w:r>
                      <w:r>
                        <w:rPr>
                          <w:rFonts w:cs="Arial"/>
                          <w:sz w:val="16"/>
                          <w:szCs w:val="16"/>
                          <w:lang w:val="de-DE"/>
                        </w:rPr>
                        <w:t xml:space="preserve"> werden verschiedene Analyseinstrumente verwendet, etwa das </w:t>
                      </w:r>
                      <w:hyperlink r:id="rId52" w:history="1">
                        <w:r>
                          <w:rPr>
                            <w:rStyle w:val="Hyperlink"/>
                            <w:sz w:val="16"/>
                            <w:szCs w:val="16"/>
                            <w:lang w:val="de-DE"/>
                          </w:rPr>
                          <w:t>berechenbare allgemeine Gleichgewichtsmodell</w:t>
                        </w:r>
                      </w:hyperlink>
                      <w:r>
                        <w:rPr>
                          <w:rFonts w:cs="Arial"/>
                          <w:sz w:val="16"/>
                          <w:szCs w:val="16"/>
                          <w:lang w:val="de-DE"/>
                        </w:rPr>
                        <w:t xml:space="preserve">, das partielle Gleichgewichtsmodell, das räumlich-ökonometrische Modell oder andere Modellierungstechniken, bei denen die entsprechenden Modellparameter(z. B. Produktivität oder Emissionskoeffizienten) ökonometrisch geschätzt werden, und zwar auf eine Art und Weise, </w:t>
                      </w:r>
                      <w:r>
                        <w:rPr>
                          <w:rFonts w:cs="Arial"/>
                          <w:b/>
                          <w:bCs/>
                          <w:sz w:val="16"/>
                          <w:szCs w:val="16"/>
                          <w:lang w:val="de-DE"/>
                        </w:rPr>
                        <w:t>bei der</w:t>
                      </w:r>
                      <w:r>
                        <w:rPr>
                          <w:rFonts w:cs="Arial"/>
                          <w:sz w:val="16"/>
                          <w:szCs w:val="16"/>
                          <w:lang w:val="de-DE"/>
                        </w:rPr>
                        <w:t xml:space="preserve"> belastbare kausale Verbindungen, mögliche verzerrende systematische Fehler bei der Auswahl, </w:t>
                      </w:r>
                      <w:proofErr w:type="spellStart"/>
                      <w:r>
                        <w:rPr>
                          <w:rFonts w:cs="Arial"/>
                          <w:sz w:val="16"/>
                          <w:szCs w:val="16"/>
                          <w:lang w:val="de-DE"/>
                        </w:rPr>
                        <w:t>Endogenität</w:t>
                      </w:r>
                      <w:proofErr w:type="spellEnd"/>
                      <w:r>
                        <w:rPr>
                          <w:rFonts w:cs="Arial"/>
                          <w:sz w:val="16"/>
                          <w:szCs w:val="16"/>
                          <w:lang w:val="de-DE"/>
                        </w:rPr>
                        <w:t xml:space="preserve"> und räumliche Abhängigkeiten </w:t>
                      </w:r>
                      <w:r>
                        <w:rPr>
                          <w:rFonts w:cs="Arial"/>
                          <w:b/>
                          <w:bCs/>
                          <w:sz w:val="16"/>
                          <w:szCs w:val="16"/>
                          <w:lang w:val="de-DE"/>
                        </w:rPr>
                        <w:t>berücksichtigt werden</w:t>
                      </w:r>
                      <w:r>
                        <w:rPr>
                          <w:rFonts w:cs="Arial"/>
                          <w:sz w:val="16"/>
                          <w:szCs w:val="16"/>
                          <w:lang w:val="de-DE"/>
                        </w:rPr>
                        <w:t>. Dieser Ansatz beinhaltet auch die Kombination eines „Top-down“-</w:t>
                      </w:r>
                      <w:proofErr w:type="spellStart"/>
                      <w:r>
                        <w:rPr>
                          <w:rFonts w:cs="Arial"/>
                          <w:sz w:val="16"/>
                          <w:szCs w:val="16"/>
                          <w:lang w:val="de-DE"/>
                        </w:rPr>
                        <w:t>Makroebenenansatzes</w:t>
                      </w:r>
                      <w:proofErr w:type="spellEnd"/>
                      <w:r>
                        <w:rPr>
                          <w:rFonts w:cs="Arial"/>
                          <w:sz w:val="16"/>
                          <w:szCs w:val="16"/>
                          <w:lang w:val="de-DE"/>
                        </w:rPr>
                        <w:t xml:space="preserve"> (z. B. Modelle mit nationalem oder regionalen Geltungsbereich) zur Bewertung der Programmauswirkungen mit einem „</w:t>
                      </w:r>
                      <w:proofErr w:type="spellStart"/>
                      <w:r>
                        <w:rPr>
                          <w:rFonts w:cs="Arial"/>
                          <w:sz w:val="16"/>
                          <w:szCs w:val="16"/>
                          <w:lang w:val="de-DE"/>
                        </w:rPr>
                        <w:t>Bottom-up</w:t>
                      </w:r>
                      <w:proofErr w:type="spellEnd"/>
                      <w:r>
                        <w:rPr>
                          <w:rFonts w:cs="Arial"/>
                          <w:sz w:val="16"/>
                          <w:szCs w:val="16"/>
                          <w:lang w:val="de-DE"/>
                        </w:rPr>
                        <w:t>“-</w:t>
                      </w:r>
                      <w:proofErr w:type="spellStart"/>
                      <w:r>
                        <w:rPr>
                          <w:rFonts w:cs="Arial"/>
                          <w:sz w:val="16"/>
                          <w:szCs w:val="16"/>
                          <w:lang w:val="de-DE"/>
                        </w:rPr>
                        <w:t>Mikroebenenansatz</w:t>
                      </w:r>
                      <w:proofErr w:type="spellEnd"/>
                      <w:r>
                        <w:rPr>
                          <w:rFonts w:cs="Arial"/>
                          <w:sz w:val="16"/>
                          <w:szCs w:val="16"/>
                          <w:lang w:val="de-DE"/>
                        </w:rPr>
                        <w:t xml:space="preserve"> zur Bewertung der Nettowirkungen der verschiedenen Maßnahmen bzw. der Kombinationen der Maßnahmen.</w:t>
                      </w:r>
                    </w:p>
                    <w:p w:rsidR="00B3609C" w:rsidRDefault="00B3609C">
                      <w:pPr>
                        <w:pStyle w:val="HStandard"/>
                        <w:spacing w:after="0"/>
                        <w:rPr>
                          <w:rFonts w:cs="Arial"/>
                          <w:sz w:val="16"/>
                          <w:szCs w:val="16"/>
                          <w:lang w:val="de-DE"/>
                        </w:rPr>
                      </w:pPr>
                    </w:p>
                    <w:p w:rsidR="00B3609C" w:rsidRDefault="00882296">
                      <w:pPr>
                        <w:pStyle w:val="HStandard"/>
                        <w:spacing w:after="0"/>
                        <w:rPr>
                          <w:rFonts w:cs="Arial"/>
                          <w:sz w:val="16"/>
                          <w:szCs w:val="16"/>
                          <w:lang w:val="de-DE"/>
                        </w:rPr>
                      </w:pPr>
                      <w:r>
                        <w:rPr>
                          <w:rFonts w:cs="Arial"/>
                          <w:sz w:val="16"/>
                          <w:szCs w:val="16"/>
                          <w:lang w:val="de-DE"/>
                        </w:rPr>
                        <w:t xml:space="preserve">Dabei ist es wichtig zu beachten, dass – unabhängig vom gewählten Ansatz – die Analyse der Nettowirkungen eines Programms zur Entwicklung des ländlichen Raums nur dann möglich ist, wenn ausreichend quantitative Daten zur Verfügung stehen und fortschrittliche methodische Techniken angewendet werden. De Verwendung naiver quantitativer Bewertungsoptionen (z. B. Vorher-Nachher, Verwendung nicht angemessener Kontrollen usw.) kann die erhaltenen Ergebnisse der „Nettoauswirkungen“ in beide Richtungen (positiv oder negativ) signifikant verzerren. </w:t>
                      </w:r>
                    </w:p>
                    <w:p w:rsidR="00B3609C" w:rsidRDefault="00B3609C">
                      <w:pPr>
                        <w:pStyle w:val="HStandard"/>
                        <w:spacing w:after="0"/>
                        <w:rPr>
                          <w:rFonts w:cs="Arial"/>
                          <w:sz w:val="16"/>
                          <w:szCs w:val="16"/>
                          <w:lang w:val="de-DE"/>
                        </w:rPr>
                      </w:pPr>
                    </w:p>
                    <w:p w:rsidR="00B3609C" w:rsidRDefault="00882296">
                      <w:pPr>
                        <w:pStyle w:val="HStandard"/>
                        <w:spacing w:after="0"/>
                        <w:rPr>
                          <w:rFonts w:cs="Arial"/>
                          <w:sz w:val="16"/>
                          <w:szCs w:val="16"/>
                          <w:lang w:val="de-DE"/>
                        </w:rPr>
                      </w:pPr>
                      <w:r>
                        <w:rPr>
                          <w:rFonts w:cs="Arial"/>
                          <w:sz w:val="16"/>
                          <w:szCs w:val="16"/>
                          <w:lang w:val="de-DE"/>
                        </w:rPr>
                        <w:t xml:space="preserve">Da der </w:t>
                      </w:r>
                      <w:r>
                        <w:rPr>
                          <w:rFonts w:cs="Arial"/>
                          <w:b/>
                          <w:bCs/>
                          <w:sz w:val="16"/>
                          <w:szCs w:val="16"/>
                          <w:lang w:val="de-DE"/>
                        </w:rPr>
                        <w:t>erste Ansatz</w:t>
                      </w:r>
                      <w:r>
                        <w:rPr>
                          <w:rFonts w:cs="Arial"/>
                          <w:sz w:val="16"/>
                          <w:szCs w:val="16"/>
                          <w:lang w:val="de-DE"/>
                        </w:rPr>
                        <w:t xml:space="preserve"> (Extrapolation der Mikroanalyse auf die Makroebene des Programmplanungsgebiets) am einfachsten und vielversprechendsten ist, werden im Folgenden die wichtigsten Schritte beschrieben. Der Ansatz besteht aus fünf Hauptschritten, die sowohl auf sektorale als auch auf umweltbezogene und sozioökonomische Wirkungsindikatoren angewendet werden können. Der grundlegende Unterschied zwischen der in diesen drei Bereichen durchgeführten Analyse der Nettoauswirkung des Programms zur Entwicklung des ländlichen Raums besteht in der Definition der Einheiten, auf denen die Analyse basiert: z. B. landwirtschaftliche Betriebe (Unternehmen) oder Verwaltungsregionen (z. B. NUTS 4, NUTS 5 usw.) für sektorale Indikatoren; Grundstücke oder kleine geografische Regionen (regionale Raumdaten) für Umweltindikatoren; und Verwaltungsregionen (z. B. NUTS 3, NUTS 4 oder NUTS 5) für sozioökonomische Indikatoren. Die einzelnen Schritte stellen sich wie folgt dar:</w:t>
                      </w:r>
                    </w:p>
                    <w:p w:rsidR="00B3609C" w:rsidRDefault="00B3609C">
                      <w:pPr>
                        <w:pStyle w:val="HStandard"/>
                        <w:spacing w:after="0"/>
                        <w:rPr>
                          <w:rFonts w:cs="Arial"/>
                          <w:sz w:val="16"/>
                          <w:szCs w:val="16"/>
                          <w:lang w:val="de-DE"/>
                        </w:rPr>
                      </w:pPr>
                    </w:p>
                    <w:p w:rsidR="00B3609C" w:rsidRDefault="00882296">
                      <w:pPr>
                        <w:pStyle w:val="Hlistbullet"/>
                        <w:jc w:val="left"/>
                        <w:rPr>
                          <w:sz w:val="16"/>
                          <w:szCs w:val="16"/>
                          <w:lang w:val="de-DE"/>
                        </w:rPr>
                      </w:pPr>
                      <w:r>
                        <w:rPr>
                          <w:b/>
                          <w:bCs/>
                          <w:color w:val="F07E31" w:themeColor="accent1"/>
                          <w:sz w:val="16"/>
                          <w:szCs w:val="16"/>
                          <w:lang w:val="de-DE"/>
                        </w:rPr>
                        <w:t>Schritt 1:</w:t>
                      </w:r>
                      <w:r>
                        <w:rPr>
                          <w:sz w:val="16"/>
                          <w:szCs w:val="16"/>
                          <w:lang w:val="de-DE"/>
                        </w:rPr>
                        <w:t xml:space="preserve"> Schätzen Sie die </w:t>
                      </w:r>
                      <w:r>
                        <w:rPr>
                          <w:b/>
                          <w:bCs/>
                          <w:sz w:val="16"/>
                          <w:szCs w:val="16"/>
                          <w:lang w:val="de-DE"/>
                        </w:rPr>
                        <w:t>unmittelbaren Wirkungen</w:t>
                      </w:r>
                      <w:r>
                        <w:rPr>
                          <w:sz w:val="16"/>
                          <w:szCs w:val="16"/>
                          <w:lang w:val="de-DE"/>
                        </w:rPr>
                        <w:t xml:space="preserve"> des Programms zur Entwicklung des ländlichen Raums </w:t>
                      </w:r>
                      <w:r>
                        <w:rPr>
                          <w:b/>
                          <w:bCs/>
                          <w:sz w:val="16"/>
                          <w:szCs w:val="16"/>
                          <w:lang w:val="de-DE"/>
                        </w:rPr>
                        <w:t>auf die Begünstigten auf der Mikroebene</w:t>
                      </w:r>
                      <w:r>
                        <w:rPr>
                          <w:sz w:val="16"/>
                          <w:szCs w:val="16"/>
                          <w:lang w:val="de-DE"/>
                        </w:rPr>
                        <w:t>:</w:t>
                      </w:r>
                    </w:p>
                    <w:p w:rsidR="00B3609C" w:rsidRDefault="00882296">
                      <w:pPr>
                        <w:pStyle w:val="HStandard"/>
                        <w:numPr>
                          <w:ilvl w:val="1"/>
                          <w:numId w:val="1"/>
                        </w:numPr>
                        <w:spacing w:after="0"/>
                        <w:ind w:left="924" w:hanging="357"/>
                        <w:rPr>
                          <w:rFonts w:cs="Arial"/>
                          <w:sz w:val="16"/>
                          <w:szCs w:val="16"/>
                          <w:lang w:val="de-DE"/>
                        </w:rPr>
                      </w:pPr>
                      <w:r>
                        <w:rPr>
                          <w:rFonts w:cs="Arial"/>
                          <w:sz w:val="16"/>
                          <w:szCs w:val="16"/>
                          <w:lang w:val="de-DE"/>
                        </w:rPr>
                        <w:t>Ermitteln Sie auf der Mikroebene für die Gruppe der Begünstigten und die Kontrollgruppe den Durchschnittswert der gemeinsamen oder zusätzlichen Wirkungsindikatoren vor der Förderung (d. h. im Jahr 2013) und nach der Förderung (d. h. in den Jahren 2018 oder 2019).</w:t>
                      </w:r>
                    </w:p>
                    <w:p w:rsidR="00B3609C" w:rsidRDefault="00882296">
                      <w:pPr>
                        <w:pStyle w:val="HStandard"/>
                        <w:numPr>
                          <w:ilvl w:val="1"/>
                          <w:numId w:val="1"/>
                        </w:numPr>
                        <w:spacing w:after="0"/>
                        <w:ind w:left="924" w:hanging="357"/>
                        <w:rPr>
                          <w:rFonts w:cs="Arial"/>
                          <w:sz w:val="16"/>
                          <w:szCs w:val="16"/>
                          <w:lang w:val="de-DE"/>
                        </w:rPr>
                      </w:pPr>
                      <w:r>
                        <w:rPr>
                          <w:rFonts w:cs="Arial"/>
                          <w:sz w:val="16"/>
                          <w:szCs w:val="16"/>
                          <w:lang w:val="de-DE"/>
                        </w:rPr>
                        <w:t xml:space="preserve">Berechnen Sie spezifische politische Indikatoren (z. B. den durchschnittlichen Behandlungseffekt auf behandelte Einheiten, ATT) und verwenden Sie als Ergebnis die jeweiligen gemeinsamen oder zusätzlichen Wirkungsindikatoren. Berechnen Sie die </w:t>
                      </w:r>
                      <w:r>
                        <w:rPr>
                          <w:rFonts w:cs="Arial"/>
                          <w:b/>
                          <w:bCs/>
                          <w:sz w:val="16"/>
                          <w:szCs w:val="16"/>
                          <w:lang w:val="de-DE"/>
                        </w:rPr>
                        <w:t>unmittelbaren Nettowirkungen</w:t>
                      </w:r>
                      <w:r>
                        <w:rPr>
                          <w:rFonts w:cs="Arial"/>
                          <w:sz w:val="16"/>
                          <w:szCs w:val="16"/>
                          <w:lang w:val="de-DE"/>
                        </w:rPr>
                        <w:t xml:space="preserve"> des Programms zur Entwicklung des ländlichen Raums </w:t>
                      </w:r>
                      <w:r>
                        <w:rPr>
                          <w:rFonts w:cs="Arial"/>
                          <w:b/>
                          <w:bCs/>
                          <w:sz w:val="16"/>
                          <w:szCs w:val="16"/>
                          <w:lang w:val="de-DE"/>
                        </w:rPr>
                        <w:t>auf die genannten Indikatoren</w:t>
                      </w:r>
                      <w:r>
                        <w:rPr>
                          <w:rFonts w:cs="Arial"/>
                          <w:sz w:val="16"/>
                          <w:szCs w:val="16"/>
                          <w:lang w:val="de-DE"/>
                        </w:rPr>
                        <w:t>, indem Sie die berechneten durchschnittlichen Behandlungseffekte auf behandelte Einheiten mit der Differenz-in-Differenzen-Methode kombinieren.</w:t>
                      </w:r>
                    </w:p>
                    <w:p w:rsidR="00B3609C" w:rsidRDefault="00882296">
                      <w:pPr>
                        <w:pStyle w:val="HStandard"/>
                        <w:numPr>
                          <w:ilvl w:val="1"/>
                          <w:numId w:val="1"/>
                        </w:numPr>
                        <w:spacing w:after="0"/>
                        <w:ind w:left="924" w:hanging="357"/>
                        <w:rPr>
                          <w:rFonts w:cs="Arial"/>
                          <w:sz w:val="16"/>
                          <w:szCs w:val="16"/>
                          <w:lang w:val="de-DE"/>
                        </w:rPr>
                      </w:pPr>
                      <w:r>
                        <w:rPr>
                          <w:rFonts w:cs="Arial"/>
                          <w:sz w:val="16"/>
                          <w:szCs w:val="16"/>
                          <w:lang w:val="de-DE"/>
                        </w:rPr>
                        <w:t>Unterziehen Sie die Ergebnisse, die Sie erhalten, einer Sensitivitätsanalyse.</w:t>
                      </w:r>
                    </w:p>
                    <w:p w:rsidR="00B3609C" w:rsidRDefault="00882296">
                      <w:pPr>
                        <w:pStyle w:val="Hlistbullet"/>
                        <w:spacing w:before="0" w:after="120" w:line="280" w:lineRule="atLeast"/>
                        <w:rPr>
                          <w:rFonts w:cs="Arial"/>
                          <w:sz w:val="16"/>
                          <w:szCs w:val="16"/>
                          <w:lang w:val="de-DE"/>
                        </w:rPr>
                      </w:pPr>
                      <w:r>
                        <w:rPr>
                          <w:b/>
                          <w:bCs/>
                          <w:color w:val="F07E31" w:themeColor="accent1"/>
                          <w:sz w:val="16"/>
                          <w:szCs w:val="16"/>
                          <w:lang w:val="de-DE"/>
                        </w:rPr>
                        <w:t>Schritt 2:</w:t>
                      </w:r>
                      <w:r>
                        <w:rPr>
                          <w:color w:val="F07E31" w:themeColor="accent1"/>
                          <w:sz w:val="16"/>
                          <w:szCs w:val="16"/>
                          <w:lang w:val="de-DE"/>
                        </w:rPr>
                        <w:t xml:space="preserve"> </w:t>
                      </w:r>
                      <w:r>
                        <w:rPr>
                          <w:sz w:val="16"/>
                          <w:szCs w:val="16"/>
                          <w:lang w:val="de-DE"/>
                        </w:rPr>
                        <w:t xml:space="preserve">Schätzen Sie die </w:t>
                      </w:r>
                      <w:r>
                        <w:rPr>
                          <w:b/>
                          <w:bCs/>
                          <w:sz w:val="16"/>
                          <w:szCs w:val="16"/>
                          <w:lang w:val="de-DE"/>
                        </w:rPr>
                        <w:t>mittelbaren Wirkungen</w:t>
                      </w:r>
                      <w:r>
                        <w:rPr>
                          <w:sz w:val="16"/>
                          <w:szCs w:val="16"/>
                          <w:lang w:val="de-DE"/>
                        </w:rPr>
                        <w:t xml:space="preserve"> des Programms zur Entwicklung des ländlichen Raums </w:t>
                      </w:r>
                      <w:r>
                        <w:rPr>
                          <w:b/>
                          <w:bCs/>
                          <w:sz w:val="16"/>
                          <w:szCs w:val="16"/>
                          <w:lang w:val="de-DE"/>
                        </w:rPr>
                        <w:t>auf die Begünstigten auf der Mikroebene</w:t>
                      </w:r>
                      <w:r>
                        <w:rPr>
                          <w:sz w:val="16"/>
                          <w:szCs w:val="16"/>
                          <w:lang w:val="de-DE"/>
                        </w:rPr>
                        <w:t>: Auch hier sollten die beobachteten Änderungen der Indikatorwerte in Veränderungen, die auf das Programm zurückgeführt werden können (Gesamtwirkung primärer und sekundärer Beiträge), und von anderen Faktoren verursachte Veränderungen aufgeteilt werden.</w:t>
                      </w:r>
                      <w:r>
                        <w:rPr>
                          <w:color w:val="auto"/>
                          <w:sz w:val="16"/>
                          <w:szCs w:val="16"/>
                          <w:lang w:val="de-DE"/>
                        </w:rPr>
                        <w:t xml:space="preserve"> </w:t>
                      </w:r>
                      <w:r>
                        <w:rPr>
                          <w:sz w:val="16"/>
                          <w:szCs w:val="16"/>
                          <w:lang w:val="de-DE"/>
                        </w:rPr>
                        <w:t xml:space="preserve">Die mittelbaren Wirkungen des Programms zur Entwicklung des ländlichen Raums (z. B. Substitutions-, Verdrängungs-, Multiplikatoreffekte) sollten separat ermittelt und dargestellt werden. </w:t>
                      </w:r>
                    </w:p>
                    <w:p w:rsidR="00B3609C" w:rsidRDefault="00B3609C">
                      <w:pPr>
                        <w:pStyle w:val="Hlistbullet"/>
                        <w:spacing w:before="0" w:after="120" w:line="280" w:lineRule="atLeast"/>
                        <w:rPr>
                          <w:i/>
                          <w:color w:val="F07E31" w:themeColor="accent1"/>
                          <w:sz w:val="16"/>
                          <w:szCs w:val="16"/>
                          <w:lang w:val="de-DE"/>
                        </w:rPr>
                      </w:pPr>
                    </w:p>
                  </w:txbxContent>
                </v:textbox>
                <w10:anchorlock/>
              </v:shape>
            </w:pict>
          </mc:Fallback>
        </mc:AlternateContent>
      </w:r>
    </w:p>
    <w:p w:rsidR="00B3609C" w:rsidRDefault="00B3609C">
      <w:pPr>
        <w:pStyle w:val="HStandard"/>
        <w:rPr>
          <w:lang w:val="de-DE"/>
        </w:rPr>
      </w:pPr>
    </w:p>
    <w:p w:rsidR="00B3609C" w:rsidRDefault="00882296">
      <w:pPr>
        <w:pStyle w:val="HHeading4"/>
        <w:rPr>
          <w:lang w:val="de-DE"/>
        </w:rPr>
      </w:pPr>
      <w:r>
        <w:rPr>
          <w:b w:val="0"/>
          <w:noProof/>
          <w:color w:val="F07E31" w:themeColor="accent1"/>
          <w:lang w:eastAsia="en-GB"/>
        </w:rPr>
        <mc:AlternateContent>
          <mc:Choice Requires="wps">
            <w:drawing>
              <wp:inline distT="0" distB="0" distL="0" distR="0" wp14:anchorId="044C4927" wp14:editId="7D9F11D7">
                <wp:extent cx="5731510" cy="5676900"/>
                <wp:effectExtent l="0" t="0" r="21590" b="19050"/>
                <wp:docPr id="8"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5676900"/>
                        </a:xfrm>
                        <a:custGeom>
                          <a:avLst/>
                          <a:gdLst>
                            <a:gd name="T0" fmla="*/ 335330 w 5731510"/>
                            <a:gd name="T1" fmla="*/ 0 h 4712335"/>
                            <a:gd name="T2" fmla="*/ 5731510 w 5731510"/>
                            <a:gd name="T3" fmla="*/ 0 h 4712335"/>
                            <a:gd name="T4" fmla="*/ 5731510 w 5731510"/>
                            <a:gd name="T5" fmla="*/ 0 h 4712335"/>
                            <a:gd name="T6" fmla="*/ 5731510 w 5731510"/>
                            <a:gd name="T7" fmla="*/ 4377005 h 4712335"/>
                            <a:gd name="T8" fmla="*/ 5396180 w 5731510"/>
                            <a:gd name="T9" fmla="*/ 4712335 h 4712335"/>
                            <a:gd name="T10" fmla="*/ 0 w 5731510"/>
                            <a:gd name="T11" fmla="*/ 4712335 h 4712335"/>
                            <a:gd name="T12" fmla="*/ 0 w 5731510"/>
                            <a:gd name="T13" fmla="*/ 4712335 h 4712335"/>
                            <a:gd name="T14" fmla="*/ 0 w 5731510"/>
                            <a:gd name="T15" fmla="*/ 335330 h 4712335"/>
                            <a:gd name="T16" fmla="*/ 335330 w 5731510"/>
                            <a:gd name="T17" fmla="*/ 0 h 471233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4712335"/>
                            <a:gd name="T29" fmla="*/ 5731510 w 5731510"/>
                            <a:gd name="T30" fmla="*/ 4712335 h 471233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4712335">
                              <a:moveTo>
                                <a:pt x="335330" y="0"/>
                              </a:moveTo>
                              <a:lnTo>
                                <a:pt x="5731510" y="0"/>
                              </a:lnTo>
                              <a:lnTo>
                                <a:pt x="5731510" y="4377005"/>
                              </a:lnTo>
                              <a:cubicBezTo>
                                <a:pt x="5731510" y="4562203"/>
                                <a:pt x="5581378" y="4712335"/>
                                <a:pt x="5396180" y="4712335"/>
                              </a:cubicBezTo>
                              <a:lnTo>
                                <a:pt x="0" y="4712335"/>
                              </a:lnTo>
                              <a:lnTo>
                                <a:pt x="0" y="335330"/>
                              </a:lnTo>
                              <a:cubicBezTo>
                                <a:pt x="0" y="150132"/>
                                <a:pt x="150132" y="0"/>
                                <a:pt x="335330"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B3609C" w:rsidRDefault="00882296">
                            <w:pPr>
                              <w:pStyle w:val="Hlistbullet"/>
                              <w:spacing w:before="0" w:after="120" w:line="280" w:lineRule="atLeast"/>
                              <w:rPr>
                                <w:rFonts w:cs="Arial"/>
                                <w:szCs w:val="16"/>
                                <w:lang w:val="de-DE"/>
                              </w:rPr>
                            </w:pPr>
                            <w:r>
                              <w:rPr>
                                <w:b/>
                                <w:bCs/>
                                <w:color w:val="F07E31" w:themeColor="accent1"/>
                                <w:szCs w:val="16"/>
                                <w:lang w:val="de-DE"/>
                              </w:rPr>
                              <w:t>Schritt 3:</w:t>
                            </w:r>
                            <w:r>
                              <w:rPr>
                                <w:color w:val="F07E31" w:themeColor="accent1"/>
                                <w:szCs w:val="16"/>
                                <w:lang w:val="de-DE"/>
                              </w:rPr>
                              <w:t xml:space="preserve"> </w:t>
                            </w:r>
                            <w:r>
                              <w:rPr>
                                <w:szCs w:val="16"/>
                                <w:lang w:val="de-DE"/>
                              </w:rPr>
                              <w:t xml:space="preserve">Berechnen Sie die </w:t>
                            </w:r>
                            <w:r>
                              <w:rPr>
                                <w:b/>
                                <w:bCs/>
                                <w:szCs w:val="16"/>
                                <w:lang w:val="de-DE"/>
                              </w:rPr>
                              <w:t>mittelbaren Wirkungen</w:t>
                            </w:r>
                            <w:r>
                              <w:rPr>
                                <w:szCs w:val="16"/>
                                <w:lang w:val="de-DE"/>
                              </w:rPr>
                              <w:t xml:space="preserve"> des Programms zur Entwicklung des ländlichen Raums </w:t>
                            </w:r>
                            <w:r>
                              <w:rPr>
                                <w:b/>
                                <w:bCs/>
                                <w:szCs w:val="16"/>
                                <w:lang w:val="de-DE"/>
                              </w:rPr>
                              <w:t>auf die Nichtbegünstigten auf der Mikroebene</w:t>
                            </w:r>
                            <w:r>
                              <w:rPr>
                                <w:szCs w:val="16"/>
                                <w:lang w:val="de-DE"/>
                              </w:rPr>
                              <w:t xml:space="preserve">: Hier sollten die beobachteten Änderungen der Indikatorwerte ebenfalls in Veränderungen, die auf das Programm zurückgeführt werden können (Gesamtwirkung primärer und sekundärer Beiträge), und von anderen Faktoren verursachte Veränderungen aufgeteilt werden. Diese Phase bezieht sich auf die Erwartung, dass die Förderung, die die Begünstigten des Programms zur Entwicklung des ländlichen Raums erhalten haben, „erwartete/unerwartete“ allgemeine Gleichgewichtseffekte haben kann (z. B. negative Auswirkungen auf Nichtbegünstigte, die sich in unmittelbarer Nachbarschaft von Programmbegünstigten befinden). </w:t>
                            </w:r>
                          </w:p>
                          <w:p w:rsidR="00B3609C" w:rsidRDefault="00882296">
                            <w:pPr>
                              <w:pStyle w:val="HStandard"/>
                              <w:rPr>
                                <w:rFonts w:cs="Arial"/>
                                <w:szCs w:val="16"/>
                                <w:lang w:val="de-DE"/>
                              </w:rPr>
                            </w:pPr>
                            <w:r>
                              <w:rPr>
                                <w:rFonts w:cs="Arial"/>
                                <w:szCs w:val="16"/>
                                <w:lang w:val="de-DE"/>
                              </w:rPr>
                              <w:t>In dieser Phase der Bewertung ist eine vorläufige qualitative Bewertung entscheidend, da sie wertvolle Einblicke ermöglicht und zur Formulierung wichtiger programmspezifischer Bewertungsfragen (PSEQ) über die Leistung des Programms –insbesondere im Hinblick auf dessen positive, negative, beabsichtigte und unbeabsichtigte Wirkungen auf Nichtbegünstigte – führt. Die Verwendung von PSEQ ist freiwillig, doch wenn solche Fragen formuliert werden, sollten sie auch beantwortet werden. Zur vorläufigen Analyse von Synergien oder potenziellen negativen übergreifenden Auswirkungen können die Bewerter auch auf qualitative Bewertungswerkzeuge zurückgreifen.</w:t>
                            </w:r>
                          </w:p>
                          <w:p w:rsidR="00B3609C" w:rsidRDefault="00882296">
                            <w:pPr>
                              <w:pStyle w:val="Hlistbullet"/>
                              <w:spacing w:before="0" w:after="120" w:line="280" w:lineRule="atLeast"/>
                              <w:rPr>
                                <w:rFonts w:cs="Arial"/>
                                <w:szCs w:val="16"/>
                                <w:lang w:val="de-DE"/>
                              </w:rPr>
                            </w:pPr>
                            <w:r>
                              <w:rPr>
                                <w:b/>
                                <w:bCs/>
                                <w:color w:val="F07E31" w:themeColor="accent1"/>
                                <w:szCs w:val="16"/>
                                <w:lang w:val="de-DE"/>
                              </w:rPr>
                              <w:t>Schritt 4:</w:t>
                            </w:r>
                            <w:r>
                              <w:rPr>
                                <w:color w:val="F07E31" w:themeColor="accent1"/>
                                <w:szCs w:val="16"/>
                                <w:lang w:val="de-DE"/>
                              </w:rPr>
                              <w:t xml:space="preserve"> </w:t>
                            </w:r>
                            <w:r>
                              <w:rPr>
                                <w:b/>
                                <w:bCs/>
                                <w:szCs w:val="16"/>
                                <w:lang w:val="de-DE"/>
                              </w:rPr>
                              <w:t>Führen Sie die Ergebnisse zusammen und berechnen Sie die Wirkungen des Programms zur Entwicklung des ländlichen Raums auf die analysierten Wirkungsindikatoren auf der Makroebene und der Ebene des Programmplanungsgebiets.</w:t>
                            </w:r>
                            <w:r>
                              <w:rPr>
                                <w:szCs w:val="16"/>
                                <w:lang w:val="de-DE"/>
                              </w:rPr>
                              <w:t xml:space="preserve"> In diesem Schritt sollte der Bewerter die unmittelbaren Nettowirkungen des Programms zur Entwicklung des ländlichen Raums auf die Wirkungsindikatoren auf dem Programmplanungsgebiet berechnen, indem er Extrapolationstechniken anwendet (d. h. durch Multiplizierung der durchschnittlichen Ergebnisse auf der Mikroebene mit der Anzahl der Begünstigten/Nichtbegünstigten).</w:t>
                            </w:r>
                          </w:p>
                          <w:p w:rsidR="00B3609C" w:rsidRDefault="00882296">
                            <w:pPr>
                              <w:pStyle w:val="HStandard"/>
                              <w:rPr>
                                <w:color w:val="auto"/>
                                <w:szCs w:val="16"/>
                                <w:lang w:val="de-DE"/>
                              </w:rPr>
                            </w:pPr>
                            <w:r>
                              <w:rPr>
                                <w:b/>
                                <w:bCs/>
                                <w:color w:val="F07E31" w:themeColor="accent1"/>
                                <w:szCs w:val="16"/>
                                <w:lang w:val="de-DE"/>
                              </w:rPr>
                              <w:t>Schritt 5:</w:t>
                            </w:r>
                            <w:r>
                              <w:rPr>
                                <w:color w:val="F07E31" w:themeColor="accent1"/>
                                <w:szCs w:val="16"/>
                                <w:lang w:val="de-DE"/>
                              </w:rPr>
                              <w:t xml:space="preserve"> </w:t>
                            </w:r>
                            <w:r>
                              <w:rPr>
                                <w:b/>
                                <w:bCs/>
                                <w:szCs w:val="16"/>
                                <w:lang w:val="de-DE"/>
                              </w:rPr>
                              <w:t>Wenden Sie qualitative Methoden</w:t>
                            </w:r>
                            <w:r>
                              <w:rPr>
                                <w:szCs w:val="16"/>
                                <w:lang w:val="de-DE"/>
                              </w:rPr>
                              <w:t xml:space="preserve"> für die Prüfung und Verifizierung der erhaltenen Ergebnisse an (Triangulation).</w:t>
                            </w:r>
                          </w:p>
                          <w:p w:rsidR="00B3609C" w:rsidRDefault="00882296">
                            <w:pPr>
                              <w:pStyle w:val="Hlistbullet"/>
                              <w:jc w:val="center"/>
                              <w:rPr>
                                <w:i/>
                                <w:color w:val="F07E31" w:themeColor="accent1"/>
                                <w:szCs w:val="18"/>
                                <w:lang w:val="de-DE"/>
                              </w:rPr>
                            </w:pPr>
                            <w:r>
                              <w:rPr>
                                <w:i/>
                                <w:iCs/>
                                <w:color w:val="F07E31" w:themeColor="accent1"/>
                                <w:szCs w:val="18"/>
                                <w:lang w:val="de-DE"/>
                              </w:rPr>
                              <w:t>Weitere Informationen zur Herausarbeitung der Wirkungen des Programms siehe</w:t>
                            </w:r>
                            <w:r>
                              <w:rPr>
                                <w:color w:val="F07E31" w:themeColor="accent1"/>
                                <w:szCs w:val="18"/>
                                <w:lang w:val="de-DE"/>
                              </w:rPr>
                              <w:br/>
                            </w:r>
                            <w:r>
                              <w:rPr>
                                <w:i/>
                                <w:iCs/>
                                <w:color w:val="F07E31" w:themeColor="accent1"/>
                                <w:szCs w:val="18"/>
                                <w:lang w:val="de-DE"/>
                              </w:rPr>
                              <w:t xml:space="preserve"> </w:t>
                            </w:r>
                            <w:hyperlink r:id="rId53" w:history="1">
                              <w:r>
                                <w:rPr>
                                  <w:rStyle w:val="Hyperlink"/>
                                  <w:i/>
                                  <w:iCs/>
                                  <w:color w:val="F07E31" w:themeColor="accent1"/>
                                  <w:szCs w:val="18"/>
                                  <w:lang w:val="de-DE"/>
                                </w:rPr>
                                <w:t xml:space="preserve">Guidelines </w:t>
                              </w:r>
                              <w:proofErr w:type="spellStart"/>
                              <w:r>
                                <w:rPr>
                                  <w:rStyle w:val="Hyperlink"/>
                                  <w:i/>
                                  <w:iCs/>
                                  <w:color w:val="F07E31" w:themeColor="accent1"/>
                                  <w:szCs w:val="18"/>
                                  <w:lang w:val="de-DE"/>
                                </w:rPr>
                                <w:t>for</w:t>
                              </w:r>
                              <w:proofErr w:type="spellEnd"/>
                              <w:r>
                                <w:rPr>
                                  <w:rStyle w:val="Hyperlink"/>
                                  <w:i/>
                                  <w:iCs/>
                                  <w:color w:val="F07E31" w:themeColor="accent1"/>
                                  <w:szCs w:val="18"/>
                                  <w:lang w:val="de-DE"/>
                                </w:rPr>
                                <w:t xml:space="preserve"> ex </w:t>
                              </w:r>
                              <w:proofErr w:type="spellStart"/>
                              <w:r>
                                <w:rPr>
                                  <w:rStyle w:val="Hyperlink"/>
                                  <w:i/>
                                  <w:iCs/>
                                  <w:color w:val="F07E31" w:themeColor="accent1"/>
                                  <w:szCs w:val="18"/>
                                  <w:lang w:val="de-DE"/>
                                </w:rPr>
                                <w:t>post</w:t>
                              </w:r>
                              <w:proofErr w:type="spellEnd"/>
                              <w:r>
                                <w:rPr>
                                  <w:rStyle w:val="Hyperlink"/>
                                  <w:i/>
                                  <w:iCs/>
                                  <w:color w:val="F07E31" w:themeColor="accent1"/>
                                  <w:szCs w:val="18"/>
                                  <w:lang w:val="de-DE"/>
                                </w:rPr>
                                <w:t xml:space="preserve"> </w:t>
                              </w:r>
                              <w:proofErr w:type="spellStart"/>
                              <w:r>
                                <w:rPr>
                                  <w:rStyle w:val="Hyperlink"/>
                                  <w:i/>
                                  <w:iCs/>
                                  <w:color w:val="F07E31" w:themeColor="accent1"/>
                                  <w:szCs w:val="18"/>
                                  <w:lang w:val="de-DE"/>
                                </w:rPr>
                                <w:t>evaluation</w:t>
                              </w:r>
                              <w:proofErr w:type="spellEnd"/>
                              <w:r>
                                <w:rPr>
                                  <w:rStyle w:val="Hyperlink"/>
                                  <w:i/>
                                  <w:iCs/>
                                  <w:color w:val="F07E31" w:themeColor="accent1"/>
                                  <w:szCs w:val="18"/>
                                  <w:lang w:val="de-DE"/>
                                </w:rPr>
                                <w:t xml:space="preserve"> </w:t>
                              </w:r>
                              <w:proofErr w:type="spellStart"/>
                              <w:r>
                                <w:rPr>
                                  <w:rStyle w:val="Hyperlink"/>
                                  <w:i/>
                                  <w:iCs/>
                                  <w:color w:val="F07E31" w:themeColor="accent1"/>
                                  <w:szCs w:val="18"/>
                                  <w:lang w:val="de-DE"/>
                                </w:rPr>
                                <w:t>of</w:t>
                              </w:r>
                              <w:proofErr w:type="spellEnd"/>
                              <w:r>
                                <w:rPr>
                                  <w:rStyle w:val="Hyperlink"/>
                                  <w:i/>
                                  <w:iCs/>
                                  <w:color w:val="F07E31" w:themeColor="accent1"/>
                                  <w:szCs w:val="18"/>
                                  <w:lang w:val="de-DE"/>
                                </w:rPr>
                                <w:t xml:space="preserve"> 2007–2013 RDPs</w:t>
                              </w:r>
                            </w:hyperlink>
                            <w:r>
                              <w:rPr>
                                <w:rStyle w:val="Hyperlink"/>
                                <w:i/>
                                <w:iCs/>
                                <w:color w:val="F07E31" w:themeColor="accent1"/>
                                <w:szCs w:val="18"/>
                                <w:lang w:val="de-DE"/>
                              </w:rPr>
                              <w:t>, Kapitel 4.2 und zum CGE-Modell in Kapitel 4.3.3.</w:t>
                            </w:r>
                          </w:p>
                        </w:txbxContent>
                      </wps:txbx>
                      <wps:bodyPr rot="0" vert="horz" wrap="square" lIns="91440" tIns="45720" rIns="91440" bIns="45720" anchor="t" anchorCtr="0" upright="1">
                        <a:noAutofit/>
                      </wps:bodyPr>
                    </wps:wsp>
                  </a:graphicData>
                </a:graphic>
              </wp:inline>
            </w:drawing>
          </mc:Choice>
          <mc:Fallback>
            <w:pict>
              <v:shape w14:anchorId="044C4927" id="AutoShape 63" o:spid="_x0000_s1040" style="width:451.3pt;height:447pt;visibility:visible;mso-wrap-style:square;mso-left-percent:-10001;mso-top-percent:-10001;mso-position-horizontal:absolute;mso-position-horizontal-relative:char;mso-position-vertical:absolute;mso-position-vertical-relative:line;mso-left-percent:-10001;mso-top-percent:-10001;v-text-anchor:top" coordsize="5731510,47123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" adj="-11796480,,5400" path="m335330,l5731510,r,4377005c5731510,4562203,5581378,4712335,5396180,4712335l,4712335,,335330c,150132,150132,,335330,xe" filled="f" strokecolor="#be4a35" strokeweight="2pt">
                <v:stroke joinstyle="miter"/>
                <v:formulas/>
                <v:path arrowok="t" o:connecttype="custom" o:connectlocs="335330,0;5731510,0;5731510,0;5731510,5272932;5396180,5676900;0,5676900;0,5676900;0,403968;335330,0" o:connectangles="0,0,0,0,0,0,0,0,0" textboxrect="0,0,5731510,4712335"/>
                <v:textbox>
                  <w:txbxContent>
                    <w:p w:rsidR="00B3609C" w:rsidRDefault="00882296">
                      <w:pPr>
                        <w:pStyle w:val="Hlistbullet"/>
                        <w:spacing w:before="0" w:after="120" w:line="280" w:lineRule="atLeast"/>
                        <w:rPr>
                          <w:rFonts w:cs="Arial"/>
                          <w:szCs w:val="16"/>
                          <w:lang w:val="de-DE"/>
                        </w:rPr>
                      </w:pPr>
                      <w:r>
                        <w:rPr>
                          <w:b/>
                          <w:bCs/>
                          <w:color w:val="F07E31" w:themeColor="accent1"/>
                          <w:szCs w:val="16"/>
                          <w:lang w:val="de-DE"/>
                        </w:rPr>
                        <w:t>Schritt 3:</w:t>
                      </w:r>
                      <w:r>
                        <w:rPr>
                          <w:color w:val="F07E31" w:themeColor="accent1"/>
                          <w:szCs w:val="16"/>
                          <w:lang w:val="de-DE"/>
                        </w:rPr>
                        <w:t xml:space="preserve"> </w:t>
                      </w:r>
                      <w:r>
                        <w:rPr>
                          <w:szCs w:val="16"/>
                          <w:lang w:val="de-DE"/>
                        </w:rPr>
                        <w:t xml:space="preserve">Berechnen Sie die </w:t>
                      </w:r>
                      <w:r>
                        <w:rPr>
                          <w:b/>
                          <w:bCs/>
                          <w:szCs w:val="16"/>
                          <w:lang w:val="de-DE"/>
                        </w:rPr>
                        <w:t>mittelbaren Wirkungen</w:t>
                      </w:r>
                      <w:r>
                        <w:rPr>
                          <w:szCs w:val="16"/>
                          <w:lang w:val="de-DE"/>
                        </w:rPr>
                        <w:t xml:space="preserve"> des Programms zur Entwicklung des ländlichen Raums </w:t>
                      </w:r>
                      <w:r>
                        <w:rPr>
                          <w:b/>
                          <w:bCs/>
                          <w:szCs w:val="16"/>
                          <w:lang w:val="de-DE"/>
                        </w:rPr>
                        <w:t>auf die Nichtbegünstigten auf der Mikroebene</w:t>
                      </w:r>
                      <w:r>
                        <w:rPr>
                          <w:szCs w:val="16"/>
                          <w:lang w:val="de-DE"/>
                        </w:rPr>
                        <w:t xml:space="preserve">: Hier sollten die beobachteten Änderungen der Indikatorwerte ebenfalls in Veränderungen, die auf das Programm zurückgeführt werden können (Gesamtwirkung primärer und sekundärer Beiträge), und von anderen Faktoren verursachte Veränderungen aufgeteilt werden. Diese Phase bezieht sich auf die Erwartung, dass die Förderung, die die Begünstigten des Programms zur Entwicklung des ländlichen Raums erhalten haben, „erwartete/unerwartete“ allgemeine Gleichgewichtseffekte haben kann (z. B. negative Auswirkungen auf Nichtbegünstigte, die sich in unmittelbarer Nachbarschaft von Programmbegünstigten befinden). </w:t>
                      </w:r>
                    </w:p>
                    <w:p w:rsidR="00B3609C" w:rsidRDefault="00882296">
                      <w:pPr>
                        <w:pStyle w:val="HStandard"/>
                        <w:rPr>
                          <w:rFonts w:cs="Arial"/>
                          <w:szCs w:val="16"/>
                          <w:lang w:val="de-DE"/>
                        </w:rPr>
                      </w:pPr>
                      <w:r>
                        <w:rPr>
                          <w:rFonts w:cs="Arial"/>
                          <w:szCs w:val="16"/>
                          <w:lang w:val="de-DE"/>
                        </w:rPr>
                        <w:t>In dieser Phase der Bewertung ist eine vorläufige qualitative Bewertung entscheidend, da sie wertvolle Einblicke ermöglicht und zur Formulierung wichtiger programmspezifischer Bewertungsfragen (PSEQ) über die Leistung des Programms –insbesondere im Hinblick auf dessen positive, negative, beabsichtigte und unbeabsichtigte Wirkungen auf Nichtbegünstigte – führt. Die Verwendung von PSEQ ist freiwillig, doch wenn solche Fragen formuliert werden, sollten sie auch beantwortet werden. Zur vorläufigen Analyse von Synergien oder potenziellen negativen übergreifenden Auswirkungen können die Bewerter auch auf qualitative Bewertungswerkzeuge zurückgreifen.</w:t>
                      </w:r>
                    </w:p>
                    <w:p w:rsidR="00B3609C" w:rsidRDefault="00882296">
                      <w:pPr>
                        <w:pStyle w:val="Hlistbullet"/>
                        <w:spacing w:before="0" w:after="120" w:line="280" w:lineRule="atLeast"/>
                        <w:rPr>
                          <w:rFonts w:cs="Arial"/>
                          <w:szCs w:val="16"/>
                          <w:lang w:val="de-DE"/>
                        </w:rPr>
                      </w:pPr>
                      <w:r>
                        <w:rPr>
                          <w:b/>
                          <w:bCs/>
                          <w:color w:val="F07E31" w:themeColor="accent1"/>
                          <w:szCs w:val="16"/>
                          <w:lang w:val="de-DE"/>
                        </w:rPr>
                        <w:t>Schritt 4:</w:t>
                      </w:r>
                      <w:r>
                        <w:rPr>
                          <w:color w:val="F07E31" w:themeColor="accent1"/>
                          <w:szCs w:val="16"/>
                          <w:lang w:val="de-DE"/>
                        </w:rPr>
                        <w:t xml:space="preserve"> </w:t>
                      </w:r>
                      <w:r>
                        <w:rPr>
                          <w:b/>
                          <w:bCs/>
                          <w:szCs w:val="16"/>
                          <w:lang w:val="de-DE"/>
                        </w:rPr>
                        <w:t>Führen Sie die Ergebnisse zusammen und berechnen Sie die Wirkungen des Programms zur Entwicklung des ländlichen Raums auf die analysierten Wirkungsindikatoren auf der Makroebene und der Ebene des Programmplanungsgebiets.</w:t>
                      </w:r>
                      <w:r>
                        <w:rPr>
                          <w:szCs w:val="16"/>
                          <w:lang w:val="de-DE"/>
                        </w:rPr>
                        <w:t xml:space="preserve"> In diesem Schritt sollte der Bewerter die unmittelbaren Nettowirkungen des Programms zur Entwicklung des ländlichen Raums auf die Wirkungsindikatoren auf dem Programmplanungsgebiet berechnen, indem er Extrapolationstechniken anwendet (d. h. durch Multiplizierung der durchschnittlichen Ergebnisse auf der Mikroebene mit der Anzahl der Begünstigten/Nichtbegünstigten).</w:t>
                      </w:r>
                    </w:p>
                    <w:p w:rsidR="00B3609C" w:rsidRDefault="00882296">
                      <w:pPr>
                        <w:pStyle w:val="HStandard"/>
                        <w:rPr>
                          <w:color w:val="auto"/>
                          <w:szCs w:val="16"/>
                          <w:lang w:val="de-DE"/>
                        </w:rPr>
                      </w:pPr>
                      <w:r>
                        <w:rPr>
                          <w:b/>
                          <w:bCs/>
                          <w:color w:val="F07E31" w:themeColor="accent1"/>
                          <w:szCs w:val="16"/>
                          <w:lang w:val="de-DE"/>
                        </w:rPr>
                        <w:t>Schritt 5:</w:t>
                      </w:r>
                      <w:r>
                        <w:rPr>
                          <w:color w:val="F07E31" w:themeColor="accent1"/>
                          <w:szCs w:val="16"/>
                          <w:lang w:val="de-DE"/>
                        </w:rPr>
                        <w:t xml:space="preserve"> </w:t>
                      </w:r>
                      <w:r>
                        <w:rPr>
                          <w:b/>
                          <w:bCs/>
                          <w:szCs w:val="16"/>
                          <w:lang w:val="de-DE"/>
                        </w:rPr>
                        <w:t>Wenden Sie qualitative Methoden</w:t>
                      </w:r>
                      <w:r>
                        <w:rPr>
                          <w:szCs w:val="16"/>
                          <w:lang w:val="de-DE"/>
                        </w:rPr>
                        <w:t xml:space="preserve"> für die Prüfung und Verifizierung der erhaltenen Ergebnisse an (Triangulation).</w:t>
                      </w:r>
                    </w:p>
                    <w:p w:rsidR="00B3609C" w:rsidRDefault="00882296">
                      <w:pPr>
                        <w:pStyle w:val="Hlistbullet"/>
                        <w:jc w:val="center"/>
                        <w:rPr>
                          <w:i/>
                          <w:color w:val="F07E31" w:themeColor="accent1"/>
                          <w:szCs w:val="18"/>
                          <w:lang w:val="de-DE"/>
                        </w:rPr>
                      </w:pPr>
                      <w:r>
                        <w:rPr>
                          <w:i/>
                          <w:iCs/>
                          <w:color w:val="F07E31" w:themeColor="accent1"/>
                          <w:szCs w:val="18"/>
                          <w:lang w:val="de-DE"/>
                        </w:rPr>
                        <w:t>Weitere Informationen zur Herausarbeitung der Wirkungen des Programms siehe</w:t>
                      </w:r>
                      <w:r>
                        <w:rPr>
                          <w:color w:val="F07E31" w:themeColor="accent1"/>
                          <w:szCs w:val="18"/>
                          <w:lang w:val="de-DE"/>
                        </w:rPr>
                        <w:br/>
                      </w:r>
                      <w:r>
                        <w:rPr>
                          <w:i/>
                          <w:iCs/>
                          <w:color w:val="F07E31" w:themeColor="accent1"/>
                          <w:szCs w:val="18"/>
                          <w:lang w:val="de-DE"/>
                        </w:rPr>
                        <w:t xml:space="preserve"> </w:t>
                      </w:r>
                      <w:hyperlink r:id="rId54" w:history="1">
                        <w:r>
                          <w:rPr>
                            <w:rStyle w:val="Hyperlink"/>
                            <w:i/>
                            <w:iCs/>
                            <w:color w:val="F07E31" w:themeColor="accent1"/>
                            <w:szCs w:val="18"/>
                            <w:lang w:val="de-DE"/>
                          </w:rPr>
                          <w:t xml:space="preserve">Guidelines </w:t>
                        </w:r>
                        <w:proofErr w:type="spellStart"/>
                        <w:r>
                          <w:rPr>
                            <w:rStyle w:val="Hyperlink"/>
                            <w:i/>
                            <w:iCs/>
                            <w:color w:val="F07E31" w:themeColor="accent1"/>
                            <w:szCs w:val="18"/>
                            <w:lang w:val="de-DE"/>
                          </w:rPr>
                          <w:t>for</w:t>
                        </w:r>
                        <w:proofErr w:type="spellEnd"/>
                        <w:r>
                          <w:rPr>
                            <w:rStyle w:val="Hyperlink"/>
                            <w:i/>
                            <w:iCs/>
                            <w:color w:val="F07E31" w:themeColor="accent1"/>
                            <w:szCs w:val="18"/>
                            <w:lang w:val="de-DE"/>
                          </w:rPr>
                          <w:t xml:space="preserve"> ex </w:t>
                        </w:r>
                        <w:proofErr w:type="spellStart"/>
                        <w:r>
                          <w:rPr>
                            <w:rStyle w:val="Hyperlink"/>
                            <w:i/>
                            <w:iCs/>
                            <w:color w:val="F07E31" w:themeColor="accent1"/>
                            <w:szCs w:val="18"/>
                            <w:lang w:val="de-DE"/>
                          </w:rPr>
                          <w:t>post</w:t>
                        </w:r>
                        <w:proofErr w:type="spellEnd"/>
                        <w:r>
                          <w:rPr>
                            <w:rStyle w:val="Hyperlink"/>
                            <w:i/>
                            <w:iCs/>
                            <w:color w:val="F07E31" w:themeColor="accent1"/>
                            <w:szCs w:val="18"/>
                            <w:lang w:val="de-DE"/>
                          </w:rPr>
                          <w:t xml:space="preserve"> </w:t>
                        </w:r>
                        <w:proofErr w:type="spellStart"/>
                        <w:r>
                          <w:rPr>
                            <w:rStyle w:val="Hyperlink"/>
                            <w:i/>
                            <w:iCs/>
                            <w:color w:val="F07E31" w:themeColor="accent1"/>
                            <w:szCs w:val="18"/>
                            <w:lang w:val="de-DE"/>
                          </w:rPr>
                          <w:t>evaluation</w:t>
                        </w:r>
                        <w:proofErr w:type="spellEnd"/>
                        <w:r>
                          <w:rPr>
                            <w:rStyle w:val="Hyperlink"/>
                            <w:i/>
                            <w:iCs/>
                            <w:color w:val="F07E31" w:themeColor="accent1"/>
                            <w:szCs w:val="18"/>
                            <w:lang w:val="de-DE"/>
                          </w:rPr>
                          <w:t xml:space="preserve"> </w:t>
                        </w:r>
                        <w:proofErr w:type="spellStart"/>
                        <w:r>
                          <w:rPr>
                            <w:rStyle w:val="Hyperlink"/>
                            <w:i/>
                            <w:iCs/>
                            <w:color w:val="F07E31" w:themeColor="accent1"/>
                            <w:szCs w:val="18"/>
                            <w:lang w:val="de-DE"/>
                          </w:rPr>
                          <w:t>of</w:t>
                        </w:r>
                        <w:proofErr w:type="spellEnd"/>
                        <w:r>
                          <w:rPr>
                            <w:rStyle w:val="Hyperlink"/>
                            <w:i/>
                            <w:iCs/>
                            <w:color w:val="F07E31" w:themeColor="accent1"/>
                            <w:szCs w:val="18"/>
                            <w:lang w:val="de-DE"/>
                          </w:rPr>
                          <w:t xml:space="preserve"> 2007–2013 RDPs</w:t>
                        </w:r>
                      </w:hyperlink>
                      <w:r>
                        <w:rPr>
                          <w:rStyle w:val="Hyperlink"/>
                          <w:i/>
                          <w:iCs/>
                          <w:color w:val="F07E31" w:themeColor="accent1"/>
                          <w:szCs w:val="18"/>
                          <w:lang w:val="de-DE"/>
                        </w:rPr>
                        <w:t>, Kapitel 4.2 und zum CGE-Modell in Kapitel 4.3.3.</w:t>
                      </w:r>
                    </w:p>
                  </w:txbxContent>
                </v:textbox>
                <w10:anchorlock/>
              </v:shape>
            </w:pict>
          </mc:Fallback>
        </mc:AlternateContent>
      </w:r>
      <w:r>
        <w:rPr>
          <w:b w:val="0"/>
          <w:lang w:val="de-DE"/>
        </w:rPr>
        <w:br w:type="column"/>
      </w:r>
      <w:r>
        <w:rPr>
          <w:bCs/>
          <w:lang w:val="de-DE"/>
        </w:rPr>
        <w:lastRenderedPageBreak/>
        <w:t>Übereinstimmungsprüfung auf der Mikro- bzw. Makroebene und Validierung (4. Stufe)</w:t>
      </w:r>
    </w:p>
    <w:p w:rsidR="00B3609C" w:rsidRDefault="00882296">
      <w:pPr>
        <w:pStyle w:val="HStandard"/>
        <w:rPr>
          <w:rFonts w:cs="Arial"/>
          <w:lang w:val="de-DE"/>
        </w:rPr>
      </w:pPr>
      <w:r>
        <w:rPr>
          <w:noProof/>
          <w:color w:val="F07E31" w:themeColor="accent1"/>
          <w:lang w:eastAsia="en-GB"/>
        </w:rPr>
        <mc:AlternateContent>
          <mc:Choice Requires="wps">
            <w:drawing>
              <wp:inline distT="0" distB="0" distL="0" distR="0" wp14:anchorId="5A7C598B" wp14:editId="6F840DAC">
                <wp:extent cx="5731510" cy="1257300"/>
                <wp:effectExtent l="0" t="0" r="21590" b="19050"/>
                <wp:docPr id="10"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257300"/>
                        </a:xfrm>
                        <a:custGeom>
                          <a:avLst/>
                          <a:gdLst>
                            <a:gd name="T0" fmla="*/ 106671 w 5731510"/>
                            <a:gd name="T1" fmla="*/ 0 h 1221469"/>
                            <a:gd name="T2" fmla="*/ 5731510 w 5731510"/>
                            <a:gd name="T3" fmla="*/ 0 h 1221469"/>
                            <a:gd name="T4" fmla="*/ 5731510 w 5731510"/>
                            <a:gd name="T5" fmla="*/ 0 h 1221469"/>
                            <a:gd name="T6" fmla="*/ 5731510 w 5731510"/>
                            <a:gd name="T7" fmla="*/ 1114798 h 1221469"/>
                            <a:gd name="T8" fmla="*/ 5624839 w 5731510"/>
                            <a:gd name="T9" fmla="*/ 1221469 h 1221469"/>
                            <a:gd name="T10" fmla="*/ 0 w 5731510"/>
                            <a:gd name="T11" fmla="*/ 1221469 h 1221469"/>
                            <a:gd name="T12" fmla="*/ 0 w 5731510"/>
                            <a:gd name="T13" fmla="*/ 1221469 h 1221469"/>
                            <a:gd name="T14" fmla="*/ 0 w 5731510"/>
                            <a:gd name="T15" fmla="*/ 106671 h 1221469"/>
                            <a:gd name="T16" fmla="*/ 106671 w 5731510"/>
                            <a:gd name="T17" fmla="*/ 0 h 122146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1221469"/>
                            <a:gd name="T29" fmla="*/ 5731510 w 5731510"/>
                            <a:gd name="T30" fmla="*/ 1221469 h 122146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1221469">
                              <a:moveTo>
                                <a:pt x="106671" y="0"/>
                              </a:moveTo>
                              <a:lnTo>
                                <a:pt x="5731510" y="0"/>
                              </a:lnTo>
                              <a:lnTo>
                                <a:pt x="5731510" y="1114798"/>
                              </a:lnTo>
                              <a:cubicBezTo>
                                <a:pt x="5731510" y="1173711"/>
                                <a:pt x="5683752" y="1221469"/>
                                <a:pt x="5624839" y="1221469"/>
                              </a:cubicBezTo>
                              <a:lnTo>
                                <a:pt x="0" y="1221469"/>
                              </a:lnTo>
                              <a:lnTo>
                                <a:pt x="0" y="106671"/>
                              </a:lnTo>
                              <a:cubicBezTo>
                                <a:pt x="0" y="47758"/>
                                <a:pt x="47758" y="0"/>
                                <a:pt x="106671"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B3609C" w:rsidRDefault="00882296">
                            <w:pPr>
                              <w:pStyle w:val="HHeading4"/>
                              <w:spacing w:before="0"/>
                              <w:jc w:val="both"/>
                              <w:rPr>
                                <w:b w:val="0"/>
                                <w:i/>
                                <w:color w:val="373737" w:themeColor="text1"/>
                                <w:sz w:val="18"/>
                                <w:lang w:val="de-DE"/>
                              </w:rPr>
                            </w:pPr>
                            <w:r>
                              <w:rPr>
                                <w:b w:val="0"/>
                                <w:noProof/>
                                <w:color w:val="373737" w:themeColor="text1"/>
                                <w:lang w:eastAsia="en-GB"/>
                              </w:rPr>
                              <w:drawing>
                                <wp:inline distT="0" distB="0" distL="0" distR="0" wp14:anchorId="2A53FE77" wp14:editId="7355DF90">
                                  <wp:extent cx="664845" cy="487680"/>
                                  <wp:effectExtent l="0" t="0" r="0" b="7620"/>
                                  <wp:docPr id="902"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val="0"/>
                                <w:color w:val="373737" w:themeColor="text1"/>
                                <w:lang w:val="de-DE"/>
                              </w:rPr>
                              <w:t xml:space="preserve"> </w:t>
                            </w:r>
                            <w:r>
                              <w:rPr>
                                <w:bCs/>
                                <w:color w:val="373737" w:themeColor="text1"/>
                                <w:lang w:val="de-DE"/>
                              </w:rPr>
                              <w:t>Bei der Bewertung der Nettoauswirkungen</w:t>
                            </w:r>
                            <w:r>
                              <w:rPr>
                                <w:b w:val="0"/>
                                <w:color w:val="373737" w:themeColor="text1"/>
                                <w:lang w:val="de-DE"/>
                              </w:rPr>
                              <w:t xml:space="preserve"> ist es wichtig, die Übereinstimmung der Ergebnisse aus den Bewertungen auf der Mikro- und Makroebene zu prüfen, um sie zu validieren. Eine Übereinstimmung ist gegeben, wenn sich die Ergebnisse der beiden Ebenen nicht widersprechen.</w:t>
                            </w:r>
                          </w:p>
                        </w:txbxContent>
                      </wps:txbx>
                      <wps:bodyPr rot="0" vert="horz" wrap="square" lIns="91440" tIns="45720" rIns="91440" bIns="45720" anchor="ctr" anchorCtr="0" upright="1">
                        <a:noAutofit/>
                      </wps:bodyPr>
                    </wps:wsp>
                  </a:graphicData>
                </a:graphic>
              </wp:inline>
            </w:drawing>
          </mc:Choice>
          <mc:Fallback>
            <w:pict>
              <v:shape w14:anchorId="5A7C598B" id="AutoShape 62" o:spid="_x0000_s1041" style="width:451.3pt;height:99pt;visibility:visible;mso-wrap-style:square;mso-left-percent:-10001;mso-top-percent:-10001;mso-position-horizontal:absolute;mso-position-horizontal-relative:char;mso-position-vertical:absolute;mso-position-vertical-relative:line;mso-left-percent:-10001;mso-top-percent:-10001;v-text-anchor:middle" coordsize="5731510,12214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" adj="-11796480,,5400" path="m106671,l5731510,r,1114798c5731510,1173711,5683752,1221469,5624839,1221469l,1221469,,106671c,47758,47758,,106671,xe" filled="f" strokecolor="#be4a35" strokeweight="2pt">
                <v:stroke joinstyle="miter"/>
                <v:formulas/>
                <v:path arrowok="t" o:connecttype="custom" o:connectlocs="106671,0;5731510,0;5731510,0;5731510,1147500;5624839,1257300;0,1257300;0,1257300;0,109800;106671,0" o:connectangles="0,0,0,0,0,0,0,0,0" textboxrect="0,0,5731510,1221469"/>
                <v:textbox>
                  <w:txbxContent>
                    <w:p w:rsidR="00B3609C" w:rsidRDefault="00882296">
                      <w:pPr>
                        <w:pStyle w:val="HHeading4"/>
                        <w:spacing w:before="0"/>
                        <w:jc w:val="both"/>
                        <w:rPr>
                          <w:b w:val="0"/>
                          <w:i/>
                          <w:color w:val="373737" w:themeColor="text1"/>
                          <w:sz w:val="18"/>
                          <w:lang w:val="de-DE"/>
                        </w:rPr>
                      </w:pPr>
                      <w:r>
                        <w:rPr>
                          <w:b w:val="0"/>
                          <w:noProof/>
                          <w:color w:val="373737" w:themeColor="text1"/>
                          <w:lang w:eastAsia="en-GB"/>
                        </w:rPr>
                        <w:drawing>
                          <wp:inline distT="0" distB="0" distL="0" distR="0" wp14:anchorId="2A53FE77" wp14:editId="7355DF90">
                            <wp:extent cx="664845" cy="487680"/>
                            <wp:effectExtent l="0" t="0" r="0" b="7620"/>
                            <wp:docPr id="902"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val="0"/>
                          <w:color w:val="373737" w:themeColor="text1"/>
                          <w:lang w:val="de-DE"/>
                        </w:rPr>
                        <w:t xml:space="preserve"> </w:t>
                      </w:r>
                      <w:r>
                        <w:rPr>
                          <w:bCs/>
                          <w:color w:val="373737" w:themeColor="text1"/>
                          <w:lang w:val="de-DE"/>
                        </w:rPr>
                        <w:t>Bei der Bewertung der Nettoauswirkungen</w:t>
                      </w:r>
                      <w:r>
                        <w:rPr>
                          <w:b w:val="0"/>
                          <w:color w:val="373737" w:themeColor="text1"/>
                          <w:lang w:val="de-DE"/>
                        </w:rPr>
                        <w:t xml:space="preserve"> ist es wichtig, die Übereinstimmung der Ergebnisse aus den Bewertungen auf der Mikro- und Makroebene zu prüfen, um sie zu validieren. Eine Übereinstimmung ist gegeben, wenn sich die Ergebnisse der beiden Ebenen nicht widersprechen.</w:t>
                      </w:r>
                    </w:p>
                  </w:txbxContent>
                </v:textbox>
                <w10:anchorlock/>
              </v:shape>
            </w:pict>
          </mc:Fallback>
        </mc:AlternateContent>
      </w:r>
      <w:r>
        <w:rPr>
          <w:lang w:val="de-DE"/>
        </w:rPr>
        <w:t xml:space="preserve">Im Falle einer quantitativen Bottom-up-Bewertung wird die Übereinstimmung durch die Hochskalierung der Daten von der Mikro- auf die Makroebene gewährleistet. </w:t>
      </w:r>
    </w:p>
    <w:p w:rsidR="00B3609C" w:rsidRDefault="00882296">
      <w:pPr>
        <w:spacing w:after="120" w:line="280" w:lineRule="atLeast"/>
        <w:rPr>
          <w:rFonts w:cs="Arial"/>
          <w:color w:val="373737"/>
          <w:sz w:val="20"/>
          <w:szCs w:val="20"/>
          <w:lang w:val="de-DE"/>
        </w:rPr>
      </w:pPr>
      <w:r>
        <w:rPr>
          <w:rFonts w:cs="Arial"/>
          <w:color w:val="373737" w:themeColor="text1"/>
          <w:sz w:val="20"/>
          <w:szCs w:val="20"/>
          <w:lang w:val="de-DE"/>
        </w:rPr>
        <w:t xml:space="preserve">Bei den </w:t>
      </w:r>
      <w:r>
        <w:rPr>
          <w:rFonts w:cs="Arial"/>
          <w:i/>
          <w:iCs/>
          <w:color w:val="373737" w:themeColor="text1"/>
          <w:sz w:val="20"/>
          <w:szCs w:val="20"/>
          <w:lang w:val="de-DE"/>
        </w:rPr>
        <w:t>unmittelbaren</w:t>
      </w:r>
      <w:r>
        <w:rPr>
          <w:rFonts w:cs="Arial"/>
          <w:color w:val="373737" w:themeColor="text1"/>
          <w:sz w:val="20"/>
          <w:szCs w:val="20"/>
          <w:lang w:val="de-DE"/>
        </w:rPr>
        <w:t xml:space="preserve"> Wirkungen des Programms auf geförderte Einheiten sollten die unmittelbaren Nettowirkungen des Programms, die mithilfe der </w:t>
      </w:r>
      <w:r>
        <w:rPr>
          <w:rFonts w:cs="Arial"/>
          <w:b/>
          <w:bCs/>
          <w:color w:val="373737" w:themeColor="text1"/>
          <w:sz w:val="20"/>
          <w:szCs w:val="20"/>
          <w:lang w:val="de-DE"/>
        </w:rPr>
        <w:t>Ergebnisindikatoren</w:t>
      </w:r>
      <w:r>
        <w:rPr>
          <w:rFonts w:cs="Arial"/>
          <w:color w:val="373737" w:themeColor="text1"/>
          <w:sz w:val="20"/>
          <w:szCs w:val="20"/>
          <w:lang w:val="de-DE"/>
        </w:rPr>
        <w:t xml:space="preserve"> berechnet wurden, im Prinzip mit den Nettowirkungen des Programms, die mithilfe der </w:t>
      </w:r>
      <w:r>
        <w:rPr>
          <w:rFonts w:cs="Arial"/>
          <w:b/>
          <w:bCs/>
          <w:color w:val="373737" w:themeColor="text1"/>
          <w:sz w:val="20"/>
          <w:szCs w:val="20"/>
          <w:lang w:val="de-DE"/>
        </w:rPr>
        <w:t>Wirkungsindikatoren</w:t>
      </w:r>
      <w:r>
        <w:rPr>
          <w:rFonts w:cs="Arial"/>
          <w:color w:val="373737" w:themeColor="text1"/>
          <w:sz w:val="20"/>
          <w:szCs w:val="20"/>
          <w:lang w:val="de-DE"/>
        </w:rPr>
        <w:t xml:space="preserve"> berechnet wurden, übereinstimmen und denselben Trend aufzeigen. </w:t>
      </w:r>
      <w:r>
        <w:rPr>
          <w:rFonts w:cs="Arial"/>
          <w:color w:val="373737"/>
          <w:sz w:val="20"/>
          <w:szCs w:val="20"/>
          <w:lang w:val="de-DE"/>
        </w:rPr>
        <w:t>Je nach Größe und Trend der unmittelbaren Wirkungen können sich die Ergebnisse auf der Makroebene jedoch auch genau gegenteilig zu den Wirkungen auf der Mikroebene darstellen. In diesen Fällen müssen die gegenläufigen Entwicklungen jedoch durch kausale und/oder quantifizierte Erkenntnisse zu den unmittelbaren Wirkungen erklärt werden. Eine Übereinstimmungsprüfung der Ergebnisse auf der Mikro- und Makroebene erfordert ein gutes Verständnis der Schlüsselfaktoren, die sich auf die einzelnen Indikatoren auswirken.</w:t>
      </w:r>
    </w:p>
    <w:p w:rsidR="00B3609C" w:rsidRDefault="00882296">
      <w:pPr>
        <w:pStyle w:val="HStandard"/>
        <w:rPr>
          <w:rFonts w:cs="Arial"/>
          <w:lang w:val="de-DE"/>
        </w:rPr>
      </w:pPr>
      <w:r>
        <w:rPr>
          <w:rFonts w:cs="Arial"/>
          <w:lang w:val="de-DE"/>
        </w:rPr>
        <w:t xml:space="preserve">Bei den </w:t>
      </w:r>
      <w:r>
        <w:rPr>
          <w:rFonts w:cs="Arial"/>
          <w:i/>
          <w:iCs/>
          <w:lang w:val="de-DE"/>
        </w:rPr>
        <w:t>mittelbaren</w:t>
      </w:r>
      <w:r>
        <w:rPr>
          <w:rFonts w:cs="Arial"/>
          <w:lang w:val="de-DE"/>
        </w:rPr>
        <w:t xml:space="preserve"> Wirkungen des Programms auf geförderte und nicht geförderte landwirtschaftliche Betriebe können die mikroökonomischen Ergebnisse nach deren Zusammenführung den Umfang aller möglichen mittelbaren Wirkungen des Programms zur Entwicklung des ländlichen Raums (einschließlich der Wirkungen, die mithilfe sektoraler Methoden ermittelt wurden) nur grob abbilden. Hauptgrund dafür ist, dass es sehr schwierig ist, </w:t>
      </w:r>
      <w:r>
        <w:rPr>
          <w:rFonts w:cs="Arial"/>
          <w:b/>
          <w:bCs/>
          <w:lang w:val="de-DE"/>
        </w:rPr>
        <w:t>alle</w:t>
      </w:r>
      <w:r>
        <w:rPr>
          <w:rFonts w:cs="Arial"/>
          <w:lang w:val="de-DE"/>
        </w:rPr>
        <w:t xml:space="preserve"> potenziellen mittelbaren Wirkungen, die bei geförderten und nicht geförderten Einheiten „zumindest theoretisch“ auftreten könnten, in einem Modell abzubilden. </w:t>
      </w:r>
    </w:p>
    <w:p w:rsidR="00B3609C" w:rsidRDefault="00882296">
      <w:pPr>
        <w:pStyle w:val="HStandard"/>
        <w:rPr>
          <w:rFonts w:cs="Arial"/>
          <w:lang w:val="de-DE"/>
        </w:rPr>
      </w:pPr>
      <w:r>
        <w:rPr>
          <w:lang w:val="de-DE"/>
        </w:rPr>
        <w:t>Die Bottom-up-Bewertung auf der Grundlage der Zusammenführung verschiedener Datenquellen mit verschiedenen Maßstäben und Benennungen kann zu Mehrdeutigkeiten führen. Eine der größten Herausforderungen bei der Prüfung der Übereinstimmung zwischen Mikro- und Makroebene besteht darin, die Kausalität zwischen den Veränderungen und den Auswirkungen, die auf Ebene des landwirtschaftlichen Betriebs oder Parzelle gemessen wurden, und den Veränderungen und Auswirkungen, die über die Grenzen landwirtschaftlicher Betriebe hinausgehen (z. B. auf NUTS-3-Ebene oder auf Programmebene), festzustellen.</w:t>
      </w:r>
      <w:r>
        <w:rPr>
          <w:color w:val="373737"/>
          <w:lang w:val="de-DE"/>
        </w:rPr>
        <w:t xml:space="preserve"> In diesem Kontext ist es wichtig, dass bei den verwendeten Analyseeinheiten und Maßstäben berücksichtigt wird, in welchem Maßstab und auf welcher Ebene die Wirkungen wahrscheinlich auftreten. Zieht man lediglich feste Verwaltungsgrenzen heran, kann dies die Ergebnisse verzerren. </w:t>
      </w:r>
      <w:r>
        <w:rPr>
          <w:lang w:val="de-DE"/>
        </w:rPr>
        <w:t>Hier besteht die Möglichkeit, auf verschiedenen Ebenen (Ackerflächen, landwirtschaftliche Betriebe, Landschaften) konsistent Stichprobenverfahren anzuwenden, um die verschiedenen Arten der untersuchten Taxonomie und die Interaktionen zwischen den Variablen, die Klima, Topografie, Landnutzung sowie sozioökonomische Bedingungen und Bodenbedingungen beschreiben, zu berücksichtigen.</w:t>
      </w:r>
      <w:r>
        <w:rPr>
          <w:rStyle w:val="FootnoteReference"/>
          <w:rFonts w:cs="Arial"/>
          <w:iCs/>
          <w:lang w:val="de-DE"/>
        </w:rPr>
        <w:footnoteReference w:id="29"/>
      </w:r>
      <w:r>
        <w:rPr>
          <w:lang w:val="de-DE"/>
        </w:rPr>
        <w:t xml:space="preserve"> Der „</w:t>
      </w:r>
      <w:proofErr w:type="spellStart"/>
      <w:r>
        <w:rPr>
          <w:lang w:val="de-DE"/>
        </w:rPr>
        <w:t>Bottom-up</w:t>
      </w:r>
      <w:proofErr w:type="spellEnd"/>
      <w:r>
        <w:rPr>
          <w:lang w:val="de-DE"/>
        </w:rPr>
        <w:t xml:space="preserve">“-Ansatz mit einem Untersuchungsbereich auf der Ebene von Grundstücken oder Ackerflächen ermöglicht es, durch die Erfassung von Daten aus standortspezifischen Erhebungen nach experimentellen Protokollen </w:t>
      </w:r>
      <w:r>
        <w:rPr>
          <w:lang w:val="de-DE"/>
        </w:rPr>
        <w:lastRenderedPageBreak/>
        <w:t>Ergebnisse zu erhalten und diese mithilfe des geografischen Informationssystems, Satellitenbildern oder Raumanalysen von der Mikro- auf die Makroebene zu extrapolieren.</w:t>
      </w:r>
      <w:r>
        <w:rPr>
          <w:rStyle w:val="FootnoteReference"/>
          <w:rFonts w:cs="Arial"/>
          <w:iCs/>
          <w:lang w:val="de-DE"/>
        </w:rPr>
        <w:footnoteReference w:id="30"/>
      </w:r>
    </w:p>
    <w:tbl>
      <w:tblPr>
        <w:tblStyle w:val="TableGrid"/>
        <w:tblpPr w:leftFromText="180" w:rightFromText="180" w:vertAnchor="text" w:horzAnchor="margin" w:tblpY="68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419A5" w:rsidRPr="00C419A5" w:rsidTr="00C419A5">
        <w:tc>
          <w:tcPr>
            <w:tcW w:w="9016" w:type="dxa"/>
          </w:tcPr>
          <w:p w:rsidR="00C419A5" w:rsidRDefault="00C419A5" w:rsidP="00C419A5">
            <w:pPr>
              <w:pStyle w:val="HHeading4"/>
              <w:jc w:val="both"/>
              <w:rPr>
                <w:rFonts w:cs="Arial"/>
                <w:lang w:val="de-DE"/>
              </w:rPr>
            </w:pPr>
            <w:r>
              <w:rPr>
                <w:b w:val="0"/>
                <w:noProof/>
                <w:color w:val="373737"/>
                <w:lang w:eastAsia="en-GB"/>
              </w:rPr>
              <w:drawing>
                <wp:inline distT="0" distB="0" distL="0" distR="0" wp14:anchorId="43682205" wp14:editId="0CEDE8CB">
                  <wp:extent cx="664845" cy="487680"/>
                  <wp:effectExtent l="0" t="0" r="0" b="7620"/>
                  <wp:docPr id="1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Cs/>
                <w:lang w:val="de-DE"/>
              </w:rPr>
              <w:t xml:space="preserve"> KURZANLEITUNG NR. 5:</w:t>
            </w:r>
            <w:r>
              <w:rPr>
                <w:b w:val="0"/>
                <w:lang w:val="de-DE"/>
              </w:rPr>
              <w:t xml:space="preserve"> </w:t>
            </w:r>
            <w:r>
              <w:rPr>
                <w:bCs/>
                <w:lang w:val="de-DE"/>
              </w:rPr>
              <w:t>Wie lassen sich qualitative Ansätze am besten nutzen?</w:t>
            </w:r>
          </w:p>
        </w:tc>
      </w:tr>
    </w:tbl>
    <w:p w:rsidR="00C419A5" w:rsidRDefault="00C419A5" w:rsidP="00C419A5">
      <w:pPr>
        <w:pStyle w:val="HStandard"/>
        <w:spacing w:after="0"/>
        <w:ind w:left="709" w:hanging="709"/>
        <w:rPr>
          <w:rFonts w:cs="Arial"/>
          <w:sz w:val="18"/>
          <w:szCs w:val="18"/>
          <w:lang w:val="de-DE"/>
        </w:rPr>
      </w:pPr>
      <w:r>
        <w:rPr>
          <w:rFonts w:cs="Arial"/>
          <w:b/>
          <w:bCs/>
          <w:sz w:val="18"/>
          <w:szCs w:val="18"/>
          <w:lang w:val="de-DE"/>
        </w:rPr>
        <w:t>Qualitative Ansätze</w:t>
      </w:r>
      <w:r>
        <w:rPr>
          <w:rFonts w:cs="Arial"/>
          <w:sz w:val="18"/>
          <w:szCs w:val="18"/>
          <w:lang w:val="de-DE"/>
        </w:rPr>
        <w:t xml:space="preserve"> können mit einer dreifachen Zielsetzung genutzt werden:</w:t>
      </w:r>
    </w:p>
    <w:p w:rsidR="00C419A5" w:rsidRDefault="00C419A5" w:rsidP="00C419A5">
      <w:pPr>
        <w:pStyle w:val="HStandard"/>
        <w:spacing w:after="0"/>
        <w:ind w:left="709" w:hanging="709"/>
        <w:rPr>
          <w:rFonts w:cs="Arial"/>
          <w:sz w:val="18"/>
          <w:szCs w:val="18"/>
          <w:lang w:val="de-DE"/>
        </w:rPr>
      </w:pPr>
      <w:r>
        <w:rPr>
          <w:noProof/>
          <w:lang w:eastAsia="en-GB"/>
        </w:rPr>
        <mc:AlternateContent>
          <mc:Choice Requires="wps">
            <w:drawing>
              <wp:anchor distT="0" distB="0" distL="114300" distR="114300" simplePos="0" relativeHeight="251673088" behindDoc="0" locked="0" layoutInCell="1" allowOverlap="1" wp14:anchorId="380D7A11" wp14:editId="7810BE4E">
                <wp:simplePos x="0" y="0"/>
                <wp:positionH relativeFrom="column">
                  <wp:posOffset>-119289</wp:posOffset>
                </wp:positionH>
                <wp:positionV relativeFrom="paragraph">
                  <wp:posOffset>140970</wp:posOffset>
                </wp:positionV>
                <wp:extent cx="6038850" cy="4936671"/>
                <wp:effectExtent l="0" t="0" r="19050" b="16510"/>
                <wp:wrapNone/>
                <wp:docPr id="898" name="Rectangle: Diagonal Corners Rounded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0" cy="4936671"/>
                        </a:xfrm>
                        <a:prstGeom prst="round2DiagRect">
                          <a:avLst>
                            <a:gd name="adj1" fmla="val 8203"/>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36566" id="Rectangle: Diagonal Corners Rounded 15" o:spid="_x0000_s1026" style="position:absolute;margin-left:-9.4pt;margin-top:11.1pt;width:475.5pt;height:388.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38850,4936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" path="m404955,l6038850,r,l6038850,4531716v,223650,-181305,404955,-404955,404955l,4936671r,l,404955c,181305,181305,,404955,xe" filled="f" strokecolor="#be4a35 [3205]" strokeweight="2pt">
                <v:path arrowok="t" o:connecttype="custom" o:connectlocs="404955,0;6038850,0;6038850,0;6038850,4531716;5633895,4936671;0,4936671;0,4936671;0,404955;404955,0" o:connectangles="0,0,0,0,0,0,0,0,0"/>
              </v:shape>
            </w:pict>
          </mc:Fallback>
        </mc:AlternateContent>
      </w:r>
    </w:p>
    <w:p w:rsidR="00C419A5" w:rsidRDefault="00C419A5" w:rsidP="00C419A5">
      <w:pPr>
        <w:pStyle w:val="ListParagraph"/>
        <w:numPr>
          <w:ilvl w:val="2"/>
          <w:numId w:val="1"/>
        </w:numPr>
        <w:autoSpaceDE w:val="0"/>
        <w:autoSpaceDN w:val="0"/>
        <w:adjustRightInd w:val="0"/>
        <w:spacing w:after="0" w:line="280" w:lineRule="atLeast"/>
        <w:ind w:left="426"/>
        <w:jc w:val="both"/>
        <w:rPr>
          <w:rFonts w:ascii="Arial" w:hAnsi="Arial" w:cs="Arial"/>
          <w:color w:val="373737" w:themeColor="text1"/>
          <w:sz w:val="18"/>
          <w:szCs w:val="18"/>
          <w:lang w:val="de-DE"/>
        </w:rPr>
      </w:pPr>
      <w:r>
        <w:rPr>
          <w:rFonts w:ascii="Arial" w:hAnsi="Arial" w:cs="Arial"/>
          <w:b/>
          <w:bCs/>
          <w:color w:val="373737" w:themeColor="text1"/>
          <w:sz w:val="18"/>
          <w:szCs w:val="18"/>
          <w:lang w:val="de-DE"/>
        </w:rPr>
        <w:t>Als Alternative zu quantitativen Methoden</w:t>
      </w:r>
      <w:r>
        <w:rPr>
          <w:rFonts w:ascii="Arial" w:hAnsi="Arial" w:cs="Arial"/>
          <w:color w:val="373737" w:themeColor="text1"/>
          <w:sz w:val="18"/>
          <w:szCs w:val="18"/>
          <w:lang w:val="de-DE"/>
        </w:rPr>
        <w:t xml:space="preserve">, wenn Daten fehlen. So kann etwa die qualitative theoriebasierte Evaluierung (TBE) verwendet werden, um zu zeigen, wie das Programm funktionieren wird und warum erwartet wird, dass die beabsichtigten Ergebnisse eintreten. Bei der theoriebasierten Evaluierung wird jedem Schritt der Interventionslogik des Programms gefolgt, um kausale Verbindungen und Mechanismen der Veränderungen zu identifizieren, die zu Ergebnissen und Auswirkungen führen. Die verschiedenen Verbindungen in der Interventionslogik können mit einer Vielzahl von Methoden analysiert werden. In diesen Leitlinien schlagen wir Schwerpunktgruppen vor (insbesondere die Methode zur Folgenabschätzung von Programmen und Projekten) oder Interviews mit Interessenträgern/Experten. </w:t>
      </w:r>
    </w:p>
    <w:p w:rsidR="00C419A5" w:rsidRDefault="00C419A5" w:rsidP="00C419A5">
      <w:pPr>
        <w:pStyle w:val="ListParagraph"/>
        <w:autoSpaceDE w:val="0"/>
        <w:autoSpaceDN w:val="0"/>
        <w:adjustRightInd w:val="0"/>
        <w:spacing w:after="0" w:line="280" w:lineRule="atLeast"/>
        <w:ind w:left="426"/>
        <w:jc w:val="both"/>
        <w:rPr>
          <w:rFonts w:ascii="Arial" w:hAnsi="Arial" w:cs="Arial"/>
          <w:color w:val="373737" w:themeColor="text1"/>
          <w:sz w:val="18"/>
          <w:szCs w:val="18"/>
          <w:lang w:val="de-DE"/>
        </w:rPr>
      </w:pPr>
    </w:p>
    <w:p w:rsidR="00C419A5" w:rsidRDefault="00C419A5" w:rsidP="00C419A5">
      <w:pPr>
        <w:pStyle w:val="ListParagraph"/>
        <w:numPr>
          <w:ilvl w:val="2"/>
          <w:numId w:val="1"/>
        </w:numPr>
        <w:autoSpaceDE w:val="0"/>
        <w:autoSpaceDN w:val="0"/>
        <w:adjustRightInd w:val="0"/>
        <w:spacing w:after="0" w:line="280" w:lineRule="atLeast"/>
        <w:ind w:left="426"/>
        <w:jc w:val="both"/>
        <w:rPr>
          <w:rFonts w:ascii="Arial" w:hAnsi="Arial" w:cs="Arial"/>
          <w:color w:val="373737" w:themeColor="text1"/>
          <w:sz w:val="18"/>
          <w:szCs w:val="18"/>
          <w:lang w:val="de-DE"/>
        </w:rPr>
      </w:pPr>
      <w:r>
        <w:rPr>
          <w:rFonts w:ascii="Arial" w:hAnsi="Arial" w:cs="Arial"/>
          <w:b/>
          <w:bCs/>
          <w:color w:val="373737" w:themeColor="text1"/>
          <w:sz w:val="18"/>
          <w:szCs w:val="18"/>
          <w:lang w:val="de-DE"/>
        </w:rPr>
        <w:t>Als Ergänzung zur quantitativen kontrafaktischen Bewertung</w:t>
      </w:r>
      <w:r>
        <w:rPr>
          <w:rFonts w:ascii="Arial" w:hAnsi="Arial" w:cs="Arial"/>
          <w:color w:val="373737" w:themeColor="text1"/>
          <w:sz w:val="18"/>
          <w:szCs w:val="18"/>
          <w:lang w:val="de-DE"/>
        </w:rPr>
        <w:t>, um besser zu ermitteln, wie und warum es zu den jeweiligen Auswirkungen gekommen ist. Dabei ist zu beachten, dass die theoriebasierte Evaluierung weder die „Nettoauswirkungen“ (z. B. inwieweit die im Programmplanungsgebiet beobachteten Veränderungen auf das Programm zurückgeführt werden können) untersuchen noch die Wirkungen des Programms von den Beiträgen anderer Faktoren trennen kann.</w:t>
      </w:r>
    </w:p>
    <w:p w:rsidR="00C419A5" w:rsidRPr="00C419A5" w:rsidRDefault="00C419A5" w:rsidP="00C419A5">
      <w:pPr>
        <w:pStyle w:val="ListParagraph"/>
        <w:rPr>
          <w:rFonts w:cs="Arial"/>
          <w:b/>
          <w:bCs/>
          <w:sz w:val="18"/>
          <w:szCs w:val="18"/>
          <w:lang w:val="de-DE"/>
        </w:rPr>
      </w:pPr>
    </w:p>
    <w:p w:rsidR="00C419A5" w:rsidRPr="00C419A5" w:rsidRDefault="00C419A5" w:rsidP="00C419A5">
      <w:pPr>
        <w:pStyle w:val="ListParagraph"/>
        <w:numPr>
          <w:ilvl w:val="2"/>
          <w:numId w:val="1"/>
        </w:numPr>
        <w:autoSpaceDE w:val="0"/>
        <w:autoSpaceDN w:val="0"/>
        <w:adjustRightInd w:val="0"/>
        <w:spacing w:after="0" w:line="280" w:lineRule="atLeast"/>
        <w:ind w:left="426"/>
        <w:jc w:val="both"/>
        <w:rPr>
          <w:rFonts w:ascii="Arial" w:hAnsi="Arial" w:cs="Arial"/>
          <w:color w:val="373737" w:themeColor="text1"/>
          <w:sz w:val="18"/>
          <w:szCs w:val="18"/>
          <w:lang w:val="de-DE"/>
        </w:rPr>
      </w:pPr>
      <w:r w:rsidRPr="00C419A5">
        <w:rPr>
          <w:rFonts w:cs="Arial"/>
          <w:b/>
          <w:bCs/>
          <w:sz w:val="18"/>
          <w:szCs w:val="18"/>
          <w:lang w:val="de-DE"/>
        </w:rPr>
        <w:t xml:space="preserve"> </w:t>
      </w:r>
      <w:r w:rsidRPr="00C419A5">
        <w:rPr>
          <w:rFonts w:ascii="Arial" w:hAnsi="Arial" w:cs="Arial"/>
          <w:b/>
          <w:bCs/>
          <w:color w:val="373737" w:themeColor="text1"/>
          <w:sz w:val="18"/>
          <w:szCs w:val="18"/>
          <w:lang w:val="de-DE"/>
        </w:rPr>
        <w:t>Als Teil der Triangulation</w:t>
      </w:r>
      <w:r w:rsidRPr="00C419A5">
        <w:rPr>
          <w:rFonts w:ascii="Arial" w:hAnsi="Arial" w:cs="Arial"/>
          <w:color w:val="373737" w:themeColor="text1"/>
          <w:sz w:val="18"/>
          <w:szCs w:val="18"/>
          <w:lang w:val="de-DE"/>
        </w:rPr>
        <w:t xml:space="preserve"> zur Validierung der Ergebnisse der quantitativen Methoden.</w:t>
      </w:r>
      <w:r w:rsidRPr="00C419A5">
        <w:rPr>
          <w:i/>
          <w:iCs/>
          <w:color w:val="F07E31" w:themeColor="accent1"/>
          <w:sz w:val="18"/>
          <w:lang w:val="de-DE"/>
        </w:rPr>
        <w:t xml:space="preserve"> </w:t>
      </w:r>
    </w:p>
    <w:p w:rsidR="00C419A5" w:rsidRPr="00C419A5" w:rsidRDefault="00C419A5" w:rsidP="00C419A5">
      <w:pPr>
        <w:pStyle w:val="ListParagraph"/>
        <w:rPr>
          <w:rFonts w:ascii="Arial" w:hAnsi="Arial" w:cs="Arial"/>
          <w:color w:val="373737" w:themeColor="text1"/>
          <w:sz w:val="18"/>
          <w:szCs w:val="18"/>
          <w:lang w:val="de-DE"/>
        </w:rPr>
      </w:pPr>
    </w:p>
    <w:p w:rsidR="00C419A5" w:rsidRPr="00C419A5" w:rsidRDefault="00C419A5" w:rsidP="00C419A5">
      <w:pPr>
        <w:pStyle w:val="ListParagraph"/>
        <w:autoSpaceDE w:val="0"/>
        <w:autoSpaceDN w:val="0"/>
        <w:adjustRightInd w:val="0"/>
        <w:spacing w:after="0" w:line="280" w:lineRule="atLeast"/>
        <w:ind w:left="426"/>
        <w:jc w:val="both"/>
        <w:rPr>
          <w:rFonts w:ascii="Arial" w:hAnsi="Arial" w:cs="Arial"/>
          <w:color w:val="373737" w:themeColor="text1"/>
          <w:sz w:val="18"/>
          <w:szCs w:val="18"/>
          <w:lang w:val="de-DE"/>
        </w:rPr>
      </w:pPr>
    </w:p>
    <w:p w:rsidR="00C419A5" w:rsidRDefault="00C419A5" w:rsidP="00C419A5">
      <w:pPr>
        <w:pStyle w:val="HStandard"/>
        <w:jc w:val="center"/>
        <w:rPr>
          <w:i/>
          <w:color w:val="F07E31" w:themeColor="accent1"/>
          <w:sz w:val="18"/>
          <w:lang w:val="de-DE"/>
        </w:rPr>
      </w:pPr>
      <w:r>
        <w:rPr>
          <w:i/>
          <w:iCs/>
          <w:color w:val="F07E31" w:themeColor="accent1"/>
          <w:sz w:val="18"/>
          <w:lang w:val="de-DE"/>
        </w:rPr>
        <w:t xml:space="preserve">Weitere Informationen zur theoriebasierten Evaluierung siehe </w:t>
      </w:r>
      <w:hyperlink r:id="rId55" w:history="1">
        <w:r>
          <w:rPr>
            <w:rStyle w:val="Hyperlink"/>
            <w:i/>
            <w:iCs/>
            <w:sz w:val="18"/>
            <w:lang w:val="de-DE"/>
          </w:rPr>
          <w:t xml:space="preserve">„Investment Support </w:t>
        </w:r>
        <w:proofErr w:type="spellStart"/>
        <w:r>
          <w:rPr>
            <w:rStyle w:val="Hyperlink"/>
            <w:i/>
            <w:iCs/>
            <w:sz w:val="18"/>
            <w:lang w:val="de-DE"/>
          </w:rPr>
          <w:t>under</w:t>
        </w:r>
        <w:proofErr w:type="spellEnd"/>
        <w:r>
          <w:rPr>
            <w:rStyle w:val="Hyperlink"/>
            <w:i/>
            <w:iCs/>
            <w:sz w:val="18"/>
            <w:lang w:val="de-DE"/>
          </w:rPr>
          <w:t xml:space="preserve"> Rural Development Policy“</w:t>
        </w:r>
      </w:hyperlink>
      <w:r>
        <w:rPr>
          <w:i/>
          <w:iCs/>
          <w:color w:val="F07E31" w:themeColor="accent1"/>
          <w:sz w:val="18"/>
          <w:lang w:val="de-DE"/>
        </w:rPr>
        <w:t xml:space="preserve">, Kapitel 3.3.4 (Europäische Kommission, 2014) und zur Nutzung qualitativer Methoden für die Erhebung quantitativer Daten </w:t>
      </w:r>
      <w:hyperlink r:id="rId56" w:anchor="v=onepage&amp;q=distinguishing%20between%20types%20of%20data%20and%20methods%20of%20collecting%20them%2C&amp;f=false" w:history="1">
        <w:r>
          <w:rPr>
            <w:rStyle w:val="Hyperlink"/>
            <w:i/>
            <w:iCs/>
            <w:sz w:val="18"/>
            <w:lang w:val="de-DE"/>
          </w:rPr>
          <w:t>„</w:t>
        </w:r>
        <w:proofErr w:type="spellStart"/>
        <w:r>
          <w:rPr>
            <w:rStyle w:val="Hyperlink"/>
            <w:i/>
            <w:iCs/>
            <w:sz w:val="18"/>
            <w:lang w:val="de-DE"/>
          </w:rPr>
          <w:t>Distinguishing</w:t>
        </w:r>
        <w:proofErr w:type="spellEnd"/>
        <w:r>
          <w:rPr>
            <w:rStyle w:val="Hyperlink"/>
            <w:i/>
            <w:iCs/>
            <w:sz w:val="18"/>
            <w:lang w:val="de-DE"/>
          </w:rPr>
          <w:t xml:space="preserve"> </w:t>
        </w:r>
        <w:proofErr w:type="spellStart"/>
        <w:r>
          <w:rPr>
            <w:rStyle w:val="Hyperlink"/>
            <w:i/>
            <w:iCs/>
            <w:sz w:val="18"/>
            <w:lang w:val="de-DE"/>
          </w:rPr>
          <w:t>Between</w:t>
        </w:r>
        <w:proofErr w:type="spellEnd"/>
        <w:r>
          <w:rPr>
            <w:rStyle w:val="Hyperlink"/>
            <w:i/>
            <w:iCs/>
            <w:sz w:val="18"/>
            <w:lang w:val="de-DE"/>
          </w:rPr>
          <w:t xml:space="preserve"> </w:t>
        </w:r>
        <w:proofErr w:type="spellStart"/>
        <w:r>
          <w:rPr>
            <w:rStyle w:val="Hyperlink"/>
            <w:i/>
            <w:iCs/>
            <w:sz w:val="18"/>
            <w:lang w:val="de-DE"/>
          </w:rPr>
          <w:t>Types</w:t>
        </w:r>
        <w:proofErr w:type="spellEnd"/>
        <w:r>
          <w:rPr>
            <w:rStyle w:val="Hyperlink"/>
            <w:i/>
            <w:iCs/>
            <w:sz w:val="18"/>
            <w:lang w:val="de-DE"/>
          </w:rPr>
          <w:t xml:space="preserve"> </w:t>
        </w:r>
        <w:proofErr w:type="spellStart"/>
        <w:r>
          <w:rPr>
            <w:rStyle w:val="Hyperlink"/>
            <w:i/>
            <w:iCs/>
            <w:sz w:val="18"/>
            <w:lang w:val="de-DE"/>
          </w:rPr>
          <w:t>of</w:t>
        </w:r>
        <w:proofErr w:type="spellEnd"/>
        <w:r>
          <w:rPr>
            <w:rStyle w:val="Hyperlink"/>
            <w:i/>
            <w:iCs/>
            <w:sz w:val="18"/>
            <w:lang w:val="de-DE"/>
          </w:rPr>
          <w:t xml:space="preserve"> Data and Methods </w:t>
        </w:r>
        <w:proofErr w:type="spellStart"/>
        <w:r>
          <w:rPr>
            <w:rStyle w:val="Hyperlink"/>
            <w:i/>
            <w:iCs/>
            <w:sz w:val="18"/>
            <w:lang w:val="de-DE"/>
          </w:rPr>
          <w:t>of</w:t>
        </w:r>
        <w:proofErr w:type="spellEnd"/>
        <w:r>
          <w:rPr>
            <w:rStyle w:val="Hyperlink"/>
            <w:i/>
            <w:iCs/>
            <w:sz w:val="18"/>
            <w:lang w:val="de-DE"/>
          </w:rPr>
          <w:t xml:space="preserve"> </w:t>
        </w:r>
        <w:proofErr w:type="spellStart"/>
        <w:r>
          <w:rPr>
            <w:rStyle w:val="Hyperlink"/>
            <w:i/>
            <w:iCs/>
            <w:sz w:val="18"/>
            <w:lang w:val="de-DE"/>
          </w:rPr>
          <w:t>Collecting</w:t>
        </w:r>
        <w:proofErr w:type="spellEnd"/>
        <w:r>
          <w:rPr>
            <w:rStyle w:val="Hyperlink"/>
            <w:i/>
            <w:iCs/>
            <w:sz w:val="18"/>
            <w:lang w:val="de-DE"/>
          </w:rPr>
          <w:t xml:space="preserve"> </w:t>
        </w:r>
        <w:proofErr w:type="spellStart"/>
        <w:r>
          <w:rPr>
            <w:rStyle w:val="Hyperlink"/>
            <w:i/>
            <w:iCs/>
            <w:sz w:val="18"/>
            <w:lang w:val="de-DE"/>
          </w:rPr>
          <w:t>Them</w:t>
        </w:r>
        <w:proofErr w:type="spellEnd"/>
      </w:hyperlink>
      <w:r>
        <w:rPr>
          <w:i/>
          <w:iCs/>
          <w:color w:val="F07E31" w:themeColor="accent1"/>
          <w:sz w:val="18"/>
          <w:lang w:val="de-DE"/>
        </w:rPr>
        <w:t>“ (Hentschel, 1998).</w:t>
      </w:r>
      <w:r>
        <w:rPr>
          <w:color w:val="F07E31" w:themeColor="accent1"/>
          <w:sz w:val="18"/>
          <w:lang w:val="de-DE"/>
        </w:rPr>
        <w:t xml:space="preserve"> </w:t>
      </w:r>
    </w:p>
    <w:p w:rsidR="00C419A5" w:rsidRDefault="00C419A5" w:rsidP="00C419A5">
      <w:pPr>
        <w:pStyle w:val="HStandard"/>
        <w:rPr>
          <w:sz w:val="22"/>
          <w:lang w:val="de-DE"/>
        </w:rPr>
      </w:pPr>
    </w:p>
    <w:p w:rsidR="00C419A5" w:rsidRPr="00C419A5" w:rsidRDefault="00C419A5" w:rsidP="00C419A5">
      <w:pPr>
        <w:autoSpaceDE w:val="0"/>
        <w:autoSpaceDN w:val="0"/>
        <w:adjustRightInd w:val="0"/>
        <w:spacing w:after="0" w:line="280" w:lineRule="atLeast"/>
        <w:rPr>
          <w:rFonts w:cs="Arial"/>
          <w:color w:val="373737" w:themeColor="text1"/>
          <w:szCs w:val="18"/>
          <w:lang w:val="de-DE"/>
        </w:rPr>
      </w:pPr>
      <w:bookmarkStart w:id="0" w:name="_GoBack"/>
      <w:bookmarkEnd w:id="0"/>
    </w:p>
    <w:p w:rsidR="00B3609C" w:rsidRDefault="00882296">
      <w:pPr>
        <w:pStyle w:val="HStandard"/>
        <w:rPr>
          <w:rFonts w:cs="Arial"/>
          <w:lang w:val="de-DE"/>
        </w:rPr>
      </w:pPr>
      <w:r>
        <w:rPr>
          <w:lang w:val="de-DE"/>
        </w:rPr>
        <w:br w:type="column"/>
      </w:r>
    </w:p>
    <w:p w:rsidR="00B3609C" w:rsidRDefault="00B3609C">
      <w:pPr>
        <w:pStyle w:val="ListParagraph"/>
        <w:autoSpaceDE w:val="0"/>
        <w:autoSpaceDN w:val="0"/>
        <w:adjustRightInd w:val="0"/>
        <w:spacing w:after="0" w:line="280" w:lineRule="atLeast"/>
        <w:ind w:left="426"/>
        <w:rPr>
          <w:rFonts w:ascii="Arial" w:hAnsi="Arial" w:cs="Arial"/>
          <w:color w:val="373737" w:themeColor="text1"/>
          <w:sz w:val="18"/>
          <w:szCs w:val="18"/>
          <w:lang w:val="de-DE"/>
        </w:rPr>
      </w:pPr>
    </w:p>
    <w:p w:rsidR="00B3609C" w:rsidRDefault="00882296" w:rsidP="00C419A5">
      <w:pPr>
        <w:pStyle w:val="HHeading3"/>
        <w:ind w:left="0" w:firstLine="0"/>
        <w:rPr>
          <w:lang w:val="de-DE"/>
        </w:rPr>
      </w:pPr>
      <w:r>
        <w:rPr>
          <w:lang w:val="de-DE"/>
        </w:rPr>
        <w:t>2.1.2</w:t>
      </w:r>
      <w:r>
        <w:rPr>
          <w:lang w:val="de-DE"/>
        </w:rPr>
        <w:tab/>
        <w:t>Überblick über empfohlene Ansätze für die Bewertung von GAP-Wirkungsindikatoren</w:t>
      </w:r>
    </w:p>
    <w:p w:rsidR="00B3609C" w:rsidRDefault="00882296">
      <w:pPr>
        <w:pStyle w:val="HStandard"/>
        <w:rPr>
          <w:rFonts w:cs="Arial"/>
          <w:lang w:val="de-DE"/>
        </w:rPr>
      </w:pPr>
      <w:r>
        <w:rPr>
          <w:rFonts w:cs="Arial"/>
          <w:lang w:val="de-DE"/>
        </w:rPr>
        <w:t>Im Programmplanungszeitraum 2014–2020 wird die Bewertung der Auswirkungen des Programms zur Entwicklung des ländlichen Raums erstmals 2019 durchgeführt — zu einem Zeitpunkt, zu dem für verschiedene Programme zur Entwicklung des ländlichen Raums aufgrund der langsamen/verzögerten Inanspruchnahme bestimmter Maßnahmen oder aufgrund eines Mangels an statistischen Daten für die Bewertung Datenlücken noch ein Thema sein könnten. Da die Datenlücken eine Beobachtung der Auswirkungen des Programms zur Entwicklung des ländlichen Raums erheblich erschweren, werden in den vorliegenden Leitlinien mindestens zwei verschiedene Ansätze zur Berechnung der jeweiligen gemeinsamen Wirkungsindikatoren der zweiten Säule der GAP vorgeschlagen:</w:t>
      </w:r>
    </w:p>
    <w:p w:rsidR="00B3609C" w:rsidRDefault="00882296">
      <w:pPr>
        <w:pStyle w:val="Hlistbullet"/>
        <w:numPr>
          <w:ilvl w:val="0"/>
          <w:numId w:val="3"/>
        </w:numPr>
        <w:spacing w:line="276" w:lineRule="auto"/>
        <w:ind w:left="600" w:hanging="600"/>
        <w:rPr>
          <w:lang w:val="de-DE"/>
        </w:rPr>
      </w:pPr>
      <w:r>
        <w:rPr>
          <w:b/>
          <w:bCs/>
          <w:lang w:val="de-DE"/>
        </w:rPr>
        <w:t>Ansatz A</w:t>
      </w:r>
      <w:r>
        <w:rPr>
          <w:lang w:val="de-DE"/>
        </w:rPr>
        <w:t xml:space="preserve"> ist ein Beispiel für einen </w:t>
      </w:r>
      <w:r>
        <w:rPr>
          <w:b/>
          <w:bCs/>
          <w:lang w:val="de-DE"/>
        </w:rPr>
        <w:t>Bewertungsansatz bei einer optimalen Datensituation</w:t>
      </w:r>
      <w:r>
        <w:rPr>
          <w:lang w:val="de-DE"/>
        </w:rPr>
        <w:t>.</w:t>
      </w:r>
      <w:r>
        <w:rPr>
          <w:b/>
          <w:bCs/>
          <w:lang w:val="de-DE"/>
        </w:rPr>
        <w:t xml:space="preserve"> </w:t>
      </w:r>
      <w:r>
        <w:rPr>
          <w:lang w:val="de-DE"/>
        </w:rPr>
        <w:t xml:space="preserve">Er kann 2019 verwendet und/oder für die Ex-post-Bewertung vorgemerkt werden. Ansatz A ist insgesamt aufwändiger als Ansatz B, jedoch auch genauer. </w:t>
      </w:r>
    </w:p>
    <w:p w:rsidR="00B3609C" w:rsidRDefault="00882296">
      <w:pPr>
        <w:pStyle w:val="Hlistbullet"/>
        <w:numPr>
          <w:ilvl w:val="0"/>
          <w:numId w:val="3"/>
        </w:numPr>
        <w:spacing w:line="276" w:lineRule="auto"/>
        <w:ind w:left="600" w:hanging="600"/>
        <w:rPr>
          <w:lang w:val="de-DE"/>
        </w:rPr>
      </w:pPr>
      <w:r>
        <w:rPr>
          <w:b/>
          <w:bCs/>
          <w:lang w:val="de-DE"/>
        </w:rPr>
        <w:t>Ansatz B</w:t>
      </w:r>
      <w:r>
        <w:rPr>
          <w:lang w:val="de-DE"/>
        </w:rPr>
        <w:t xml:space="preserve"> ist ein Beispiel für einen </w:t>
      </w:r>
      <w:r>
        <w:rPr>
          <w:b/>
          <w:bCs/>
          <w:lang w:val="de-DE"/>
        </w:rPr>
        <w:t>alternativen Bewertungsansatz im Fall von Datenlücken</w:t>
      </w:r>
      <w:r>
        <w:rPr>
          <w:lang w:val="de-DE"/>
        </w:rPr>
        <w:t xml:space="preserve"> (verursacht z. B. durch eine zögerliche Inanspruchnahme des Programms, die eine Beobachtung der Auswirkungen des Programms zur Entwicklung des ländlichen Raums verhindert) oder falls andere Faktoren (Ressourcen, Zeit, Kompetenzen) die Anwendung eines aufwändigeren Ansatzes verhindern. Ansatz B enthält in mehreren Fällen eine qualitative Komponente. </w:t>
      </w:r>
    </w:p>
    <w:p w:rsidR="00B3609C" w:rsidRDefault="00882296">
      <w:pPr>
        <w:pStyle w:val="HStandard"/>
        <w:rPr>
          <w:rFonts w:cs="Arial"/>
          <w:lang w:val="de-DE"/>
        </w:rPr>
      </w:pPr>
      <w:r>
        <w:rPr>
          <w:rFonts w:cs="Arial"/>
          <w:b/>
          <w:bCs/>
          <w:lang w:val="de-DE"/>
        </w:rPr>
        <w:t>Sowohl Ansatz A als auch Ansatz B erfüllen die Bewertungsstandards.</w:t>
      </w:r>
      <w:r>
        <w:rPr>
          <w:rFonts w:cs="Arial"/>
          <w:lang w:val="de-DE"/>
        </w:rPr>
        <w:t xml:space="preserve"> Ansatz A ist definiert als der Ansatz, der die meisten belastbaren Bewertungsergebnisse in einer idealen Datensituation liefert. Vor dem Hintergrund der Datensituation im Jahr 2019 wird anerkannt, dass Ansatz A für viele Programme zur Entwicklung des ländlichen Raums noch nicht praktikabel ist (siehe Tabellen zur Eignung der vorgeschlagenen Bewertungsansätze in den Kapiteln 4.1 bis 4.7 des </w:t>
      </w:r>
      <w:proofErr w:type="gramStart"/>
      <w:r>
        <w:rPr>
          <w:rFonts w:cs="Arial"/>
          <w:lang w:val="de-DE"/>
        </w:rPr>
        <w:t>Technischen</w:t>
      </w:r>
      <w:proofErr w:type="gramEnd"/>
      <w:r>
        <w:rPr>
          <w:rFonts w:cs="Arial"/>
          <w:lang w:val="de-DE"/>
        </w:rPr>
        <w:t xml:space="preserve"> Anhangs). Weitere Beispiele für Bewertungsmethoden sind in den jeweiligen Abbildungen des Logikmodells für jeden Wirkungsindikator aufgeführt. </w:t>
      </w:r>
    </w:p>
    <w:p w:rsidR="00B3609C" w:rsidRDefault="00882296">
      <w:pPr>
        <w:pStyle w:val="HHeadingtables"/>
        <w:rPr>
          <w:lang w:val="de-DE"/>
        </w:rPr>
      </w:pPr>
      <w:r>
        <w:rPr>
          <w:b w:val="0"/>
          <w:lang w:val="de-DE"/>
        </w:rPr>
        <w:br w:type="column"/>
      </w:r>
      <w:r>
        <w:rPr>
          <w:bCs/>
          <w:lang w:val="de-DE"/>
        </w:rPr>
        <w:lastRenderedPageBreak/>
        <w:t xml:space="preserve">Beispiele für empfohlene Ansätze für die Bewertung von GAP-Wirkungsindikatoren </w:t>
      </w:r>
    </w:p>
    <w:tbl>
      <w:tblPr>
        <w:tblStyle w:val="TableGrid"/>
        <w:tblW w:w="92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88"/>
        <w:gridCol w:w="1417"/>
        <w:gridCol w:w="1701"/>
        <w:gridCol w:w="1701"/>
        <w:gridCol w:w="1701"/>
        <w:gridCol w:w="1701"/>
      </w:tblGrid>
      <w:tr w:rsidR="00B3609C" w:rsidRPr="00C419A5">
        <w:trPr>
          <w:trHeight w:val="289"/>
          <w:tblHeader/>
        </w:trPr>
        <w:tc>
          <w:tcPr>
            <w:tcW w:w="98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B3609C" w:rsidRDefault="00882296">
            <w:pPr>
              <w:pStyle w:val="HStandard"/>
              <w:jc w:val="center"/>
              <w:rPr>
                <w:b/>
                <w:bCs/>
                <w:color w:val="FFFFFF" w:themeColor="background1"/>
                <w:lang w:val="de-DE"/>
              </w:rPr>
            </w:pPr>
            <w:r>
              <w:rPr>
                <w:b/>
                <w:bCs/>
                <w:color w:val="FFFFFF" w:themeColor="background1"/>
                <w:sz w:val="16"/>
                <w:lang w:val="de-DE"/>
              </w:rPr>
              <w:t>Code</w:t>
            </w:r>
          </w:p>
        </w:tc>
        <w:tc>
          <w:tcPr>
            <w:tcW w:w="141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B3609C" w:rsidRDefault="00882296">
            <w:pPr>
              <w:pStyle w:val="HStandard"/>
              <w:jc w:val="center"/>
              <w:rPr>
                <w:b/>
                <w:bCs/>
                <w:color w:val="FFFFFF" w:themeColor="background1"/>
                <w:sz w:val="16"/>
                <w:lang w:val="de-DE"/>
              </w:rPr>
            </w:pPr>
            <w:r>
              <w:rPr>
                <w:b/>
                <w:bCs/>
                <w:color w:val="FFFFFF" w:themeColor="background1"/>
                <w:sz w:val="16"/>
                <w:lang w:val="de-DE"/>
              </w:rPr>
              <w:t>Indikator</w:t>
            </w:r>
          </w:p>
        </w:tc>
        <w:tc>
          <w:tcPr>
            <w:tcW w:w="34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B3609C" w:rsidRDefault="00882296">
            <w:pPr>
              <w:pStyle w:val="HStandard"/>
              <w:spacing w:line="240" w:lineRule="atLeast"/>
              <w:jc w:val="center"/>
              <w:rPr>
                <w:color w:val="FFFFFF" w:themeColor="background1"/>
                <w:sz w:val="16"/>
                <w:lang w:val="de-DE"/>
              </w:rPr>
            </w:pPr>
            <w:r>
              <w:rPr>
                <w:b/>
                <w:bCs/>
                <w:color w:val="FFFFFF" w:themeColor="background1"/>
                <w:lang w:val="de-DE"/>
              </w:rPr>
              <w:t xml:space="preserve">Ansatz A </w:t>
            </w:r>
            <w:r>
              <w:rPr>
                <w:color w:val="FFFFFF" w:themeColor="background1"/>
                <w:sz w:val="16"/>
                <w:lang w:val="de-DE"/>
              </w:rPr>
              <w:br/>
              <w:t>Beispiel für einen Ansatz bei einer optimalen Datensituation</w:t>
            </w:r>
          </w:p>
        </w:tc>
        <w:tc>
          <w:tcPr>
            <w:tcW w:w="34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B3609C" w:rsidRDefault="00882296">
            <w:pPr>
              <w:pStyle w:val="HStandard"/>
              <w:spacing w:line="240" w:lineRule="atLeast"/>
              <w:jc w:val="center"/>
              <w:rPr>
                <w:color w:val="FFFFFF" w:themeColor="background1"/>
                <w:sz w:val="16"/>
                <w:lang w:val="de-DE"/>
              </w:rPr>
            </w:pPr>
            <w:r>
              <w:rPr>
                <w:b/>
                <w:bCs/>
                <w:color w:val="FFFFFF" w:themeColor="background1"/>
                <w:lang w:val="de-DE"/>
              </w:rPr>
              <w:t>Ansatz B</w:t>
            </w:r>
            <w:r>
              <w:rPr>
                <w:color w:val="FFFFFF" w:themeColor="background1"/>
                <w:lang w:val="de-DE"/>
              </w:rPr>
              <w:t xml:space="preserve"> </w:t>
            </w:r>
            <w:r>
              <w:rPr>
                <w:color w:val="FFFFFF" w:themeColor="background1"/>
                <w:lang w:val="de-DE"/>
              </w:rPr>
              <w:br/>
            </w:r>
            <w:r>
              <w:rPr>
                <w:color w:val="FFFFFF" w:themeColor="background1"/>
                <w:sz w:val="16"/>
                <w:lang w:val="de-DE"/>
              </w:rPr>
              <w:t>Beispiel für einen alternativen Ansatz im Fall von Datenlücken</w:t>
            </w:r>
          </w:p>
        </w:tc>
      </w:tr>
      <w:tr w:rsidR="00B3609C">
        <w:trPr>
          <w:trHeight w:val="289"/>
          <w:tblHeader/>
        </w:trPr>
        <w:tc>
          <w:tcPr>
            <w:tcW w:w="98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B3609C" w:rsidRDefault="00B3609C">
            <w:pPr>
              <w:pStyle w:val="HStandard"/>
              <w:jc w:val="center"/>
              <w:rPr>
                <w:b/>
                <w:bCs/>
                <w:color w:val="FFFFFF" w:themeColor="background1"/>
                <w:lang w:val="de-DE"/>
              </w:rPr>
            </w:pPr>
          </w:p>
        </w:tc>
        <w:tc>
          <w:tcPr>
            <w:tcW w:w="14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B3609C" w:rsidRDefault="00B3609C">
            <w:pPr>
              <w:pStyle w:val="HStandard"/>
              <w:jc w:val="center"/>
              <w:rPr>
                <w:b/>
                <w:bCs/>
                <w:color w:val="FFFFFF" w:themeColor="background1"/>
                <w:sz w:val="16"/>
                <w:lang w:val="de-DE"/>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B3609C" w:rsidRDefault="00882296">
            <w:pPr>
              <w:pStyle w:val="HStandard"/>
              <w:spacing w:line="240" w:lineRule="atLeast"/>
              <w:jc w:val="center"/>
              <w:rPr>
                <w:i/>
                <w:iCs/>
                <w:color w:val="FFFFFF" w:themeColor="background1"/>
                <w:sz w:val="16"/>
                <w:lang w:val="de-DE"/>
              </w:rPr>
            </w:pPr>
            <w:r>
              <w:rPr>
                <w:i/>
                <w:iCs/>
                <w:color w:val="FFFFFF" w:themeColor="background1"/>
                <w:sz w:val="16"/>
                <w:lang w:val="de-DE"/>
              </w:rPr>
              <w:t>Mikroebene</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B3609C" w:rsidRDefault="00882296">
            <w:pPr>
              <w:pStyle w:val="HStandard"/>
              <w:spacing w:line="240" w:lineRule="atLeast"/>
              <w:jc w:val="center"/>
              <w:rPr>
                <w:i/>
                <w:iCs/>
                <w:color w:val="FFFFFF" w:themeColor="background1"/>
                <w:sz w:val="16"/>
                <w:lang w:val="de-DE"/>
              </w:rPr>
            </w:pPr>
            <w:r>
              <w:rPr>
                <w:i/>
                <w:iCs/>
                <w:color w:val="FFFFFF" w:themeColor="background1"/>
                <w:sz w:val="16"/>
                <w:lang w:val="de-DE"/>
              </w:rPr>
              <w:t>Makroebene</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B3609C" w:rsidRDefault="00882296">
            <w:pPr>
              <w:pStyle w:val="HStandard"/>
              <w:spacing w:line="240" w:lineRule="atLeast"/>
              <w:jc w:val="center"/>
              <w:rPr>
                <w:i/>
                <w:iCs/>
                <w:color w:val="FFFFFF" w:themeColor="background1"/>
                <w:sz w:val="16"/>
                <w:lang w:val="de-DE"/>
              </w:rPr>
            </w:pPr>
            <w:r>
              <w:rPr>
                <w:i/>
                <w:iCs/>
                <w:color w:val="FFFFFF" w:themeColor="background1"/>
                <w:sz w:val="16"/>
                <w:lang w:val="de-DE"/>
              </w:rPr>
              <w:t>Mikroebene</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B3609C" w:rsidRDefault="00882296">
            <w:pPr>
              <w:pStyle w:val="HStandard"/>
              <w:spacing w:line="240" w:lineRule="atLeast"/>
              <w:jc w:val="center"/>
              <w:rPr>
                <w:i/>
                <w:iCs/>
                <w:color w:val="FFFFFF" w:themeColor="background1"/>
                <w:sz w:val="16"/>
                <w:lang w:val="de-DE"/>
              </w:rPr>
            </w:pPr>
            <w:r>
              <w:rPr>
                <w:i/>
                <w:iCs/>
                <w:color w:val="FFFFFF" w:themeColor="background1"/>
                <w:sz w:val="16"/>
                <w:lang w:val="de-DE"/>
              </w:rPr>
              <w:t>Makroebene</w:t>
            </w:r>
          </w:p>
        </w:tc>
      </w:tr>
      <w:tr w:rsidR="00B3609C">
        <w:trPr>
          <w:trHeight w:val="255"/>
        </w:trPr>
        <w:tc>
          <w:tcPr>
            <w:tcW w:w="9209" w:type="dxa"/>
            <w:gridSpan w:val="6"/>
            <w:tcBorders>
              <w:top w:val="single" w:sz="4" w:space="0" w:color="FFFFFF" w:themeColor="background1"/>
            </w:tcBorders>
            <w:shd w:val="clear" w:color="auto" w:fill="BE4A35" w:themeFill="accent2"/>
            <w:hideMark/>
          </w:tcPr>
          <w:p w:rsidR="00B3609C" w:rsidRDefault="00882296">
            <w:pPr>
              <w:pStyle w:val="HStandard"/>
              <w:spacing w:line="240" w:lineRule="atLeast"/>
              <w:rPr>
                <w:b/>
                <w:bCs/>
                <w:color w:val="FFFFFF" w:themeColor="background1"/>
                <w:sz w:val="16"/>
                <w:lang w:val="de-DE"/>
              </w:rPr>
            </w:pPr>
            <w:proofErr w:type="spellStart"/>
            <w:r>
              <w:rPr>
                <w:b/>
                <w:bCs/>
                <w:color w:val="FFFFFF" w:themeColor="background1"/>
                <w:sz w:val="16"/>
                <w:lang w:val="de-DE"/>
              </w:rPr>
              <w:t>Sektorbezogene</w:t>
            </w:r>
            <w:proofErr w:type="spellEnd"/>
            <w:r>
              <w:rPr>
                <w:b/>
                <w:bCs/>
                <w:color w:val="FFFFFF" w:themeColor="background1"/>
                <w:sz w:val="16"/>
                <w:lang w:val="de-DE"/>
              </w:rPr>
              <w:t xml:space="preserve"> Auswirkungen</w:t>
            </w:r>
          </w:p>
        </w:tc>
      </w:tr>
      <w:tr w:rsidR="00B3609C" w:rsidRPr="00C419A5">
        <w:trPr>
          <w:trHeight w:val="1193"/>
        </w:trPr>
        <w:tc>
          <w:tcPr>
            <w:tcW w:w="988" w:type="dxa"/>
            <w:tcBorders>
              <w:bottom w:val="single" w:sz="4" w:space="0" w:color="808080" w:themeColor="background1" w:themeShade="80"/>
              <w:right w:val="nil"/>
            </w:tcBorders>
            <w:hideMark/>
          </w:tcPr>
          <w:p w:rsidR="00B3609C" w:rsidRDefault="00882296">
            <w:pPr>
              <w:pStyle w:val="HStandard"/>
              <w:jc w:val="center"/>
              <w:rPr>
                <w:b/>
                <w:bCs/>
                <w:color w:val="BE4A35" w:themeColor="accent2"/>
                <w:lang w:val="de-DE"/>
              </w:rPr>
            </w:pPr>
            <w:r>
              <w:rPr>
                <w:noProof/>
                <w:color w:val="BE4A35" w:themeColor="accent2"/>
                <w:lang w:eastAsia="en-GB"/>
              </w:rPr>
              <w:drawing>
                <wp:anchor distT="0" distB="0" distL="114300" distR="114300" simplePos="0" relativeHeight="251713024" behindDoc="1" locked="0" layoutInCell="1" allowOverlap="1" wp14:anchorId="567D58CA" wp14:editId="21C4217D">
                  <wp:simplePos x="0" y="0"/>
                  <wp:positionH relativeFrom="column">
                    <wp:posOffset>-233</wp:posOffset>
                  </wp:positionH>
                  <wp:positionV relativeFrom="paragraph">
                    <wp:posOffset>185115</wp:posOffset>
                  </wp:positionV>
                  <wp:extent cx="489585" cy="489585"/>
                  <wp:effectExtent l="0" t="0" r="0" b="5715"/>
                  <wp:wrapTight wrapText="bothSides">
                    <wp:wrapPolygon edited="0">
                      <wp:start x="5043" y="0"/>
                      <wp:lineTo x="2521" y="2521"/>
                      <wp:lineTo x="840" y="8405"/>
                      <wp:lineTo x="1681" y="15969"/>
                      <wp:lineTo x="5883" y="21012"/>
                      <wp:lineTo x="8405" y="21012"/>
                      <wp:lineTo x="14288" y="21012"/>
                      <wp:lineTo x="15128" y="21012"/>
                      <wp:lineTo x="18490" y="13447"/>
                      <wp:lineTo x="19331" y="10926"/>
                      <wp:lineTo x="17650" y="3362"/>
                      <wp:lineTo x="14288" y="0"/>
                      <wp:lineTo x="5043"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01.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bCs/>
                <w:color w:val="BE4A35" w:themeColor="accent2"/>
                <w:lang w:val="de-DE"/>
              </w:rPr>
              <w:t>I.01</w:t>
            </w:r>
          </w:p>
        </w:tc>
        <w:tc>
          <w:tcPr>
            <w:tcW w:w="1417" w:type="dxa"/>
            <w:tcBorders>
              <w:left w:val="nil"/>
              <w:bottom w:val="single" w:sz="4" w:space="0" w:color="808080" w:themeColor="background1" w:themeShade="80"/>
            </w:tcBorders>
            <w:vAlign w:val="center"/>
            <w:hideMark/>
          </w:tcPr>
          <w:p w:rsidR="00B3609C" w:rsidRDefault="00882296">
            <w:pPr>
              <w:pStyle w:val="HStandard"/>
              <w:spacing w:after="0"/>
              <w:jc w:val="left"/>
              <w:rPr>
                <w:b/>
                <w:color w:val="BE4A35" w:themeColor="accent2"/>
                <w:sz w:val="16"/>
                <w:szCs w:val="18"/>
                <w:lang w:val="de-DE"/>
              </w:rPr>
            </w:pPr>
            <w:r>
              <w:rPr>
                <w:b/>
                <w:bCs/>
                <w:color w:val="BE4A35" w:themeColor="accent2"/>
                <w:sz w:val="16"/>
                <w:szCs w:val="18"/>
                <w:lang w:val="de-DE"/>
              </w:rPr>
              <w:t>Landwirtschaftlicher Unternehmensgewinn</w:t>
            </w:r>
          </w:p>
        </w:tc>
        <w:tc>
          <w:tcPr>
            <w:tcW w:w="1701" w:type="dxa"/>
            <w:vMerge w:val="restart"/>
            <w:vAlign w:val="center"/>
            <w:hideMark/>
          </w:tcPr>
          <w:p w:rsidR="00B3609C" w:rsidRDefault="00882296">
            <w:pPr>
              <w:pStyle w:val="HStandard"/>
              <w:spacing w:after="0" w:line="240" w:lineRule="auto"/>
              <w:jc w:val="center"/>
              <w:rPr>
                <w:sz w:val="16"/>
                <w:szCs w:val="18"/>
                <w:lang w:val="de-DE"/>
              </w:rPr>
            </w:pPr>
            <w:r>
              <w:rPr>
                <w:sz w:val="16"/>
                <w:szCs w:val="18"/>
                <w:lang w:val="de-DE"/>
              </w:rPr>
              <w:t xml:space="preserve">Kombination aus </w:t>
            </w:r>
            <w:proofErr w:type="spellStart"/>
            <w:r>
              <w:rPr>
                <w:sz w:val="16"/>
                <w:szCs w:val="18"/>
                <w:lang w:val="de-DE"/>
              </w:rPr>
              <w:t>Propensity</w:t>
            </w:r>
            <w:proofErr w:type="spellEnd"/>
            <w:r>
              <w:rPr>
                <w:sz w:val="16"/>
                <w:szCs w:val="18"/>
                <w:lang w:val="de-DE"/>
              </w:rPr>
              <w:t>-Score-</w:t>
            </w:r>
            <w:proofErr w:type="spellStart"/>
            <w:r>
              <w:rPr>
                <w:sz w:val="16"/>
                <w:szCs w:val="18"/>
                <w:lang w:val="de-DE"/>
              </w:rPr>
              <w:t>Matching</w:t>
            </w:r>
            <w:proofErr w:type="spellEnd"/>
            <w:r>
              <w:rPr>
                <w:sz w:val="16"/>
                <w:szCs w:val="18"/>
                <w:lang w:val="de-DE"/>
              </w:rPr>
              <w:t>-Methoden und der Differenz-in-Differenzen-Methode (PSM-</w:t>
            </w:r>
            <w:proofErr w:type="spellStart"/>
            <w:r>
              <w:rPr>
                <w:sz w:val="16"/>
                <w:szCs w:val="18"/>
                <w:lang w:val="de-DE"/>
              </w:rPr>
              <w:t>DiD</w:t>
            </w:r>
            <w:proofErr w:type="spellEnd"/>
            <w:r>
              <w:rPr>
                <w:sz w:val="16"/>
                <w:szCs w:val="18"/>
                <w:lang w:val="de-DE"/>
              </w:rPr>
              <w:t>)</w:t>
            </w:r>
          </w:p>
        </w:tc>
        <w:tc>
          <w:tcPr>
            <w:tcW w:w="1701" w:type="dxa"/>
            <w:vMerge w:val="restart"/>
            <w:vAlign w:val="center"/>
            <w:hideMark/>
          </w:tcPr>
          <w:p w:rsidR="00B3609C" w:rsidRDefault="00882296">
            <w:pPr>
              <w:pStyle w:val="HStandard"/>
              <w:spacing w:after="0" w:line="240" w:lineRule="auto"/>
              <w:jc w:val="center"/>
              <w:rPr>
                <w:sz w:val="16"/>
                <w:szCs w:val="18"/>
                <w:lang w:val="de-DE"/>
              </w:rPr>
            </w:pPr>
            <w:r>
              <w:rPr>
                <w:sz w:val="16"/>
                <w:szCs w:val="18"/>
                <w:lang w:val="de-DE"/>
              </w:rPr>
              <w:t xml:space="preserve">Bottom-up-Ansätze mit Hochskalierung von Ergebnissen der Mikroebene </w:t>
            </w:r>
            <w:r>
              <w:rPr>
                <w:sz w:val="16"/>
                <w:szCs w:val="18"/>
                <w:lang w:val="de-DE"/>
              </w:rPr>
              <w:br/>
            </w:r>
            <w:r>
              <w:rPr>
                <w:sz w:val="16"/>
                <w:szCs w:val="18"/>
                <w:lang w:val="de-DE"/>
              </w:rPr>
              <w:br/>
              <w:t>Anwendung eines sektoralen Modells</w:t>
            </w:r>
          </w:p>
        </w:tc>
        <w:tc>
          <w:tcPr>
            <w:tcW w:w="1701" w:type="dxa"/>
            <w:vMerge w:val="restart"/>
            <w:vAlign w:val="center"/>
            <w:hideMark/>
          </w:tcPr>
          <w:p w:rsidR="00B3609C" w:rsidRDefault="00882296">
            <w:pPr>
              <w:pStyle w:val="HStandard"/>
              <w:spacing w:after="0" w:line="240" w:lineRule="auto"/>
              <w:jc w:val="center"/>
              <w:rPr>
                <w:sz w:val="16"/>
                <w:szCs w:val="18"/>
                <w:lang w:val="de-DE"/>
              </w:rPr>
            </w:pPr>
            <w:r>
              <w:rPr>
                <w:sz w:val="16"/>
                <w:szCs w:val="18"/>
                <w:lang w:val="de-DE"/>
              </w:rPr>
              <w:t>Regressions-Diskontinuitäts-Analyse (RDD)</w:t>
            </w:r>
          </w:p>
        </w:tc>
        <w:tc>
          <w:tcPr>
            <w:tcW w:w="1701" w:type="dxa"/>
            <w:vMerge w:val="restart"/>
            <w:vAlign w:val="center"/>
            <w:hideMark/>
          </w:tcPr>
          <w:p w:rsidR="00B3609C" w:rsidRDefault="00882296">
            <w:pPr>
              <w:pStyle w:val="HStandard"/>
              <w:spacing w:after="0" w:line="240" w:lineRule="auto"/>
              <w:jc w:val="center"/>
              <w:rPr>
                <w:sz w:val="16"/>
                <w:szCs w:val="18"/>
                <w:lang w:val="de-DE"/>
              </w:rPr>
            </w:pPr>
            <w:r>
              <w:rPr>
                <w:sz w:val="16"/>
                <w:szCs w:val="18"/>
                <w:lang w:val="de-DE"/>
              </w:rPr>
              <w:t>Bottom-up-Ansätze mit Hochskalierung von Ergebnissen der Mikroebene</w:t>
            </w:r>
          </w:p>
        </w:tc>
      </w:tr>
      <w:tr w:rsidR="00B3609C">
        <w:trPr>
          <w:trHeight w:val="1167"/>
        </w:trPr>
        <w:tc>
          <w:tcPr>
            <w:tcW w:w="988" w:type="dxa"/>
            <w:tcBorders>
              <w:right w:val="nil"/>
            </w:tcBorders>
            <w:hideMark/>
          </w:tcPr>
          <w:p w:rsidR="00B3609C" w:rsidRDefault="00882296">
            <w:pPr>
              <w:pStyle w:val="HStandard"/>
              <w:jc w:val="center"/>
              <w:rPr>
                <w:b/>
                <w:bCs/>
                <w:color w:val="BE4A35" w:themeColor="accent2"/>
                <w:lang w:val="de-DE"/>
              </w:rPr>
            </w:pPr>
            <w:r>
              <w:rPr>
                <w:noProof/>
                <w:color w:val="BE4A35" w:themeColor="accent2"/>
                <w:lang w:eastAsia="en-GB"/>
              </w:rPr>
              <w:drawing>
                <wp:anchor distT="0" distB="0" distL="114300" distR="114300" simplePos="0" relativeHeight="251727360" behindDoc="0" locked="0" layoutInCell="1" allowOverlap="1" wp14:anchorId="1210892F" wp14:editId="1F6B9D54">
                  <wp:simplePos x="0" y="0"/>
                  <wp:positionH relativeFrom="column">
                    <wp:posOffset>31750</wp:posOffset>
                  </wp:positionH>
                  <wp:positionV relativeFrom="paragraph">
                    <wp:posOffset>215394</wp:posOffset>
                  </wp:positionV>
                  <wp:extent cx="489600" cy="489600"/>
                  <wp:effectExtent l="0" t="0" r="5715" b="571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02.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anchor>
              </w:drawing>
            </w:r>
            <w:r>
              <w:rPr>
                <w:b/>
                <w:bCs/>
                <w:color w:val="BE4A35" w:themeColor="accent2"/>
                <w:lang w:val="de-DE"/>
              </w:rPr>
              <w:t>I.02</w:t>
            </w:r>
          </w:p>
        </w:tc>
        <w:tc>
          <w:tcPr>
            <w:tcW w:w="1417" w:type="dxa"/>
            <w:tcBorders>
              <w:left w:val="nil"/>
            </w:tcBorders>
            <w:vAlign w:val="center"/>
            <w:hideMark/>
          </w:tcPr>
          <w:p w:rsidR="00B3609C" w:rsidRDefault="00882296">
            <w:pPr>
              <w:pStyle w:val="HStandard"/>
              <w:spacing w:after="0"/>
              <w:jc w:val="left"/>
              <w:rPr>
                <w:b/>
                <w:color w:val="BE4A35" w:themeColor="accent2"/>
                <w:sz w:val="16"/>
                <w:szCs w:val="18"/>
                <w:lang w:val="de-DE"/>
              </w:rPr>
            </w:pPr>
            <w:r>
              <w:rPr>
                <w:b/>
                <w:bCs/>
                <w:color w:val="BE4A35" w:themeColor="accent2"/>
                <w:sz w:val="16"/>
                <w:szCs w:val="18"/>
                <w:lang w:val="de-DE"/>
              </w:rPr>
              <w:t>Faktoreinkommen in der Landwirtschaft</w:t>
            </w:r>
          </w:p>
        </w:tc>
        <w:tc>
          <w:tcPr>
            <w:tcW w:w="1701" w:type="dxa"/>
            <w:vMerge/>
            <w:hideMark/>
          </w:tcPr>
          <w:p w:rsidR="00B3609C" w:rsidRDefault="00B3609C">
            <w:pPr>
              <w:pStyle w:val="HStandard"/>
              <w:spacing w:line="240" w:lineRule="auto"/>
              <w:rPr>
                <w:sz w:val="16"/>
                <w:lang w:val="de-DE"/>
              </w:rPr>
            </w:pPr>
          </w:p>
        </w:tc>
        <w:tc>
          <w:tcPr>
            <w:tcW w:w="1701" w:type="dxa"/>
            <w:vMerge/>
            <w:hideMark/>
          </w:tcPr>
          <w:p w:rsidR="00B3609C" w:rsidRDefault="00B3609C">
            <w:pPr>
              <w:pStyle w:val="HStandard"/>
              <w:spacing w:line="240" w:lineRule="auto"/>
              <w:rPr>
                <w:sz w:val="16"/>
                <w:lang w:val="de-DE"/>
              </w:rPr>
            </w:pPr>
          </w:p>
        </w:tc>
        <w:tc>
          <w:tcPr>
            <w:tcW w:w="1701" w:type="dxa"/>
            <w:vMerge/>
            <w:hideMark/>
          </w:tcPr>
          <w:p w:rsidR="00B3609C" w:rsidRDefault="00B3609C">
            <w:pPr>
              <w:pStyle w:val="HStandard"/>
              <w:spacing w:line="240" w:lineRule="auto"/>
              <w:rPr>
                <w:sz w:val="16"/>
                <w:lang w:val="de-DE"/>
              </w:rPr>
            </w:pPr>
          </w:p>
        </w:tc>
        <w:tc>
          <w:tcPr>
            <w:tcW w:w="1701" w:type="dxa"/>
            <w:vMerge/>
            <w:hideMark/>
          </w:tcPr>
          <w:p w:rsidR="00B3609C" w:rsidRDefault="00B3609C">
            <w:pPr>
              <w:pStyle w:val="HStandard"/>
              <w:spacing w:line="240" w:lineRule="auto"/>
              <w:rPr>
                <w:sz w:val="16"/>
                <w:lang w:val="de-DE"/>
              </w:rPr>
            </w:pPr>
          </w:p>
        </w:tc>
      </w:tr>
      <w:tr w:rsidR="00B3609C" w:rsidRPr="00C419A5">
        <w:trPr>
          <w:trHeight w:val="1163"/>
        </w:trPr>
        <w:tc>
          <w:tcPr>
            <w:tcW w:w="988" w:type="dxa"/>
            <w:tcBorders>
              <w:right w:val="nil"/>
            </w:tcBorders>
            <w:hideMark/>
          </w:tcPr>
          <w:p w:rsidR="00B3609C" w:rsidRDefault="00882296">
            <w:pPr>
              <w:pStyle w:val="HStandard"/>
              <w:jc w:val="center"/>
              <w:rPr>
                <w:b/>
                <w:bCs/>
                <w:color w:val="BE4A35" w:themeColor="accent2"/>
                <w:lang w:val="de-DE"/>
              </w:rPr>
            </w:pPr>
            <w:r>
              <w:rPr>
                <w:noProof/>
                <w:color w:val="BE4A35" w:themeColor="accent2"/>
                <w:lang w:eastAsia="en-GB"/>
              </w:rPr>
              <w:drawing>
                <wp:anchor distT="0" distB="0" distL="114300" distR="114300" simplePos="0" relativeHeight="251712000" behindDoc="1" locked="0" layoutInCell="1" allowOverlap="1" wp14:anchorId="7E7F5D67" wp14:editId="772F39F7">
                  <wp:simplePos x="0" y="0"/>
                  <wp:positionH relativeFrom="column">
                    <wp:posOffset>63428</wp:posOffset>
                  </wp:positionH>
                  <wp:positionV relativeFrom="paragraph">
                    <wp:posOffset>215900</wp:posOffset>
                  </wp:positionV>
                  <wp:extent cx="489585" cy="489585"/>
                  <wp:effectExtent l="0" t="0" r="0" b="5715"/>
                  <wp:wrapTight wrapText="bothSides">
                    <wp:wrapPolygon edited="0">
                      <wp:start x="6724" y="0"/>
                      <wp:lineTo x="5043" y="2521"/>
                      <wp:lineTo x="2521" y="14288"/>
                      <wp:lineTo x="5883" y="21012"/>
                      <wp:lineTo x="15128" y="21012"/>
                      <wp:lineTo x="18490" y="12607"/>
                      <wp:lineTo x="15969" y="2521"/>
                      <wp:lineTo x="14288" y="0"/>
                      <wp:lineTo x="6724"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03.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bCs/>
                <w:color w:val="BE4A35" w:themeColor="accent2"/>
                <w:lang w:val="de-DE"/>
              </w:rPr>
              <w:t>I.03</w:t>
            </w:r>
          </w:p>
        </w:tc>
        <w:tc>
          <w:tcPr>
            <w:tcW w:w="1417" w:type="dxa"/>
            <w:tcBorders>
              <w:left w:val="nil"/>
            </w:tcBorders>
            <w:vAlign w:val="center"/>
            <w:hideMark/>
          </w:tcPr>
          <w:p w:rsidR="00B3609C" w:rsidRDefault="00882296">
            <w:pPr>
              <w:pStyle w:val="HStandard"/>
              <w:spacing w:after="0"/>
              <w:jc w:val="left"/>
              <w:rPr>
                <w:b/>
                <w:color w:val="BE4A35" w:themeColor="accent2"/>
                <w:sz w:val="16"/>
                <w:szCs w:val="18"/>
                <w:lang w:val="de-DE"/>
              </w:rPr>
            </w:pPr>
            <w:r>
              <w:rPr>
                <w:b/>
                <w:bCs/>
                <w:color w:val="BE4A35" w:themeColor="accent2"/>
                <w:sz w:val="16"/>
                <w:szCs w:val="18"/>
                <w:lang w:val="de-DE"/>
              </w:rPr>
              <w:t>Totale Faktorproduktivität in der Landwirtschaft</w:t>
            </w:r>
          </w:p>
        </w:tc>
        <w:tc>
          <w:tcPr>
            <w:tcW w:w="1701" w:type="dxa"/>
            <w:vMerge/>
            <w:hideMark/>
          </w:tcPr>
          <w:p w:rsidR="00B3609C" w:rsidRDefault="00B3609C">
            <w:pPr>
              <w:pStyle w:val="HStandard"/>
              <w:spacing w:line="240" w:lineRule="auto"/>
              <w:rPr>
                <w:sz w:val="16"/>
                <w:lang w:val="de-DE"/>
              </w:rPr>
            </w:pPr>
          </w:p>
        </w:tc>
        <w:tc>
          <w:tcPr>
            <w:tcW w:w="1701" w:type="dxa"/>
            <w:vMerge/>
            <w:hideMark/>
          </w:tcPr>
          <w:p w:rsidR="00B3609C" w:rsidRDefault="00B3609C">
            <w:pPr>
              <w:pStyle w:val="HStandard"/>
              <w:spacing w:line="240" w:lineRule="auto"/>
              <w:rPr>
                <w:sz w:val="16"/>
                <w:lang w:val="de-DE"/>
              </w:rPr>
            </w:pPr>
          </w:p>
        </w:tc>
        <w:tc>
          <w:tcPr>
            <w:tcW w:w="1701" w:type="dxa"/>
            <w:vMerge/>
            <w:hideMark/>
          </w:tcPr>
          <w:p w:rsidR="00B3609C" w:rsidRDefault="00B3609C">
            <w:pPr>
              <w:pStyle w:val="HStandard"/>
              <w:spacing w:line="240" w:lineRule="auto"/>
              <w:rPr>
                <w:sz w:val="16"/>
                <w:lang w:val="de-DE"/>
              </w:rPr>
            </w:pPr>
          </w:p>
        </w:tc>
        <w:tc>
          <w:tcPr>
            <w:tcW w:w="1701" w:type="dxa"/>
            <w:vMerge/>
            <w:hideMark/>
          </w:tcPr>
          <w:p w:rsidR="00B3609C" w:rsidRDefault="00B3609C">
            <w:pPr>
              <w:pStyle w:val="HStandard"/>
              <w:spacing w:line="240" w:lineRule="auto"/>
              <w:rPr>
                <w:sz w:val="16"/>
                <w:lang w:val="de-DE"/>
              </w:rPr>
            </w:pPr>
          </w:p>
        </w:tc>
      </w:tr>
      <w:tr w:rsidR="00B3609C">
        <w:trPr>
          <w:trHeight w:val="255"/>
        </w:trPr>
        <w:tc>
          <w:tcPr>
            <w:tcW w:w="9209" w:type="dxa"/>
            <w:gridSpan w:val="6"/>
            <w:shd w:val="clear" w:color="auto" w:fill="57825E" w:themeFill="accent4"/>
            <w:hideMark/>
          </w:tcPr>
          <w:p w:rsidR="00B3609C" w:rsidRDefault="00882296">
            <w:pPr>
              <w:pStyle w:val="HStandard"/>
              <w:spacing w:line="240" w:lineRule="auto"/>
              <w:rPr>
                <w:bCs/>
                <w:color w:val="FFFFFF" w:themeColor="background1"/>
                <w:sz w:val="16"/>
                <w:lang w:val="de-DE"/>
              </w:rPr>
            </w:pPr>
            <w:r>
              <w:rPr>
                <w:color w:val="FFFFFF" w:themeColor="background1"/>
                <w:sz w:val="16"/>
                <w:lang w:val="de-DE"/>
              </w:rPr>
              <w:t>Umweltauswirkungen</w:t>
            </w:r>
          </w:p>
        </w:tc>
      </w:tr>
      <w:tr w:rsidR="00B3609C" w:rsidRPr="00C419A5">
        <w:trPr>
          <w:trHeight w:val="1068"/>
        </w:trPr>
        <w:tc>
          <w:tcPr>
            <w:tcW w:w="988" w:type="dxa"/>
            <w:tcBorders>
              <w:right w:val="nil"/>
            </w:tcBorders>
            <w:hideMark/>
          </w:tcPr>
          <w:p w:rsidR="00B3609C" w:rsidRDefault="00882296">
            <w:pPr>
              <w:pStyle w:val="HStandard"/>
              <w:jc w:val="center"/>
              <w:rPr>
                <w:b/>
                <w:bCs/>
                <w:color w:val="57825E" w:themeColor="accent4"/>
                <w:lang w:val="de-DE"/>
              </w:rPr>
            </w:pPr>
            <w:r>
              <w:rPr>
                <w:noProof/>
                <w:color w:val="57825E" w:themeColor="accent4"/>
                <w:lang w:eastAsia="en-GB"/>
              </w:rPr>
              <w:drawing>
                <wp:anchor distT="0" distB="0" distL="114300" distR="114300" simplePos="0" relativeHeight="251714048" behindDoc="1" locked="0" layoutInCell="1" allowOverlap="1" wp14:anchorId="56FD656F" wp14:editId="52293C86">
                  <wp:simplePos x="0" y="0"/>
                  <wp:positionH relativeFrom="column">
                    <wp:posOffset>63572</wp:posOffset>
                  </wp:positionH>
                  <wp:positionV relativeFrom="paragraph">
                    <wp:posOffset>202983</wp:posOffset>
                  </wp:positionV>
                  <wp:extent cx="489585" cy="489585"/>
                  <wp:effectExtent l="0" t="0" r="5715" b="0"/>
                  <wp:wrapTight wrapText="bothSides">
                    <wp:wrapPolygon edited="0">
                      <wp:start x="10086" y="1681"/>
                      <wp:lineTo x="0" y="10926"/>
                      <wp:lineTo x="0" y="19331"/>
                      <wp:lineTo x="21012" y="19331"/>
                      <wp:lineTo x="21012" y="9245"/>
                      <wp:lineTo x="17650" y="1681"/>
                      <wp:lineTo x="10086" y="1681"/>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07.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bCs/>
                <w:color w:val="57825E" w:themeColor="accent4"/>
                <w:lang w:val="de-DE"/>
              </w:rPr>
              <w:t>I.07</w:t>
            </w:r>
          </w:p>
        </w:tc>
        <w:tc>
          <w:tcPr>
            <w:tcW w:w="1417" w:type="dxa"/>
            <w:tcBorders>
              <w:left w:val="nil"/>
            </w:tcBorders>
            <w:vAlign w:val="center"/>
            <w:hideMark/>
          </w:tcPr>
          <w:p w:rsidR="00B3609C" w:rsidRDefault="00882296">
            <w:pPr>
              <w:pStyle w:val="HStandard"/>
              <w:jc w:val="left"/>
              <w:rPr>
                <w:rFonts w:cs="Arial"/>
                <w:b/>
                <w:color w:val="57825E" w:themeColor="accent4"/>
                <w:sz w:val="16"/>
                <w:szCs w:val="18"/>
                <w:lang w:val="de-DE"/>
              </w:rPr>
            </w:pPr>
            <w:r>
              <w:rPr>
                <w:rFonts w:cs="Arial"/>
                <w:b/>
                <w:bCs/>
                <w:color w:val="57825E" w:themeColor="accent4"/>
                <w:sz w:val="16"/>
                <w:szCs w:val="18"/>
                <w:lang w:val="de-DE"/>
              </w:rPr>
              <w:t xml:space="preserve">Emissionen aus der Landwirtschaft </w:t>
            </w:r>
          </w:p>
        </w:tc>
        <w:tc>
          <w:tcPr>
            <w:tcW w:w="1701" w:type="dxa"/>
            <w:vAlign w:val="center"/>
            <w:hideMark/>
          </w:tcPr>
          <w:p w:rsidR="00B3609C" w:rsidRDefault="00882296">
            <w:pPr>
              <w:pStyle w:val="HStandard"/>
              <w:spacing w:line="240" w:lineRule="auto"/>
              <w:jc w:val="center"/>
              <w:rPr>
                <w:rFonts w:cs="Arial"/>
                <w:sz w:val="16"/>
                <w:szCs w:val="18"/>
                <w:lang w:val="de-DE"/>
              </w:rPr>
            </w:pPr>
            <w:r>
              <w:rPr>
                <w:rFonts w:cs="Arial"/>
                <w:sz w:val="16"/>
                <w:szCs w:val="18"/>
                <w:lang w:val="de-DE"/>
              </w:rPr>
              <w:t xml:space="preserve">Regressionsverfahren und </w:t>
            </w:r>
            <w:proofErr w:type="spellStart"/>
            <w:r>
              <w:rPr>
                <w:rFonts w:cs="Arial"/>
                <w:sz w:val="16"/>
                <w:szCs w:val="18"/>
                <w:lang w:val="de-DE"/>
              </w:rPr>
              <w:t>Matching</w:t>
            </w:r>
            <w:proofErr w:type="spellEnd"/>
            <w:r>
              <w:rPr>
                <w:rFonts w:cs="Arial"/>
                <w:sz w:val="16"/>
                <w:szCs w:val="18"/>
                <w:lang w:val="de-DE"/>
              </w:rPr>
              <w:t>-Techniken</w:t>
            </w:r>
          </w:p>
        </w:tc>
        <w:tc>
          <w:tcPr>
            <w:tcW w:w="1701" w:type="dxa"/>
            <w:vAlign w:val="center"/>
            <w:hideMark/>
          </w:tcPr>
          <w:p w:rsidR="00B3609C" w:rsidRDefault="00882296">
            <w:pPr>
              <w:pStyle w:val="HStandard"/>
              <w:spacing w:line="240" w:lineRule="auto"/>
              <w:jc w:val="center"/>
              <w:rPr>
                <w:rFonts w:cs="Arial"/>
                <w:sz w:val="16"/>
                <w:szCs w:val="18"/>
                <w:lang w:val="de-DE"/>
              </w:rPr>
            </w:pPr>
            <w:r>
              <w:rPr>
                <w:rFonts w:cs="Arial"/>
                <w:sz w:val="16"/>
                <w:szCs w:val="18"/>
                <w:lang w:val="de-DE"/>
              </w:rPr>
              <w:t xml:space="preserve">Allgemeines </w:t>
            </w:r>
            <w:proofErr w:type="spellStart"/>
            <w:r>
              <w:rPr>
                <w:rFonts w:cs="Arial"/>
                <w:sz w:val="16"/>
                <w:szCs w:val="18"/>
                <w:lang w:val="de-DE"/>
              </w:rPr>
              <w:t>Propensity</w:t>
            </w:r>
            <w:proofErr w:type="spellEnd"/>
            <w:r>
              <w:rPr>
                <w:rFonts w:cs="Arial"/>
                <w:sz w:val="16"/>
                <w:szCs w:val="18"/>
                <w:lang w:val="de-DE"/>
              </w:rPr>
              <w:t xml:space="preserve"> Score </w:t>
            </w:r>
            <w:proofErr w:type="spellStart"/>
            <w:r>
              <w:rPr>
                <w:rFonts w:cs="Arial"/>
                <w:sz w:val="16"/>
                <w:szCs w:val="18"/>
                <w:lang w:val="de-DE"/>
              </w:rPr>
              <w:t>Matching</w:t>
            </w:r>
            <w:proofErr w:type="spellEnd"/>
            <w:r>
              <w:rPr>
                <w:rFonts w:cs="Arial"/>
                <w:sz w:val="16"/>
                <w:szCs w:val="18"/>
                <w:lang w:val="de-DE"/>
              </w:rPr>
              <w:t xml:space="preserve"> (GPSM) unter Verwendung von NUTS 3 oder anderen Raumdaten</w:t>
            </w:r>
          </w:p>
        </w:tc>
        <w:tc>
          <w:tcPr>
            <w:tcW w:w="1701" w:type="dxa"/>
            <w:vAlign w:val="center"/>
            <w:hideMark/>
          </w:tcPr>
          <w:p w:rsidR="00B3609C" w:rsidRDefault="00882296">
            <w:pPr>
              <w:pStyle w:val="HStandard"/>
              <w:spacing w:line="240" w:lineRule="auto"/>
              <w:jc w:val="center"/>
              <w:rPr>
                <w:rFonts w:cs="Arial"/>
                <w:sz w:val="16"/>
                <w:szCs w:val="18"/>
                <w:lang w:val="de-DE"/>
              </w:rPr>
            </w:pPr>
            <w:r>
              <w:rPr>
                <w:rFonts w:cs="Arial"/>
                <w:sz w:val="16"/>
                <w:szCs w:val="18"/>
                <w:lang w:val="de-DE"/>
              </w:rPr>
              <w:t>keine</w:t>
            </w:r>
          </w:p>
        </w:tc>
        <w:tc>
          <w:tcPr>
            <w:tcW w:w="1701" w:type="dxa"/>
            <w:vAlign w:val="center"/>
            <w:hideMark/>
          </w:tcPr>
          <w:p w:rsidR="00B3609C" w:rsidRDefault="00882296">
            <w:pPr>
              <w:pStyle w:val="HStandard"/>
              <w:spacing w:line="240" w:lineRule="auto"/>
              <w:jc w:val="center"/>
              <w:rPr>
                <w:rFonts w:cs="Arial"/>
                <w:sz w:val="16"/>
                <w:szCs w:val="18"/>
                <w:lang w:val="de-DE"/>
              </w:rPr>
            </w:pPr>
            <w:r>
              <w:rPr>
                <w:rFonts w:cs="Arial"/>
                <w:sz w:val="16"/>
                <w:szCs w:val="18"/>
                <w:lang w:val="de-DE"/>
              </w:rPr>
              <w:t xml:space="preserve">Naive Ausgangsbasis </w:t>
            </w:r>
            <w:r>
              <w:rPr>
                <w:rFonts w:cs="Arial"/>
                <w:sz w:val="16"/>
                <w:szCs w:val="18"/>
                <w:lang w:val="de-DE"/>
              </w:rPr>
              <w:br/>
              <w:t>Vergleiche (einschließlich qualitativer Methoden)</w:t>
            </w:r>
          </w:p>
        </w:tc>
      </w:tr>
      <w:tr w:rsidR="00B3609C" w:rsidRPr="00C419A5">
        <w:trPr>
          <w:trHeight w:val="630"/>
        </w:trPr>
        <w:tc>
          <w:tcPr>
            <w:tcW w:w="988" w:type="dxa"/>
            <w:tcBorders>
              <w:right w:val="nil"/>
            </w:tcBorders>
            <w:hideMark/>
          </w:tcPr>
          <w:p w:rsidR="00B3609C" w:rsidRDefault="00882296">
            <w:pPr>
              <w:pStyle w:val="HStandard"/>
              <w:jc w:val="center"/>
              <w:rPr>
                <w:b/>
                <w:bCs/>
                <w:color w:val="57825E" w:themeColor="accent4"/>
                <w:lang w:val="de-DE"/>
              </w:rPr>
            </w:pPr>
            <w:r>
              <w:rPr>
                <w:noProof/>
                <w:color w:val="57825E" w:themeColor="accent4"/>
                <w:lang w:eastAsia="en-GB"/>
              </w:rPr>
              <w:drawing>
                <wp:anchor distT="0" distB="0" distL="114300" distR="114300" simplePos="0" relativeHeight="251710976" behindDoc="1" locked="0" layoutInCell="1" allowOverlap="1" wp14:anchorId="22144BD5" wp14:editId="7FADE379">
                  <wp:simplePos x="0" y="0"/>
                  <wp:positionH relativeFrom="column">
                    <wp:posOffset>34290</wp:posOffset>
                  </wp:positionH>
                  <wp:positionV relativeFrom="paragraph">
                    <wp:posOffset>215136</wp:posOffset>
                  </wp:positionV>
                  <wp:extent cx="489585" cy="489585"/>
                  <wp:effectExtent l="0" t="0" r="5715" b="5715"/>
                  <wp:wrapTight wrapText="bothSides">
                    <wp:wrapPolygon edited="0">
                      <wp:start x="14288" y="0"/>
                      <wp:lineTo x="0" y="5883"/>
                      <wp:lineTo x="0" y="8405"/>
                      <wp:lineTo x="8405" y="13447"/>
                      <wp:lineTo x="13447" y="21012"/>
                      <wp:lineTo x="14288" y="21012"/>
                      <wp:lineTo x="18490" y="21012"/>
                      <wp:lineTo x="15969" y="13447"/>
                      <wp:lineTo x="21012" y="3362"/>
                      <wp:lineTo x="21012" y="0"/>
                      <wp:lineTo x="18490" y="0"/>
                      <wp:lineTo x="14288"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08.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bCs/>
                <w:color w:val="57825E" w:themeColor="accent4"/>
                <w:lang w:val="de-DE"/>
              </w:rPr>
              <w:t>I.08</w:t>
            </w:r>
          </w:p>
        </w:tc>
        <w:tc>
          <w:tcPr>
            <w:tcW w:w="1417" w:type="dxa"/>
            <w:tcBorders>
              <w:left w:val="nil"/>
            </w:tcBorders>
            <w:vAlign w:val="center"/>
            <w:hideMark/>
          </w:tcPr>
          <w:p w:rsidR="00B3609C" w:rsidRDefault="00882296">
            <w:pPr>
              <w:pStyle w:val="HStandard"/>
              <w:jc w:val="left"/>
              <w:rPr>
                <w:rFonts w:cs="Arial"/>
                <w:b/>
                <w:color w:val="57825E" w:themeColor="accent4"/>
                <w:sz w:val="16"/>
                <w:szCs w:val="18"/>
                <w:lang w:val="de-DE"/>
              </w:rPr>
            </w:pPr>
            <w:r>
              <w:rPr>
                <w:rFonts w:cs="Arial"/>
                <w:b/>
                <w:bCs/>
                <w:color w:val="57825E" w:themeColor="accent4"/>
                <w:sz w:val="16"/>
                <w:szCs w:val="18"/>
                <w:lang w:val="de-DE"/>
              </w:rPr>
              <w:t>Feldvogelindex</w:t>
            </w:r>
          </w:p>
        </w:tc>
        <w:tc>
          <w:tcPr>
            <w:tcW w:w="1701" w:type="dxa"/>
            <w:vMerge w:val="restart"/>
            <w:vAlign w:val="center"/>
            <w:hideMark/>
          </w:tcPr>
          <w:p w:rsidR="00B3609C" w:rsidRDefault="00882296">
            <w:pPr>
              <w:pStyle w:val="HStandard"/>
              <w:spacing w:line="240" w:lineRule="auto"/>
              <w:jc w:val="center"/>
              <w:rPr>
                <w:rFonts w:cs="Arial"/>
                <w:sz w:val="16"/>
                <w:szCs w:val="18"/>
                <w:lang w:val="de-DE"/>
              </w:rPr>
            </w:pPr>
            <w:proofErr w:type="spellStart"/>
            <w:r>
              <w:rPr>
                <w:rFonts w:cs="Arial"/>
                <w:sz w:val="16"/>
                <w:szCs w:val="18"/>
                <w:lang w:val="de-DE"/>
              </w:rPr>
              <w:t>Propensity</w:t>
            </w:r>
            <w:proofErr w:type="spellEnd"/>
            <w:r>
              <w:rPr>
                <w:rFonts w:cs="Arial"/>
                <w:sz w:val="16"/>
                <w:szCs w:val="18"/>
                <w:lang w:val="de-DE"/>
              </w:rPr>
              <w:t xml:space="preserve"> Score </w:t>
            </w:r>
            <w:proofErr w:type="spellStart"/>
            <w:r>
              <w:rPr>
                <w:rFonts w:cs="Arial"/>
                <w:sz w:val="16"/>
                <w:szCs w:val="18"/>
                <w:lang w:val="de-DE"/>
              </w:rPr>
              <w:t>Matching</w:t>
            </w:r>
            <w:proofErr w:type="spellEnd"/>
            <w:r>
              <w:rPr>
                <w:rFonts w:cs="Arial"/>
                <w:sz w:val="16"/>
                <w:szCs w:val="18"/>
                <w:lang w:val="de-DE"/>
              </w:rPr>
              <w:t xml:space="preserve"> (PSM) und Differenz-in-Differenzen (</w:t>
            </w:r>
            <w:proofErr w:type="spellStart"/>
            <w:r>
              <w:rPr>
                <w:rFonts w:cs="Arial"/>
                <w:sz w:val="16"/>
                <w:szCs w:val="18"/>
                <w:lang w:val="de-DE"/>
              </w:rPr>
              <w:t>DiD</w:t>
            </w:r>
            <w:proofErr w:type="spellEnd"/>
            <w:r>
              <w:rPr>
                <w:rFonts w:cs="Arial"/>
                <w:sz w:val="16"/>
                <w:szCs w:val="18"/>
                <w:lang w:val="de-DE"/>
              </w:rPr>
              <w:t>)</w:t>
            </w:r>
          </w:p>
        </w:tc>
        <w:tc>
          <w:tcPr>
            <w:tcW w:w="1701" w:type="dxa"/>
            <w:vMerge w:val="restart"/>
            <w:vAlign w:val="center"/>
            <w:hideMark/>
          </w:tcPr>
          <w:p w:rsidR="00B3609C" w:rsidRDefault="00882296">
            <w:pPr>
              <w:pStyle w:val="HStandard"/>
              <w:spacing w:line="240" w:lineRule="auto"/>
              <w:jc w:val="center"/>
              <w:rPr>
                <w:rFonts w:cs="Arial"/>
                <w:sz w:val="16"/>
                <w:szCs w:val="18"/>
                <w:lang w:val="de-DE"/>
              </w:rPr>
            </w:pPr>
            <w:proofErr w:type="spellStart"/>
            <w:r>
              <w:rPr>
                <w:rFonts w:cs="Arial"/>
                <w:sz w:val="16"/>
                <w:szCs w:val="18"/>
                <w:lang w:val="de-DE"/>
              </w:rPr>
              <w:t>Propensity</w:t>
            </w:r>
            <w:proofErr w:type="spellEnd"/>
            <w:r>
              <w:rPr>
                <w:rFonts w:cs="Arial"/>
                <w:sz w:val="16"/>
                <w:szCs w:val="18"/>
                <w:lang w:val="de-DE"/>
              </w:rPr>
              <w:t xml:space="preserve"> Score </w:t>
            </w:r>
            <w:proofErr w:type="spellStart"/>
            <w:r>
              <w:rPr>
                <w:rFonts w:cs="Arial"/>
                <w:sz w:val="16"/>
                <w:szCs w:val="18"/>
                <w:lang w:val="de-DE"/>
              </w:rPr>
              <w:t>Matching</w:t>
            </w:r>
            <w:proofErr w:type="spellEnd"/>
            <w:r>
              <w:rPr>
                <w:rFonts w:cs="Arial"/>
                <w:sz w:val="16"/>
                <w:szCs w:val="18"/>
                <w:lang w:val="de-DE"/>
              </w:rPr>
              <w:t xml:space="preserve"> (PSM) und Differenz-in-Differenzen (</w:t>
            </w:r>
            <w:proofErr w:type="spellStart"/>
            <w:r>
              <w:rPr>
                <w:rFonts w:cs="Arial"/>
                <w:sz w:val="16"/>
                <w:szCs w:val="18"/>
                <w:lang w:val="de-DE"/>
              </w:rPr>
              <w:t>DiD</w:t>
            </w:r>
            <w:proofErr w:type="spellEnd"/>
            <w:r>
              <w:rPr>
                <w:rFonts w:cs="Arial"/>
                <w:sz w:val="16"/>
                <w:szCs w:val="18"/>
                <w:lang w:val="de-DE"/>
              </w:rPr>
              <w:t>)</w:t>
            </w:r>
          </w:p>
          <w:p w:rsidR="00B3609C" w:rsidRDefault="00882296">
            <w:pPr>
              <w:pStyle w:val="HStandard"/>
              <w:spacing w:line="240" w:lineRule="auto"/>
              <w:jc w:val="center"/>
              <w:rPr>
                <w:rFonts w:cs="Arial"/>
                <w:sz w:val="16"/>
                <w:szCs w:val="18"/>
                <w:lang w:val="de-DE"/>
              </w:rPr>
            </w:pPr>
            <w:r>
              <w:rPr>
                <w:rFonts w:cs="Arial"/>
                <w:sz w:val="16"/>
                <w:szCs w:val="18"/>
                <w:lang w:val="de-DE"/>
              </w:rPr>
              <w:t>Räumlich-ökonometrische Modelle für biogeografische Gebiete</w:t>
            </w:r>
          </w:p>
        </w:tc>
        <w:tc>
          <w:tcPr>
            <w:tcW w:w="1701" w:type="dxa"/>
            <w:vMerge w:val="restart"/>
            <w:vAlign w:val="center"/>
            <w:hideMark/>
          </w:tcPr>
          <w:p w:rsidR="00B3609C" w:rsidRDefault="00882296">
            <w:pPr>
              <w:pStyle w:val="HStandard"/>
              <w:spacing w:line="240" w:lineRule="auto"/>
              <w:jc w:val="center"/>
              <w:rPr>
                <w:rFonts w:cs="Arial"/>
                <w:sz w:val="16"/>
                <w:szCs w:val="18"/>
                <w:lang w:val="de-DE"/>
              </w:rPr>
            </w:pPr>
            <w:r>
              <w:rPr>
                <w:rFonts w:cs="Arial"/>
                <w:sz w:val="16"/>
                <w:szCs w:val="18"/>
                <w:lang w:val="de-DE"/>
              </w:rPr>
              <w:t>Statistische Analyse von paarweisen Vergleichen (ad hoc) oder mehreren Vergleichsgruppen mit der Differenz-in-Differenzen-Methode</w:t>
            </w:r>
            <w:r>
              <w:rPr>
                <w:rFonts w:cs="Arial"/>
                <w:color w:val="373737"/>
                <w:sz w:val="16"/>
                <w:szCs w:val="18"/>
                <w:lang w:val="de-DE"/>
              </w:rPr>
              <w:t xml:space="preserve"> in Kombination mit qualitativen Bewertungen</w:t>
            </w:r>
          </w:p>
        </w:tc>
        <w:tc>
          <w:tcPr>
            <w:tcW w:w="1701" w:type="dxa"/>
            <w:vMerge w:val="restart"/>
            <w:vAlign w:val="center"/>
            <w:hideMark/>
          </w:tcPr>
          <w:p w:rsidR="00B3609C" w:rsidRDefault="00882296">
            <w:pPr>
              <w:pStyle w:val="HStandard"/>
              <w:spacing w:line="240" w:lineRule="auto"/>
              <w:jc w:val="center"/>
              <w:rPr>
                <w:rFonts w:cs="Arial"/>
                <w:sz w:val="16"/>
                <w:szCs w:val="18"/>
                <w:lang w:val="de-DE"/>
              </w:rPr>
            </w:pPr>
            <w:r>
              <w:rPr>
                <w:rFonts w:cs="Arial"/>
                <w:sz w:val="16"/>
                <w:szCs w:val="18"/>
                <w:lang w:val="de-DE"/>
              </w:rPr>
              <w:t>Bottom-up-Ansätze mit Hochskalierung von Ergebnissen der Mikroebene</w:t>
            </w:r>
            <w:r>
              <w:rPr>
                <w:rFonts w:cs="Arial"/>
                <w:color w:val="373737"/>
                <w:sz w:val="16"/>
                <w:szCs w:val="18"/>
                <w:lang w:val="de-DE"/>
              </w:rPr>
              <w:t xml:space="preserve"> in Kombination mit qualitativen Bewertungen</w:t>
            </w:r>
          </w:p>
        </w:tc>
      </w:tr>
      <w:tr w:rsidR="00B3609C" w:rsidRPr="00C419A5">
        <w:trPr>
          <w:trHeight w:val="1083"/>
        </w:trPr>
        <w:tc>
          <w:tcPr>
            <w:tcW w:w="988" w:type="dxa"/>
            <w:tcBorders>
              <w:right w:val="nil"/>
            </w:tcBorders>
            <w:hideMark/>
          </w:tcPr>
          <w:p w:rsidR="00B3609C" w:rsidRDefault="00882296">
            <w:pPr>
              <w:pStyle w:val="HStandard"/>
              <w:jc w:val="center"/>
              <w:rPr>
                <w:b/>
                <w:bCs/>
                <w:color w:val="57825E" w:themeColor="accent4"/>
                <w:lang w:val="de-DE"/>
              </w:rPr>
            </w:pPr>
            <w:r>
              <w:rPr>
                <w:noProof/>
                <w:color w:val="57825E" w:themeColor="accent4"/>
                <w:lang w:eastAsia="en-GB"/>
              </w:rPr>
              <w:drawing>
                <wp:anchor distT="0" distB="0" distL="114300" distR="114300" simplePos="0" relativeHeight="251709952" behindDoc="1" locked="0" layoutInCell="1" allowOverlap="1" wp14:anchorId="32032626" wp14:editId="3DDB4530">
                  <wp:simplePos x="0" y="0"/>
                  <wp:positionH relativeFrom="column">
                    <wp:posOffset>63500</wp:posOffset>
                  </wp:positionH>
                  <wp:positionV relativeFrom="paragraph">
                    <wp:posOffset>183627</wp:posOffset>
                  </wp:positionV>
                  <wp:extent cx="489585" cy="489585"/>
                  <wp:effectExtent l="0" t="0" r="5715" b="5715"/>
                  <wp:wrapTight wrapText="bothSides">
                    <wp:wrapPolygon edited="0">
                      <wp:start x="840" y="0"/>
                      <wp:lineTo x="0" y="5043"/>
                      <wp:lineTo x="0" y="18490"/>
                      <wp:lineTo x="14288" y="21012"/>
                      <wp:lineTo x="17650" y="21012"/>
                      <wp:lineTo x="21012" y="15969"/>
                      <wp:lineTo x="21012" y="1681"/>
                      <wp:lineTo x="6724" y="0"/>
                      <wp:lineTo x="84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09.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bCs/>
                <w:color w:val="57825E" w:themeColor="accent4"/>
                <w:lang w:val="de-DE"/>
              </w:rPr>
              <w:t>I.09</w:t>
            </w:r>
          </w:p>
        </w:tc>
        <w:tc>
          <w:tcPr>
            <w:tcW w:w="1417" w:type="dxa"/>
            <w:tcBorders>
              <w:left w:val="nil"/>
            </w:tcBorders>
            <w:vAlign w:val="center"/>
            <w:hideMark/>
          </w:tcPr>
          <w:p w:rsidR="00B3609C" w:rsidRDefault="00882296">
            <w:pPr>
              <w:pStyle w:val="HStandard"/>
              <w:jc w:val="left"/>
              <w:rPr>
                <w:rFonts w:cs="Arial"/>
                <w:b/>
                <w:color w:val="57825E" w:themeColor="accent4"/>
                <w:sz w:val="16"/>
                <w:szCs w:val="18"/>
                <w:lang w:val="de-DE"/>
              </w:rPr>
            </w:pPr>
            <w:r>
              <w:rPr>
                <w:rFonts w:cs="Arial"/>
                <w:b/>
                <w:bCs/>
                <w:color w:val="57825E" w:themeColor="accent4"/>
                <w:sz w:val="16"/>
                <w:szCs w:val="18"/>
                <w:lang w:val="de-DE"/>
              </w:rPr>
              <w:t>Landbewirtschaftung mit hohem Naturwert (HNV)</w:t>
            </w:r>
          </w:p>
        </w:tc>
        <w:tc>
          <w:tcPr>
            <w:tcW w:w="1701" w:type="dxa"/>
            <w:vMerge/>
            <w:vAlign w:val="center"/>
            <w:hideMark/>
          </w:tcPr>
          <w:p w:rsidR="00B3609C" w:rsidRDefault="00B3609C">
            <w:pPr>
              <w:pStyle w:val="HStandard"/>
              <w:spacing w:line="240" w:lineRule="auto"/>
              <w:jc w:val="center"/>
              <w:rPr>
                <w:rFonts w:cs="Arial"/>
                <w:sz w:val="16"/>
                <w:szCs w:val="18"/>
                <w:lang w:val="de-DE"/>
              </w:rPr>
            </w:pPr>
          </w:p>
        </w:tc>
        <w:tc>
          <w:tcPr>
            <w:tcW w:w="1701" w:type="dxa"/>
            <w:vMerge/>
            <w:vAlign w:val="center"/>
            <w:hideMark/>
          </w:tcPr>
          <w:p w:rsidR="00B3609C" w:rsidRDefault="00B3609C">
            <w:pPr>
              <w:pStyle w:val="HStandard"/>
              <w:spacing w:line="240" w:lineRule="auto"/>
              <w:jc w:val="center"/>
              <w:rPr>
                <w:rFonts w:cs="Arial"/>
                <w:sz w:val="16"/>
                <w:szCs w:val="18"/>
                <w:lang w:val="de-DE"/>
              </w:rPr>
            </w:pPr>
          </w:p>
        </w:tc>
        <w:tc>
          <w:tcPr>
            <w:tcW w:w="1701" w:type="dxa"/>
            <w:vMerge/>
            <w:vAlign w:val="center"/>
            <w:hideMark/>
          </w:tcPr>
          <w:p w:rsidR="00B3609C" w:rsidRDefault="00B3609C">
            <w:pPr>
              <w:pStyle w:val="HStandard"/>
              <w:spacing w:line="240" w:lineRule="auto"/>
              <w:jc w:val="center"/>
              <w:rPr>
                <w:rFonts w:cs="Arial"/>
                <w:sz w:val="16"/>
                <w:szCs w:val="18"/>
                <w:lang w:val="de-DE"/>
              </w:rPr>
            </w:pPr>
          </w:p>
        </w:tc>
        <w:tc>
          <w:tcPr>
            <w:tcW w:w="1701" w:type="dxa"/>
            <w:vMerge/>
            <w:vAlign w:val="center"/>
            <w:hideMark/>
          </w:tcPr>
          <w:p w:rsidR="00B3609C" w:rsidRDefault="00B3609C">
            <w:pPr>
              <w:pStyle w:val="HStandard"/>
              <w:spacing w:line="240" w:lineRule="auto"/>
              <w:jc w:val="center"/>
              <w:rPr>
                <w:rFonts w:cs="Arial"/>
                <w:sz w:val="16"/>
                <w:szCs w:val="18"/>
                <w:lang w:val="de-DE"/>
              </w:rPr>
            </w:pPr>
          </w:p>
        </w:tc>
      </w:tr>
      <w:tr w:rsidR="00B3609C" w:rsidRPr="00C419A5">
        <w:trPr>
          <w:trHeight w:val="1082"/>
        </w:trPr>
        <w:tc>
          <w:tcPr>
            <w:tcW w:w="988" w:type="dxa"/>
            <w:tcBorders>
              <w:right w:val="nil"/>
            </w:tcBorders>
            <w:hideMark/>
          </w:tcPr>
          <w:p w:rsidR="00B3609C" w:rsidRDefault="00882296">
            <w:pPr>
              <w:pStyle w:val="HStandard"/>
              <w:jc w:val="center"/>
              <w:rPr>
                <w:b/>
                <w:bCs/>
                <w:color w:val="57825E" w:themeColor="accent4"/>
                <w:lang w:val="de-DE"/>
              </w:rPr>
            </w:pPr>
            <w:r>
              <w:rPr>
                <w:noProof/>
                <w:color w:val="57825E" w:themeColor="accent4"/>
                <w:lang w:eastAsia="en-GB"/>
              </w:rPr>
              <w:drawing>
                <wp:anchor distT="0" distB="0" distL="114300" distR="114300" simplePos="0" relativeHeight="251722240" behindDoc="1" locked="0" layoutInCell="1" allowOverlap="1" wp14:anchorId="12ED4E64" wp14:editId="34E50475">
                  <wp:simplePos x="0" y="0"/>
                  <wp:positionH relativeFrom="column">
                    <wp:posOffset>63572</wp:posOffset>
                  </wp:positionH>
                  <wp:positionV relativeFrom="paragraph">
                    <wp:posOffset>208481</wp:posOffset>
                  </wp:positionV>
                  <wp:extent cx="489585" cy="489585"/>
                  <wp:effectExtent l="0" t="0" r="5715" b="5715"/>
                  <wp:wrapTight wrapText="bothSides">
                    <wp:wrapPolygon edited="0">
                      <wp:start x="6724" y="0"/>
                      <wp:lineTo x="0" y="3362"/>
                      <wp:lineTo x="0" y="14288"/>
                      <wp:lineTo x="13447" y="21012"/>
                      <wp:lineTo x="14288" y="21012"/>
                      <wp:lineTo x="21012" y="21012"/>
                      <wp:lineTo x="21012" y="13447"/>
                      <wp:lineTo x="20171" y="7564"/>
                      <wp:lineTo x="15128" y="0"/>
                      <wp:lineTo x="6724" y="0"/>
                    </wp:wrapPolygon>
                  </wp:wrapTight>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10.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bCs/>
                <w:color w:val="57825E" w:themeColor="accent4"/>
                <w:lang w:val="de-DE"/>
              </w:rPr>
              <w:t>I.10</w:t>
            </w:r>
          </w:p>
        </w:tc>
        <w:tc>
          <w:tcPr>
            <w:tcW w:w="1417" w:type="dxa"/>
            <w:tcBorders>
              <w:left w:val="nil"/>
            </w:tcBorders>
            <w:vAlign w:val="center"/>
            <w:hideMark/>
          </w:tcPr>
          <w:p w:rsidR="00B3609C" w:rsidRDefault="00882296">
            <w:pPr>
              <w:pStyle w:val="HStandard"/>
              <w:jc w:val="left"/>
              <w:rPr>
                <w:rFonts w:cs="Arial"/>
                <w:b/>
                <w:color w:val="57825E" w:themeColor="accent4"/>
                <w:sz w:val="16"/>
                <w:szCs w:val="18"/>
                <w:lang w:val="de-DE"/>
              </w:rPr>
            </w:pPr>
            <w:r>
              <w:rPr>
                <w:rFonts w:cs="Arial"/>
                <w:b/>
                <w:bCs/>
                <w:color w:val="57825E" w:themeColor="accent4"/>
                <w:sz w:val="16"/>
                <w:szCs w:val="18"/>
                <w:lang w:val="de-DE"/>
              </w:rPr>
              <w:t xml:space="preserve">Wasserentnahme in der Landwirtschaft </w:t>
            </w:r>
          </w:p>
        </w:tc>
        <w:tc>
          <w:tcPr>
            <w:tcW w:w="1701" w:type="dxa"/>
            <w:vMerge w:val="restart"/>
            <w:vAlign w:val="center"/>
            <w:hideMark/>
          </w:tcPr>
          <w:p w:rsidR="00B3609C" w:rsidRDefault="00882296">
            <w:pPr>
              <w:pStyle w:val="HStandard"/>
              <w:spacing w:line="240" w:lineRule="auto"/>
              <w:jc w:val="center"/>
              <w:rPr>
                <w:rFonts w:cs="Arial"/>
                <w:sz w:val="16"/>
                <w:szCs w:val="18"/>
                <w:lang w:val="de-DE"/>
              </w:rPr>
            </w:pPr>
            <w:r>
              <w:rPr>
                <w:rFonts w:cs="Arial"/>
                <w:sz w:val="16"/>
                <w:szCs w:val="18"/>
                <w:lang w:val="de-DE"/>
              </w:rPr>
              <w:t xml:space="preserve">Regressionsverfahren und </w:t>
            </w:r>
            <w:proofErr w:type="spellStart"/>
            <w:r>
              <w:rPr>
                <w:rFonts w:cs="Arial"/>
                <w:sz w:val="16"/>
                <w:szCs w:val="18"/>
                <w:lang w:val="de-DE"/>
              </w:rPr>
              <w:t>Matching</w:t>
            </w:r>
            <w:proofErr w:type="spellEnd"/>
            <w:r>
              <w:rPr>
                <w:rFonts w:cs="Arial"/>
                <w:sz w:val="16"/>
                <w:szCs w:val="18"/>
                <w:lang w:val="de-DE"/>
              </w:rPr>
              <w:t>-Techniken für I.10, I.11–1 und je nach Datenverfügbarkeit für I.11–2</w:t>
            </w:r>
            <w:r>
              <w:rPr>
                <w:rFonts w:cs="Arial"/>
                <w:sz w:val="16"/>
                <w:szCs w:val="18"/>
                <w:lang w:val="de-DE"/>
              </w:rPr>
              <w:br/>
              <w:t>Simulation einer „Fallstudie“ Flussgebietseinheit (RBD) oder deren Untereinheit nur für I.11–2</w:t>
            </w:r>
          </w:p>
        </w:tc>
        <w:tc>
          <w:tcPr>
            <w:tcW w:w="1701" w:type="dxa"/>
            <w:vMerge w:val="restart"/>
            <w:vAlign w:val="center"/>
            <w:hideMark/>
          </w:tcPr>
          <w:p w:rsidR="00B3609C" w:rsidRDefault="00882296">
            <w:pPr>
              <w:pStyle w:val="HStandard"/>
              <w:spacing w:line="240" w:lineRule="auto"/>
              <w:jc w:val="center"/>
              <w:rPr>
                <w:rFonts w:cs="Arial"/>
                <w:sz w:val="16"/>
                <w:szCs w:val="18"/>
                <w:lang w:val="de-DE"/>
              </w:rPr>
            </w:pPr>
            <w:r>
              <w:rPr>
                <w:rFonts w:cs="Arial"/>
                <w:sz w:val="16"/>
                <w:szCs w:val="18"/>
                <w:lang w:val="de-DE"/>
              </w:rPr>
              <w:t xml:space="preserve">Allgemeines </w:t>
            </w:r>
            <w:proofErr w:type="spellStart"/>
            <w:r>
              <w:rPr>
                <w:rFonts w:cs="Arial"/>
                <w:sz w:val="16"/>
                <w:szCs w:val="18"/>
                <w:lang w:val="de-DE"/>
              </w:rPr>
              <w:t>Propensity</w:t>
            </w:r>
            <w:proofErr w:type="spellEnd"/>
            <w:r>
              <w:rPr>
                <w:rFonts w:cs="Arial"/>
                <w:sz w:val="16"/>
                <w:szCs w:val="18"/>
                <w:lang w:val="de-DE"/>
              </w:rPr>
              <w:t xml:space="preserve"> Score </w:t>
            </w:r>
            <w:proofErr w:type="spellStart"/>
            <w:r>
              <w:rPr>
                <w:rFonts w:cs="Arial"/>
                <w:sz w:val="16"/>
                <w:szCs w:val="18"/>
                <w:lang w:val="de-DE"/>
              </w:rPr>
              <w:t>Matching</w:t>
            </w:r>
            <w:proofErr w:type="spellEnd"/>
            <w:r>
              <w:rPr>
                <w:rFonts w:cs="Arial"/>
                <w:sz w:val="16"/>
                <w:szCs w:val="18"/>
                <w:lang w:val="de-DE"/>
              </w:rPr>
              <w:t xml:space="preserve"> (GPSM) </w:t>
            </w:r>
            <w:r>
              <w:rPr>
                <w:rFonts w:cs="Arial"/>
                <w:sz w:val="16"/>
                <w:szCs w:val="18"/>
                <w:lang w:val="de-DE"/>
              </w:rPr>
              <w:br/>
            </w:r>
            <w:r>
              <w:rPr>
                <w:rFonts w:cs="Arial"/>
                <w:sz w:val="16"/>
                <w:szCs w:val="18"/>
                <w:lang w:val="de-DE"/>
              </w:rPr>
              <w:br/>
              <w:t>Räumlich-ökonometrische Methoden</w:t>
            </w:r>
          </w:p>
        </w:tc>
        <w:tc>
          <w:tcPr>
            <w:tcW w:w="1701" w:type="dxa"/>
            <w:vMerge w:val="restart"/>
            <w:vAlign w:val="center"/>
            <w:hideMark/>
          </w:tcPr>
          <w:p w:rsidR="00B3609C" w:rsidRDefault="00882296">
            <w:pPr>
              <w:pStyle w:val="HStandard"/>
              <w:spacing w:line="240" w:lineRule="auto"/>
              <w:jc w:val="center"/>
              <w:rPr>
                <w:rFonts w:cs="Arial"/>
                <w:sz w:val="16"/>
                <w:szCs w:val="18"/>
                <w:lang w:val="de-DE"/>
              </w:rPr>
            </w:pPr>
            <w:r>
              <w:rPr>
                <w:rFonts w:cs="Arial"/>
                <w:sz w:val="16"/>
                <w:szCs w:val="18"/>
                <w:lang w:val="de-DE"/>
              </w:rPr>
              <w:t>Qualitative Methoden</w:t>
            </w:r>
          </w:p>
        </w:tc>
        <w:tc>
          <w:tcPr>
            <w:tcW w:w="1701" w:type="dxa"/>
            <w:vMerge w:val="restart"/>
            <w:vAlign w:val="center"/>
          </w:tcPr>
          <w:p w:rsidR="00B3609C" w:rsidRDefault="00882296">
            <w:pPr>
              <w:pStyle w:val="HStandard"/>
              <w:spacing w:line="240" w:lineRule="auto"/>
              <w:jc w:val="center"/>
              <w:rPr>
                <w:rFonts w:cs="Arial"/>
                <w:sz w:val="16"/>
                <w:szCs w:val="18"/>
                <w:lang w:val="de-DE"/>
              </w:rPr>
            </w:pPr>
            <w:r>
              <w:rPr>
                <w:rFonts w:cs="Arial"/>
                <w:sz w:val="16"/>
                <w:szCs w:val="18"/>
                <w:lang w:val="de-DE"/>
              </w:rPr>
              <w:t>Vergleiche naiver Gruppen, unterstützt durch qualitative Methoden</w:t>
            </w:r>
          </w:p>
        </w:tc>
      </w:tr>
      <w:tr w:rsidR="00B3609C">
        <w:trPr>
          <w:trHeight w:val="984"/>
        </w:trPr>
        <w:tc>
          <w:tcPr>
            <w:tcW w:w="988" w:type="dxa"/>
            <w:tcBorders>
              <w:right w:val="nil"/>
            </w:tcBorders>
            <w:hideMark/>
          </w:tcPr>
          <w:p w:rsidR="00B3609C" w:rsidRDefault="00882296">
            <w:pPr>
              <w:pStyle w:val="HStandard"/>
              <w:jc w:val="center"/>
              <w:rPr>
                <w:b/>
                <w:bCs/>
                <w:color w:val="57825E" w:themeColor="accent4"/>
                <w:lang w:val="de-DE"/>
              </w:rPr>
            </w:pPr>
            <w:r>
              <w:rPr>
                <w:noProof/>
                <w:color w:val="57825E" w:themeColor="accent4"/>
                <w:lang w:eastAsia="en-GB"/>
              </w:rPr>
              <w:drawing>
                <wp:anchor distT="0" distB="0" distL="114300" distR="114300" simplePos="0" relativeHeight="251721216" behindDoc="1" locked="0" layoutInCell="1" allowOverlap="1" wp14:anchorId="433AB9E5" wp14:editId="3EFA607B">
                  <wp:simplePos x="0" y="0"/>
                  <wp:positionH relativeFrom="column">
                    <wp:posOffset>60960</wp:posOffset>
                  </wp:positionH>
                  <wp:positionV relativeFrom="paragraph">
                    <wp:posOffset>213360</wp:posOffset>
                  </wp:positionV>
                  <wp:extent cx="489585" cy="489585"/>
                  <wp:effectExtent l="0" t="0" r="5715" b="5715"/>
                  <wp:wrapTight wrapText="bothSides">
                    <wp:wrapPolygon edited="0">
                      <wp:start x="5043" y="0"/>
                      <wp:lineTo x="0" y="3362"/>
                      <wp:lineTo x="0" y="17650"/>
                      <wp:lineTo x="5043" y="21012"/>
                      <wp:lineTo x="15969" y="21012"/>
                      <wp:lineTo x="21012" y="17650"/>
                      <wp:lineTo x="21012" y="3362"/>
                      <wp:lineTo x="15969" y="0"/>
                      <wp:lineTo x="5043" y="0"/>
                    </wp:wrapPolygon>
                  </wp:wrapTight>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I.11.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bCs/>
                <w:color w:val="57825E" w:themeColor="accent4"/>
                <w:lang w:val="de-DE"/>
              </w:rPr>
              <w:t>I.11</w:t>
            </w:r>
          </w:p>
        </w:tc>
        <w:tc>
          <w:tcPr>
            <w:tcW w:w="1417" w:type="dxa"/>
            <w:tcBorders>
              <w:left w:val="nil"/>
            </w:tcBorders>
            <w:vAlign w:val="center"/>
            <w:hideMark/>
          </w:tcPr>
          <w:p w:rsidR="00B3609C" w:rsidRDefault="00882296">
            <w:pPr>
              <w:pStyle w:val="HStandard"/>
              <w:jc w:val="left"/>
              <w:rPr>
                <w:rFonts w:cs="Arial"/>
                <w:b/>
                <w:color w:val="57825E" w:themeColor="accent4"/>
                <w:sz w:val="16"/>
                <w:szCs w:val="18"/>
                <w:lang w:val="de-DE"/>
              </w:rPr>
            </w:pPr>
            <w:r>
              <w:rPr>
                <w:rFonts w:cs="Arial"/>
                <w:b/>
                <w:bCs/>
                <w:color w:val="57825E" w:themeColor="accent4"/>
                <w:sz w:val="16"/>
                <w:szCs w:val="18"/>
                <w:lang w:val="de-DE"/>
              </w:rPr>
              <w:t xml:space="preserve">Wasserqualität </w:t>
            </w:r>
          </w:p>
        </w:tc>
        <w:tc>
          <w:tcPr>
            <w:tcW w:w="1701" w:type="dxa"/>
            <w:vMerge/>
            <w:hideMark/>
          </w:tcPr>
          <w:p w:rsidR="00B3609C" w:rsidRDefault="00B3609C">
            <w:pPr>
              <w:pStyle w:val="HStandard"/>
              <w:spacing w:line="240" w:lineRule="auto"/>
              <w:jc w:val="center"/>
              <w:rPr>
                <w:rFonts w:cs="Arial"/>
                <w:sz w:val="16"/>
                <w:szCs w:val="18"/>
                <w:lang w:val="de-DE"/>
              </w:rPr>
            </w:pPr>
          </w:p>
        </w:tc>
        <w:tc>
          <w:tcPr>
            <w:tcW w:w="1701" w:type="dxa"/>
            <w:vMerge/>
            <w:hideMark/>
          </w:tcPr>
          <w:p w:rsidR="00B3609C" w:rsidRDefault="00B3609C">
            <w:pPr>
              <w:pStyle w:val="HStandard"/>
              <w:spacing w:line="240" w:lineRule="auto"/>
              <w:jc w:val="center"/>
              <w:rPr>
                <w:rFonts w:cs="Arial"/>
                <w:sz w:val="16"/>
                <w:szCs w:val="18"/>
                <w:lang w:val="de-DE"/>
              </w:rPr>
            </w:pPr>
          </w:p>
        </w:tc>
        <w:tc>
          <w:tcPr>
            <w:tcW w:w="1701" w:type="dxa"/>
            <w:vMerge/>
            <w:hideMark/>
          </w:tcPr>
          <w:p w:rsidR="00B3609C" w:rsidRDefault="00B3609C">
            <w:pPr>
              <w:pStyle w:val="HStandard"/>
              <w:spacing w:line="240" w:lineRule="auto"/>
              <w:jc w:val="center"/>
              <w:rPr>
                <w:rFonts w:cs="Arial"/>
                <w:sz w:val="16"/>
                <w:szCs w:val="18"/>
                <w:lang w:val="de-DE"/>
              </w:rPr>
            </w:pPr>
          </w:p>
        </w:tc>
        <w:tc>
          <w:tcPr>
            <w:tcW w:w="1701" w:type="dxa"/>
            <w:vMerge/>
          </w:tcPr>
          <w:p w:rsidR="00B3609C" w:rsidRDefault="00B3609C">
            <w:pPr>
              <w:pStyle w:val="HStandard"/>
              <w:spacing w:line="240" w:lineRule="auto"/>
              <w:jc w:val="center"/>
              <w:rPr>
                <w:rFonts w:cs="Arial"/>
                <w:sz w:val="16"/>
                <w:szCs w:val="18"/>
                <w:lang w:val="de-DE"/>
              </w:rPr>
            </w:pPr>
          </w:p>
        </w:tc>
      </w:tr>
      <w:tr w:rsidR="00B3609C" w:rsidRPr="00C419A5">
        <w:trPr>
          <w:trHeight w:val="1214"/>
        </w:trPr>
        <w:tc>
          <w:tcPr>
            <w:tcW w:w="988" w:type="dxa"/>
            <w:tcBorders>
              <w:right w:val="nil"/>
            </w:tcBorders>
            <w:hideMark/>
          </w:tcPr>
          <w:p w:rsidR="00B3609C" w:rsidRDefault="00882296">
            <w:pPr>
              <w:pStyle w:val="HStandard"/>
              <w:jc w:val="center"/>
              <w:rPr>
                <w:b/>
                <w:bCs/>
                <w:color w:val="57825E" w:themeColor="accent4"/>
                <w:lang w:val="de-DE"/>
              </w:rPr>
            </w:pPr>
            <w:r>
              <w:rPr>
                <w:noProof/>
                <w:color w:val="57825E" w:themeColor="accent4"/>
                <w:lang w:eastAsia="en-GB"/>
              </w:rPr>
              <w:drawing>
                <wp:anchor distT="0" distB="0" distL="114300" distR="114300" simplePos="0" relativeHeight="251715072" behindDoc="1" locked="0" layoutInCell="1" allowOverlap="1" wp14:anchorId="265423CE" wp14:editId="04EE5681">
                  <wp:simplePos x="0" y="0"/>
                  <wp:positionH relativeFrom="column">
                    <wp:posOffset>33944</wp:posOffset>
                  </wp:positionH>
                  <wp:positionV relativeFrom="paragraph">
                    <wp:posOffset>247650</wp:posOffset>
                  </wp:positionV>
                  <wp:extent cx="489585" cy="489585"/>
                  <wp:effectExtent l="0" t="0" r="5715" b="5715"/>
                  <wp:wrapTight wrapText="bothSides">
                    <wp:wrapPolygon edited="0">
                      <wp:start x="4202" y="0"/>
                      <wp:lineTo x="0" y="840"/>
                      <wp:lineTo x="0" y="21012"/>
                      <wp:lineTo x="21012" y="21012"/>
                      <wp:lineTo x="21012" y="840"/>
                      <wp:lineTo x="16809" y="0"/>
                      <wp:lineTo x="4202"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12.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bCs/>
                <w:color w:val="57825E" w:themeColor="accent4"/>
                <w:lang w:val="de-DE"/>
              </w:rPr>
              <w:t>I.12</w:t>
            </w:r>
          </w:p>
        </w:tc>
        <w:tc>
          <w:tcPr>
            <w:tcW w:w="1417" w:type="dxa"/>
            <w:tcBorders>
              <w:left w:val="nil"/>
            </w:tcBorders>
            <w:vAlign w:val="center"/>
            <w:hideMark/>
          </w:tcPr>
          <w:p w:rsidR="00B3609C" w:rsidRDefault="00882296">
            <w:pPr>
              <w:pStyle w:val="HStandard"/>
              <w:jc w:val="left"/>
              <w:rPr>
                <w:rFonts w:cs="Arial"/>
                <w:b/>
                <w:color w:val="57825E" w:themeColor="accent4"/>
                <w:sz w:val="16"/>
                <w:szCs w:val="18"/>
                <w:lang w:val="de-DE"/>
              </w:rPr>
            </w:pPr>
            <w:r>
              <w:rPr>
                <w:rFonts w:cs="Arial"/>
                <w:b/>
                <w:bCs/>
                <w:color w:val="57825E" w:themeColor="accent4"/>
                <w:sz w:val="16"/>
                <w:szCs w:val="18"/>
                <w:lang w:val="de-DE"/>
              </w:rPr>
              <w:t xml:space="preserve">Gehalt des Bodens an organischer Substanz in Ackerland </w:t>
            </w:r>
          </w:p>
        </w:tc>
        <w:tc>
          <w:tcPr>
            <w:tcW w:w="1701" w:type="dxa"/>
            <w:vAlign w:val="center"/>
            <w:hideMark/>
          </w:tcPr>
          <w:p w:rsidR="00B3609C" w:rsidRDefault="00882296">
            <w:pPr>
              <w:pStyle w:val="HStandard"/>
              <w:spacing w:line="240" w:lineRule="auto"/>
              <w:jc w:val="center"/>
              <w:rPr>
                <w:rFonts w:cs="Arial"/>
                <w:sz w:val="16"/>
                <w:szCs w:val="18"/>
                <w:lang w:val="de-DE"/>
              </w:rPr>
            </w:pPr>
            <w:r>
              <w:rPr>
                <w:rFonts w:cs="Arial"/>
                <w:sz w:val="16"/>
                <w:szCs w:val="18"/>
                <w:lang w:val="de-DE"/>
              </w:rPr>
              <w:t>Bewertung des organischen Materials im Boden (SOM) in einer Bodentiefe von 0–60 cm</w:t>
            </w:r>
          </w:p>
        </w:tc>
        <w:tc>
          <w:tcPr>
            <w:tcW w:w="1701" w:type="dxa"/>
            <w:vAlign w:val="center"/>
            <w:hideMark/>
          </w:tcPr>
          <w:p w:rsidR="00B3609C" w:rsidRDefault="00882296">
            <w:pPr>
              <w:pStyle w:val="HStandard"/>
              <w:spacing w:line="240" w:lineRule="auto"/>
              <w:jc w:val="center"/>
              <w:rPr>
                <w:rFonts w:cs="Arial"/>
                <w:sz w:val="16"/>
                <w:szCs w:val="18"/>
                <w:lang w:val="de-DE"/>
              </w:rPr>
            </w:pPr>
            <w:r>
              <w:rPr>
                <w:rFonts w:cs="Arial"/>
                <w:sz w:val="16"/>
                <w:szCs w:val="18"/>
                <w:lang w:val="de-DE"/>
              </w:rPr>
              <w:t>keine</w:t>
            </w:r>
          </w:p>
        </w:tc>
        <w:tc>
          <w:tcPr>
            <w:tcW w:w="1701" w:type="dxa"/>
            <w:vAlign w:val="center"/>
            <w:hideMark/>
          </w:tcPr>
          <w:p w:rsidR="00B3609C" w:rsidRDefault="00882296">
            <w:pPr>
              <w:pStyle w:val="HStandard"/>
              <w:spacing w:line="240" w:lineRule="auto"/>
              <w:jc w:val="center"/>
              <w:rPr>
                <w:rFonts w:cs="Arial"/>
                <w:sz w:val="16"/>
                <w:szCs w:val="18"/>
                <w:lang w:val="de-DE"/>
              </w:rPr>
            </w:pPr>
            <w:r>
              <w:rPr>
                <w:rFonts w:cs="Arial"/>
                <w:sz w:val="16"/>
                <w:szCs w:val="18"/>
                <w:lang w:val="de-DE"/>
              </w:rPr>
              <w:t>SOM-Bewertung</w:t>
            </w:r>
            <w:r>
              <w:rPr>
                <w:rFonts w:cs="Arial"/>
                <w:sz w:val="16"/>
                <w:szCs w:val="18"/>
                <w:lang w:val="de-DE"/>
              </w:rPr>
              <w:br/>
              <w:t>auf der Grundlage vereinfachter Bodenüberwachungsprogramme</w:t>
            </w:r>
          </w:p>
        </w:tc>
        <w:tc>
          <w:tcPr>
            <w:tcW w:w="1701" w:type="dxa"/>
            <w:vAlign w:val="center"/>
            <w:hideMark/>
          </w:tcPr>
          <w:p w:rsidR="00B3609C" w:rsidRDefault="00882296">
            <w:pPr>
              <w:pStyle w:val="HStandard"/>
              <w:spacing w:line="240" w:lineRule="auto"/>
              <w:jc w:val="center"/>
              <w:rPr>
                <w:rFonts w:cs="Arial"/>
                <w:sz w:val="16"/>
                <w:szCs w:val="18"/>
                <w:lang w:val="de-DE"/>
              </w:rPr>
            </w:pPr>
            <w:r>
              <w:rPr>
                <w:rFonts w:cs="Arial"/>
                <w:sz w:val="16"/>
                <w:szCs w:val="18"/>
                <w:lang w:val="de-DE"/>
              </w:rPr>
              <w:t>SOM-Bewertung</w:t>
            </w:r>
            <w:r>
              <w:rPr>
                <w:rFonts w:cs="Arial"/>
                <w:sz w:val="16"/>
                <w:szCs w:val="18"/>
                <w:lang w:val="de-DE"/>
              </w:rPr>
              <w:br/>
              <w:t>auf der Grundlage der LUCAS-Datenbank</w:t>
            </w:r>
          </w:p>
        </w:tc>
      </w:tr>
      <w:tr w:rsidR="00B3609C" w:rsidRPr="00C419A5">
        <w:trPr>
          <w:trHeight w:val="43"/>
        </w:trPr>
        <w:tc>
          <w:tcPr>
            <w:tcW w:w="988" w:type="dxa"/>
            <w:tcBorders>
              <w:right w:val="nil"/>
            </w:tcBorders>
            <w:hideMark/>
          </w:tcPr>
          <w:p w:rsidR="00B3609C" w:rsidRDefault="00882296">
            <w:pPr>
              <w:pStyle w:val="HStandard"/>
              <w:jc w:val="center"/>
              <w:rPr>
                <w:b/>
                <w:bCs/>
                <w:color w:val="57825E" w:themeColor="accent4"/>
                <w:lang w:val="de-DE"/>
              </w:rPr>
            </w:pPr>
            <w:r>
              <w:rPr>
                <w:noProof/>
                <w:color w:val="57825E" w:themeColor="accent4"/>
                <w:lang w:eastAsia="en-GB"/>
              </w:rPr>
              <w:lastRenderedPageBreak/>
              <w:drawing>
                <wp:anchor distT="0" distB="0" distL="114300" distR="114300" simplePos="0" relativeHeight="251716096" behindDoc="1" locked="0" layoutInCell="1" allowOverlap="1" wp14:anchorId="2B8C346A" wp14:editId="3CC37DBC">
                  <wp:simplePos x="0" y="0"/>
                  <wp:positionH relativeFrom="column">
                    <wp:posOffset>62881</wp:posOffset>
                  </wp:positionH>
                  <wp:positionV relativeFrom="paragraph">
                    <wp:posOffset>198321</wp:posOffset>
                  </wp:positionV>
                  <wp:extent cx="489585" cy="489585"/>
                  <wp:effectExtent l="0" t="0" r="5715" b="5715"/>
                  <wp:wrapTight wrapText="bothSides">
                    <wp:wrapPolygon edited="0">
                      <wp:start x="4202" y="0"/>
                      <wp:lineTo x="0" y="0"/>
                      <wp:lineTo x="0" y="21012"/>
                      <wp:lineTo x="21012" y="21012"/>
                      <wp:lineTo x="21012" y="12607"/>
                      <wp:lineTo x="15969" y="0"/>
                      <wp:lineTo x="4202"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13.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bCs/>
                <w:color w:val="57825E" w:themeColor="accent4"/>
                <w:lang w:val="de-DE"/>
              </w:rPr>
              <w:t>I.13</w:t>
            </w:r>
          </w:p>
        </w:tc>
        <w:tc>
          <w:tcPr>
            <w:tcW w:w="1417" w:type="dxa"/>
            <w:tcBorders>
              <w:left w:val="nil"/>
            </w:tcBorders>
            <w:vAlign w:val="center"/>
            <w:hideMark/>
          </w:tcPr>
          <w:p w:rsidR="00B3609C" w:rsidRDefault="00882296">
            <w:pPr>
              <w:pStyle w:val="HStandard"/>
              <w:jc w:val="left"/>
              <w:rPr>
                <w:rFonts w:cs="Arial"/>
                <w:b/>
                <w:color w:val="57825E" w:themeColor="accent4"/>
                <w:sz w:val="16"/>
                <w:szCs w:val="18"/>
                <w:lang w:val="de-DE"/>
              </w:rPr>
            </w:pPr>
            <w:r>
              <w:rPr>
                <w:rFonts w:cs="Arial"/>
                <w:b/>
                <w:bCs/>
                <w:color w:val="57825E" w:themeColor="accent4"/>
                <w:sz w:val="16"/>
                <w:szCs w:val="18"/>
                <w:lang w:val="de-DE"/>
              </w:rPr>
              <w:t>Wasserbedingte Bodenerosion</w:t>
            </w:r>
          </w:p>
        </w:tc>
        <w:tc>
          <w:tcPr>
            <w:tcW w:w="1701" w:type="dxa"/>
            <w:vAlign w:val="center"/>
            <w:hideMark/>
          </w:tcPr>
          <w:p w:rsidR="00B3609C" w:rsidRDefault="00882296">
            <w:pPr>
              <w:pStyle w:val="NormalWeb"/>
              <w:jc w:val="center"/>
              <w:rPr>
                <w:rFonts w:ascii="Arial" w:hAnsi="Arial" w:cs="Arial"/>
                <w:color w:val="373737" w:themeColor="text1"/>
                <w:sz w:val="16"/>
                <w:szCs w:val="18"/>
                <w:lang w:val="de-DE"/>
              </w:rPr>
            </w:pPr>
            <w:r>
              <w:rPr>
                <w:rFonts w:ascii="Arial" w:hAnsi="Arial" w:cs="Arial"/>
                <w:color w:val="373737" w:themeColor="text1"/>
                <w:sz w:val="16"/>
                <w:szCs w:val="18"/>
                <w:lang w:val="de-DE"/>
              </w:rPr>
              <w:t>Auf Statistiken basierende Bewertungstechniken</w:t>
            </w:r>
          </w:p>
        </w:tc>
        <w:tc>
          <w:tcPr>
            <w:tcW w:w="1701" w:type="dxa"/>
            <w:vAlign w:val="center"/>
            <w:hideMark/>
          </w:tcPr>
          <w:p w:rsidR="00B3609C" w:rsidRDefault="00882296">
            <w:pPr>
              <w:pStyle w:val="HStandard"/>
              <w:spacing w:line="240" w:lineRule="auto"/>
              <w:jc w:val="center"/>
              <w:rPr>
                <w:rFonts w:cs="Arial"/>
                <w:sz w:val="16"/>
                <w:szCs w:val="18"/>
                <w:lang w:val="de-DE"/>
              </w:rPr>
            </w:pPr>
            <w:r>
              <w:rPr>
                <w:rFonts w:cs="Arial"/>
                <w:sz w:val="16"/>
                <w:szCs w:val="18"/>
                <w:lang w:val="de-DE"/>
              </w:rPr>
              <w:t xml:space="preserve">Räumlich-ökonometrische GPSM-Methode, unterstützt von </w:t>
            </w:r>
            <w:proofErr w:type="spellStart"/>
            <w:r>
              <w:rPr>
                <w:rFonts w:cs="Arial"/>
                <w:sz w:val="16"/>
                <w:szCs w:val="18"/>
                <w:lang w:val="de-DE"/>
              </w:rPr>
              <w:t>DiD</w:t>
            </w:r>
            <w:proofErr w:type="spellEnd"/>
          </w:p>
        </w:tc>
        <w:tc>
          <w:tcPr>
            <w:tcW w:w="1701" w:type="dxa"/>
            <w:vAlign w:val="center"/>
            <w:hideMark/>
          </w:tcPr>
          <w:p w:rsidR="00B3609C" w:rsidRDefault="00882296">
            <w:pPr>
              <w:pStyle w:val="HStandard"/>
              <w:spacing w:line="240" w:lineRule="auto"/>
              <w:jc w:val="center"/>
              <w:rPr>
                <w:rFonts w:cs="Arial"/>
                <w:sz w:val="16"/>
                <w:szCs w:val="18"/>
                <w:lang w:val="de-DE"/>
              </w:rPr>
            </w:pPr>
            <w:r>
              <w:rPr>
                <w:rFonts w:cs="Arial"/>
                <w:sz w:val="16"/>
                <w:szCs w:val="18"/>
                <w:lang w:val="de-DE"/>
              </w:rPr>
              <w:t>Naive Ausgangsbasis oder dynamische Gruppenvergleiche</w:t>
            </w:r>
          </w:p>
        </w:tc>
        <w:tc>
          <w:tcPr>
            <w:tcW w:w="1701" w:type="dxa"/>
            <w:vAlign w:val="center"/>
            <w:hideMark/>
          </w:tcPr>
          <w:p w:rsidR="00B3609C" w:rsidRDefault="00882296">
            <w:pPr>
              <w:pStyle w:val="HStandard"/>
              <w:spacing w:line="240" w:lineRule="auto"/>
              <w:jc w:val="center"/>
              <w:rPr>
                <w:rFonts w:cs="Arial"/>
                <w:sz w:val="16"/>
                <w:szCs w:val="18"/>
                <w:lang w:val="de-DE"/>
              </w:rPr>
            </w:pPr>
            <w:r>
              <w:rPr>
                <w:rFonts w:cs="Arial"/>
                <w:sz w:val="16"/>
                <w:szCs w:val="18"/>
                <w:lang w:val="de-DE"/>
              </w:rPr>
              <w:t>Quantitative naive Bewertung zwischen Raumeinheiten und einem nationalen Durchschnitt</w:t>
            </w:r>
          </w:p>
          <w:p w:rsidR="00B3609C" w:rsidRDefault="00B3609C">
            <w:pPr>
              <w:pStyle w:val="HStandard"/>
              <w:spacing w:line="240" w:lineRule="auto"/>
              <w:jc w:val="center"/>
              <w:rPr>
                <w:rFonts w:cs="Arial"/>
                <w:sz w:val="16"/>
                <w:szCs w:val="18"/>
                <w:lang w:val="de-DE"/>
              </w:rPr>
            </w:pPr>
          </w:p>
        </w:tc>
      </w:tr>
      <w:tr w:rsidR="00B3609C">
        <w:trPr>
          <w:trHeight w:val="255"/>
        </w:trPr>
        <w:tc>
          <w:tcPr>
            <w:tcW w:w="9209" w:type="dxa"/>
            <w:gridSpan w:val="6"/>
            <w:tcBorders>
              <w:top w:val="single" w:sz="4" w:space="0" w:color="FFFFFF" w:themeColor="background1"/>
            </w:tcBorders>
            <w:shd w:val="clear" w:color="auto" w:fill="59638E" w:themeFill="accent3"/>
            <w:hideMark/>
          </w:tcPr>
          <w:p w:rsidR="00B3609C" w:rsidRDefault="00882296">
            <w:pPr>
              <w:pStyle w:val="HStandard"/>
              <w:spacing w:line="240" w:lineRule="auto"/>
              <w:rPr>
                <w:bCs/>
                <w:color w:val="FFFFFF" w:themeColor="background1"/>
                <w:sz w:val="16"/>
                <w:lang w:val="de-DE"/>
              </w:rPr>
            </w:pPr>
            <w:r>
              <w:rPr>
                <w:color w:val="FFFFFF" w:themeColor="background1"/>
                <w:sz w:val="16"/>
                <w:lang w:val="de-DE"/>
              </w:rPr>
              <w:t>Sozioökonomische Auswirkungen</w:t>
            </w:r>
          </w:p>
        </w:tc>
      </w:tr>
      <w:tr w:rsidR="00B3609C" w:rsidRPr="00C419A5">
        <w:trPr>
          <w:trHeight w:val="1189"/>
        </w:trPr>
        <w:tc>
          <w:tcPr>
            <w:tcW w:w="988" w:type="dxa"/>
            <w:tcBorders>
              <w:right w:val="nil"/>
            </w:tcBorders>
            <w:hideMark/>
          </w:tcPr>
          <w:p w:rsidR="00B3609C" w:rsidRDefault="00882296">
            <w:pPr>
              <w:pStyle w:val="HStandard"/>
              <w:jc w:val="center"/>
              <w:rPr>
                <w:b/>
                <w:bCs/>
                <w:color w:val="59638E" w:themeColor="accent3"/>
                <w:lang w:val="de-DE"/>
              </w:rPr>
            </w:pPr>
            <w:r>
              <w:rPr>
                <w:noProof/>
                <w:color w:val="59638E" w:themeColor="accent3"/>
                <w:lang w:eastAsia="en-GB"/>
              </w:rPr>
              <w:drawing>
                <wp:anchor distT="0" distB="0" distL="114300" distR="114300" simplePos="0" relativeHeight="251717120" behindDoc="1" locked="0" layoutInCell="1" allowOverlap="1" wp14:anchorId="39A1CA81" wp14:editId="0EE28624">
                  <wp:simplePos x="0" y="0"/>
                  <wp:positionH relativeFrom="column">
                    <wp:posOffset>11414</wp:posOffset>
                  </wp:positionH>
                  <wp:positionV relativeFrom="paragraph">
                    <wp:posOffset>184351</wp:posOffset>
                  </wp:positionV>
                  <wp:extent cx="489585" cy="489585"/>
                  <wp:effectExtent l="0" t="0" r="5715" b="5715"/>
                  <wp:wrapTight wrapText="bothSides">
                    <wp:wrapPolygon edited="0">
                      <wp:start x="2521" y="0"/>
                      <wp:lineTo x="0" y="7564"/>
                      <wp:lineTo x="0" y="21012"/>
                      <wp:lineTo x="20171" y="21012"/>
                      <wp:lineTo x="21012" y="15969"/>
                      <wp:lineTo x="21012" y="13447"/>
                      <wp:lineTo x="9245" y="0"/>
                      <wp:lineTo x="2521" y="0"/>
                    </wp:wrapPolygon>
                  </wp:wrapTight>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14.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bCs/>
                <w:color w:val="59638E" w:themeColor="accent3"/>
                <w:lang w:val="de-DE"/>
              </w:rPr>
              <w:t>I.14</w:t>
            </w:r>
          </w:p>
        </w:tc>
        <w:tc>
          <w:tcPr>
            <w:tcW w:w="1417" w:type="dxa"/>
            <w:tcBorders>
              <w:left w:val="nil"/>
            </w:tcBorders>
            <w:vAlign w:val="center"/>
            <w:hideMark/>
          </w:tcPr>
          <w:p w:rsidR="00B3609C" w:rsidRDefault="00882296">
            <w:pPr>
              <w:pStyle w:val="HStandard"/>
              <w:jc w:val="left"/>
              <w:rPr>
                <w:b/>
                <w:color w:val="59638E" w:themeColor="accent3"/>
                <w:sz w:val="16"/>
                <w:szCs w:val="18"/>
                <w:lang w:val="de-DE"/>
              </w:rPr>
            </w:pPr>
            <w:r>
              <w:rPr>
                <w:b/>
                <w:bCs/>
                <w:color w:val="59638E" w:themeColor="accent3"/>
                <w:sz w:val="16"/>
                <w:szCs w:val="18"/>
                <w:lang w:val="de-DE"/>
              </w:rPr>
              <w:t xml:space="preserve">Beschäftigungsquote in ländlichen Gebieten </w:t>
            </w:r>
          </w:p>
        </w:tc>
        <w:tc>
          <w:tcPr>
            <w:tcW w:w="1701" w:type="dxa"/>
            <w:vMerge w:val="restart"/>
            <w:vAlign w:val="center"/>
            <w:hideMark/>
          </w:tcPr>
          <w:p w:rsidR="00B3609C" w:rsidRDefault="00882296">
            <w:pPr>
              <w:pStyle w:val="HStandard"/>
              <w:spacing w:line="240" w:lineRule="auto"/>
              <w:jc w:val="center"/>
              <w:rPr>
                <w:sz w:val="16"/>
                <w:szCs w:val="18"/>
                <w:lang w:val="de-DE"/>
              </w:rPr>
            </w:pPr>
            <w:r>
              <w:rPr>
                <w:sz w:val="16"/>
                <w:szCs w:val="18"/>
                <w:lang w:val="de-DE"/>
              </w:rPr>
              <w:t>keine</w:t>
            </w:r>
          </w:p>
        </w:tc>
        <w:tc>
          <w:tcPr>
            <w:tcW w:w="1701" w:type="dxa"/>
            <w:vMerge w:val="restart"/>
            <w:vAlign w:val="center"/>
            <w:hideMark/>
          </w:tcPr>
          <w:p w:rsidR="00B3609C" w:rsidRDefault="00882296">
            <w:pPr>
              <w:pStyle w:val="HStandard"/>
              <w:spacing w:line="240" w:lineRule="auto"/>
              <w:jc w:val="center"/>
              <w:rPr>
                <w:sz w:val="16"/>
                <w:szCs w:val="18"/>
                <w:lang w:val="de-DE"/>
              </w:rPr>
            </w:pPr>
            <w:r>
              <w:rPr>
                <w:sz w:val="16"/>
                <w:szCs w:val="18"/>
                <w:lang w:val="de-DE"/>
              </w:rPr>
              <w:t xml:space="preserve">Rekursiv-dynamisches berechenbares allgemeines Gleichgewichtsmodell </w:t>
            </w:r>
            <w:r>
              <w:rPr>
                <w:sz w:val="16"/>
                <w:szCs w:val="18"/>
                <w:lang w:val="de-DE"/>
              </w:rPr>
              <w:br/>
            </w:r>
            <w:r>
              <w:rPr>
                <w:sz w:val="16"/>
                <w:szCs w:val="18"/>
                <w:lang w:val="de-DE"/>
              </w:rPr>
              <w:br/>
            </w:r>
            <w:proofErr w:type="spellStart"/>
            <w:r>
              <w:rPr>
                <w:sz w:val="16"/>
                <w:szCs w:val="18"/>
                <w:lang w:val="de-DE"/>
              </w:rPr>
              <w:t>Propensity</w:t>
            </w:r>
            <w:proofErr w:type="spellEnd"/>
            <w:r>
              <w:rPr>
                <w:sz w:val="16"/>
                <w:szCs w:val="18"/>
                <w:lang w:val="de-DE"/>
              </w:rPr>
              <w:t xml:space="preserve"> Score </w:t>
            </w:r>
            <w:proofErr w:type="spellStart"/>
            <w:r>
              <w:rPr>
                <w:sz w:val="16"/>
                <w:szCs w:val="18"/>
                <w:lang w:val="de-DE"/>
              </w:rPr>
              <w:t>Matching</w:t>
            </w:r>
            <w:proofErr w:type="spellEnd"/>
            <w:r>
              <w:rPr>
                <w:sz w:val="16"/>
                <w:szCs w:val="18"/>
                <w:lang w:val="de-DE"/>
              </w:rPr>
              <w:t xml:space="preserve"> (PSM) und allgemeines </w:t>
            </w:r>
            <w:proofErr w:type="spellStart"/>
            <w:r>
              <w:rPr>
                <w:sz w:val="16"/>
                <w:szCs w:val="18"/>
                <w:lang w:val="de-DE"/>
              </w:rPr>
              <w:t>Propensity</w:t>
            </w:r>
            <w:proofErr w:type="spellEnd"/>
            <w:r>
              <w:rPr>
                <w:sz w:val="16"/>
                <w:szCs w:val="18"/>
                <w:lang w:val="de-DE"/>
              </w:rPr>
              <w:t xml:space="preserve"> Score </w:t>
            </w:r>
            <w:proofErr w:type="spellStart"/>
            <w:r>
              <w:rPr>
                <w:sz w:val="16"/>
                <w:szCs w:val="18"/>
                <w:lang w:val="de-DE"/>
              </w:rPr>
              <w:t>Matching</w:t>
            </w:r>
            <w:proofErr w:type="spellEnd"/>
            <w:r>
              <w:rPr>
                <w:sz w:val="16"/>
                <w:szCs w:val="18"/>
                <w:lang w:val="de-DE"/>
              </w:rPr>
              <w:t xml:space="preserve"> (GPSM)</w:t>
            </w:r>
          </w:p>
        </w:tc>
        <w:tc>
          <w:tcPr>
            <w:tcW w:w="1701" w:type="dxa"/>
            <w:vMerge w:val="restart"/>
            <w:noWrap/>
            <w:vAlign w:val="center"/>
            <w:hideMark/>
          </w:tcPr>
          <w:p w:rsidR="00B3609C" w:rsidRDefault="00882296">
            <w:pPr>
              <w:pStyle w:val="HStandard"/>
              <w:spacing w:line="240" w:lineRule="auto"/>
              <w:jc w:val="center"/>
              <w:rPr>
                <w:sz w:val="16"/>
                <w:szCs w:val="18"/>
                <w:lang w:val="de-DE"/>
              </w:rPr>
            </w:pPr>
            <w:r>
              <w:rPr>
                <w:sz w:val="16"/>
                <w:szCs w:val="18"/>
                <w:lang w:val="de-DE"/>
              </w:rPr>
              <w:t>keine</w:t>
            </w:r>
          </w:p>
        </w:tc>
        <w:tc>
          <w:tcPr>
            <w:tcW w:w="1701" w:type="dxa"/>
            <w:vMerge w:val="restart"/>
            <w:vAlign w:val="center"/>
            <w:hideMark/>
          </w:tcPr>
          <w:p w:rsidR="00B3609C" w:rsidRDefault="00882296">
            <w:pPr>
              <w:pStyle w:val="HStandard"/>
              <w:spacing w:line="240" w:lineRule="auto"/>
              <w:jc w:val="center"/>
              <w:rPr>
                <w:sz w:val="16"/>
                <w:szCs w:val="18"/>
                <w:lang w:val="de-DE"/>
              </w:rPr>
            </w:pPr>
            <w:r>
              <w:rPr>
                <w:sz w:val="16"/>
                <w:szCs w:val="18"/>
                <w:lang w:val="de-DE"/>
              </w:rPr>
              <w:t>Input-Output-Analyse (IO)</w:t>
            </w:r>
          </w:p>
          <w:p w:rsidR="00B3609C" w:rsidRDefault="00882296">
            <w:pPr>
              <w:pStyle w:val="HStandard"/>
              <w:spacing w:line="240" w:lineRule="auto"/>
              <w:jc w:val="center"/>
              <w:rPr>
                <w:sz w:val="16"/>
                <w:szCs w:val="18"/>
                <w:lang w:val="de-DE"/>
              </w:rPr>
            </w:pPr>
            <w:r>
              <w:rPr>
                <w:sz w:val="16"/>
                <w:szCs w:val="18"/>
                <w:lang w:val="de-DE"/>
              </w:rPr>
              <w:t>(unterstützt durch qualitative Analysen)</w:t>
            </w:r>
          </w:p>
        </w:tc>
      </w:tr>
      <w:tr w:rsidR="00B3609C">
        <w:trPr>
          <w:trHeight w:val="1405"/>
        </w:trPr>
        <w:tc>
          <w:tcPr>
            <w:tcW w:w="988" w:type="dxa"/>
            <w:tcBorders>
              <w:right w:val="nil"/>
            </w:tcBorders>
            <w:hideMark/>
          </w:tcPr>
          <w:p w:rsidR="00B3609C" w:rsidRDefault="00882296">
            <w:pPr>
              <w:pStyle w:val="HStandard"/>
              <w:jc w:val="center"/>
              <w:rPr>
                <w:b/>
                <w:bCs/>
                <w:color w:val="59638E" w:themeColor="accent3"/>
                <w:lang w:val="de-DE"/>
              </w:rPr>
            </w:pPr>
            <w:r>
              <w:rPr>
                <w:b/>
                <w:bCs/>
                <w:color w:val="59638E" w:themeColor="accent3"/>
                <w:lang w:val="de-DE"/>
              </w:rPr>
              <w:t>I.15</w:t>
            </w:r>
            <w:r>
              <w:rPr>
                <w:noProof/>
                <w:color w:val="59638E" w:themeColor="accent3"/>
                <w:lang w:eastAsia="en-GB"/>
              </w:rPr>
              <w:drawing>
                <wp:inline distT="0" distB="0" distL="0" distR="0" wp14:anchorId="24ACB22B" wp14:editId="103BF0E5">
                  <wp:extent cx="490220" cy="490220"/>
                  <wp:effectExtent l="0" t="0" r="508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1-feeding_Blue.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90220" cy="490220"/>
                          </a:xfrm>
                          <a:prstGeom prst="rect">
                            <a:avLst/>
                          </a:prstGeom>
                        </pic:spPr>
                      </pic:pic>
                    </a:graphicData>
                  </a:graphic>
                </wp:inline>
              </w:drawing>
            </w:r>
          </w:p>
        </w:tc>
        <w:tc>
          <w:tcPr>
            <w:tcW w:w="1417" w:type="dxa"/>
            <w:tcBorders>
              <w:left w:val="nil"/>
            </w:tcBorders>
            <w:vAlign w:val="center"/>
            <w:hideMark/>
          </w:tcPr>
          <w:p w:rsidR="00B3609C" w:rsidRDefault="00882296">
            <w:pPr>
              <w:pStyle w:val="HStandard"/>
              <w:jc w:val="left"/>
              <w:rPr>
                <w:b/>
                <w:color w:val="59638E" w:themeColor="accent3"/>
                <w:sz w:val="16"/>
                <w:szCs w:val="18"/>
                <w:lang w:val="de-DE"/>
              </w:rPr>
            </w:pPr>
            <w:r>
              <w:rPr>
                <w:b/>
                <w:bCs/>
                <w:color w:val="59638E" w:themeColor="accent3"/>
                <w:sz w:val="16"/>
                <w:szCs w:val="18"/>
                <w:lang w:val="de-DE"/>
              </w:rPr>
              <w:t>Armutsquote in ländlichen Gebieten</w:t>
            </w:r>
          </w:p>
        </w:tc>
        <w:tc>
          <w:tcPr>
            <w:tcW w:w="1701" w:type="dxa"/>
            <w:vMerge/>
            <w:hideMark/>
          </w:tcPr>
          <w:p w:rsidR="00B3609C" w:rsidRDefault="00B3609C">
            <w:pPr>
              <w:pStyle w:val="HStandard"/>
              <w:spacing w:line="240" w:lineRule="atLeast"/>
              <w:rPr>
                <w:sz w:val="16"/>
                <w:lang w:val="de-DE"/>
              </w:rPr>
            </w:pPr>
          </w:p>
        </w:tc>
        <w:tc>
          <w:tcPr>
            <w:tcW w:w="1701" w:type="dxa"/>
            <w:vMerge/>
            <w:hideMark/>
          </w:tcPr>
          <w:p w:rsidR="00B3609C" w:rsidRDefault="00B3609C">
            <w:pPr>
              <w:pStyle w:val="HStandard"/>
              <w:spacing w:line="240" w:lineRule="atLeast"/>
              <w:rPr>
                <w:sz w:val="16"/>
                <w:lang w:val="de-DE"/>
              </w:rPr>
            </w:pPr>
          </w:p>
        </w:tc>
        <w:tc>
          <w:tcPr>
            <w:tcW w:w="1701" w:type="dxa"/>
            <w:vMerge/>
            <w:hideMark/>
          </w:tcPr>
          <w:p w:rsidR="00B3609C" w:rsidRDefault="00B3609C">
            <w:pPr>
              <w:pStyle w:val="HStandard"/>
              <w:spacing w:line="240" w:lineRule="atLeast"/>
              <w:rPr>
                <w:sz w:val="16"/>
                <w:lang w:val="de-DE"/>
              </w:rPr>
            </w:pPr>
          </w:p>
        </w:tc>
        <w:tc>
          <w:tcPr>
            <w:tcW w:w="1701" w:type="dxa"/>
            <w:vMerge/>
            <w:hideMark/>
          </w:tcPr>
          <w:p w:rsidR="00B3609C" w:rsidRDefault="00B3609C">
            <w:pPr>
              <w:pStyle w:val="HStandard"/>
              <w:spacing w:line="240" w:lineRule="atLeast"/>
              <w:rPr>
                <w:sz w:val="16"/>
                <w:lang w:val="de-DE"/>
              </w:rPr>
            </w:pPr>
          </w:p>
        </w:tc>
      </w:tr>
      <w:tr w:rsidR="00B3609C" w:rsidRPr="00C419A5">
        <w:trPr>
          <w:trHeight w:val="1413"/>
        </w:trPr>
        <w:tc>
          <w:tcPr>
            <w:tcW w:w="988" w:type="dxa"/>
            <w:tcBorders>
              <w:right w:val="nil"/>
            </w:tcBorders>
            <w:hideMark/>
          </w:tcPr>
          <w:p w:rsidR="00B3609C" w:rsidRDefault="00882296">
            <w:pPr>
              <w:pStyle w:val="HStandard"/>
              <w:jc w:val="center"/>
              <w:rPr>
                <w:b/>
                <w:bCs/>
                <w:color w:val="59638E" w:themeColor="accent3"/>
                <w:lang w:val="de-DE"/>
              </w:rPr>
            </w:pPr>
            <w:r>
              <w:rPr>
                <w:noProof/>
                <w:color w:val="59638E" w:themeColor="accent3"/>
                <w:lang w:eastAsia="en-GB"/>
              </w:rPr>
              <w:drawing>
                <wp:anchor distT="0" distB="0" distL="114300" distR="114300" simplePos="0" relativeHeight="251719168" behindDoc="1" locked="0" layoutInCell="1" allowOverlap="1" wp14:anchorId="6695296D" wp14:editId="03632932">
                  <wp:simplePos x="0" y="0"/>
                  <wp:positionH relativeFrom="column">
                    <wp:posOffset>63500</wp:posOffset>
                  </wp:positionH>
                  <wp:positionV relativeFrom="paragraph">
                    <wp:posOffset>224139</wp:posOffset>
                  </wp:positionV>
                  <wp:extent cx="489600" cy="489600"/>
                  <wp:effectExtent l="0" t="0" r="5715" b="5715"/>
                  <wp:wrapTight wrapText="bothSides">
                    <wp:wrapPolygon edited="0">
                      <wp:start x="0" y="0"/>
                      <wp:lineTo x="0" y="21012"/>
                      <wp:lineTo x="21012" y="21012"/>
                      <wp:lineTo x="21012" y="0"/>
                      <wp:lineTo x="0" y="0"/>
                    </wp:wrapPolygon>
                  </wp:wrapTight>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007-nail.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anchor>
              </w:drawing>
            </w:r>
            <w:r>
              <w:rPr>
                <w:b/>
                <w:bCs/>
                <w:color w:val="59638E" w:themeColor="accent3"/>
                <w:lang w:val="de-DE"/>
              </w:rPr>
              <w:t>I.16</w:t>
            </w:r>
          </w:p>
        </w:tc>
        <w:tc>
          <w:tcPr>
            <w:tcW w:w="1417" w:type="dxa"/>
            <w:tcBorders>
              <w:left w:val="nil"/>
            </w:tcBorders>
            <w:vAlign w:val="center"/>
            <w:hideMark/>
          </w:tcPr>
          <w:p w:rsidR="00B3609C" w:rsidRDefault="00882296">
            <w:pPr>
              <w:pStyle w:val="HStandard"/>
              <w:jc w:val="left"/>
              <w:rPr>
                <w:b/>
                <w:color w:val="59638E" w:themeColor="accent3"/>
                <w:sz w:val="16"/>
                <w:szCs w:val="18"/>
                <w:lang w:val="de-DE"/>
              </w:rPr>
            </w:pPr>
            <w:r>
              <w:rPr>
                <w:b/>
                <w:bCs/>
                <w:color w:val="59638E" w:themeColor="accent3"/>
                <w:sz w:val="16"/>
                <w:szCs w:val="18"/>
                <w:lang w:val="de-DE"/>
              </w:rPr>
              <w:t xml:space="preserve">BIP pro Kopf in ländlichen Gebieten </w:t>
            </w:r>
          </w:p>
        </w:tc>
        <w:tc>
          <w:tcPr>
            <w:tcW w:w="1701" w:type="dxa"/>
            <w:vMerge/>
            <w:hideMark/>
          </w:tcPr>
          <w:p w:rsidR="00B3609C" w:rsidRDefault="00B3609C">
            <w:pPr>
              <w:pStyle w:val="HStandard"/>
              <w:spacing w:line="240" w:lineRule="atLeast"/>
              <w:rPr>
                <w:sz w:val="16"/>
                <w:lang w:val="de-DE"/>
              </w:rPr>
            </w:pPr>
          </w:p>
        </w:tc>
        <w:tc>
          <w:tcPr>
            <w:tcW w:w="1701" w:type="dxa"/>
            <w:vMerge/>
            <w:hideMark/>
          </w:tcPr>
          <w:p w:rsidR="00B3609C" w:rsidRDefault="00B3609C">
            <w:pPr>
              <w:pStyle w:val="HStandard"/>
              <w:spacing w:line="240" w:lineRule="atLeast"/>
              <w:rPr>
                <w:sz w:val="16"/>
                <w:lang w:val="de-DE"/>
              </w:rPr>
            </w:pPr>
          </w:p>
        </w:tc>
        <w:tc>
          <w:tcPr>
            <w:tcW w:w="1701" w:type="dxa"/>
            <w:vMerge/>
            <w:hideMark/>
          </w:tcPr>
          <w:p w:rsidR="00B3609C" w:rsidRDefault="00B3609C">
            <w:pPr>
              <w:pStyle w:val="HStandard"/>
              <w:spacing w:line="240" w:lineRule="atLeast"/>
              <w:rPr>
                <w:sz w:val="16"/>
                <w:lang w:val="de-DE"/>
              </w:rPr>
            </w:pPr>
          </w:p>
        </w:tc>
        <w:tc>
          <w:tcPr>
            <w:tcW w:w="1701" w:type="dxa"/>
            <w:vMerge/>
            <w:hideMark/>
          </w:tcPr>
          <w:p w:rsidR="00B3609C" w:rsidRDefault="00B3609C">
            <w:pPr>
              <w:pStyle w:val="HStandard"/>
              <w:spacing w:line="240" w:lineRule="atLeast"/>
              <w:rPr>
                <w:sz w:val="16"/>
                <w:lang w:val="de-DE"/>
              </w:rPr>
            </w:pPr>
          </w:p>
        </w:tc>
      </w:tr>
    </w:tbl>
    <w:p w:rsidR="00B3609C" w:rsidRDefault="00B3609C">
      <w:pPr>
        <w:pStyle w:val="HStandard"/>
        <w:rPr>
          <w:rFonts w:cs="Arial"/>
          <w:lang w:val="de-DE"/>
        </w:rPr>
      </w:pPr>
    </w:p>
    <w:p w:rsidR="00B3609C" w:rsidRDefault="00882296">
      <w:pPr>
        <w:pStyle w:val="HStandard"/>
        <w:rPr>
          <w:rFonts w:cs="Arial"/>
          <w:lang w:val="de-DE"/>
        </w:rPr>
      </w:pPr>
      <w:r>
        <w:rPr>
          <w:rFonts w:cs="Arial"/>
          <w:lang w:val="de-DE"/>
        </w:rPr>
        <w:t xml:space="preserve">Die obige Tabelle zeigt für jeden der Wirkungsindikatoren der zweiten Säule der GAP einen Überblick über die empfohlenen Ansätze für die Bewertung auf der Mikro- und der Makroebene, die in denen Kapiteln 2.2 bis 2.9 dieser Leitlinien sowie im </w:t>
      </w:r>
      <w:proofErr w:type="gramStart"/>
      <w:r>
        <w:rPr>
          <w:rFonts w:cs="Arial"/>
          <w:lang w:val="de-DE"/>
        </w:rPr>
        <w:t>Technischen</w:t>
      </w:r>
      <w:proofErr w:type="gramEnd"/>
      <w:r>
        <w:rPr>
          <w:rFonts w:cs="Arial"/>
          <w:lang w:val="de-DE"/>
        </w:rPr>
        <w:t xml:space="preserve"> Anhang weiter beschrieben werden. </w:t>
      </w:r>
    </w:p>
    <w:p w:rsidR="00B3609C" w:rsidRDefault="00B3609C">
      <w:pPr>
        <w:rPr>
          <w:lang w:val="de-DE"/>
        </w:rPr>
      </w:pPr>
    </w:p>
    <w:p w:rsidR="00B3609C" w:rsidRDefault="00882296">
      <w:pPr>
        <w:pStyle w:val="HStandard"/>
        <w:jc w:val="center"/>
        <w:rPr>
          <w:lang w:val="de-DE"/>
        </w:rPr>
      </w:pPr>
      <w:r>
        <w:rPr>
          <w:b/>
          <w:bCs/>
          <w:i/>
          <w:iCs/>
          <w:noProof/>
          <w:color w:val="F07E31" w:themeColor="accent1"/>
          <w:lang w:eastAsia="en-GB"/>
        </w:rPr>
        <mc:AlternateContent>
          <mc:Choice Requires="wps">
            <w:drawing>
              <wp:inline distT="0" distB="0" distL="0" distR="0">
                <wp:extent cx="5819775" cy="2656114"/>
                <wp:effectExtent l="0" t="0" r="28575" b="11430"/>
                <wp:docPr id="11"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9775" cy="2656114"/>
                        </a:xfrm>
                        <a:custGeom>
                          <a:avLst/>
                          <a:gdLst>
                            <a:gd name="T0" fmla="*/ 157545 w 5819775"/>
                            <a:gd name="T1" fmla="*/ 0 h 1804016"/>
                            <a:gd name="T2" fmla="*/ 5819775 w 5819775"/>
                            <a:gd name="T3" fmla="*/ 0 h 1804016"/>
                            <a:gd name="T4" fmla="*/ 5819775 w 5819775"/>
                            <a:gd name="T5" fmla="*/ 0 h 1804016"/>
                            <a:gd name="T6" fmla="*/ 5819775 w 5819775"/>
                            <a:gd name="T7" fmla="*/ 1646471 h 1804016"/>
                            <a:gd name="T8" fmla="*/ 5662230 w 5819775"/>
                            <a:gd name="T9" fmla="*/ 1804016 h 1804016"/>
                            <a:gd name="T10" fmla="*/ 0 w 5819775"/>
                            <a:gd name="T11" fmla="*/ 1804016 h 1804016"/>
                            <a:gd name="T12" fmla="*/ 0 w 5819775"/>
                            <a:gd name="T13" fmla="*/ 1804016 h 1804016"/>
                            <a:gd name="T14" fmla="*/ 0 w 5819775"/>
                            <a:gd name="T15" fmla="*/ 157545 h 1804016"/>
                            <a:gd name="T16" fmla="*/ 157545 w 5819775"/>
                            <a:gd name="T17" fmla="*/ 0 h 18040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819775"/>
                            <a:gd name="T28" fmla="*/ 0 h 1804016"/>
                            <a:gd name="T29" fmla="*/ 5819775 w 5819775"/>
                            <a:gd name="T30" fmla="*/ 1804016 h 180401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819775" h="1804016">
                              <a:moveTo>
                                <a:pt x="157545" y="0"/>
                              </a:moveTo>
                              <a:lnTo>
                                <a:pt x="5819775" y="0"/>
                              </a:lnTo>
                              <a:lnTo>
                                <a:pt x="5819775" y="1646471"/>
                              </a:lnTo>
                              <a:cubicBezTo>
                                <a:pt x="5819775" y="1733481"/>
                                <a:pt x="5749240" y="1804016"/>
                                <a:pt x="5662230" y="1804016"/>
                              </a:cubicBezTo>
                              <a:lnTo>
                                <a:pt x="0" y="1804016"/>
                              </a:lnTo>
                              <a:lnTo>
                                <a:pt x="0" y="157545"/>
                              </a:lnTo>
                              <a:cubicBezTo>
                                <a:pt x="0" y="70535"/>
                                <a:pt x="70535" y="0"/>
                                <a:pt x="157545"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B3609C" w:rsidRDefault="00882296">
                            <w:pPr>
                              <w:pStyle w:val="HHeading4"/>
                              <w:spacing w:before="0"/>
                              <w:jc w:val="both"/>
                              <w:rPr>
                                <w:rFonts w:cs="Arial"/>
                                <w:b w:val="0"/>
                                <w:color w:val="373737" w:themeColor="text1"/>
                                <w:lang w:val="de-DE"/>
                              </w:rPr>
                            </w:pPr>
                            <w:r>
                              <w:rPr>
                                <w:b w:val="0"/>
                                <w:noProof/>
                                <w:color w:val="373737" w:themeColor="text1"/>
                                <w:lang w:eastAsia="en-GB"/>
                              </w:rPr>
                              <w:drawing>
                                <wp:inline distT="0" distB="0" distL="0" distR="0">
                                  <wp:extent cx="664845" cy="487680"/>
                                  <wp:effectExtent l="0" t="0" r="0" b="7620"/>
                                  <wp:docPr id="91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val="0"/>
                                <w:color w:val="373737" w:themeColor="text1"/>
                                <w:lang w:val="de-DE"/>
                              </w:rPr>
                              <w:t xml:space="preserve">Die in den Leitlinien beschriebenen </w:t>
                            </w:r>
                            <w:r>
                              <w:rPr>
                                <w:bCs/>
                                <w:color w:val="373737" w:themeColor="text1"/>
                                <w:lang w:val="de-DE"/>
                              </w:rPr>
                              <w:t>Bewertungsansätze</w:t>
                            </w:r>
                            <w:r>
                              <w:rPr>
                                <w:b w:val="0"/>
                                <w:color w:val="373737" w:themeColor="text1"/>
                                <w:lang w:val="de-DE"/>
                              </w:rPr>
                              <w:t xml:space="preserve"> sind Beispiele für mögliche Optionen; es gibt jedoch auch Alternativen. Die Bewerter können bei der Bewertung der Auswirkungen des Programms zur Entwicklung des ländlichen Raums auch andere Ansätze heranziehen. Dabei sollte berücksichtigt werden, welche Option sich am besten für die Erfassung belastbarer Nachweise eignet. Gleichzeitig muss die </w:t>
                            </w:r>
                            <w:r>
                              <w:rPr>
                                <w:bCs/>
                                <w:color w:val="373737" w:themeColor="text1"/>
                                <w:lang w:val="de-DE"/>
                              </w:rPr>
                              <w:t xml:space="preserve">spezifische Situation des Programms zur Entwicklung des ländlichen Raums </w:t>
                            </w:r>
                            <w:r>
                              <w:rPr>
                                <w:b w:val="0"/>
                                <w:color w:val="373737" w:themeColor="text1"/>
                                <w:lang w:val="de-DE"/>
                              </w:rPr>
                              <w:t>im Hinblick auf folgende Faktoren beachtet werden:</w:t>
                            </w:r>
                          </w:p>
                          <w:p w:rsidR="00B3609C" w:rsidRDefault="00882296">
                            <w:pPr>
                              <w:pStyle w:val="Hlistbullet"/>
                              <w:numPr>
                                <w:ilvl w:val="0"/>
                                <w:numId w:val="2"/>
                              </w:numPr>
                              <w:ind w:left="567" w:hanging="567"/>
                              <w:rPr>
                                <w:i/>
                                <w:sz w:val="18"/>
                                <w:lang w:val="de-DE"/>
                              </w:rPr>
                            </w:pPr>
                            <w:r>
                              <w:rPr>
                                <w:lang w:val="de-DE"/>
                              </w:rPr>
                              <w:t>die Größe des Programms zur Entwicklung des ländlichen Raums,</w:t>
                            </w:r>
                            <w:r>
                              <w:rPr>
                                <w:i/>
                                <w:sz w:val="18"/>
                                <w:lang w:val="de-DE"/>
                              </w:rPr>
                              <w:t xml:space="preserve"> </w:t>
                            </w:r>
                          </w:p>
                          <w:p w:rsidR="00B3609C" w:rsidRDefault="00882296">
                            <w:pPr>
                              <w:pStyle w:val="Hlistbullet"/>
                              <w:numPr>
                                <w:ilvl w:val="0"/>
                                <w:numId w:val="2"/>
                              </w:numPr>
                              <w:ind w:left="567" w:hanging="567"/>
                              <w:rPr>
                                <w:i/>
                                <w:sz w:val="18"/>
                                <w:lang w:val="de-DE"/>
                              </w:rPr>
                            </w:pPr>
                            <w:r>
                              <w:rPr>
                                <w:lang w:val="de-DE"/>
                              </w:rPr>
                              <w:t>die Inanspruchnahme des Programms zur Entwicklung des ländlichen Raums,</w:t>
                            </w:r>
                            <w:r>
                              <w:rPr>
                                <w:i/>
                                <w:sz w:val="18"/>
                                <w:lang w:val="de-DE"/>
                              </w:rPr>
                              <w:t xml:space="preserve"> </w:t>
                            </w:r>
                          </w:p>
                          <w:p w:rsidR="00B3609C" w:rsidRDefault="00882296">
                            <w:pPr>
                              <w:pStyle w:val="Hlistbullet"/>
                              <w:numPr>
                                <w:ilvl w:val="0"/>
                                <w:numId w:val="2"/>
                              </w:numPr>
                              <w:ind w:left="567" w:hanging="567"/>
                              <w:rPr>
                                <w:i/>
                                <w:sz w:val="18"/>
                                <w:lang w:val="de-DE"/>
                              </w:rPr>
                            </w:pPr>
                            <w:r>
                              <w:rPr>
                                <w:lang w:val="de-DE"/>
                              </w:rPr>
                              <w:t>die Verfügbarkeit und Qualität der Daten für die Bewertung.</w:t>
                            </w:r>
                            <w:r>
                              <w:rPr>
                                <w:i/>
                                <w:sz w:val="18"/>
                                <w:lang w:val="de-DE"/>
                              </w:rPr>
                              <w:t xml:space="preserve"> </w:t>
                            </w:r>
                          </w:p>
                          <w:p w:rsidR="00B3609C" w:rsidRDefault="00882296">
                            <w:pPr>
                              <w:pStyle w:val="Hlistbullet"/>
                              <w:rPr>
                                <w:b/>
                                <w:lang w:val="de-DE"/>
                              </w:rPr>
                            </w:pPr>
                            <w:r>
                              <w:rPr>
                                <w:lang w:val="de-DE"/>
                              </w:rPr>
                              <w:t>Die in diesen Leitlinien vorgestellten Logikmodelle sollen den Bewertern als nützliche Werkzeuge zur Ermittlung möglicher Bewertungsoptionen in einem realistischen Kontext dienen.</w:t>
                            </w:r>
                          </w:p>
                        </w:txbxContent>
                      </wps:txbx>
                      <wps:bodyPr rot="0" vert="horz" wrap="square" lIns="91440" tIns="45720" rIns="91440" bIns="45720" anchor="ctr" anchorCtr="0" upright="1">
                        <a:noAutofit/>
                      </wps:bodyPr>
                    </wps:wsp>
                  </a:graphicData>
                </a:graphic>
              </wp:inline>
            </w:drawing>
          </mc:Choice>
          <mc:Fallback>
            <w:pict>
              <v:shape id="AutoShape 61" o:spid="_x0000_s1042" style="width:458.25pt;height:209.15pt;visibility:visible;mso-wrap-style:square;mso-left-percent:-10001;mso-top-percent:-10001;mso-position-horizontal:absolute;mso-position-horizontal-relative:char;mso-position-vertical:absolute;mso-position-vertical-relative:line;mso-left-percent:-10001;mso-top-percent:-10001;v-text-anchor:middle" coordsize="5819775,18040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" adj="-11796480,,5400" path="m157545,l5819775,r,1646471c5819775,1733481,5749240,1804016,5662230,1804016l,1804016,,157545c,70535,70535,,157545,xe" filled="f" strokecolor="#be4a35" strokeweight="2pt">
                <v:stroke joinstyle="miter"/>
                <v:formulas/>
                <v:path arrowok="t" o:connecttype="custom" o:connectlocs="157545,0;5819775,0;5819775,0;5819775,2424155;5662230,2656114;0,2656114;0,2656114;0,231959;157545,0" o:connectangles="0,0,0,0,0,0,0,0,0" textboxrect="0,0,5819775,1804016"/>
                <v:textbox>
                  <w:txbxContent>
                    <w:p w:rsidR="00B3609C" w:rsidRDefault="00882296">
                      <w:pPr>
                        <w:pStyle w:val="HHeading4"/>
                        <w:spacing w:before="0"/>
                        <w:jc w:val="both"/>
                        <w:rPr>
                          <w:rFonts w:cs="Arial"/>
                          <w:b w:val="0"/>
                          <w:color w:val="373737" w:themeColor="text1"/>
                          <w:lang w:val="de-DE"/>
                        </w:rPr>
                      </w:pPr>
                      <w:r>
                        <w:rPr>
                          <w:b w:val="0"/>
                          <w:noProof/>
                          <w:color w:val="373737" w:themeColor="text1"/>
                          <w:lang w:eastAsia="en-GB"/>
                        </w:rPr>
                        <w:drawing>
                          <wp:inline distT="0" distB="0" distL="0" distR="0">
                            <wp:extent cx="664845" cy="487680"/>
                            <wp:effectExtent l="0" t="0" r="0" b="7620"/>
                            <wp:docPr id="91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val="0"/>
                          <w:color w:val="373737" w:themeColor="text1"/>
                          <w:lang w:val="de-DE"/>
                        </w:rPr>
                        <w:t xml:space="preserve">Die in den Leitlinien beschriebenen </w:t>
                      </w:r>
                      <w:r>
                        <w:rPr>
                          <w:bCs/>
                          <w:color w:val="373737" w:themeColor="text1"/>
                          <w:lang w:val="de-DE"/>
                        </w:rPr>
                        <w:t>Bewertungsansätze</w:t>
                      </w:r>
                      <w:r>
                        <w:rPr>
                          <w:b w:val="0"/>
                          <w:color w:val="373737" w:themeColor="text1"/>
                          <w:lang w:val="de-DE"/>
                        </w:rPr>
                        <w:t xml:space="preserve"> sind Beispiele für mögliche Optionen; es gibt jedoch auch Alternativen. Die Bewerter können bei der Bewertung der Auswirkungen des Programms zur Entwicklung des ländlichen Raums auch andere Ansätze heranziehen. Dabei sollte berücksichtigt werden, welche Option sich am besten für die Erfassung belastbarer Nachweise eignet. Gleichzeitig muss die </w:t>
                      </w:r>
                      <w:r>
                        <w:rPr>
                          <w:bCs/>
                          <w:color w:val="373737" w:themeColor="text1"/>
                          <w:lang w:val="de-DE"/>
                        </w:rPr>
                        <w:t xml:space="preserve">spezifische Situation des Programms zur Entwicklung des ländlichen Raums </w:t>
                      </w:r>
                      <w:r>
                        <w:rPr>
                          <w:b w:val="0"/>
                          <w:color w:val="373737" w:themeColor="text1"/>
                          <w:lang w:val="de-DE"/>
                        </w:rPr>
                        <w:t>im Hinblick auf folgende Faktoren beachtet werden:</w:t>
                      </w:r>
                    </w:p>
                    <w:p w:rsidR="00B3609C" w:rsidRDefault="00882296">
                      <w:pPr>
                        <w:pStyle w:val="Hlistbullet"/>
                        <w:numPr>
                          <w:ilvl w:val="0"/>
                          <w:numId w:val="2"/>
                        </w:numPr>
                        <w:ind w:left="567" w:hanging="567"/>
                        <w:rPr>
                          <w:i/>
                          <w:sz w:val="18"/>
                          <w:lang w:val="de-DE"/>
                        </w:rPr>
                      </w:pPr>
                      <w:r>
                        <w:rPr>
                          <w:lang w:val="de-DE"/>
                        </w:rPr>
                        <w:t>die Größe des Programms zur Entwicklung des ländlichen Raums,</w:t>
                      </w:r>
                      <w:r>
                        <w:rPr>
                          <w:i/>
                          <w:sz w:val="18"/>
                          <w:lang w:val="de-DE"/>
                        </w:rPr>
                        <w:t xml:space="preserve"> </w:t>
                      </w:r>
                    </w:p>
                    <w:p w:rsidR="00B3609C" w:rsidRDefault="00882296">
                      <w:pPr>
                        <w:pStyle w:val="Hlistbullet"/>
                        <w:numPr>
                          <w:ilvl w:val="0"/>
                          <w:numId w:val="2"/>
                        </w:numPr>
                        <w:ind w:left="567" w:hanging="567"/>
                        <w:rPr>
                          <w:i/>
                          <w:sz w:val="18"/>
                          <w:lang w:val="de-DE"/>
                        </w:rPr>
                      </w:pPr>
                      <w:r>
                        <w:rPr>
                          <w:lang w:val="de-DE"/>
                        </w:rPr>
                        <w:t>die Inanspruchnahme des Programms zur Entwicklung des ländlichen Raums,</w:t>
                      </w:r>
                      <w:r>
                        <w:rPr>
                          <w:i/>
                          <w:sz w:val="18"/>
                          <w:lang w:val="de-DE"/>
                        </w:rPr>
                        <w:t xml:space="preserve"> </w:t>
                      </w:r>
                    </w:p>
                    <w:p w:rsidR="00B3609C" w:rsidRDefault="00882296">
                      <w:pPr>
                        <w:pStyle w:val="Hlistbullet"/>
                        <w:numPr>
                          <w:ilvl w:val="0"/>
                          <w:numId w:val="2"/>
                        </w:numPr>
                        <w:ind w:left="567" w:hanging="567"/>
                        <w:rPr>
                          <w:i/>
                          <w:sz w:val="18"/>
                          <w:lang w:val="de-DE"/>
                        </w:rPr>
                      </w:pPr>
                      <w:r>
                        <w:rPr>
                          <w:lang w:val="de-DE"/>
                        </w:rPr>
                        <w:t>die Verfügbarkeit und Qualität der Daten für die Bewertung.</w:t>
                      </w:r>
                      <w:r>
                        <w:rPr>
                          <w:i/>
                          <w:sz w:val="18"/>
                          <w:lang w:val="de-DE"/>
                        </w:rPr>
                        <w:t xml:space="preserve"> </w:t>
                      </w:r>
                    </w:p>
                    <w:p w:rsidR="00B3609C" w:rsidRDefault="00882296">
                      <w:pPr>
                        <w:pStyle w:val="Hlistbullet"/>
                        <w:rPr>
                          <w:b/>
                          <w:lang w:val="de-DE"/>
                        </w:rPr>
                      </w:pPr>
                      <w:r>
                        <w:rPr>
                          <w:lang w:val="de-DE"/>
                        </w:rPr>
                        <w:t>Die in diesen Leitlinien vorgestellten Logikmodelle sollen den Bewertern als nützliche Werkzeuge zur Ermittlung möglicher Bewertungsoptionen in einem realistischen Kontext dienen.</w:t>
                      </w:r>
                    </w:p>
                  </w:txbxContent>
                </v:textbox>
                <w10:anchorlock/>
              </v:shape>
            </w:pict>
          </mc:Fallback>
        </mc:AlternateContent>
      </w:r>
    </w:p>
    <w:p w:rsidR="00B3609C" w:rsidRDefault="00B3609C">
      <w:pPr>
        <w:spacing w:before="0" w:after="0" w:line="240" w:lineRule="auto"/>
        <w:jc w:val="left"/>
        <w:rPr>
          <w:color w:val="373737" w:themeColor="text1"/>
          <w:sz w:val="20"/>
          <w:szCs w:val="20"/>
          <w:lang w:val="de-DE"/>
        </w:rPr>
      </w:pPr>
    </w:p>
    <w:sectPr w:rsidR="00B3609C">
      <w:headerReference w:type="default" r:id="rId70"/>
      <w:pgSz w:w="11906" w:h="16838" w:code="9"/>
      <w:pgMar w:top="1440" w:right="1440" w:bottom="1134" w:left="1440" w:header="567" w:footer="10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023A" w:rsidRDefault="001E023A">
      <w:pPr>
        <w:spacing w:before="0" w:after="0" w:line="240" w:lineRule="auto"/>
      </w:pPr>
      <w:r>
        <w:separator/>
      </w:r>
    </w:p>
  </w:endnote>
  <w:endnote w:type="continuationSeparator" w:id="0">
    <w:p w:rsidR="001E023A" w:rsidRDefault="001E023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8928705"/>
      <w:docPartObj>
        <w:docPartGallery w:val="Page Numbers (Bottom of Page)"/>
        <w:docPartUnique/>
      </w:docPartObj>
    </w:sdtPr>
    <w:sdtEndPr>
      <w:rPr>
        <w:noProof/>
      </w:rPr>
    </w:sdtEndPr>
    <w:sdtContent>
      <w:p w:rsidR="00B3609C" w:rsidRDefault="00882296">
        <w:pPr>
          <w:pStyle w:val="Footer"/>
        </w:pPr>
        <w:r>
          <w:rPr>
            <w:lang w:val="de-DE"/>
          </w:rPr>
          <w:fldChar w:fldCharType="begin"/>
        </w:r>
        <w:r>
          <w:rPr>
            <w:lang w:val="de-DE"/>
          </w:rPr>
          <w:instrText xml:space="preserve"> PAGE   \* MERGEFORMAT </w:instrText>
        </w:r>
        <w:r>
          <w:rPr>
            <w:lang w:val="de-DE"/>
          </w:rPr>
          <w:fldChar w:fldCharType="separate"/>
        </w:r>
        <w:r>
          <w:rPr>
            <w:noProof/>
            <w:lang w:val="de-DE"/>
          </w:rPr>
          <w:t>1</w:t>
        </w:r>
        <w:r>
          <w:rPr>
            <w:noProof/>
            <w:lang w:val="de-DE"/>
          </w:rPr>
          <w:fldChar w:fldCharType="end"/>
        </w:r>
      </w:p>
    </w:sdtContent>
  </w:sdt>
  <w:p w:rsidR="00B3609C" w:rsidRDefault="00B360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609C" w:rsidRDefault="00B3609C">
    <w:pPr>
      <w:pStyle w:val="Footer"/>
    </w:pPr>
  </w:p>
  <w:p w:rsidR="00B3609C" w:rsidRDefault="00B360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6439302"/>
      <w:docPartObj>
        <w:docPartGallery w:val="Page Numbers (Bottom of Page)"/>
        <w:docPartUnique/>
      </w:docPartObj>
    </w:sdtPr>
    <w:sdtEndPr>
      <w:rPr>
        <w:noProof/>
      </w:rPr>
    </w:sdtEndPr>
    <w:sdtContent>
      <w:p w:rsidR="00B3609C" w:rsidRDefault="00882296">
        <w:pPr>
          <w:pStyle w:val="Footer"/>
        </w:pPr>
        <w:r>
          <w:rPr>
            <w:lang w:val="de-DE"/>
          </w:rPr>
          <w:fldChar w:fldCharType="begin"/>
        </w:r>
        <w:r>
          <w:rPr>
            <w:lang w:val="de-DE"/>
          </w:rPr>
          <w:instrText xml:space="preserve"> PAGE   \* MERGEFORMAT </w:instrText>
        </w:r>
        <w:r>
          <w:rPr>
            <w:lang w:val="de-DE"/>
          </w:rPr>
          <w:fldChar w:fldCharType="separate"/>
        </w:r>
        <w:r>
          <w:rPr>
            <w:noProof/>
            <w:lang w:val="de-DE"/>
          </w:rPr>
          <w:t>31</w:t>
        </w:r>
        <w:r>
          <w:rPr>
            <w:noProof/>
            <w:lang w:val="de-DE"/>
          </w:rPr>
          <w:fldChar w:fldCharType="end"/>
        </w:r>
      </w:p>
    </w:sdtContent>
  </w:sdt>
  <w:p w:rsidR="00B3609C" w:rsidRDefault="00B360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3502280"/>
      <w:docPartObj>
        <w:docPartGallery w:val="Page Numbers (Bottom of Page)"/>
        <w:docPartUnique/>
      </w:docPartObj>
    </w:sdtPr>
    <w:sdtEndPr>
      <w:rPr>
        <w:noProof/>
      </w:rPr>
    </w:sdtEndPr>
    <w:sdtContent>
      <w:p w:rsidR="00B3609C" w:rsidRDefault="00882296">
        <w:pPr>
          <w:pStyle w:val="Footer"/>
        </w:pPr>
        <w:r>
          <w:rPr>
            <w:lang w:val="de-DE"/>
          </w:rPr>
          <w:fldChar w:fldCharType="begin"/>
        </w:r>
        <w:r>
          <w:rPr>
            <w:lang w:val="de-DE"/>
          </w:rPr>
          <w:instrText xml:space="preserve"> PAGE   \* MERGEFORMAT </w:instrText>
        </w:r>
        <w:r>
          <w:rPr>
            <w:lang w:val="de-DE"/>
          </w:rPr>
          <w:fldChar w:fldCharType="separate"/>
        </w:r>
        <w:r>
          <w:rPr>
            <w:noProof/>
            <w:lang w:val="de-DE"/>
          </w:rPr>
          <w:t>1</w:t>
        </w:r>
        <w:r>
          <w:rPr>
            <w:noProof/>
            <w:lang w:val="de-DE"/>
          </w:rPr>
          <w:fldChar w:fldCharType="end"/>
        </w:r>
      </w:p>
    </w:sdtContent>
  </w:sdt>
  <w:p w:rsidR="00B3609C" w:rsidRDefault="00B360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023A" w:rsidRDefault="001E023A">
      <w:pPr>
        <w:spacing w:before="0" w:after="0" w:line="240" w:lineRule="auto"/>
        <w:rPr>
          <w:color w:val="F07E31" w:themeColor="accent1"/>
        </w:rPr>
      </w:pPr>
      <w:r>
        <w:rPr>
          <w:color w:val="F07E31" w:themeColor="accent1"/>
        </w:rPr>
        <w:separator/>
      </w:r>
    </w:p>
  </w:footnote>
  <w:footnote w:type="continuationSeparator" w:id="0">
    <w:p w:rsidR="001E023A" w:rsidRDefault="001E023A">
      <w:pPr>
        <w:spacing w:before="0" w:after="0" w:line="240" w:lineRule="auto"/>
      </w:pPr>
      <w:r>
        <w:continuationSeparator/>
      </w:r>
    </w:p>
  </w:footnote>
  <w:footnote w:id="1">
    <w:p w:rsidR="00B3609C" w:rsidRDefault="00882296">
      <w:pPr>
        <w:pStyle w:val="FootnoteText"/>
        <w:rPr>
          <w:color w:val="878787" w:themeColor="text2" w:themeTint="99"/>
          <w:lang w:val="de-DE"/>
        </w:rPr>
      </w:pPr>
      <w:r>
        <w:rPr>
          <w:rStyle w:val="FootnoteReference"/>
          <w:iCs/>
          <w:color w:val="878787" w:themeColor="text2" w:themeTint="99"/>
          <w:lang w:val="de-DE"/>
        </w:rPr>
        <w:footnoteRef/>
      </w:r>
      <w:r>
        <w:rPr>
          <w:color w:val="878787" w:themeColor="text2" w:themeTint="99"/>
          <w:lang w:val="de-DE"/>
        </w:rPr>
        <w:t>Artikel 54 und Artikel 56 Absatz 3 der Verordnung (EU) Nr. 1303/2013.</w:t>
      </w:r>
    </w:p>
  </w:footnote>
  <w:footnote w:id="2">
    <w:p w:rsidR="00B3609C" w:rsidRDefault="00882296">
      <w:pPr>
        <w:pStyle w:val="FootnoteText"/>
        <w:rPr>
          <w:lang w:val="de-DE"/>
        </w:rPr>
      </w:pPr>
      <w:r>
        <w:rPr>
          <w:rStyle w:val="FootnoteReference"/>
          <w:iCs/>
          <w:color w:val="878787" w:themeColor="text2" w:themeTint="99"/>
          <w:lang w:val="de-DE"/>
        </w:rPr>
        <w:footnoteRef/>
      </w:r>
      <w:r>
        <w:rPr>
          <w:color w:val="878787" w:themeColor="text2" w:themeTint="99"/>
          <w:lang w:val="de-DE"/>
        </w:rPr>
        <w:t xml:space="preserve"> Anhang VII der </w:t>
      </w:r>
      <w:r>
        <w:rPr>
          <w:color w:val="878787" w:themeColor="text2" w:themeTint="99"/>
          <w:szCs w:val="16"/>
          <w:lang w:val="de-DE"/>
        </w:rPr>
        <w:t>Verordnung (EU) Nr. 808/2014.</w:t>
      </w:r>
    </w:p>
  </w:footnote>
  <w:footnote w:id="3">
    <w:p w:rsidR="00B3609C" w:rsidRDefault="00882296">
      <w:pPr>
        <w:pStyle w:val="FootnoteText"/>
        <w:rPr>
          <w:color w:val="878787" w:themeColor="text2" w:themeTint="99"/>
          <w:lang w:val="de-DE"/>
        </w:rPr>
      </w:pPr>
      <w:r>
        <w:rPr>
          <w:color w:val="878787" w:themeColor="text2" w:themeTint="99"/>
          <w:vertAlign w:val="superscript"/>
          <w:lang w:val="de-DE"/>
        </w:rPr>
        <w:footnoteRef/>
      </w:r>
      <w:r>
        <w:rPr>
          <w:color w:val="878787" w:themeColor="text2" w:themeTint="99"/>
          <w:lang w:val="de-DE"/>
        </w:rPr>
        <w:t xml:space="preserve"> Artikel 75 der </w:t>
      </w:r>
      <w:hyperlink r:id="rId1" w:history="1">
        <w:r>
          <w:rPr>
            <w:color w:val="878787" w:themeColor="text2" w:themeTint="99"/>
            <w:lang w:val="de-DE"/>
          </w:rPr>
          <w:t>Verordnung (EU) Nr. 1305/2013</w:t>
        </w:r>
      </w:hyperlink>
      <w:r>
        <w:rPr>
          <w:color w:val="878787" w:themeColor="text2" w:themeTint="99"/>
          <w:lang w:val="de-DE"/>
        </w:rPr>
        <w:t>.</w:t>
      </w:r>
    </w:p>
  </w:footnote>
  <w:footnote w:id="4">
    <w:p w:rsidR="00B3609C" w:rsidRDefault="00882296">
      <w:pPr>
        <w:pStyle w:val="FootnoteText"/>
        <w:rPr>
          <w:color w:val="878787" w:themeColor="text2" w:themeTint="99"/>
        </w:rPr>
      </w:pPr>
      <w:r>
        <w:rPr>
          <w:color w:val="878787" w:themeColor="text2" w:themeTint="99"/>
          <w:vertAlign w:val="superscript"/>
          <w:lang w:val="de-DE"/>
        </w:rPr>
        <w:footnoteRef/>
      </w:r>
      <w:r>
        <w:rPr>
          <w:color w:val="878787" w:themeColor="text2" w:themeTint="99"/>
          <w:vertAlign w:val="superscript"/>
          <w:lang w:val="en-US"/>
        </w:rPr>
        <w:t xml:space="preserve"> </w:t>
      </w:r>
      <w:hyperlink r:id="rId2" w:history="1">
        <w:proofErr w:type="spellStart"/>
        <w:r>
          <w:rPr>
            <w:rStyle w:val="Hyperlink"/>
            <w:color w:val="878787" w:themeColor="text2" w:themeTint="99"/>
            <w:sz w:val="16"/>
            <w:u w:val="none"/>
            <w:lang w:val="en-US"/>
          </w:rPr>
          <w:t>Leitlinien</w:t>
        </w:r>
        <w:proofErr w:type="spellEnd"/>
        <w:r>
          <w:rPr>
            <w:rStyle w:val="Hyperlink"/>
            <w:color w:val="878787" w:themeColor="text2" w:themeTint="99"/>
            <w:sz w:val="16"/>
            <w:u w:val="none"/>
            <w:lang w:val="en-US"/>
          </w:rPr>
          <w:t xml:space="preserve"> „Establishing and implementing the Evaluation Plan of 2014–2020 </w:t>
        </w:r>
        <w:proofErr w:type="gramStart"/>
        <w:r>
          <w:rPr>
            <w:rStyle w:val="Hyperlink"/>
            <w:color w:val="878787" w:themeColor="text2" w:themeTint="99"/>
            <w:sz w:val="16"/>
            <w:u w:val="none"/>
            <w:lang w:val="en-US"/>
          </w:rPr>
          <w:t>RDPs“</w:t>
        </w:r>
        <w:proofErr w:type="gramEnd"/>
        <w:r>
          <w:rPr>
            <w:rStyle w:val="Hyperlink"/>
            <w:color w:val="878787" w:themeColor="text2" w:themeTint="99"/>
            <w:sz w:val="16"/>
            <w:u w:val="none"/>
            <w:lang w:val="en-US"/>
          </w:rPr>
          <w:t>.</w:t>
        </w:r>
      </w:hyperlink>
    </w:p>
  </w:footnote>
  <w:footnote w:id="5">
    <w:p w:rsidR="00B3609C" w:rsidRDefault="00882296">
      <w:pPr>
        <w:pStyle w:val="FootnoteText"/>
        <w:rPr>
          <w:color w:val="878787" w:themeColor="text2" w:themeTint="99"/>
          <w:lang w:val="de-DE"/>
        </w:rPr>
      </w:pPr>
      <w:r>
        <w:rPr>
          <w:color w:val="878787" w:themeColor="text2" w:themeTint="99"/>
          <w:vertAlign w:val="superscript"/>
          <w:lang w:val="de-DE"/>
        </w:rPr>
        <w:footnoteRef/>
      </w:r>
      <w:r>
        <w:rPr>
          <w:color w:val="878787" w:themeColor="text2" w:themeTint="99"/>
          <w:lang w:val="de-DE"/>
        </w:rPr>
        <w:t xml:space="preserve"> </w:t>
      </w:r>
      <w:hyperlink r:id="rId3" w:history="1">
        <w:r>
          <w:rPr>
            <w:rStyle w:val="Hyperlink"/>
            <w:color w:val="878787" w:themeColor="text2" w:themeTint="99"/>
            <w:sz w:val="16"/>
            <w:u w:val="none"/>
            <w:lang w:val="de-DE"/>
          </w:rPr>
          <w:t>Durchführungsverordnung (EU) Nr. 808/2014 der Kommission, Anhang I Nummer 9 und Anhang VIII Nummer 7</w:t>
        </w:r>
      </w:hyperlink>
      <w:r>
        <w:rPr>
          <w:rStyle w:val="Hyperlink"/>
          <w:color w:val="878787" w:themeColor="text2" w:themeTint="99"/>
          <w:sz w:val="16"/>
          <w:u w:val="none"/>
          <w:lang w:val="de-DE"/>
        </w:rPr>
        <w:t>.</w:t>
      </w:r>
    </w:p>
  </w:footnote>
  <w:footnote w:id="6">
    <w:p w:rsidR="00B3609C" w:rsidRDefault="00882296">
      <w:pPr>
        <w:pStyle w:val="FootnoteText"/>
        <w:ind w:left="142" w:hanging="142"/>
        <w:rPr>
          <w:color w:val="878787" w:themeColor="text2" w:themeTint="99"/>
          <w:lang w:val="de-DE"/>
        </w:rPr>
      </w:pPr>
      <w:r>
        <w:rPr>
          <w:i/>
          <w:iCs/>
          <w:color w:val="878787" w:themeColor="text2" w:themeTint="99"/>
          <w:vertAlign w:val="superscript"/>
          <w:lang w:val="de-DE"/>
        </w:rPr>
        <w:footnoteRef/>
      </w:r>
      <w:r>
        <w:rPr>
          <w:color w:val="878787" w:themeColor="text2" w:themeTint="99"/>
          <w:lang w:val="de-DE"/>
        </w:rPr>
        <w:t xml:space="preserve"> Der Evaluierungs-Helpdesk fasste die Ergebnisse der 2017 eingereichten jährlichen Durchführungsberichte in einem Bericht zusammen (</w:t>
      </w:r>
      <w:hyperlink r:id="rId4" w:history="1">
        <w:r>
          <w:rPr>
            <w:color w:val="878787" w:themeColor="text2" w:themeTint="99"/>
            <w:lang w:val="de-DE"/>
          </w:rPr>
          <w:t xml:space="preserve">Summary Report Synthesis </w:t>
        </w:r>
        <w:proofErr w:type="spellStart"/>
        <w:r>
          <w:rPr>
            <w:color w:val="878787" w:themeColor="text2" w:themeTint="99"/>
            <w:lang w:val="de-DE"/>
          </w:rPr>
          <w:t>of</w:t>
        </w:r>
        <w:proofErr w:type="spellEnd"/>
        <w:r>
          <w:rPr>
            <w:color w:val="878787" w:themeColor="text2" w:themeTint="99"/>
            <w:lang w:val="de-DE"/>
          </w:rPr>
          <w:t xml:space="preserve"> </w:t>
        </w:r>
        <w:proofErr w:type="spellStart"/>
        <w:r>
          <w:rPr>
            <w:color w:val="878787" w:themeColor="text2" w:themeTint="99"/>
            <w:lang w:val="de-DE"/>
          </w:rPr>
          <w:t>the</w:t>
        </w:r>
        <w:proofErr w:type="spellEnd"/>
        <w:r>
          <w:rPr>
            <w:color w:val="878787" w:themeColor="text2" w:themeTint="99"/>
            <w:lang w:val="de-DE"/>
          </w:rPr>
          <w:t xml:space="preserve"> Evaluation Components </w:t>
        </w:r>
        <w:proofErr w:type="spellStart"/>
        <w:r>
          <w:rPr>
            <w:color w:val="878787" w:themeColor="text2" w:themeTint="99"/>
            <w:lang w:val="de-DE"/>
          </w:rPr>
          <w:t>of</w:t>
        </w:r>
        <w:proofErr w:type="spellEnd"/>
        <w:r>
          <w:rPr>
            <w:color w:val="878787" w:themeColor="text2" w:themeTint="99"/>
            <w:lang w:val="de-DE"/>
          </w:rPr>
          <w:t xml:space="preserve"> </w:t>
        </w:r>
        <w:proofErr w:type="spellStart"/>
        <w:r>
          <w:rPr>
            <w:color w:val="878787" w:themeColor="text2" w:themeTint="99"/>
            <w:lang w:val="de-DE"/>
          </w:rPr>
          <w:t>the</w:t>
        </w:r>
        <w:proofErr w:type="spellEnd"/>
        <w:r>
          <w:rPr>
            <w:color w:val="878787" w:themeColor="text2" w:themeTint="99"/>
            <w:lang w:val="de-DE"/>
          </w:rPr>
          <w:t xml:space="preserve"> 2017 Enhanced AIR: Chapter 7</w:t>
        </w:r>
      </w:hyperlink>
      <w:r>
        <w:rPr>
          <w:color w:val="878787" w:themeColor="text2" w:themeTint="99"/>
          <w:lang w:val="de-DE"/>
        </w:rPr>
        <w:t>).</w:t>
      </w:r>
    </w:p>
  </w:footnote>
  <w:footnote w:id="7">
    <w:p w:rsidR="00B3609C" w:rsidRDefault="00882296">
      <w:pPr>
        <w:pStyle w:val="FootnoteText"/>
        <w:rPr>
          <w:lang w:val="de-DE"/>
        </w:rPr>
      </w:pPr>
      <w:r>
        <w:rPr>
          <w:i/>
          <w:iCs/>
          <w:color w:val="878787" w:themeColor="text2" w:themeTint="99"/>
          <w:vertAlign w:val="superscript"/>
          <w:lang w:val="de-DE"/>
        </w:rPr>
        <w:footnoteRef/>
      </w:r>
      <w:r>
        <w:rPr>
          <w:color w:val="878787" w:themeColor="text2" w:themeTint="99"/>
          <w:lang w:val="de-DE"/>
        </w:rPr>
        <w:t xml:space="preserve"> Anhang VII der Verordnung (EU) Nr. 808/2014.</w:t>
      </w:r>
    </w:p>
  </w:footnote>
  <w:footnote w:id="8">
    <w:p w:rsidR="00B3609C" w:rsidRDefault="00882296">
      <w:pPr>
        <w:pStyle w:val="FootnoteText"/>
        <w:rPr>
          <w:color w:val="878787" w:themeColor="text2" w:themeTint="99"/>
          <w:lang w:val="de-DE"/>
        </w:rPr>
      </w:pPr>
      <w:r>
        <w:rPr>
          <w:rStyle w:val="FootnoteReference"/>
          <w:iCs/>
          <w:color w:val="878787" w:themeColor="text2" w:themeTint="99"/>
          <w:lang w:val="de-DE"/>
        </w:rPr>
        <w:footnoteRef/>
      </w:r>
      <w:r>
        <w:rPr>
          <w:color w:val="878787" w:themeColor="text2" w:themeTint="99"/>
          <w:lang w:val="de-DE"/>
        </w:rPr>
        <w:t xml:space="preserve"> </w:t>
      </w:r>
      <w:hyperlink r:id="rId5" w:history="1">
        <w:r>
          <w:rPr>
            <w:color w:val="878787" w:themeColor="text2" w:themeTint="99"/>
            <w:lang w:val="de-DE"/>
          </w:rPr>
          <w:t>Artikel 67–79 der Verordnung (EU) Nr. 1305/2014</w:t>
        </w:r>
      </w:hyperlink>
      <w:r>
        <w:rPr>
          <w:color w:val="878787" w:themeColor="text2" w:themeTint="99"/>
          <w:lang w:val="de-DE"/>
        </w:rPr>
        <w:t xml:space="preserve">, </w:t>
      </w:r>
      <w:hyperlink r:id="rId6" w:history="1">
        <w:r>
          <w:rPr>
            <w:color w:val="878787" w:themeColor="text2" w:themeTint="99"/>
            <w:lang w:val="de-DE"/>
          </w:rPr>
          <w:t>Artikel 110 der Verordnung (EU) Nr. 1306/2013,</w:t>
        </w:r>
      </w:hyperlink>
      <w:r>
        <w:rPr>
          <w:color w:val="878787" w:themeColor="text2" w:themeTint="99"/>
          <w:lang w:val="de-DE"/>
        </w:rPr>
        <w:t xml:space="preserve"> </w:t>
      </w:r>
      <w:hyperlink r:id="rId7" w:history="1">
        <w:r>
          <w:rPr>
            <w:color w:val="878787" w:themeColor="text2" w:themeTint="99"/>
            <w:lang w:val="de-DE"/>
          </w:rPr>
          <w:t>Artikel 1 Buchstabe a und Anhang I der Verordnung (EU) Nr. 834/2014</w:t>
        </w:r>
      </w:hyperlink>
      <w:r>
        <w:rPr>
          <w:color w:val="878787" w:themeColor="text2" w:themeTint="99"/>
          <w:lang w:val="de-DE"/>
        </w:rPr>
        <w:t xml:space="preserve">, </w:t>
      </w:r>
      <w:hyperlink r:id="rId8" w:history="1">
        <w:r>
          <w:rPr>
            <w:color w:val="878787" w:themeColor="text2" w:themeTint="99"/>
            <w:lang w:val="de-DE"/>
          </w:rPr>
          <w:t>Artikel 14 und Anhänge IV, V, VI und VIII der Verordnung (EU) Nr. 808/2014</w:t>
        </w:r>
      </w:hyperlink>
      <w:r>
        <w:rPr>
          <w:color w:val="878787" w:themeColor="text2" w:themeTint="99"/>
          <w:lang w:val="de-DE"/>
        </w:rPr>
        <w:t>.</w:t>
      </w:r>
    </w:p>
  </w:footnote>
  <w:footnote w:id="9">
    <w:p w:rsidR="00B3609C" w:rsidRDefault="00882296">
      <w:pPr>
        <w:pStyle w:val="FootnoteText"/>
        <w:rPr>
          <w:color w:val="878787" w:themeColor="text2" w:themeTint="99"/>
          <w:lang w:val="de-DE"/>
        </w:rPr>
      </w:pPr>
      <w:r>
        <w:rPr>
          <w:rStyle w:val="FootnoteReference"/>
          <w:iCs/>
          <w:color w:val="878787" w:themeColor="text2" w:themeTint="99"/>
          <w:lang w:val="de-DE"/>
        </w:rPr>
        <w:footnoteRef/>
      </w:r>
      <w:r>
        <w:rPr>
          <w:color w:val="878787" w:themeColor="text2" w:themeTint="99"/>
          <w:lang w:val="de-DE"/>
        </w:rPr>
        <w:t xml:space="preserve"> </w:t>
      </w:r>
      <w:r>
        <w:rPr>
          <w:color w:val="878787" w:themeColor="text2" w:themeTint="99"/>
          <w:szCs w:val="16"/>
          <w:lang w:val="de-DE"/>
        </w:rPr>
        <w:t>Artikel 54 der</w:t>
      </w:r>
      <w:r>
        <w:rPr>
          <w:color w:val="878787" w:themeColor="text2" w:themeTint="99"/>
          <w:lang w:val="de-DE"/>
        </w:rPr>
        <w:t xml:space="preserve"> Verordnung (EU) Nr. 1303/2013.</w:t>
      </w:r>
    </w:p>
  </w:footnote>
  <w:footnote w:id="10">
    <w:p w:rsidR="00B3609C" w:rsidRDefault="00882296">
      <w:pPr>
        <w:pStyle w:val="FootnoteText"/>
        <w:rPr>
          <w:color w:val="878787" w:themeColor="text2" w:themeTint="99"/>
          <w:lang w:val="de-DE"/>
        </w:rPr>
      </w:pPr>
      <w:r>
        <w:rPr>
          <w:rStyle w:val="FootnoteReference"/>
          <w:iCs/>
          <w:color w:val="878787" w:themeColor="text2" w:themeTint="99"/>
          <w:lang w:val="de-DE"/>
        </w:rPr>
        <w:footnoteRef/>
      </w:r>
      <w:r>
        <w:rPr>
          <w:color w:val="878787" w:themeColor="text2" w:themeTint="99"/>
          <w:lang w:val="de-DE"/>
        </w:rPr>
        <w:t xml:space="preserve"> Artikel 56 der Verordnung (EU) Nr. 1303/2013.</w:t>
      </w:r>
    </w:p>
  </w:footnote>
  <w:footnote w:id="11">
    <w:p w:rsidR="00B3609C" w:rsidRDefault="00882296">
      <w:pPr>
        <w:pStyle w:val="FootnoteText"/>
        <w:rPr>
          <w:color w:val="878787" w:themeColor="text2" w:themeTint="99"/>
          <w:lang w:val="de-DE"/>
        </w:rPr>
      </w:pPr>
      <w:r>
        <w:rPr>
          <w:rStyle w:val="FootnoteReference"/>
          <w:iCs/>
          <w:color w:val="878787" w:themeColor="text2" w:themeTint="99"/>
          <w:lang w:val="de-DE"/>
        </w:rPr>
        <w:footnoteRef/>
      </w:r>
      <w:r>
        <w:rPr>
          <w:color w:val="878787" w:themeColor="text2" w:themeTint="99"/>
          <w:lang w:val="de-DE"/>
        </w:rPr>
        <w:t xml:space="preserve"> Artikel 110 der Verordnung (EU) Nr. 1306/2013.</w:t>
      </w:r>
    </w:p>
  </w:footnote>
  <w:footnote w:id="12">
    <w:p w:rsidR="00B3609C" w:rsidRDefault="00882296">
      <w:pPr>
        <w:pStyle w:val="FootnoteText"/>
        <w:rPr>
          <w:color w:val="878787" w:themeColor="text2" w:themeTint="99"/>
          <w:lang w:val="de-DE"/>
        </w:rPr>
      </w:pPr>
      <w:r>
        <w:rPr>
          <w:rStyle w:val="FootnoteReference"/>
          <w:iCs/>
          <w:color w:val="878787" w:themeColor="text2" w:themeTint="99"/>
          <w:lang w:val="de-DE"/>
        </w:rPr>
        <w:footnoteRef/>
      </w:r>
      <w:r>
        <w:rPr>
          <w:color w:val="878787" w:themeColor="text2" w:themeTint="99"/>
          <w:lang w:val="de-DE"/>
        </w:rPr>
        <w:t xml:space="preserve"> Artikel 110 Absatz 3 und Artikel 110 Absatz 4 der Verordnung (EU) Nr. 1306/2013.</w:t>
      </w:r>
    </w:p>
  </w:footnote>
  <w:footnote w:id="13">
    <w:p w:rsidR="00B3609C" w:rsidRDefault="00882296">
      <w:pPr>
        <w:pStyle w:val="FootnoteText"/>
        <w:rPr>
          <w:color w:val="878787" w:themeColor="text2" w:themeTint="99"/>
          <w:lang w:val="de-DE"/>
        </w:rPr>
      </w:pPr>
      <w:r>
        <w:rPr>
          <w:rStyle w:val="FootnoteReference"/>
          <w:iCs/>
          <w:color w:val="878787" w:themeColor="text2" w:themeTint="99"/>
          <w:lang w:val="de-DE"/>
        </w:rPr>
        <w:footnoteRef/>
      </w:r>
      <w:r>
        <w:rPr>
          <w:color w:val="878787" w:themeColor="text2" w:themeTint="99"/>
          <w:lang w:val="de-DE"/>
        </w:rPr>
        <w:t xml:space="preserve"> Artikel 67 und 68 der Verordnung (EU) Nr. 1305/2013.</w:t>
      </w:r>
    </w:p>
  </w:footnote>
  <w:footnote w:id="14">
    <w:p w:rsidR="00B3609C" w:rsidRDefault="00882296">
      <w:pPr>
        <w:pStyle w:val="FootnoteText"/>
        <w:rPr>
          <w:lang w:val="de-DE"/>
        </w:rPr>
      </w:pPr>
      <w:r>
        <w:rPr>
          <w:rStyle w:val="FootnoteReference"/>
          <w:iCs/>
          <w:color w:val="878787" w:themeColor="text2" w:themeTint="99"/>
          <w:lang w:val="de-DE"/>
        </w:rPr>
        <w:footnoteRef/>
      </w:r>
      <w:r>
        <w:rPr>
          <w:color w:val="878787" w:themeColor="text2" w:themeTint="99"/>
          <w:lang w:val="de-DE"/>
        </w:rPr>
        <w:t xml:space="preserve"> Artikel 69 der Verordnung (EU) Nr. 1305/2013.</w:t>
      </w:r>
    </w:p>
  </w:footnote>
  <w:footnote w:id="15">
    <w:p w:rsidR="00B3609C" w:rsidRDefault="00882296">
      <w:pPr>
        <w:pStyle w:val="FootnoteText"/>
        <w:rPr>
          <w:color w:val="878787" w:themeColor="text2" w:themeTint="99"/>
        </w:rPr>
      </w:pPr>
      <w:r>
        <w:rPr>
          <w:rStyle w:val="FootnoteReference"/>
          <w:i w:val="0"/>
          <w:color w:val="878787" w:themeColor="text2" w:themeTint="99"/>
          <w:lang w:val="de-DE"/>
        </w:rPr>
        <w:footnoteRef/>
      </w:r>
      <w:r>
        <w:rPr>
          <w:color w:val="878787" w:themeColor="text2" w:themeTint="99"/>
          <w:lang w:val="en-US"/>
        </w:rPr>
        <w:t xml:space="preserve"> </w:t>
      </w:r>
      <w:hyperlink r:id="rId9" w:history="1">
        <w:r>
          <w:rPr>
            <w:color w:val="878787" w:themeColor="text2" w:themeTint="99"/>
            <w:lang w:val="en-US"/>
          </w:rPr>
          <w:t xml:space="preserve"> Technical Handbook on the Monitoring and Evaluation of the Common Agriculture Policy 2014-2020, </w:t>
        </w:r>
        <w:proofErr w:type="spellStart"/>
        <w:r>
          <w:rPr>
            <w:color w:val="878787" w:themeColor="text2" w:themeTint="99"/>
            <w:lang w:val="en-US"/>
          </w:rPr>
          <w:t>Europäische</w:t>
        </w:r>
        <w:proofErr w:type="spellEnd"/>
        <w:r>
          <w:rPr>
            <w:color w:val="878787" w:themeColor="text2" w:themeTint="99"/>
            <w:lang w:val="en-US"/>
          </w:rPr>
          <w:t xml:space="preserve"> </w:t>
        </w:r>
        <w:proofErr w:type="spellStart"/>
        <w:r>
          <w:rPr>
            <w:color w:val="878787" w:themeColor="text2" w:themeTint="99"/>
            <w:lang w:val="en-US"/>
          </w:rPr>
          <w:t>Kommission</w:t>
        </w:r>
        <w:proofErr w:type="spellEnd"/>
        <w:r>
          <w:rPr>
            <w:color w:val="878787" w:themeColor="text2" w:themeTint="99"/>
            <w:lang w:val="en-US"/>
          </w:rPr>
          <w:t xml:space="preserve">, </w:t>
        </w:r>
        <w:proofErr w:type="spellStart"/>
        <w:r>
          <w:rPr>
            <w:color w:val="878787" w:themeColor="text2" w:themeTint="99"/>
            <w:lang w:val="en-US"/>
          </w:rPr>
          <w:t>Juni</w:t>
        </w:r>
        <w:proofErr w:type="spellEnd"/>
        <w:r>
          <w:rPr>
            <w:color w:val="878787" w:themeColor="text2" w:themeTint="99"/>
            <w:lang w:val="en-US"/>
          </w:rPr>
          <w:t> 2017</w:t>
        </w:r>
      </w:hyperlink>
      <w:r>
        <w:rPr>
          <w:rStyle w:val="Hyperlink"/>
          <w:color w:val="878787" w:themeColor="text2" w:themeTint="99"/>
          <w:sz w:val="16"/>
          <w:u w:val="none"/>
          <w:lang w:val="en-US"/>
        </w:rPr>
        <w:t>.</w:t>
      </w:r>
    </w:p>
  </w:footnote>
  <w:footnote w:id="16">
    <w:p w:rsidR="00B3609C" w:rsidRDefault="00882296">
      <w:pPr>
        <w:pStyle w:val="FootnoteText"/>
        <w:rPr>
          <w:color w:val="878787" w:themeColor="text2" w:themeTint="99"/>
          <w:lang w:val="de-DE"/>
        </w:rPr>
      </w:pPr>
      <w:r>
        <w:rPr>
          <w:rStyle w:val="FootnoteReference"/>
          <w:iCs/>
          <w:color w:val="878787" w:themeColor="text2" w:themeTint="99"/>
          <w:lang w:val="de-DE"/>
        </w:rPr>
        <w:footnoteRef/>
      </w:r>
      <w:r>
        <w:rPr>
          <w:color w:val="878787" w:themeColor="text2" w:themeTint="99"/>
          <w:lang w:val="de-DE"/>
        </w:rPr>
        <w:t xml:space="preserve"> Artikel 14 der Verordnung (EU) Nr. 808/2014.</w:t>
      </w:r>
    </w:p>
  </w:footnote>
  <w:footnote w:id="17">
    <w:p w:rsidR="00B3609C" w:rsidRDefault="00882296">
      <w:pPr>
        <w:pStyle w:val="FootnoteText"/>
        <w:rPr>
          <w:color w:val="878787" w:themeColor="text2" w:themeTint="99"/>
          <w:lang w:val="de-DE"/>
        </w:rPr>
      </w:pPr>
      <w:r>
        <w:rPr>
          <w:rStyle w:val="FootnoteReference"/>
          <w:iCs/>
          <w:color w:val="878787" w:themeColor="text2" w:themeTint="99"/>
          <w:lang w:val="de-DE"/>
        </w:rPr>
        <w:footnoteRef/>
      </w:r>
      <w:r>
        <w:rPr>
          <w:color w:val="878787" w:themeColor="text2" w:themeTint="99"/>
          <w:lang w:val="de-DE"/>
        </w:rPr>
        <w:t xml:space="preserve"> Anhang IV der Verordnung (EU) Nr. 808/2014.</w:t>
      </w:r>
    </w:p>
  </w:footnote>
  <w:footnote w:id="18">
    <w:p w:rsidR="00B3609C" w:rsidRDefault="00882296">
      <w:pPr>
        <w:pStyle w:val="FootnoteText"/>
        <w:rPr>
          <w:color w:val="878787" w:themeColor="text2" w:themeTint="99"/>
          <w:lang w:val="de-DE"/>
        </w:rPr>
      </w:pPr>
      <w:r>
        <w:rPr>
          <w:rStyle w:val="FootnoteReference"/>
          <w:iCs/>
          <w:color w:val="878787" w:themeColor="text2" w:themeTint="99"/>
          <w:lang w:val="de-DE"/>
        </w:rPr>
        <w:footnoteRef/>
      </w:r>
      <w:r>
        <w:rPr>
          <w:color w:val="878787" w:themeColor="text2" w:themeTint="99"/>
          <w:lang w:val="de-DE"/>
        </w:rPr>
        <w:t xml:space="preserve"> Anhang V der Verordnung (EU) Nr. 808/2014.</w:t>
      </w:r>
    </w:p>
  </w:footnote>
  <w:footnote w:id="19">
    <w:p w:rsidR="00B3609C" w:rsidRDefault="00882296">
      <w:pPr>
        <w:pStyle w:val="FootnoteText"/>
        <w:rPr>
          <w:color w:val="878787" w:themeColor="text2" w:themeTint="99"/>
          <w:lang w:val="de-DE"/>
        </w:rPr>
      </w:pPr>
      <w:r>
        <w:rPr>
          <w:rStyle w:val="FootnoteReference"/>
          <w:iCs/>
          <w:color w:val="878787" w:themeColor="text2" w:themeTint="99"/>
          <w:lang w:val="de-DE"/>
        </w:rPr>
        <w:footnoteRef/>
      </w:r>
      <w:r>
        <w:rPr>
          <w:color w:val="878787" w:themeColor="text2" w:themeTint="99"/>
          <w:lang w:val="de-DE"/>
        </w:rPr>
        <w:t xml:space="preserve"> Anhang VIII Nummer 2 der Verordnung (EU) Nr. 808/2014.</w:t>
      </w:r>
    </w:p>
  </w:footnote>
  <w:footnote w:id="20">
    <w:p w:rsidR="00B3609C" w:rsidRDefault="00882296">
      <w:pPr>
        <w:pStyle w:val="FootnoteText"/>
        <w:rPr>
          <w:color w:val="878787" w:themeColor="text2" w:themeTint="99"/>
          <w:lang w:val="de-DE"/>
        </w:rPr>
      </w:pPr>
      <w:r>
        <w:rPr>
          <w:rStyle w:val="FootnoteReference"/>
          <w:iCs/>
          <w:color w:val="878787" w:themeColor="text2" w:themeTint="99"/>
          <w:lang w:val="de-DE"/>
        </w:rPr>
        <w:footnoteRef/>
      </w:r>
      <w:r>
        <w:rPr>
          <w:color w:val="878787" w:themeColor="text2" w:themeTint="99"/>
          <w:lang w:val="de-DE"/>
        </w:rPr>
        <w:t xml:space="preserve"> Anhang I TEIL I Nummer 9 der Verordnung (EU) Nr. 808/2014.</w:t>
      </w:r>
    </w:p>
  </w:footnote>
  <w:footnote w:id="21">
    <w:p w:rsidR="00B3609C" w:rsidRDefault="00882296">
      <w:pPr>
        <w:pStyle w:val="FootnoteText"/>
        <w:rPr>
          <w:color w:val="878787" w:themeColor="text2" w:themeTint="99"/>
          <w:lang w:val="de-DE"/>
        </w:rPr>
      </w:pPr>
      <w:r>
        <w:rPr>
          <w:rStyle w:val="FootnoteReference"/>
          <w:iCs/>
          <w:color w:val="878787" w:themeColor="text2" w:themeTint="99"/>
          <w:lang w:val="de-DE"/>
        </w:rPr>
        <w:footnoteRef/>
      </w:r>
      <w:r>
        <w:rPr>
          <w:color w:val="878787" w:themeColor="text2" w:themeTint="99"/>
          <w:lang w:val="de-DE"/>
        </w:rPr>
        <w:t xml:space="preserve"> Anhang VII Nummer 7 der Verordnung (EU) Nr. 808/2014.</w:t>
      </w:r>
    </w:p>
  </w:footnote>
  <w:footnote w:id="22">
    <w:p w:rsidR="00B3609C" w:rsidRDefault="00882296">
      <w:pPr>
        <w:pStyle w:val="FootnoteText"/>
        <w:rPr>
          <w:lang w:val="de-DE"/>
        </w:rPr>
      </w:pPr>
      <w:r>
        <w:rPr>
          <w:rStyle w:val="FootnoteReference"/>
          <w:iCs/>
          <w:color w:val="878787" w:themeColor="text2" w:themeTint="99"/>
          <w:lang w:val="de-DE"/>
        </w:rPr>
        <w:footnoteRef/>
      </w:r>
      <w:r>
        <w:rPr>
          <w:color w:val="878787" w:themeColor="text2" w:themeTint="99"/>
          <w:lang w:val="de-DE"/>
        </w:rPr>
        <w:t xml:space="preserve"> Anhang VI der Verordnung (EU) Nr. 808/2014.</w:t>
      </w:r>
    </w:p>
  </w:footnote>
  <w:footnote w:id="23">
    <w:p w:rsidR="00B3609C" w:rsidRDefault="00882296">
      <w:pPr>
        <w:pStyle w:val="FootnoteText"/>
      </w:pPr>
      <w:r>
        <w:rPr>
          <w:rStyle w:val="FootnoteReference"/>
          <w:iCs/>
          <w:color w:val="878787" w:themeColor="text2" w:themeTint="99"/>
          <w:lang w:val="de-DE"/>
        </w:rPr>
        <w:footnoteRef/>
      </w:r>
      <w:r>
        <w:rPr>
          <w:color w:val="878787" w:themeColor="text2" w:themeTint="99"/>
        </w:rPr>
        <w:t xml:space="preserve"> </w:t>
      </w:r>
      <w:hyperlink r:id="rId10" w:history="1">
        <w:r>
          <w:rPr>
            <w:color w:val="878787" w:themeColor="text2" w:themeTint="99"/>
          </w:rPr>
          <w:t xml:space="preserve"> Technical Handbook on the Monitoring and Evaluation of the Common Agriculture Policy 2014-2020, </w:t>
        </w:r>
        <w:proofErr w:type="spellStart"/>
        <w:r>
          <w:rPr>
            <w:color w:val="878787" w:themeColor="text2" w:themeTint="99"/>
          </w:rPr>
          <w:t>Europäische</w:t>
        </w:r>
        <w:proofErr w:type="spellEnd"/>
        <w:r>
          <w:rPr>
            <w:color w:val="878787" w:themeColor="text2" w:themeTint="99"/>
          </w:rPr>
          <w:t xml:space="preserve"> </w:t>
        </w:r>
        <w:proofErr w:type="spellStart"/>
        <w:r>
          <w:rPr>
            <w:color w:val="878787" w:themeColor="text2" w:themeTint="99"/>
          </w:rPr>
          <w:t>Kommission</w:t>
        </w:r>
        <w:proofErr w:type="spellEnd"/>
        <w:r>
          <w:rPr>
            <w:color w:val="878787" w:themeColor="text2" w:themeTint="99"/>
          </w:rPr>
          <w:t xml:space="preserve">, </w:t>
        </w:r>
        <w:proofErr w:type="spellStart"/>
        <w:r>
          <w:rPr>
            <w:color w:val="878787" w:themeColor="text2" w:themeTint="99"/>
          </w:rPr>
          <w:t>Juni</w:t>
        </w:r>
        <w:proofErr w:type="spellEnd"/>
        <w:r>
          <w:rPr>
            <w:color w:val="878787" w:themeColor="text2" w:themeTint="99"/>
          </w:rPr>
          <w:t> 2017</w:t>
        </w:r>
      </w:hyperlink>
      <w:r>
        <w:rPr>
          <w:rStyle w:val="Hyperlink"/>
          <w:color w:val="878787" w:themeColor="text2" w:themeTint="99"/>
          <w:sz w:val="16"/>
          <w:u w:val="none"/>
        </w:rPr>
        <w:t>.</w:t>
      </w:r>
    </w:p>
  </w:footnote>
  <w:footnote w:id="24">
    <w:p w:rsidR="00B3609C" w:rsidRPr="00C419A5" w:rsidRDefault="00882296">
      <w:pPr>
        <w:pStyle w:val="FootnoteText"/>
        <w:rPr>
          <w:rStyle w:val="Hyperlink"/>
          <w:sz w:val="16"/>
          <w:szCs w:val="16"/>
          <w:lang w:val="de-AT"/>
        </w:rPr>
      </w:pPr>
      <w:r>
        <w:rPr>
          <w:rStyle w:val="FootnoteReference"/>
          <w:iCs/>
          <w:color w:val="878787" w:themeColor="text2" w:themeTint="99"/>
          <w:lang w:val="de-DE"/>
        </w:rPr>
        <w:footnoteRef/>
      </w:r>
      <w:r w:rsidRPr="00C419A5">
        <w:rPr>
          <w:color w:val="878787" w:themeColor="text2" w:themeTint="99"/>
          <w:lang w:val="de-AT"/>
        </w:rPr>
        <w:t xml:space="preserve"> </w:t>
      </w:r>
      <w:r w:rsidRPr="00C419A5">
        <w:rPr>
          <w:color w:val="878787" w:themeColor="text2" w:themeTint="99"/>
          <w:szCs w:val="16"/>
          <w:lang w:val="de-AT"/>
        </w:rPr>
        <w:t xml:space="preserve">Weitere Informationen zum Bewertungszyklus siehe Leitlinien </w:t>
      </w:r>
      <w:hyperlink r:id="rId11" w:history="1">
        <w:r w:rsidRPr="00C419A5">
          <w:rPr>
            <w:rStyle w:val="Hyperlink"/>
            <w:sz w:val="16"/>
            <w:szCs w:val="16"/>
            <w:lang w:val="de-AT"/>
          </w:rPr>
          <w:t>„Assessment of RDP results: how to prepare for reporting on evaluation in 2017“</w:t>
        </w:r>
      </w:hyperlink>
      <w:r w:rsidRPr="00C419A5">
        <w:rPr>
          <w:rStyle w:val="Hyperlink"/>
          <w:sz w:val="16"/>
          <w:szCs w:val="16"/>
          <w:lang w:val="de-AT"/>
        </w:rPr>
        <w:t>.</w:t>
      </w:r>
    </w:p>
  </w:footnote>
  <w:footnote w:id="25">
    <w:p w:rsidR="00B3609C" w:rsidRPr="00C419A5" w:rsidRDefault="00882296">
      <w:pPr>
        <w:pStyle w:val="FootnoteText"/>
        <w:rPr>
          <w:lang w:val="de-AT"/>
        </w:rPr>
      </w:pPr>
      <w:r>
        <w:rPr>
          <w:rStyle w:val="FootnoteReference"/>
          <w:b/>
          <w:bCs/>
          <w:iCs/>
          <w:color w:val="878787" w:themeColor="text2" w:themeTint="99"/>
          <w:lang w:val="de-DE"/>
        </w:rPr>
        <w:footnoteRef/>
      </w:r>
      <w:r w:rsidRPr="00C419A5">
        <w:rPr>
          <w:b/>
          <w:bCs/>
          <w:lang w:val="de-AT"/>
        </w:rPr>
        <w:t xml:space="preserve"> </w:t>
      </w:r>
      <w:r w:rsidRPr="00C419A5">
        <w:rPr>
          <w:b/>
          <w:bCs/>
          <w:lang w:val="de-AT"/>
        </w:rPr>
        <w:t>VB – Verwaltungsbehörde,</w:t>
      </w:r>
      <w:r w:rsidRPr="00C419A5">
        <w:rPr>
          <w:lang w:val="de-AT"/>
        </w:rPr>
        <w:t xml:space="preserve"> </w:t>
      </w:r>
      <w:r w:rsidRPr="00C419A5">
        <w:rPr>
          <w:b/>
          <w:bCs/>
          <w:lang w:val="de-AT"/>
        </w:rPr>
        <w:t>MC – Begleitausschuss, PA – Zahlstelle, EvU – Evaluierungsstelle, ESG – Lenkungsgruppe für Bewertung, Ev – Bewerter, DP – Datenlieferanten, O – andere.</w:t>
      </w:r>
    </w:p>
  </w:footnote>
  <w:footnote w:id="26">
    <w:p w:rsidR="00B3609C" w:rsidRDefault="00882296">
      <w:pPr>
        <w:pStyle w:val="FootnoteText"/>
        <w:rPr>
          <w:lang w:val="de-DE"/>
        </w:rPr>
      </w:pPr>
      <w:r>
        <w:rPr>
          <w:rStyle w:val="FootnoteReference"/>
          <w:iCs/>
          <w:color w:val="878787" w:themeColor="text2" w:themeTint="99"/>
          <w:lang w:val="de-DE"/>
        </w:rPr>
        <w:footnoteRef/>
      </w:r>
      <w:r>
        <w:rPr>
          <w:color w:val="878787" w:themeColor="text2" w:themeTint="99"/>
          <w:lang w:val="de-DE"/>
        </w:rPr>
        <w:t xml:space="preserve"> ENVIEVAL war ein EU-Gemeinschaftsprojekt (Finanzhilfevereinbarung Nr. 312071), das von Januar 2013 bis Dezember 2015 im Rahmen des siebten Rahmenprogramms der Europäischen Union für Forschung, technologische Entwicklung und Demonstration Fördermittel erhielt.</w:t>
      </w:r>
    </w:p>
  </w:footnote>
  <w:footnote w:id="27">
    <w:p w:rsidR="00B3609C" w:rsidRPr="00C419A5" w:rsidRDefault="00882296">
      <w:pPr>
        <w:pStyle w:val="FootnoteText"/>
      </w:pPr>
      <w:r>
        <w:rPr>
          <w:rStyle w:val="FootnoteReference"/>
          <w:iCs/>
          <w:color w:val="878787" w:themeColor="text2" w:themeTint="99"/>
          <w:lang w:val="de-DE"/>
        </w:rPr>
        <w:footnoteRef/>
      </w:r>
      <w:r w:rsidRPr="00C419A5">
        <w:t xml:space="preserve"> </w:t>
      </w:r>
      <w:r w:rsidRPr="00C419A5">
        <w:t>Methodological Handbook for the evaluation of environmental impacts of RDPs: Report D9.5, ENVIEVAL-Projekt (Finanzhilfevereinbarung Nr. 312071). Brüssel: Europäische Kommission, Morkvenas Z., Navickas K., Gulbinas J., Jefanovas A., Schwarz G., Wolff A., Offermann F., Osterburg B., Aalders I., Miller D., Morrice J., Vlahos G., Smyrniotopoulou A., Artell J., Aakkula J., Toikkanen H., Povellato A., Longhitano D., Lasorella V., Balazs K., et al (2015), S. 152.</w:t>
      </w:r>
    </w:p>
  </w:footnote>
  <w:footnote w:id="28">
    <w:p w:rsidR="00B3609C" w:rsidRDefault="00882296">
      <w:pPr>
        <w:pStyle w:val="FootnoteText"/>
        <w:rPr>
          <w:lang w:val="de-DE"/>
        </w:rPr>
      </w:pPr>
      <w:r>
        <w:rPr>
          <w:rStyle w:val="FootnoteReference"/>
          <w:iCs/>
          <w:color w:val="878787" w:themeColor="text2" w:themeTint="99"/>
          <w:lang w:val="de-DE"/>
        </w:rPr>
        <w:footnoteRef/>
      </w:r>
      <w:r>
        <w:rPr>
          <w:color w:val="878787" w:themeColor="text2" w:themeTint="99"/>
          <w:lang w:val="de-DE"/>
        </w:rPr>
        <w:t xml:space="preserve"> </w:t>
      </w:r>
      <w:r>
        <w:rPr>
          <w:lang w:val="de-DE"/>
        </w:rPr>
        <w:t xml:space="preserve">Die bei der Nettobewertung der Auswirkungen des Programms zur Entwicklung des ländlichen Raums zu ergreifenden Schritte werden im Dokument </w:t>
      </w:r>
      <w:hyperlink r:id="rId12" w:history="1">
        <w:r>
          <w:rPr>
            <w:rStyle w:val="Hyperlink"/>
            <w:i/>
            <w:iCs/>
            <w:sz w:val="16"/>
            <w:lang w:val="de-DE"/>
          </w:rPr>
          <w:t xml:space="preserve">Guidelines </w:t>
        </w:r>
        <w:proofErr w:type="spellStart"/>
        <w:r>
          <w:rPr>
            <w:rStyle w:val="Hyperlink"/>
            <w:i/>
            <w:iCs/>
            <w:sz w:val="16"/>
            <w:lang w:val="de-DE"/>
          </w:rPr>
          <w:t>for</w:t>
        </w:r>
        <w:proofErr w:type="spellEnd"/>
        <w:r>
          <w:rPr>
            <w:rStyle w:val="Hyperlink"/>
            <w:i/>
            <w:iCs/>
            <w:sz w:val="16"/>
            <w:lang w:val="de-DE"/>
          </w:rPr>
          <w:t xml:space="preserve"> ex </w:t>
        </w:r>
        <w:proofErr w:type="spellStart"/>
        <w:r>
          <w:rPr>
            <w:rStyle w:val="Hyperlink"/>
            <w:i/>
            <w:iCs/>
            <w:sz w:val="16"/>
            <w:lang w:val="de-DE"/>
          </w:rPr>
          <w:t>post</w:t>
        </w:r>
        <w:proofErr w:type="spellEnd"/>
        <w:r>
          <w:rPr>
            <w:rStyle w:val="Hyperlink"/>
            <w:i/>
            <w:iCs/>
            <w:sz w:val="16"/>
            <w:lang w:val="de-DE"/>
          </w:rPr>
          <w:t xml:space="preserve"> </w:t>
        </w:r>
        <w:proofErr w:type="spellStart"/>
        <w:r>
          <w:rPr>
            <w:rStyle w:val="Hyperlink"/>
            <w:i/>
            <w:iCs/>
            <w:sz w:val="16"/>
            <w:lang w:val="de-DE"/>
          </w:rPr>
          <w:t>evaluation</w:t>
        </w:r>
        <w:proofErr w:type="spellEnd"/>
        <w:r>
          <w:rPr>
            <w:rStyle w:val="Hyperlink"/>
            <w:i/>
            <w:iCs/>
            <w:sz w:val="16"/>
            <w:lang w:val="de-DE"/>
          </w:rPr>
          <w:t xml:space="preserve"> </w:t>
        </w:r>
        <w:proofErr w:type="spellStart"/>
        <w:r>
          <w:rPr>
            <w:rStyle w:val="Hyperlink"/>
            <w:i/>
            <w:iCs/>
            <w:sz w:val="16"/>
            <w:lang w:val="de-DE"/>
          </w:rPr>
          <w:t>of</w:t>
        </w:r>
        <w:proofErr w:type="spellEnd"/>
        <w:r>
          <w:rPr>
            <w:rStyle w:val="Hyperlink"/>
            <w:i/>
            <w:iCs/>
            <w:sz w:val="16"/>
            <w:lang w:val="de-DE"/>
          </w:rPr>
          <w:t xml:space="preserve"> 2007–2013</w:t>
        </w:r>
      </w:hyperlink>
      <w:r>
        <w:rPr>
          <w:lang w:val="de-DE"/>
        </w:rPr>
        <w:t>, konkret in den Kapiteln 4.2.3 und 4.2.4, weiter erläutert.</w:t>
      </w:r>
    </w:p>
  </w:footnote>
  <w:footnote w:id="29">
    <w:p w:rsidR="00B3609C" w:rsidRPr="00C419A5" w:rsidRDefault="00882296">
      <w:pPr>
        <w:pStyle w:val="FootnoteText"/>
      </w:pPr>
      <w:r>
        <w:rPr>
          <w:rStyle w:val="FootnoteReference"/>
          <w:iCs/>
          <w:color w:val="878787" w:themeColor="text2" w:themeTint="99"/>
          <w:lang w:val="de-DE"/>
        </w:rPr>
        <w:footnoteRef/>
      </w:r>
      <w:r w:rsidRPr="00C419A5">
        <w:t xml:space="preserve"> </w:t>
      </w:r>
      <w:r w:rsidRPr="00C419A5">
        <w:t xml:space="preserve">Weitere Informationen siehe: „Landscape-moderated biodiversity effects of agri-environmental management: a meta-analysis“, Proceedings of the Royal Society of London B: Biological Studies, 278 (1713): 1894–1902, Batáry P., Báldi A., Kleijn D., Tscharntke T., (2011). </w:t>
      </w:r>
    </w:p>
  </w:footnote>
  <w:footnote w:id="30">
    <w:p w:rsidR="00B3609C" w:rsidRPr="00C419A5" w:rsidRDefault="00882296">
      <w:pPr>
        <w:pStyle w:val="FootnoteText"/>
      </w:pPr>
      <w:r>
        <w:rPr>
          <w:rStyle w:val="FootnoteReference"/>
          <w:iCs/>
          <w:color w:val="878787" w:themeColor="text2" w:themeTint="99"/>
          <w:lang w:val="de-DE"/>
        </w:rPr>
        <w:footnoteRef/>
      </w:r>
      <w:r w:rsidRPr="00C419A5">
        <w:rPr>
          <w:color w:val="878787" w:themeColor="text2" w:themeTint="99"/>
        </w:rPr>
        <w:t xml:space="preserve"> </w:t>
      </w:r>
      <w:r w:rsidRPr="00C419A5">
        <w:t xml:space="preserve">Weitere Informationen siehe: „Organic farming at local and landscape scales benefits plant diversity“, Ecography 33(3): 514- 522, Rundlöf M., Edlund M., Smith H. G., (2009).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609C" w:rsidRDefault="00882296">
    <w:pPr>
      <w:pStyle w:val="Header"/>
      <w:rPr>
        <w:lang w:val="de-DE"/>
      </w:rPr>
    </w:pPr>
    <w:r>
      <w:rPr>
        <w:lang w:val="de-DE"/>
      </w:rPr>
      <w:tab/>
      <w:t>Teil I – Welche Bewertungen müssen in den jährlichen Durchführungsbericht für 2019 einfließen?</w:t>
    </w:r>
  </w:p>
  <w:p w:rsidR="00B3609C" w:rsidRDefault="00B3609C">
    <w:pPr>
      <w:pStyle w:val="Header"/>
      <w:rPr>
        <w:lang w:val="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609C" w:rsidRDefault="00882296">
    <w:pPr>
      <w:pStyle w:val="Header"/>
      <w:tabs>
        <w:tab w:val="clear" w:pos="9072"/>
        <w:tab w:val="right" w:pos="14175"/>
      </w:tabs>
      <w:rPr>
        <w:lang w:val="de-DE"/>
      </w:rPr>
    </w:pPr>
    <w:r>
      <w:rPr>
        <w:lang w:val="de-DE"/>
      </w:rPr>
      <w:tab/>
      <w:t>TEIL III: Datenblätter für die Beantwortung der CEQ</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2DB0"/>
    <w:multiLevelType w:val="hybridMultilevel"/>
    <w:tmpl w:val="0EC4DACE"/>
    <w:lvl w:ilvl="0" w:tplc="01F6A078">
      <w:start w:val="1"/>
      <w:numFmt w:val="decimal"/>
      <w:lvlText w:val="Box %1."/>
      <w:lvlJc w:val="left"/>
      <w:pPr>
        <w:tabs>
          <w:tab w:val="num" w:pos="964"/>
        </w:tabs>
        <w:ind w:left="964" w:hanging="964"/>
      </w:pPr>
      <w:rPr>
        <w:rFonts w:hint="default"/>
      </w:rPr>
    </w:lvl>
    <w:lvl w:ilvl="1" w:tplc="04070019">
      <w:start w:val="1"/>
      <w:numFmt w:val="lowerLetter"/>
      <w:lvlText w:val="%2."/>
      <w:lvlJc w:val="left"/>
      <w:pPr>
        <w:ind w:left="1440" w:hanging="360"/>
      </w:pPr>
    </w:lvl>
    <w:lvl w:ilvl="2" w:tplc="08090017">
      <w:start w:val="1"/>
      <w:numFmt w:val="lowerLetter"/>
      <w:lvlText w:val="%3)"/>
      <w:lvlJc w:val="lef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E700E3"/>
    <w:multiLevelType w:val="hybridMultilevel"/>
    <w:tmpl w:val="4C805968"/>
    <w:lvl w:ilvl="0" w:tplc="12F6D094">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77E1094"/>
    <w:multiLevelType w:val="multilevel"/>
    <w:tmpl w:val="9552195C"/>
    <w:lvl w:ilvl="0">
      <w:start w:val="1"/>
      <w:numFmt w:val="decimal"/>
      <w:lvlText w:val="Table %1"/>
      <w:lvlJc w:val="left"/>
      <w:pPr>
        <w:ind w:left="851" w:hanging="851"/>
      </w:pPr>
      <w:rPr>
        <w:rFonts w:ascii="Arial" w:hAnsi="Arial" w:cs="Times New Roman" w:hint="default"/>
        <w:b/>
        <w:bCs w:val="0"/>
        <w:i w:val="0"/>
        <w:iCs w:val="0"/>
        <w:caps w:val="0"/>
        <w:smallCaps w:val="0"/>
        <w:strike w:val="0"/>
        <w:dstrike w:val="0"/>
        <w:noProof w:val="0"/>
        <w:vanish w:val="0"/>
        <w:color w:val="000000"/>
        <w:spacing w:val="0"/>
        <w:kern w:val="0"/>
        <w:position w:val="0"/>
        <w:sz w:val="16"/>
        <w:szCs w:val="16"/>
        <w:u w:val="none"/>
        <w:effect w:val="none"/>
        <w:vertAlign w:val="baseline"/>
        <w:em w:val="none"/>
        <w:specVanish w:val="0"/>
      </w:rPr>
    </w:lvl>
    <w:lvl w:ilvl="1">
      <w:start w:val="1"/>
      <w:numFmt w:val="lowerLetter"/>
      <w:lvlText w:val="%2."/>
      <w:lvlJc w:val="left"/>
      <w:pPr>
        <w:ind w:left="2073" w:hanging="360"/>
      </w:pPr>
      <w:rPr>
        <w:rFonts w:hint="default"/>
      </w:rPr>
    </w:lvl>
    <w:lvl w:ilvl="2">
      <w:start w:val="1"/>
      <w:numFmt w:val="lowerRoman"/>
      <w:lvlText w:val="%3."/>
      <w:lvlJc w:val="right"/>
      <w:pPr>
        <w:ind w:left="2793" w:hanging="180"/>
      </w:pPr>
      <w:rPr>
        <w:rFonts w:hint="default"/>
      </w:rPr>
    </w:lvl>
    <w:lvl w:ilvl="3">
      <w:start w:val="1"/>
      <w:numFmt w:val="decimal"/>
      <w:lvlText w:val="%4."/>
      <w:lvlJc w:val="left"/>
      <w:pPr>
        <w:ind w:left="3513" w:hanging="360"/>
      </w:pPr>
      <w:rPr>
        <w:rFonts w:hint="default"/>
      </w:rPr>
    </w:lvl>
    <w:lvl w:ilvl="4">
      <w:start w:val="1"/>
      <w:numFmt w:val="lowerLetter"/>
      <w:lvlText w:val="%5."/>
      <w:lvlJc w:val="left"/>
      <w:pPr>
        <w:ind w:left="4233" w:hanging="360"/>
      </w:pPr>
      <w:rPr>
        <w:rFonts w:hint="default"/>
      </w:rPr>
    </w:lvl>
    <w:lvl w:ilvl="5">
      <w:start w:val="1"/>
      <w:numFmt w:val="lowerRoman"/>
      <w:lvlText w:val="%6."/>
      <w:lvlJc w:val="right"/>
      <w:pPr>
        <w:ind w:left="4953" w:hanging="180"/>
      </w:pPr>
      <w:rPr>
        <w:rFonts w:hint="default"/>
      </w:rPr>
    </w:lvl>
    <w:lvl w:ilvl="6">
      <w:start w:val="1"/>
      <w:numFmt w:val="decimal"/>
      <w:lvlText w:val="%7."/>
      <w:lvlJc w:val="left"/>
      <w:pPr>
        <w:ind w:left="5673" w:hanging="360"/>
      </w:pPr>
      <w:rPr>
        <w:rFonts w:hint="default"/>
      </w:rPr>
    </w:lvl>
    <w:lvl w:ilvl="7">
      <w:start w:val="1"/>
      <w:numFmt w:val="lowerLetter"/>
      <w:lvlText w:val="%8."/>
      <w:lvlJc w:val="left"/>
      <w:pPr>
        <w:ind w:left="6393" w:hanging="360"/>
      </w:pPr>
      <w:rPr>
        <w:rFonts w:hint="default"/>
      </w:rPr>
    </w:lvl>
    <w:lvl w:ilvl="8">
      <w:start w:val="1"/>
      <w:numFmt w:val="lowerRoman"/>
      <w:lvlText w:val="%9."/>
      <w:lvlJc w:val="right"/>
      <w:pPr>
        <w:ind w:left="7113" w:hanging="180"/>
      </w:pPr>
      <w:rPr>
        <w:rFonts w:hint="default"/>
      </w:rPr>
    </w:lvl>
  </w:abstractNum>
  <w:abstractNum w:abstractNumId="3" w15:restartNumberingAfterBreak="0">
    <w:nsid w:val="0AC8565D"/>
    <w:multiLevelType w:val="hybridMultilevel"/>
    <w:tmpl w:val="BB8A429A"/>
    <w:lvl w:ilvl="0" w:tplc="A49EE124">
      <w:start w:val="1"/>
      <w:numFmt w:val="decimal"/>
      <w:lvlText w:val="Map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BBC6932"/>
    <w:multiLevelType w:val="hybridMultilevel"/>
    <w:tmpl w:val="BBBE01C4"/>
    <w:lvl w:ilvl="0" w:tplc="91608FB0">
      <w:start w:val="1"/>
      <w:numFmt w:val="bullet"/>
      <w:lvlText w:val=""/>
      <w:lvlJc w:val="left"/>
      <w:pPr>
        <w:ind w:left="928" w:hanging="360"/>
      </w:pPr>
      <w:rPr>
        <w:rFonts w:ascii="Symbol" w:hAnsi="Symbol" w:hint="default"/>
        <w:color w:val="57825E"/>
        <w:sz w:val="18"/>
        <w:szCs w:val="18"/>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F4A5D2C"/>
    <w:multiLevelType w:val="hybridMultilevel"/>
    <w:tmpl w:val="69AE94FE"/>
    <w:lvl w:ilvl="0" w:tplc="9298593A">
      <w:start w:val="1"/>
      <w:numFmt w:val="decimal"/>
      <w:pStyle w:val="Heading2"/>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1523FE4"/>
    <w:multiLevelType w:val="hybridMultilevel"/>
    <w:tmpl w:val="A6768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8D77C6"/>
    <w:multiLevelType w:val="hybridMultilevel"/>
    <w:tmpl w:val="E8406B72"/>
    <w:lvl w:ilvl="0" w:tplc="0CB032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6"/>
  </w:num>
  <w:num w:numId="4">
    <w:abstractNumId w:val="7"/>
  </w:num>
  <w:num w:numId="5">
    <w:abstractNumId w:val="0"/>
  </w:num>
  <w:num w:numId="6">
    <w:abstractNumId w:val="5"/>
  </w:num>
  <w:num w:numId="7">
    <w:abstractNumId w:val="5"/>
  </w:num>
  <w:num w:numId="8">
    <w:abstractNumId w:val="5"/>
  </w:num>
  <w:num w:numId="9">
    <w:abstractNumId w:val="5"/>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284"/>
  <w:doNotHyphenateCaps/>
  <w:noPunctuationKerning/>
  <w:characterSpacingControl w:val="doNotCompress"/>
  <w:alwaysMergeEmptyNamespac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WTEMPLATE_ORANGE_2017"/>
  </w:docVars>
  <w:rsids>
    <w:rsidRoot w:val="00B3609C"/>
    <w:rsid w:val="001D1D38"/>
    <w:rsid w:val="001E023A"/>
    <w:rsid w:val="0080587B"/>
    <w:rsid w:val="00882296"/>
    <w:rsid w:val="00B3609C"/>
    <w:rsid w:val="00C419A5"/>
    <w:rsid w:val="00C560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A5B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emiHidden/>
    <w:qFormat/>
    <w:pPr>
      <w:spacing w:before="60" w:after="140" w:line="220" w:lineRule="atLeast"/>
      <w:jc w:val="both"/>
    </w:pPr>
    <w:rPr>
      <w:rFonts w:ascii="Arial" w:hAnsi="Arial"/>
      <w:sz w:val="18"/>
      <w:szCs w:val="24"/>
      <w:lang w:val="en-GB"/>
    </w:rPr>
  </w:style>
  <w:style w:type="paragraph" w:styleId="Heading1">
    <w:name w:val="heading 1"/>
    <w:basedOn w:val="Normal"/>
    <w:next w:val="Normal"/>
    <w:semiHidden/>
    <w:qFormat/>
    <w:pPr>
      <w:keepNext/>
      <w:framePr w:hSpace="142" w:vSpace="142" w:wrap="notBeside" w:vAnchor="page" w:hAnchor="margin" w:y="1532"/>
      <w:pBdr>
        <w:left w:val="single" w:sz="48" w:space="8" w:color="33CCCC"/>
      </w:pBdr>
      <w:tabs>
        <w:tab w:val="left" w:pos="227"/>
        <w:tab w:val="num" w:pos="360"/>
      </w:tabs>
      <w:suppressAutoHyphens/>
      <w:spacing w:after="20" w:line="240" w:lineRule="auto"/>
      <w:ind w:left="227" w:hanging="227"/>
      <w:jc w:val="left"/>
      <w:outlineLvl w:val="0"/>
    </w:pPr>
    <w:rPr>
      <w:rFonts w:cs="Arial"/>
      <w:b/>
      <w:bCs/>
      <w:kern w:val="32"/>
      <w:sz w:val="24"/>
      <w:szCs w:val="32"/>
    </w:rPr>
  </w:style>
  <w:style w:type="paragraph" w:styleId="Heading2">
    <w:name w:val="heading 2"/>
    <w:aliases w:val="Titre B,no vale,Heading 2 Char1,Heading 2 Char Char"/>
    <w:basedOn w:val="Normal"/>
    <w:next w:val="Normal"/>
    <w:uiPriority w:val="9"/>
    <w:qFormat/>
    <w:pPr>
      <w:keepNext/>
      <w:numPr>
        <w:numId w:val="6"/>
      </w:numPr>
      <w:tabs>
        <w:tab w:val="left" w:pos="454"/>
      </w:tabs>
      <w:suppressAutoHyphens/>
      <w:spacing w:before="240" w:line="260" w:lineRule="exact"/>
      <w:jc w:val="left"/>
      <w:outlineLvl w:val="1"/>
    </w:pPr>
    <w:rPr>
      <w:rFonts w:cs="Arial"/>
      <w:b/>
      <w:bCs/>
      <w:iCs/>
      <w:sz w:val="22"/>
      <w:szCs w:val="28"/>
    </w:rPr>
  </w:style>
  <w:style w:type="paragraph" w:styleId="Heading3">
    <w:name w:val="heading 3"/>
    <w:aliases w:val="H3,no vale1,no vale1 Car"/>
    <w:basedOn w:val="Normal"/>
    <w:next w:val="Normal"/>
    <w:qFormat/>
    <w:pPr>
      <w:keepNext/>
      <w:tabs>
        <w:tab w:val="num" w:pos="360"/>
        <w:tab w:val="left" w:pos="567"/>
      </w:tabs>
      <w:suppressAutoHyphens/>
      <w:spacing w:before="240" w:line="240" w:lineRule="exact"/>
      <w:ind w:left="567" w:hanging="567"/>
      <w:jc w:val="left"/>
      <w:outlineLvl w:val="2"/>
    </w:pPr>
    <w:rPr>
      <w:rFonts w:cs="Arial"/>
      <w:b/>
      <w:bCs/>
      <w:color w:val="5F5F5F"/>
      <w:sz w:val="20"/>
      <w:szCs w:val="26"/>
    </w:rPr>
  </w:style>
  <w:style w:type="paragraph" w:styleId="Heading4">
    <w:name w:val="heading 4"/>
    <w:basedOn w:val="Normal"/>
    <w:next w:val="Normal"/>
    <w:semiHidden/>
    <w:qFormat/>
    <w:pPr>
      <w:keepNext/>
      <w:tabs>
        <w:tab w:val="num" w:pos="360"/>
        <w:tab w:val="left" w:pos="680"/>
      </w:tabs>
      <w:suppressAutoHyphens/>
      <w:spacing w:before="240"/>
      <w:ind w:left="680" w:hanging="680"/>
      <w:jc w:val="left"/>
      <w:outlineLvl w:val="3"/>
    </w:pPr>
    <w:rPr>
      <w:b/>
      <w:bCs/>
      <w:color w:val="5F5F5F"/>
      <w:szCs w:val="28"/>
    </w:rPr>
  </w:style>
  <w:style w:type="paragraph" w:styleId="Heading5">
    <w:name w:val="heading 5"/>
    <w:basedOn w:val="Normal"/>
    <w:next w:val="Normal"/>
    <w:semiHidden/>
    <w:qFormat/>
    <w:pPr>
      <w:suppressAutoHyphens/>
      <w:spacing w:before="200" w:after="100"/>
      <w:jc w:val="left"/>
      <w:outlineLvl w:val="4"/>
    </w:pPr>
    <w:rPr>
      <w:b/>
      <w:bCs/>
      <w:iCs/>
      <w:color w:val="5F5F5F"/>
      <w:szCs w:val="26"/>
      <w:lang w:val="de-DE"/>
    </w:rPr>
  </w:style>
  <w:style w:type="paragraph" w:styleId="Heading6">
    <w:name w:val="heading 6"/>
    <w:basedOn w:val="Normal"/>
    <w:next w:val="Normal"/>
    <w:semiHidden/>
    <w:qFormat/>
    <w:pPr>
      <w:suppressAutoHyphens/>
      <w:spacing w:before="140" w:line="200" w:lineRule="exact"/>
      <w:jc w:val="left"/>
      <w:outlineLvl w:val="5"/>
    </w:pPr>
    <w:rPr>
      <w:b/>
      <w:bCs/>
      <w:color w:val="808080"/>
      <w:sz w:val="16"/>
      <w:szCs w:val="22"/>
    </w:rPr>
  </w:style>
  <w:style w:type="paragraph" w:styleId="Heading7">
    <w:name w:val="heading 7"/>
    <w:basedOn w:val="Normal"/>
    <w:next w:val="Normal"/>
    <w:qFormat/>
    <w:pPr>
      <w:suppressAutoHyphens/>
      <w:spacing w:before="140" w:line="200" w:lineRule="exact"/>
      <w:jc w:val="left"/>
      <w:outlineLvl w:val="6"/>
    </w:pPr>
    <w:rPr>
      <w:b/>
      <w:color w:val="808080"/>
      <w:sz w:val="16"/>
    </w:rPr>
  </w:style>
  <w:style w:type="paragraph" w:styleId="Heading8">
    <w:name w:val="heading 8"/>
    <w:basedOn w:val="Normal"/>
    <w:next w:val="Normal"/>
    <w:qFormat/>
    <w:pPr>
      <w:suppressAutoHyphens/>
      <w:spacing w:before="140" w:line="200" w:lineRule="exact"/>
      <w:jc w:val="left"/>
      <w:outlineLvl w:val="7"/>
    </w:pPr>
    <w:rPr>
      <w:b/>
      <w:iCs/>
      <w:color w:val="808080"/>
      <w:sz w:val="16"/>
    </w:rPr>
  </w:style>
  <w:style w:type="paragraph" w:styleId="Heading9">
    <w:name w:val="heading 9"/>
    <w:basedOn w:val="Heading1"/>
    <w:next w:val="Normal"/>
    <w:semiHidden/>
    <w:qFormat/>
    <w:pPr>
      <w:framePr w:wrap="notBeside"/>
      <w:tabs>
        <w:tab w:val="clear" w:pos="360"/>
      </w:tabs>
      <w:ind w:left="0" w:firstLine="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next w:val="Normal"/>
    <w:uiPriority w:val="39"/>
    <w:pPr>
      <w:tabs>
        <w:tab w:val="left" w:pos="454"/>
        <w:tab w:val="right" w:leader="dot" w:pos="9072"/>
      </w:tabs>
      <w:suppressAutoHyphens/>
      <w:spacing w:before="60" w:line="280" w:lineRule="exact"/>
      <w:ind w:left="454" w:hanging="454"/>
    </w:pPr>
    <w:rPr>
      <w:rFonts w:ascii="Arial" w:hAnsi="Arial"/>
      <w:color w:val="373737" w:themeColor="text1"/>
      <w:szCs w:val="22"/>
      <w:lang w:val="en-GB"/>
    </w:rPr>
  </w:style>
  <w:style w:type="paragraph" w:styleId="Header">
    <w:name w:val="header"/>
    <w:pPr>
      <w:tabs>
        <w:tab w:val="right" w:pos="9072"/>
      </w:tabs>
      <w:spacing w:before="60"/>
    </w:pPr>
    <w:rPr>
      <w:rFonts w:ascii="Arial" w:hAnsi="Arial"/>
      <w:color w:val="F07E31" w:themeColor="accent1"/>
      <w:sz w:val="18"/>
      <w:lang w:val="en-GB"/>
    </w:rPr>
  </w:style>
  <w:style w:type="paragraph" w:styleId="Footer">
    <w:name w:val="footer"/>
    <w:link w:val="FooterChar"/>
    <w:uiPriority w:val="99"/>
    <w:pPr>
      <w:tabs>
        <w:tab w:val="right" w:pos="8618"/>
      </w:tabs>
      <w:ind w:left="-907" w:right="-907"/>
      <w:jc w:val="center"/>
    </w:pPr>
    <w:rPr>
      <w:rFonts w:ascii="Arial" w:hAnsi="Arial"/>
      <w:color w:val="373737"/>
      <w:sz w:val="22"/>
      <w:lang w:val="en-GB"/>
    </w:rPr>
  </w:style>
  <w:style w:type="character" w:styleId="PageNumber">
    <w:name w:val="page number"/>
    <w:basedOn w:val="DefaultParagraphFont"/>
    <w:semiHidden/>
    <w:rPr>
      <w:rFonts w:ascii="Arial" w:hAnsi="Arial"/>
      <w:color w:val="808080"/>
      <w:sz w:val="18"/>
    </w:rPr>
  </w:style>
  <w:style w:type="paragraph" w:customStyle="1" w:styleId="HTitle2">
    <w:name w:val="H_Title2"/>
    <w:basedOn w:val="Normal"/>
    <w:qFormat/>
    <w:pPr>
      <w:autoSpaceDE w:val="0"/>
      <w:autoSpaceDN w:val="0"/>
      <w:adjustRightInd w:val="0"/>
      <w:spacing w:before="0" w:after="120" w:line="280" w:lineRule="atLeast"/>
      <w:jc w:val="left"/>
    </w:pPr>
    <w:rPr>
      <w:smallCaps/>
      <w:color w:val="373737" w:themeColor="text1"/>
      <w:sz w:val="44"/>
      <w:szCs w:val="52"/>
    </w:rPr>
  </w:style>
  <w:style w:type="paragraph" w:customStyle="1" w:styleId="Hlistbullet">
    <w:name w:val="H_list_bullet"/>
    <w:pPr>
      <w:spacing w:before="60" w:after="60" w:line="220" w:lineRule="atLeast"/>
      <w:jc w:val="both"/>
    </w:pPr>
    <w:rPr>
      <w:rFonts w:ascii="Arial" w:hAnsi="Arial"/>
      <w:color w:val="373737" w:themeColor="text1"/>
      <w:lang w:val="en-GB"/>
    </w:rPr>
  </w:style>
  <w:style w:type="paragraph" w:customStyle="1" w:styleId="Hlistbullet2">
    <w:name w:val="H_list_bullet2"/>
    <w:basedOn w:val="Hlistbullet"/>
    <w:next w:val="HStandard"/>
    <w:pPr>
      <w:ind w:left="1134"/>
    </w:pPr>
  </w:style>
  <w:style w:type="paragraph" w:customStyle="1" w:styleId="Hlistabc">
    <w:name w:val="H_list_abc"/>
    <w:pPr>
      <w:tabs>
        <w:tab w:val="num" w:pos="360"/>
      </w:tabs>
      <w:spacing w:before="60" w:after="60" w:line="220" w:lineRule="atLeast"/>
      <w:jc w:val="both"/>
    </w:pPr>
    <w:rPr>
      <w:rFonts w:ascii="Arial" w:hAnsi="Arial"/>
      <w:color w:val="373737" w:themeColor="text1"/>
      <w:lang w:val="en-GB"/>
    </w:rPr>
  </w:style>
  <w:style w:type="paragraph" w:customStyle="1" w:styleId="Hlistabc2">
    <w:name w:val="H_list_abc_2"/>
    <w:basedOn w:val="Hlistabc"/>
    <w:next w:val="HStandard"/>
    <w:pPr>
      <w:spacing w:after="140"/>
      <w:ind w:left="1134"/>
    </w:pPr>
  </w:style>
  <w:style w:type="paragraph" w:customStyle="1" w:styleId="HTitle1">
    <w:name w:val="H_Title1"/>
    <w:basedOn w:val="Normal"/>
    <w:pPr>
      <w:autoSpaceDE w:val="0"/>
      <w:autoSpaceDN w:val="0"/>
      <w:adjustRightInd w:val="0"/>
      <w:spacing w:before="0" w:after="120" w:line="280" w:lineRule="atLeast"/>
    </w:pPr>
    <w:rPr>
      <w:bCs/>
      <w:smallCaps/>
      <w:color w:val="F07E31" w:themeColor="accent1"/>
      <w:sz w:val="60"/>
      <w:szCs w:val="32"/>
    </w:rPr>
  </w:style>
  <w:style w:type="paragraph" w:customStyle="1" w:styleId="Autor">
    <w:name w:val="Autor"/>
    <w:basedOn w:val="Normal"/>
    <w:pPr>
      <w:spacing w:before="0" w:after="0" w:line="280" w:lineRule="exact"/>
      <w:jc w:val="left"/>
    </w:pPr>
    <w:rPr>
      <w:sz w:val="20"/>
    </w:rPr>
  </w:style>
  <w:style w:type="paragraph" w:customStyle="1" w:styleId="HTitle3">
    <w:name w:val="H_Title3"/>
    <w:basedOn w:val="Autor"/>
    <w:rPr>
      <w:smallCaps/>
      <w:color w:val="373737" w:themeColor="text1"/>
      <w:sz w:val="28"/>
    </w:rPr>
  </w:style>
  <w:style w:type="paragraph" w:styleId="TOC1">
    <w:name w:val="toc 1"/>
    <w:next w:val="Normal"/>
    <w:uiPriority w:val="39"/>
    <w:pPr>
      <w:tabs>
        <w:tab w:val="left" w:pos="454"/>
        <w:tab w:val="right" w:leader="dot" w:pos="9072"/>
      </w:tabs>
      <w:suppressAutoHyphens/>
      <w:spacing w:before="60" w:line="280" w:lineRule="exact"/>
      <w:ind w:left="454" w:hanging="454"/>
    </w:pPr>
    <w:rPr>
      <w:rFonts w:ascii="Arial" w:hAnsi="Arial"/>
      <w:noProof/>
      <w:color w:val="373737" w:themeColor="text1"/>
      <w:lang w:val="en-GB"/>
    </w:rPr>
  </w:style>
  <w:style w:type="paragraph" w:styleId="TOC3">
    <w:name w:val="toc 3"/>
    <w:next w:val="Normal"/>
    <w:uiPriority w:val="39"/>
    <w:pPr>
      <w:tabs>
        <w:tab w:val="left" w:pos="1021"/>
        <w:tab w:val="right" w:leader="dot" w:pos="9072"/>
      </w:tabs>
      <w:suppressAutoHyphens/>
      <w:spacing w:before="60" w:line="280" w:lineRule="exact"/>
      <w:ind w:left="1021" w:hanging="567"/>
    </w:pPr>
    <w:rPr>
      <w:rFonts w:ascii="Arial" w:hAnsi="Arial"/>
      <w:color w:val="373737" w:themeColor="text1"/>
      <w:sz w:val="18"/>
      <w:lang w:val="en-GB"/>
    </w:rPr>
  </w:style>
  <w:style w:type="paragraph" w:customStyle="1" w:styleId="Fuzeilequerformat">
    <w:name w:val="Fußzeile_querformat"/>
    <w:basedOn w:val="Footer"/>
    <w:pPr>
      <w:tabs>
        <w:tab w:val="clear" w:pos="8618"/>
        <w:tab w:val="right" w:pos="12871"/>
      </w:tabs>
    </w:pPr>
  </w:style>
  <w:style w:type="paragraph" w:styleId="TableofFigures">
    <w:name w:val="table of figures"/>
    <w:next w:val="HStandard"/>
    <w:uiPriority w:val="99"/>
    <w:pPr>
      <w:tabs>
        <w:tab w:val="left" w:pos="851"/>
        <w:tab w:val="right" w:leader="dot" w:pos="7711"/>
      </w:tabs>
      <w:suppressAutoHyphens/>
      <w:spacing w:before="60" w:line="280" w:lineRule="exact"/>
      <w:ind w:left="851" w:right="284" w:hanging="851"/>
    </w:pPr>
    <w:rPr>
      <w:rFonts w:ascii="Arial" w:hAnsi="Arial"/>
      <w:color w:val="373737" w:themeColor="text1"/>
      <w:lang w:val="en-GB"/>
    </w:rPr>
  </w:style>
  <w:style w:type="paragraph" w:customStyle="1" w:styleId="Hlistline3">
    <w:name w:val="H_list_line3"/>
    <w:pPr>
      <w:tabs>
        <w:tab w:val="num" w:pos="360"/>
      </w:tabs>
      <w:spacing w:before="60" w:after="60" w:line="220" w:lineRule="atLeast"/>
      <w:ind w:left="851" w:hanging="284"/>
    </w:pPr>
    <w:rPr>
      <w:rFonts w:ascii="Arial" w:hAnsi="Arial"/>
      <w:color w:val="373737" w:themeColor="text1"/>
      <w:lang w:val="en-GB"/>
    </w:rPr>
  </w:style>
  <w:style w:type="paragraph" w:customStyle="1" w:styleId="Hlistline4">
    <w:name w:val="H_list_line4"/>
    <w:basedOn w:val="Hlistline3"/>
    <w:next w:val="HStandard"/>
    <w:pPr>
      <w:ind w:left="1135"/>
    </w:pPr>
  </w:style>
  <w:style w:type="paragraph" w:customStyle="1" w:styleId="HSource">
    <w:name w:val="H_Source"/>
    <w:next w:val="HStandard"/>
    <w:pPr>
      <w:suppressAutoHyphens/>
      <w:spacing w:before="60" w:after="60"/>
      <w:jc w:val="center"/>
    </w:pPr>
    <w:rPr>
      <w:rFonts w:ascii="Arial" w:hAnsi="Arial"/>
      <w:i/>
      <w:color w:val="373737"/>
      <w:sz w:val="16"/>
      <w:lang w:val="en-GB"/>
    </w:rPr>
  </w:style>
  <w:style w:type="paragraph" w:customStyle="1" w:styleId="Htableleft">
    <w:name w:val="H_table_left"/>
    <w:pPr>
      <w:suppressAutoHyphens/>
      <w:spacing w:before="40" w:after="40"/>
    </w:pPr>
    <w:rPr>
      <w:rFonts w:ascii="Arial" w:hAnsi="Arial"/>
      <w:color w:val="373737" w:themeColor="text1"/>
      <w:sz w:val="18"/>
      <w:lang w:val="en-GB"/>
    </w:rPr>
  </w:style>
  <w:style w:type="paragraph" w:customStyle="1" w:styleId="Htablecentered">
    <w:name w:val="H_table_centered"/>
    <w:basedOn w:val="Htableleft"/>
    <w:pPr>
      <w:jc w:val="center"/>
    </w:pPr>
  </w:style>
  <w:style w:type="paragraph" w:customStyle="1" w:styleId="Htableleftbolt">
    <w:name w:val="H_table_left_bolt"/>
    <w:basedOn w:val="Htableleft"/>
    <w:rPr>
      <w:b/>
      <w:color w:val="FFFFFF" w:themeColor="background1"/>
    </w:rPr>
  </w:style>
  <w:style w:type="paragraph" w:customStyle="1" w:styleId="Htablecenteredbolt">
    <w:name w:val="H_table_centered_bolt"/>
    <w:basedOn w:val="Htablecentered"/>
    <w:rPr>
      <w:b/>
      <w:color w:val="FFFFFF" w:themeColor="background1"/>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
    <w:uiPriority w:val="99"/>
    <w:qFormat/>
    <w:pPr>
      <w:spacing w:line="180" w:lineRule="exact"/>
      <w:ind w:left="170" w:hanging="170"/>
      <w:jc w:val="both"/>
    </w:pPr>
    <w:rPr>
      <w:rFonts w:ascii="Arial" w:hAnsi="Arial"/>
      <w:color w:val="808080"/>
      <w:sz w:val="16"/>
      <w:lang w:val="en-GB"/>
    </w:rPr>
  </w:style>
  <w:style w:type="paragraph" w:customStyle="1" w:styleId="Htablebullet">
    <w:name w:val="H_table_bullet"/>
    <w:basedOn w:val="Htableleft"/>
    <w:pPr>
      <w:tabs>
        <w:tab w:val="num" w:pos="360"/>
      </w:tabs>
      <w:ind w:left="170" w:hanging="170"/>
    </w:p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rPr>
      <w:rFonts w:ascii="Arial" w:hAnsi="Arial"/>
      <w:i/>
      <w:dstrike w:val="0"/>
      <w:color w:val="373737" w:themeColor="text1"/>
      <w:position w:val="6"/>
      <w:sz w:val="12"/>
      <w:vertAlign w:val="baseline"/>
      <w:lang w:val="en-GB"/>
    </w:rPr>
  </w:style>
  <w:style w:type="paragraph" w:customStyle="1" w:styleId="HContent">
    <w:name w:val="H_Content"/>
    <w:basedOn w:val="Heading1"/>
    <w:next w:val="HStandard"/>
    <w:pPr>
      <w:pageBreakBefore/>
      <w:framePr w:hSpace="0" w:vSpace="0" w:wrap="auto" w:vAnchor="margin" w:hAnchor="text" w:yAlign="inline"/>
      <w:pBdr>
        <w:left w:val="none" w:sz="0" w:space="0" w:color="auto"/>
      </w:pBdr>
      <w:tabs>
        <w:tab w:val="clear" w:pos="360"/>
      </w:tabs>
      <w:spacing w:before="360" w:after="360" w:line="280" w:lineRule="atLeast"/>
      <w:ind w:left="0" w:firstLine="0"/>
    </w:pPr>
    <w:rPr>
      <w:caps/>
      <w:color w:val="F07E31" w:themeColor="accent1"/>
      <w:sz w:val="20"/>
    </w:rPr>
  </w:style>
  <w:style w:type="paragraph" w:customStyle="1" w:styleId="HHeading1">
    <w:name w:val="H_Heading 1"/>
    <w:next w:val="HStandard"/>
    <w:pPr>
      <w:keepNext/>
      <w:keepLines/>
      <w:pageBreakBefore/>
      <w:tabs>
        <w:tab w:val="left" w:pos="567"/>
      </w:tabs>
      <w:spacing w:before="360" w:after="360" w:line="280" w:lineRule="atLeast"/>
      <w:outlineLvl w:val="0"/>
    </w:pPr>
    <w:rPr>
      <w:rFonts w:ascii="Arial" w:hAnsi="Arial"/>
      <w:b/>
      <w:caps/>
      <w:color w:val="F07E31" w:themeColor="accent1"/>
      <w:lang w:val="en-GB"/>
    </w:rPr>
  </w:style>
  <w:style w:type="paragraph" w:customStyle="1" w:styleId="HHeading2">
    <w:name w:val="H_Heading 2"/>
    <w:next w:val="HStandard"/>
    <w:pPr>
      <w:keepNext/>
      <w:keepLines/>
      <w:tabs>
        <w:tab w:val="left" w:pos="567"/>
      </w:tabs>
      <w:spacing w:before="240" w:after="140" w:line="260" w:lineRule="exact"/>
      <w:outlineLvl w:val="1"/>
    </w:pPr>
    <w:rPr>
      <w:rFonts w:ascii="Arial" w:hAnsi="Arial"/>
      <w:b/>
      <w:color w:val="373737" w:themeColor="text1"/>
      <w:lang w:val="en-GB"/>
    </w:rPr>
  </w:style>
  <w:style w:type="paragraph" w:customStyle="1" w:styleId="HHeading3">
    <w:name w:val="H_Heading 3"/>
    <w:next w:val="HStandard"/>
    <w:pPr>
      <w:keepNext/>
      <w:keepLines/>
      <w:tabs>
        <w:tab w:val="num" w:pos="360"/>
        <w:tab w:val="num" w:pos="709"/>
      </w:tabs>
      <w:spacing w:before="240" w:after="140" w:line="240" w:lineRule="exact"/>
      <w:ind w:left="709" w:hanging="709"/>
      <w:outlineLvl w:val="2"/>
    </w:pPr>
    <w:rPr>
      <w:rFonts w:ascii="Arial" w:hAnsi="Arial"/>
      <w:color w:val="F07E31" w:themeColor="accent1"/>
      <w:lang w:val="en-GB"/>
    </w:rPr>
  </w:style>
  <w:style w:type="paragraph" w:customStyle="1" w:styleId="HHeading4">
    <w:name w:val="H_Heading 4"/>
    <w:next w:val="HStandard"/>
    <w:pPr>
      <w:keepNext/>
      <w:keepLines/>
      <w:tabs>
        <w:tab w:val="left" w:pos="680"/>
      </w:tabs>
      <w:spacing w:before="240" w:after="240" w:line="280" w:lineRule="atLeast"/>
      <w:outlineLvl w:val="3"/>
    </w:pPr>
    <w:rPr>
      <w:rFonts w:ascii="Arial" w:hAnsi="Arial"/>
      <w:b/>
      <w:color w:val="57825E" w:themeColor="accent4"/>
      <w:lang w:val="en-GB"/>
    </w:rPr>
  </w:style>
  <w:style w:type="character" w:styleId="Hyperlink">
    <w:name w:val="Hyperlink"/>
    <w:basedOn w:val="DefaultParagraphFont"/>
    <w:uiPriority w:val="99"/>
    <w:rPr>
      <w:rFonts w:ascii="Arial" w:hAnsi="Arial"/>
      <w:color w:val="F07E31"/>
      <w:sz w:val="20"/>
      <w:u w:val="single"/>
      <w:lang w:val="en-GB"/>
    </w:rPr>
  </w:style>
  <w:style w:type="paragraph" w:customStyle="1" w:styleId="HStandard">
    <w:name w:val="H_Standard"/>
    <w:link w:val="HStandardCar"/>
    <w:pPr>
      <w:spacing w:after="120" w:line="280" w:lineRule="atLeast"/>
      <w:jc w:val="both"/>
    </w:pPr>
    <w:rPr>
      <w:rFonts w:ascii="Arial" w:hAnsi="Arial"/>
      <w:color w:val="373737" w:themeColor="text1"/>
      <w:lang w:val="en-GB"/>
    </w:r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link w:val="BalloonTextChar"/>
    <w:uiPriority w:val="99"/>
    <w:semiHidden/>
    <w:unhideWhenUse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GB"/>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pPr>
      <w:tabs>
        <w:tab w:val="num" w:pos="360"/>
      </w:tabs>
      <w:spacing w:before="200" w:after="140"/>
    </w:pPr>
    <w:rPr>
      <w:rFonts w:ascii="Arial" w:hAnsi="Arial"/>
      <w:b/>
      <w:color w:val="373737" w:themeColor="text1"/>
      <w:sz w:val="16"/>
      <w:lang w:val="en-GB"/>
    </w:rPr>
  </w:style>
  <w:style w:type="paragraph" w:customStyle="1" w:styleId="HHeadingfigures">
    <w:name w:val="H_Heading_figures"/>
    <w:basedOn w:val="HHeadingtables"/>
    <w:next w:val="HStandard"/>
    <w:qFormat/>
    <w:pPr>
      <w:keepNext/>
      <w:keepLines/>
      <w:tabs>
        <w:tab w:val="num" w:pos="2666"/>
      </w:tabs>
      <w:spacing w:before="240"/>
      <w:ind w:left="567" w:hanging="567"/>
    </w:pPr>
  </w:style>
  <w:style w:type="paragraph" w:customStyle="1" w:styleId="HHeadingmaps">
    <w:name w:val="H_Heading_maps"/>
    <w:basedOn w:val="HHeadingtables"/>
    <w:next w:val="HStandard"/>
    <w:qFormat/>
    <w:pPr>
      <w:keepNext/>
      <w:keepLines/>
      <w:outlineLvl w:val="5"/>
    </w:pPr>
  </w:style>
  <w:style w:type="paragraph" w:customStyle="1" w:styleId="HHeadingboxes">
    <w:name w:val="H_Heading_boxes"/>
    <w:basedOn w:val="HHeadingtables"/>
    <w:next w:val="HStandard"/>
    <w:qFormat/>
    <w:pPr>
      <w:ind w:left="851" w:hanging="851"/>
    </w:pPr>
  </w:style>
  <w:style w:type="paragraph" w:customStyle="1" w:styleId="HBox">
    <w:name w:val="H_Box"/>
    <w:next w:val="HStandard"/>
    <w:qFormat/>
    <w:pPr>
      <w:pBdr>
        <w:top w:val="single" w:sz="4" w:space="4" w:color="F07E31"/>
        <w:left w:val="single" w:sz="4" w:space="4" w:color="F07E31"/>
        <w:bottom w:val="single" w:sz="4" w:space="4" w:color="F07E31"/>
        <w:right w:val="single" w:sz="4" w:space="4" w:color="F07E31"/>
      </w:pBdr>
      <w:shd w:val="clear" w:color="auto" w:fill="FCE5D5"/>
      <w:jc w:val="both"/>
    </w:pPr>
    <w:rPr>
      <w:rFonts w:ascii="Arial" w:hAnsi="Arial"/>
      <w:color w:val="373737" w:themeColor="text1"/>
      <w:lang w:val="en-GB"/>
    </w:rPr>
  </w:style>
  <w:style w:type="paragraph" w:customStyle="1" w:styleId="HBoxbullet">
    <w:name w:val="H_Box_bullet"/>
    <w:next w:val="HStandard"/>
    <w:qFormat/>
    <w:pPr>
      <w:pBdr>
        <w:top w:val="single" w:sz="4" w:space="4" w:color="F07E31"/>
        <w:left w:val="single" w:sz="4" w:space="8" w:color="F07E31"/>
        <w:bottom w:val="single" w:sz="4" w:space="4" w:color="F07E31"/>
        <w:right w:val="single" w:sz="4" w:space="4" w:color="F07E31"/>
      </w:pBdr>
      <w:shd w:val="clear" w:color="auto" w:fill="FCE5D5" w:themeFill="accent1" w:themeFillTint="33"/>
      <w:tabs>
        <w:tab w:val="num" w:pos="360"/>
      </w:tabs>
      <w:ind w:left="363" w:hanging="284"/>
      <w:jc w:val="both"/>
    </w:pPr>
    <w:rPr>
      <w:rFonts w:ascii="Arial" w:hAnsi="Arial"/>
      <w:color w:val="373737" w:themeColor="text1"/>
      <w:lang w:val="en-GB"/>
    </w:rPr>
  </w:style>
  <w:style w:type="paragraph" w:customStyle="1" w:styleId="Hdisclaimer">
    <w:name w:val="H_disclaimer"/>
    <w:qFormat/>
    <w:pPr>
      <w:spacing w:after="120" w:line="280" w:lineRule="atLeast"/>
      <w:jc w:val="both"/>
    </w:pPr>
    <w:rPr>
      <w:rFonts w:ascii="Arial" w:hAnsi="Arial" w:cs="Arial"/>
      <w:color w:val="373737" w:themeColor="text1"/>
      <w:sz w:val="18"/>
      <w:szCs w:val="18"/>
      <w:lang w:val="en-GB"/>
    </w:rPr>
  </w:style>
  <w:style w:type="paragraph" w:styleId="EndnoteText">
    <w:name w:val="endnote text"/>
    <w:basedOn w:val="Normal"/>
    <w:link w:val="EndnoteTextChar"/>
    <w:uiPriority w:val="99"/>
    <w:semiHidden/>
    <w:unhideWhenUsed/>
    <w:pPr>
      <w:spacing w:before="0" w:after="0" w:line="240" w:lineRule="auto"/>
    </w:pPr>
    <w:rPr>
      <w:sz w:val="20"/>
      <w:szCs w:val="20"/>
    </w:rPr>
  </w:style>
  <w:style w:type="character" w:customStyle="1" w:styleId="EndnoteTextChar">
    <w:name w:val="Endnote Text Char"/>
    <w:basedOn w:val="DefaultParagraphFont"/>
    <w:link w:val="EndnoteText"/>
    <w:uiPriority w:val="99"/>
    <w:semiHidden/>
    <w:rPr>
      <w:rFonts w:ascii="Arial" w:hAnsi="Arial"/>
      <w:lang w:val="en-GB"/>
    </w:rPr>
  </w:style>
  <w:style w:type="character" w:styleId="EndnoteReference">
    <w:name w:val="endnote reference"/>
    <w:basedOn w:val="DefaultParagraphFont"/>
    <w:uiPriority w:val="99"/>
    <w:semiHidden/>
    <w:unhideWhenUsed/>
    <w:rPr>
      <w:vertAlign w:val="superscript"/>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hAnsi="Arial"/>
      <w:lang w:val="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Arial" w:hAnsi="Arial"/>
      <w:b/>
      <w:bCs/>
      <w:lang w:val="en-GB"/>
    </w:rPr>
  </w:style>
  <w:style w:type="paragraph" w:styleId="ListParagraph">
    <w:name w:val="List Paragraph"/>
    <w:basedOn w:val="Normal"/>
    <w:uiPriority w:val="34"/>
    <w:qFormat/>
    <w:pPr>
      <w:spacing w:before="0" w:after="160" w:line="259" w:lineRule="auto"/>
      <w:ind w:left="720"/>
      <w:contextualSpacing/>
      <w:jc w:val="left"/>
    </w:pPr>
    <w:rPr>
      <w:rFonts w:asciiTheme="minorHAnsi" w:eastAsiaTheme="minorHAnsi" w:hAnsiTheme="minorHAnsi" w:cstheme="minorBidi"/>
      <w:sz w:val="22"/>
      <w:szCs w:val="22"/>
      <w:lang w:val="sk-SK" w:eastAsia="en-US"/>
    </w:rPr>
  </w:style>
  <w:style w:type="character" w:customStyle="1" w:styleId="FootnoteTextChar">
    <w:name w:val="Footnote Text Char"/>
    <w:aliases w:val="Fußnote Char,Geneva 9 Char,Font: Geneva 9 Char,Boston 10 Char,f Char,ft Char,Footnote Text Char Char Char Char Char Char Char Char Char Char Char,Footnote Text Char Char Char,Footnote Text2 Char,ft2 Char"/>
    <w:basedOn w:val="DefaultParagraphFont"/>
    <w:link w:val="FootnoteText"/>
    <w:uiPriority w:val="99"/>
    <w:rPr>
      <w:rFonts w:ascii="Arial" w:hAnsi="Arial"/>
      <w:color w:val="808080"/>
      <w:sz w:val="16"/>
      <w:lang w:val="en-GB"/>
    </w:rPr>
  </w:style>
  <w:style w:type="paragraph" w:styleId="Title">
    <w:name w:val="Title"/>
    <w:basedOn w:val="Normal"/>
    <w:next w:val="Normal"/>
    <w:link w:val="TitleChar"/>
    <w:uiPriority w:val="10"/>
    <w:qFormat/>
    <w:pPr>
      <w:spacing w:before="0" w:after="0" w:line="240" w:lineRule="auto"/>
      <w:contextualSpacing/>
      <w:jc w:val="left"/>
    </w:pPr>
    <w:rPr>
      <w:rFonts w:asciiTheme="majorHAnsi" w:eastAsiaTheme="majorEastAsia" w:hAnsiTheme="majorHAnsi" w:cstheme="majorBidi"/>
      <w:spacing w:val="-10"/>
      <w:kern w:val="28"/>
      <w:sz w:val="56"/>
      <w:szCs w:val="56"/>
      <w:lang w:val="sk-SK" w:eastAsia="en-US"/>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lang w:val="sk-SK" w:eastAsia="en-US"/>
    </w:rPr>
  </w:style>
  <w:style w:type="paragraph" w:customStyle="1" w:styleId="CM1">
    <w:name w:val="CM1"/>
    <w:basedOn w:val="Normal"/>
    <w:next w:val="Normal"/>
    <w:uiPriority w:val="99"/>
    <w:pPr>
      <w:autoSpaceDE w:val="0"/>
      <w:autoSpaceDN w:val="0"/>
      <w:adjustRightInd w:val="0"/>
      <w:spacing w:before="0" w:after="0" w:line="240" w:lineRule="auto"/>
      <w:jc w:val="left"/>
    </w:pPr>
    <w:rPr>
      <w:rFonts w:ascii="EUAlbertina" w:eastAsiaTheme="minorHAnsi" w:hAnsi="EUAlbertina" w:cstheme="minorBidi"/>
      <w:sz w:val="24"/>
      <w:lang w:val="sk-SK" w:eastAsia="en-US"/>
    </w:rPr>
  </w:style>
  <w:style w:type="paragraph" w:styleId="Caption">
    <w:name w:val="caption"/>
    <w:basedOn w:val="Normal"/>
    <w:next w:val="Normal"/>
    <w:uiPriority w:val="35"/>
    <w:unhideWhenUsed/>
    <w:qFormat/>
    <w:pPr>
      <w:spacing w:before="0" w:after="200" w:line="240" w:lineRule="auto"/>
      <w:jc w:val="left"/>
    </w:pPr>
    <w:rPr>
      <w:rFonts w:asciiTheme="minorHAnsi" w:eastAsiaTheme="minorHAnsi" w:hAnsiTheme="minorHAnsi" w:cstheme="minorBidi"/>
      <w:i/>
      <w:iCs/>
      <w:color w:val="373737" w:themeColor="text2"/>
      <w:szCs w:val="18"/>
      <w:lang w:val="nl-BE" w:eastAsia="en-US"/>
    </w:rPr>
  </w:style>
  <w:style w:type="table" w:customStyle="1" w:styleId="Tabukasmriekou5tmavzvraznenie61">
    <w:name w:val="Tabuľka s mriežkou 5 – tmavá – zvýraznenie 61"/>
    <w:basedOn w:val="TableNormal"/>
    <w:uiPriority w:val="50"/>
    <w:rPr>
      <w:rFonts w:asciiTheme="minorHAnsi" w:eastAsiaTheme="minorHAnsi" w:hAnsiTheme="minorHAnsi" w:cstheme="minorBidi"/>
      <w:sz w:val="22"/>
      <w:szCs w:val="22"/>
      <w:lang w:val="sk-SK"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EE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BAB8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BAB8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BAB8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BAB80" w:themeFill="accent6"/>
      </w:tcPr>
    </w:tblStylePr>
    <w:tblStylePr w:type="band1Vert">
      <w:tblPr/>
      <w:tcPr>
        <w:shd w:val="clear" w:color="auto" w:fill="D0DDCC" w:themeFill="accent6" w:themeFillTint="66"/>
      </w:tcPr>
    </w:tblStylePr>
    <w:tblStylePr w:type="band1Horz">
      <w:tblPr/>
      <w:tcPr>
        <w:shd w:val="clear" w:color="auto" w:fill="D0DDCC" w:themeFill="accent6" w:themeFillTint="66"/>
      </w:tcPr>
    </w:tblStylePr>
  </w:style>
  <w:style w:type="character" w:customStyle="1" w:styleId="FooterChar">
    <w:name w:val="Footer Char"/>
    <w:basedOn w:val="DefaultParagraphFont"/>
    <w:link w:val="Footer"/>
    <w:uiPriority w:val="99"/>
    <w:rPr>
      <w:rFonts w:ascii="Arial" w:hAnsi="Arial"/>
      <w:color w:val="373737"/>
      <w:sz w:val="22"/>
      <w:lang w:val="en-GB"/>
    </w:rPr>
  </w:style>
  <w:style w:type="paragraph" w:styleId="Revision">
    <w:name w:val="Revision"/>
    <w:hidden/>
    <w:uiPriority w:val="99"/>
    <w:semiHidden/>
    <w:rPr>
      <w:rFonts w:ascii="Arial" w:hAnsi="Arial"/>
      <w:sz w:val="18"/>
      <w:szCs w:val="24"/>
      <w:lang w:val="en-GB"/>
    </w:rPr>
  </w:style>
  <w:style w:type="paragraph" w:customStyle="1" w:styleId="Pavpage3">
    <w:name w:val="Pavé page 3"/>
    <w:basedOn w:val="Normal"/>
    <w:qFormat/>
    <w:pPr>
      <w:spacing w:before="0" w:after="120" w:line="280" w:lineRule="atLeast"/>
      <w:jc w:val="left"/>
    </w:pPr>
    <w:rPr>
      <w:rFonts w:ascii="Helvetica" w:hAnsi="Helvetica" w:cs="Arial"/>
      <w:smallCaps/>
      <w:color w:val="DF6532"/>
      <w:sz w:val="44"/>
      <w:szCs w:val="44"/>
      <w:lang w:val="en-US"/>
    </w:rPr>
  </w:style>
  <w:style w:type="character" w:styleId="FollowedHyperlink">
    <w:name w:val="FollowedHyperlink"/>
    <w:basedOn w:val="DefaultParagraphFont"/>
    <w:uiPriority w:val="99"/>
    <w:semiHidden/>
    <w:unhideWhenUsed/>
    <w:rPr>
      <w:color w:val="F07E31" w:themeColor="followedHyperlink"/>
      <w:u w:val="single"/>
    </w:rPr>
  </w:style>
  <w:style w:type="character" w:customStyle="1" w:styleId="shorttext">
    <w:name w:val="short_text"/>
    <w:basedOn w:val="DefaultParagraphFont"/>
  </w:style>
  <w:style w:type="character" w:styleId="Emphasis">
    <w:name w:val="Emphasis"/>
    <w:basedOn w:val="DefaultParagraphFont"/>
    <w:uiPriority w:val="20"/>
    <w:qFormat/>
    <w:rPr>
      <w:i/>
      <w:iC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sz w:val="20"/>
      <w:szCs w:val="20"/>
      <w:lang w:val="sk-SK" w:eastAsia="sk-SK"/>
    </w:rPr>
  </w:style>
  <w:style w:type="character" w:customStyle="1" w:styleId="HTMLPreformattedChar">
    <w:name w:val="HTML Preformatted Char"/>
    <w:basedOn w:val="DefaultParagraphFont"/>
    <w:link w:val="HTMLPreformatted"/>
    <w:uiPriority w:val="99"/>
    <w:semiHidden/>
    <w:rPr>
      <w:rFonts w:ascii="Courier New" w:hAnsi="Courier New" w:cs="Courier New"/>
      <w:lang w:val="sk-SK" w:eastAsia="sk-SK"/>
    </w:rPr>
  </w:style>
  <w:style w:type="character" w:customStyle="1" w:styleId="NichtaufgelsteErwhnung1">
    <w:name w:val="Nicht aufgelöste Erwähnung1"/>
    <w:basedOn w:val="DefaultParagraphFont"/>
    <w:uiPriority w:val="99"/>
    <w:semiHidden/>
    <w:unhideWhenUsed/>
    <w:rPr>
      <w:color w:val="808080"/>
      <w:shd w:val="clear" w:color="auto" w:fill="E6E6E6"/>
    </w:rPr>
  </w:style>
  <w:style w:type="character" w:customStyle="1" w:styleId="UnresolvedMention1">
    <w:name w:val="Unresolved Mention1"/>
    <w:basedOn w:val="DefaultParagraphFont"/>
    <w:uiPriority w:val="99"/>
    <w:semiHidden/>
    <w:unhideWhenUsed/>
    <w:rPr>
      <w:color w:val="808080"/>
      <w:shd w:val="clear" w:color="auto" w:fill="E6E6E6"/>
    </w:rPr>
  </w:style>
  <w:style w:type="paragraph" w:customStyle="1" w:styleId="Normal12PTcouleurgris">
    <w:name w:val="Normal + 12PT couleur gris"/>
    <w:basedOn w:val="Normal"/>
    <w:qFormat/>
    <w:pPr>
      <w:spacing w:before="0" w:after="0" w:line="259" w:lineRule="auto"/>
    </w:pPr>
    <w:rPr>
      <w:rFonts w:eastAsiaTheme="minorHAnsi" w:cs="Arial"/>
      <w:color w:val="6F6F6F"/>
      <w:sz w:val="24"/>
      <w:szCs w:val="18"/>
      <w:lang w:eastAsia="en-US"/>
    </w:rPr>
  </w:style>
  <w:style w:type="table" w:customStyle="1" w:styleId="11">
    <w:name w:val="Πίνακας 1 με ανοιχτόχρωμο πλέγμα1"/>
    <w:basedOn w:val="TableNormal"/>
    <w:uiPriority w:val="46"/>
    <w:tblPr>
      <w:tblStyleRowBandSize w:val="1"/>
      <w:tblStyleColBandSize w:val="1"/>
      <w:tblBorders>
        <w:top w:val="single" w:sz="4" w:space="0" w:color="AFAFAF" w:themeColor="text1" w:themeTint="66"/>
        <w:left w:val="single" w:sz="4" w:space="0" w:color="AFAFAF" w:themeColor="text1" w:themeTint="66"/>
        <w:bottom w:val="single" w:sz="4" w:space="0" w:color="AFAFAF" w:themeColor="text1" w:themeTint="66"/>
        <w:right w:val="single" w:sz="4" w:space="0" w:color="AFAFAF" w:themeColor="text1" w:themeTint="66"/>
        <w:insideH w:val="single" w:sz="4" w:space="0" w:color="AFAFAF" w:themeColor="text1" w:themeTint="66"/>
        <w:insideV w:val="single" w:sz="4" w:space="0" w:color="AFAFAF" w:themeColor="text1" w:themeTint="66"/>
      </w:tblBorders>
    </w:tblPr>
    <w:tblStylePr w:type="firstRow">
      <w:rPr>
        <w:b/>
        <w:bCs/>
      </w:rPr>
      <w:tblPr/>
      <w:tcPr>
        <w:tcBorders>
          <w:bottom w:val="single" w:sz="12" w:space="0" w:color="878787" w:themeColor="text1" w:themeTint="99"/>
        </w:tcBorders>
      </w:tcPr>
    </w:tblStylePr>
    <w:tblStylePr w:type="lastRow">
      <w:rPr>
        <w:b/>
        <w:bCs/>
      </w:rPr>
      <w:tblPr/>
      <w:tcPr>
        <w:tcBorders>
          <w:top w:val="double" w:sz="2" w:space="0" w:color="878787" w:themeColor="text1" w:themeTint="99"/>
        </w:tcBorders>
      </w:tcPr>
    </w:tblStylePr>
    <w:tblStylePr w:type="firstCol">
      <w:rPr>
        <w:b/>
        <w:bCs/>
      </w:rPr>
    </w:tblStylePr>
    <w:tblStylePr w:type="lastCol">
      <w:rPr>
        <w:b/>
        <w:bCs/>
      </w:rPr>
    </w:tblStylePr>
  </w:style>
  <w:style w:type="numbering" w:customStyle="1" w:styleId="1">
    <w:name w:val="Στυλ1"/>
    <w:uiPriority w:val="99"/>
  </w:style>
  <w:style w:type="table" w:customStyle="1" w:styleId="Tabukasmriekou1svetl1">
    <w:name w:val="Tabuľka s mriežkou 1 – svetlá1"/>
    <w:basedOn w:val="TableNormal"/>
    <w:uiPriority w:val="46"/>
    <w:tblPr>
      <w:tblStyleRowBandSize w:val="1"/>
      <w:tblStyleColBandSize w:val="1"/>
      <w:tblBorders>
        <w:top w:val="single" w:sz="4" w:space="0" w:color="AFAFAF" w:themeColor="text1" w:themeTint="66"/>
        <w:left w:val="single" w:sz="4" w:space="0" w:color="AFAFAF" w:themeColor="text1" w:themeTint="66"/>
        <w:bottom w:val="single" w:sz="4" w:space="0" w:color="AFAFAF" w:themeColor="text1" w:themeTint="66"/>
        <w:right w:val="single" w:sz="4" w:space="0" w:color="AFAFAF" w:themeColor="text1" w:themeTint="66"/>
        <w:insideH w:val="single" w:sz="4" w:space="0" w:color="AFAFAF" w:themeColor="text1" w:themeTint="66"/>
        <w:insideV w:val="single" w:sz="4" w:space="0" w:color="AFAFAF" w:themeColor="text1" w:themeTint="66"/>
      </w:tblBorders>
    </w:tblPr>
    <w:tblStylePr w:type="firstRow">
      <w:rPr>
        <w:b/>
        <w:bCs/>
      </w:rPr>
      <w:tblPr/>
      <w:tcPr>
        <w:tcBorders>
          <w:bottom w:val="single" w:sz="12" w:space="0" w:color="878787" w:themeColor="text1" w:themeTint="99"/>
        </w:tcBorders>
      </w:tcPr>
    </w:tblStylePr>
    <w:tblStylePr w:type="lastRow">
      <w:rPr>
        <w:b/>
        <w:bCs/>
      </w:rPr>
      <w:tblPr/>
      <w:tcPr>
        <w:tcBorders>
          <w:top w:val="double" w:sz="2" w:space="0" w:color="878787" w:themeColor="text1" w:themeTint="99"/>
        </w:tcBorders>
      </w:tcPr>
    </w:tblStylePr>
    <w:tblStylePr w:type="firstCol">
      <w:rPr>
        <w:b/>
        <w:bCs/>
      </w:rPr>
    </w:tblStylePr>
    <w:tblStylePr w:type="lastCol">
      <w:rPr>
        <w:b/>
        <w:bCs/>
      </w:rPr>
    </w:tblStylePr>
  </w:style>
  <w:style w:type="paragraph" w:customStyle="1" w:styleId="H-Titre2">
    <w:name w:val="H-Titre 2"/>
    <w:basedOn w:val="Normal"/>
    <w:qFormat/>
    <w:pPr>
      <w:spacing w:before="0" w:after="120" w:line="280" w:lineRule="atLeast"/>
      <w:jc w:val="left"/>
    </w:pPr>
    <w:rPr>
      <w:rFonts w:cs="Arial"/>
      <w:b/>
      <w:bCs/>
      <w:color w:val="FFFFFF" w:themeColor="background2"/>
      <w:szCs w:val="44"/>
      <w:lang w:val="en-US"/>
    </w:rPr>
  </w:style>
  <w:style w:type="paragraph" w:customStyle="1" w:styleId="H-Titre1">
    <w:name w:val="H-Titre 1"/>
    <w:basedOn w:val="Normal"/>
    <w:qFormat/>
    <w:pPr>
      <w:spacing w:before="0" w:after="120" w:line="280" w:lineRule="atLeast"/>
      <w:jc w:val="left"/>
    </w:pPr>
    <w:rPr>
      <w:rFonts w:cs="Arial"/>
      <w:b/>
      <w:color w:val="373737" w:themeColor="text1"/>
      <w:szCs w:val="60"/>
      <w:lang w:val="en-US"/>
    </w:rPr>
  </w:style>
  <w:style w:type="paragraph" w:styleId="NormalWeb">
    <w:name w:val="Normal (Web)"/>
    <w:basedOn w:val="Normal"/>
    <w:uiPriority w:val="99"/>
    <w:unhideWhenUsed/>
    <w:pPr>
      <w:spacing w:before="100" w:beforeAutospacing="1" w:after="100" w:afterAutospacing="1" w:line="240" w:lineRule="auto"/>
      <w:jc w:val="left"/>
    </w:pPr>
    <w:rPr>
      <w:rFonts w:ascii="Times New Roman" w:eastAsiaTheme="minorHAnsi" w:hAnsi="Times New Roman"/>
      <w:sz w:val="24"/>
      <w:lang w:val="sk-SK" w:eastAsia="sk-SK"/>
    </w:rPr>
  </w:style>
  <w:style w:type="paragraph" w:styleId="Subtitle">
    <w:name w:val="Subtitle"/>
    <w:basedOn w:val="Normal"/>
    <w:link w:val="SubtitleChar"/>
    <w:uiPriority w:val="11"/>
    <w:qFormat/>
    <w:pPr>
      <w:tabs>
        <w:tab w:val="num" w:pos="360"/>
      </w:tabs>
      <w:spacing w:before="120" w:after="120" w:line="280" w:lineRule="atLeast"/>
      <w:outlineLvl w:val="1"/>
    </w:pPr>
    <w:rPr>
      <w:b/>
      <w:sz w:val="16"/>
      <w:szCs w:val="16"/>
    </w:rPr>
  </w:style>
  <w:style w:type="character" w:customStyle="1" w:styleId="SubtitleChar">
    <w:name w:val="Subtitle Char"/>
    <w:basedOn w:val="DefaultParagraphFont"/>
    <w:link w:val="Subtitle"/>
    <w:uiPriority w:val="11"/>
    <w:rPr>
      <w:rFonts w:ascii="Arial" w:hAnsi="Arial"/>
      <w:b/>
      <w:sz w:val="16"/>
      <w:szCs w:val="16"/>
      <w:lang w:val="en-GB"/>
    </w:rPr>
  </w:style>
  <w:style w:type="character" w:customStyle="1" w:styleId="Heading4Char2Char1">
    <w:name w:val="Heading 4 Char2 Char1"/>
    <w:basedOn w:val="DefaultParagraphFont"/>
    <w:uiPriority w:val="99"/>
    <w:rPr>
      <w:rFonts w:ascii="Arial" w:hAnsi="Arial"/>
      <w:i/>
      <w:dstrike w:val="0"/>
      <w:color w:val="373737"/>
      <w:position w:val="6"/>
      <w:sz w:val="12"/>
      <w:vertAlign w:val="baseline"/>
      <w:lang w:val="en-GB"/>
    </w:rPr>
  </w:style>
  <w:style w:type="character" w:styleId="Strong">
    <w:name w:val="Strong"/>
    <w:basedOn w:val="DefaultParagraphFont"/>
    <w:uiPriority w:val="22"/>
    <w:qFormat/>
    <w:rPr>
      <w:b/>
      <w:bCs/>
    </w:rPr>
  </w:style>
  <w:style w:type="table" w:customStyle="1" w:styleId="Mriekatabuky1">
    <w:name w:val="Mriežka tabuľky1"/>
    <w:basedOn w:val="TableNormal"/>
    <w:next w:val="TableGrid"/>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
    <w:name w:val="Mriežka tabuľky2"/>
    <w:basedOn w:val="TableNormal"/>
    <w:next w:val="TableGrid"/>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
    <w:name w:val="Mriežka tabuľky3"/>
    <w:basedOn w:val="TableNormal"/>
    <w:next w:val="TableGrid"/>
    <w:uiPriority w:val="39"/>
    <w:rPr>
      <w:rFonts w:ascii="Calibri" w:eastAsia="Calibri" w:hAnsi="Calibri"/>
      <w:sz w:val="22"/>
      <w:szCs w:val="22"/>
      <w:lang w:val="sk-S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
    <w:name w:val="Mriežka tabuľky4"/>
    <w:basedOn w:val="TableNormal"/>
    <w:next w:val="TableGrid"/>
    <w:uiPriority w:val="39"/>
    <w:rPr>
      <w:rFonts w:ascii="Calibri" w:eastAsia="Calibri" w:hAnsi="Calibri"/>
      <w:sz w:val="22"/>
      <w:szCs w:val="22"/>
      <w:lang w:val="sk-S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2">
    <w:name w:val="Nicht aufgelöste Erwähnung2"/>
    <w:basedOn w:val="DefaultParagraphFont"/>
    <w:uiPriority w:val="99"/>
    <w:semiHidden/>
    <w:unhideWhenUsed/>
    <w:rPr>
      <w:color w:val="808080"/>
      <w:shd w:val="clear" w:color="auto" w:fill="E6E6E6"/>
    </w:rPr>
  </w:style>
  <w:style w:type="table" w:customStyle="1" w:styleId="Tabukasmriekou5tmavzvraznenie11">
    <w:name w:val="Tabuľka s mriežkou 5 – tmavá – zvýraznenie 11"/>
    <w:basedOn w:val="TableNormal"/>
    <w:uiPriority w:val="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5D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E3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E3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E3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E31" w:themeFill="accent1"/>
      </w:tcPr>
    </w:tblStylePr>
    <w:tblStylePr w:type="band1Vert">
      <w:tblPr/>
      <w:tcPr>
        <w:shd w:val="clear" w:color="auto" w:fill="F9CBAC" w:themeFill="accent1" w:themeFillTint="66"/>
      </w:tcPr>
    </w:tblStylePr>
    <w:tblStylePr w:type="band1Horz">
      <w:tblPr/>
      <w:tcPr>
        <w:shd w:val="clear" w:color="auto" w:fill="F9CBAC" w:themeFill="accent1" w:themeFillTint="66"/>
      </w:tcPr>
    </w:tblStylePr>
  </w:style>
  <w:style w:type="character" w:styleId="PlaceholderText">
    <w:name w:val="Placeholder Text"/>
    <w:basedOn w:val="DefaultParagraphFont"/>
    <w:uiPriority w:val="99"/>
    <w:semiHidden/>
    <w:rPr>
      <w:color w:val="808080"/>
    </w:rPr>
  </w:style>
  <w:style w:type="character" w:customStyle="1" w:styleId="NichtaufgelsteErwhnung3">
    <w:name w:val="Nicht aufgelöste Erwähnung3"/>
    <w:basedOn w:val="DefaultParagraphFont"/>
    <w:uiPriority w:val="99"/>
    <w:semiHidden/>
    <w:unhideWhenUsed/>
    <w:rPr>
      <w:color w:val="808080"/>
      <w:shd w:val="clear" w:color="auto" w:fill="E6E6E6"/>
    </w:rPr>
  </w:style>
  <w:style w:type="character" w:customStyle="1" w:styleId="NichtaufgelsteErwhnung4">
    <w:name w:val="Nicht aufgelöste Erwähnung4"/>
    <w:basedOn w:val="DefaultParagraphFont"/>
    <w:uiPriority w:val="99"/>
    <w:semiHidden/>
    <w:unhideWhenUsed/>
    <w:rPr>
      <w:color w:val="808080"/>
      <w:shd w:val="clear" w:color="auto" w:fill="E6E6E6"/>
    </w:rPr>
  </w:style>
  <w:style w:type="character" w:customStyle="1" w:styleId="HStandardCar">
    <w:name w:val="H_Standard Car"/>
    <w:basedOn w:val="DefaultParagraphFont"/>
    <w:link w:val="HStandard"/>
    <w:rPr>
      <w:rFonts w:ascii="Arial" w:hAnsi="Arial"/>
      <w:color w:val="373737" w:themeColor="text1"/>
      <w:lang w:val="en-GB"/>
    </w:rPr>
  </w:style>
  <w:style w:type="character" w:customStyle="1" w:styleId="NichtaufgelsteErwhnung5">
    <w:name w:val="Nicht aufgelöste Erwähnung5"/>
    <w:basedOn w:val="DefaultParagraphFont"/>
    <w:uiPriority w:val="99"/>
    <w:semiHidden/>
    <w:unhideWhenUse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125483">
      <w:bodyDiv w:val="1"/>
      <w:marLeft w:val="0"/>
      <w:marRight w:val="0"/>
      <w:marTop w:val="0"/>
      <w:marBottom w:val="0"/>
      <w:divBdr>
        <w:top w:val="none" w:sz="0" w:space="0" w:color="auto"/>
        <w:left w:val="none" w:sz="0" w:space="0" w:color="auto"/>
        <w:bottom w:val="none" w:sz="0" w:space="0" w:color="auto"/>
        <w:right w:val="none" w:sz="0" w:space="0" w:color="auto"/>
      </w:divBdr>
    </w:div>
    <w:div w:id="293565826">
      <w:bodyDiv w:val="1"/>
      <w:marLeft w:val="0"/>
      <w:marRight w:val="0"/>
      <w:marTop w:val="0"/>
      <w:marBottom w:val="0"/>
      <w:divBdr>
        <w:top w:val="none" w:sz="0" w:space="0" w:color="auto"/>
        <w:left w:val="none" w:sz="0" w:space="0" w:color="auto"/>
        <w:bottom w:val="none" w:sz="0" w:space="0" w:color="auto"/>
        <w:right w:val="none" w:sz="0" w:space="0" w:color="auto"/>
      </w:divBdr>
    </w:div>
    <w:div w:id="419108821">
      <w:bodyDiv w:val="1"/>
      <w:marLeft w:val="0"/>
      <w:marRight w:val="0"/>
      <w:marTop w:val="0"/>
      <w:marBottom w:val="0"/>
      <w:divBdr>
        <w:top w:val="none" w:sz="0" w:space="0" w:color="auto"/>
        <w:left w:val="none" w:sz="0" w:space="0" w:color="auto"/>
        <w:bottom w:val="none" w:sz="0" w:space="0" w:color="auto"/>
        <w:right w:val="none" w:sz="0" w:space="0" w:color="auto"/>
      </w:divBdr>
    </w:div>
    <w:div w:id="561716645">
      <w:bodyDiv w:val="1"/>
      <w:marLeft w:val="0"/>
      <w:marRight w:val="0"/>
      <w:marTop w:val="0"/>
      <w:marBottom w:val="0"/>
      <w:divBdr>
        <w:top w:val="none" w:sz="0" w:space="0" w:color="auto"/>
        <w:left w:val="none" w:sz="0" w:space="0" w:color="auto"/>
        <w:bottom w:val="none" w:sz="0" w:space="0" w:color="auto"/>
        <w:right w:val="none" w:sz="0" w:space="0" w:color="auto"/>
      </w:divBdr>
    </w:div>
    <w:div w:id="690491209">
      <w:bodyDiv w:val="1"/>
      <w:marLeft w:val="0"/>
      <w:marRight w:val="0"/>
      <w:marTop w:val="0"/>
      <w:marBottom w:val="0"/>
      <w:divBdr>
        <w:top w:val="none" w:sz="0" w:space="0" w:color="auto"/>
        <w:left w:val="none" w:sz="0" w:space="0" w:color="auto"/>
        <w:bottom w:val="none" w:sz="0" w:space="0" w:color="auto"/>
        <w:right w:val="none" w:sz="0" w:space="0" w:color="auto"/>
      </w:divBdr>
    </w:div>
    <w:div w:id="742029641">
      <w:bodyDiv w:val="1"/>
      <w:marLeft w:val="0"/>
      <w:marRight w:val="0"/>
      <w:marTop w:val="0"/>
      <w:marBottom w:val="0"/>
      <w:divBdr>
        <w:top w:val="none" w:sz="0" w:space="0" w:color="auto"/>
        <w:left w:val="none" w:sz="0" w:space="0" w:color="auto"/>
        <w:bottom w:val="none" w:sz="0" w:space="0" w:color="auto"/>
        <w:right w:val="none" w:sz="0" w:space="0" w:color="auto"/>
      </w:divBdr>
    </w:div>
    <w:div w:id="851915323">
      <w:bodyDiv w:val="1"/>
      <w:marLeft w:val="0"/>
      <w:marRight w:val="0"/>
      <w:marTop w:val="0"/>
      <w:marBottom w:val="0"/>
      <w:divBdr>
        <w:top w:val="none" w:sz="0" w:space="0" w:color="auto"/>
        <w:left w:val="none" w:sz="0" w:space="0" w:color="auto"/>
        <w:bottom w:val="none" w:sz="0" w:space="0" w:color="auto"/>
        <w:right w:val="none" w:sz="0" w:space="0" w:color="auto"/>
      </w:divBdr>
    </w:div>
    <w:div w:id="915817771">
      <w:bodyDiv w:val="1"/>
      <w:marLeft w:val="0"/>
      <w:marRight w:val="0"/>
      <w:marTop w:val="0"/>
      <w:marBottom w:val="0"/>
      <w:divBdr>
        <w:top w:val="none" w:sz="0" w:space="0" w:color="auto"/>
        <w:left w:val="none" w:sz="0" w:space="0" w:color="auto"/>
        <w:bottom w:val="none" w:sz="0" w:space="0" w:color="auto"/>
        <w:right w:val="none" w:sz="0" w:space="0" w:color="auto"/>
      </w:divBdr>
    </w:div>
    <w:div w:id="1475954411">
      <w:bodyDiv w:val="1"/>
      <w:marLeft w:val="0"/>
      <w:marRight w:val="0"/>
      <w:marTop w:val="0"/>
      <w:marBottom w:val="0"/>
      <w:divBdr>
        <w:top w:val="none" w:sz="0" w:space="0" w:color="auto"/>
        <w:left w:val="none" w:sz="0" w:space="0" w:color="auto"/>
        <w:bottom w:val="none" w:sz="0" w:space="0" w:color="auto"/>
        <w:right w:val="none" w:sz="0" w:space="0" w:color="auto"/>
      </w:divBdr>
    </w:div>
    <w:div w:id="1551265796">
      <w:bodyDiv w:val="1"/>
      <w:marLeft w:val="0"/>
      <w:marRight w:val="0"/>
      <w:marTop w:val="0"/>
      <w:marBottom w:val="0"/>
      <w:divBdr>
        <w:top w:val="none" w:sz="0" w:space="0" w:color="auto"/>
        <w:left w:val="none" w:sz="0" w:space="0" w:color="auto"/>
        <w:bottom w:val="none" w:sz="0" w:space="0" w:color="auto"/>
        <w:right w:val="none" w:sz="0" w:space="0" w:color="auto"/>
      </w:divBdr>
    </w:div>
    <w:div w:id="1555964403">
      <w:bodyDiv w:val="1"/>
      <w:marLeft w:val="0"/>
      <w:marRight w:val="0"/>
      <w:marTop w:val="0"/>
      <w:marBottom w:val="0"/>
      <w:divBdr>
        <w:top w:val="none" w:sz="0" w:space="0" w:color="auto"/>
        <w:left w:val="none" w:sz="0" w:space="0" w:color="auto"/>
        <w:bottom w:val="none" w:sz="0" w:space="0" w:color="auto"/>
        <w:right w:val="none" w:sz="0" w:space="0" w:color="auto"/>
      </w:divBdr>
    </w:div>
    <w:div w:id="1679383751">
      <w:bodyDiv w:val="1"/>
      <w:marLeft w:val="0"/>
      <w:marRight w:val="0"/>
      <w:marTop w:val="0"/>
      <w:marBottom w:val="0"/>
      <w:divBdr>
        <w:top w:val="none" w:sz="0" w:space="0" w:color="auto"/>
        <w:left w:val="none" w:sz="0" w:space="0" w:color="auto"/>
        <w:bottom w:val="none" w:sz="0" w:space="0" w:color="auto"/>
        <w:right w:val="none" w:sz="0" w:space="0" w:color="auto"/>
      </w:divBdr>
    </w:div>
    <w:div w:id="2005081885">
      <w:bodyDiv w:val="1"/>
      <w:marLeft w:val="0"/>
      <w:marRight w:val="0"/>
      <w:marTop w:val="0"/>
      <w:marBottom w:val="0"/>
      <w:divBdr>
        <w:top w:val="none" w:sz="0" w:space="0" w:color="auto"/>
        <w:left w:val="none" w:sz="0" w:space="0" w:color="auto"/>
        <w:bottom w:val="none" w:sz="0" w:space="0" w:color="auto"/>
        <w:right w:val="none" w:sz="0" w:space="0" w:color="auto"/>
      </w:divBdr>
    </w:div>
    <w:div w:id="2073506137">
      <w:bodyDiv w:val="1"/>
      <w:marLeft w:val="0"/>
      <w:marRight w:val="0"/>
      <w:marTop w:val="0"/>
      <w:marBottom w:val="0"/>
      <w:divBdr>
        <w:top w:val="none" w:sz="0" w:space="0" w:color="auto"/>
        <w:left w:val="none" w:sz="0" w:space="0" w:color="auto"/>
        <w:bottom w:val="none" w:sz="0" w:space="0" w:color="auto"/>
        <w:right w:val="none" w:sz="0" w:space="0" w:color="auto"/>
      </w:divBdr>
    </w:div>
    <w:div w:id="2117364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ec.europa.eu/agriculture/sites/agriculture/files/cap-indicators/impact/impact-indicators-fiches.pdf" TargetMode="External"/><Relationship Id="rId26" Type="http://schemas.openxmlformats.org/officeDocument/2006/relationships/hyperlink" Target="https://ec.europa.eu/agriculture/sites/agriculture/files/cap-indicators/impact/2016-impact-indicators-fiches.pdf" TargetMode="External"/><Relationship Id="rId39" Type="http://schemas.openxmlformats.org/officeDocument/2006/relationships/hyperlink" Target="https://www.envieval.eu/fileadmin/envieval/dissemination/deliverables/D9.5_Handbook_for_the_evaluation_of_environmental_impacts_of_RDPs.pdf" TargetMode="External"/><Relationship Id="rId21" Type="http://schemas.openxmlformats.org/officeDocument/2006/relationships/hyperlink" Target="https://ec.europa.eu/agriculture/sites/agriculture/files/cap-indicators/result/rd-target-indicators_en.pdf" TargetMode="External"/><Relationship Id="rId34" Type="http://schemas.openxmlformats.org/officeDocument/2006/relationships/footer" Target="footer3.xml"/><Relationship Id="rId42" Type="http://schemas.openxmlformats.org/officeDocument/2006/relationships/hyperlink" Target="https://www.envieval.eu/fileadmin/envieval/dissemination/deliverables/D9.5_Handbook_for_the_evaluation_of_environmental_impacts_of_RDPs.pdf" TargetMode="External"/><Relationship Id="rId47" Type="http://schemas.openxmlformats.org/officeDocument/2006/relationships/hyperlink" Target="https://ec.europa.eu/agriculture/sites/agriculture/files/evaluation/guidelines/2007-2013-ex-post_en.pdf" TargetMode="External"/><Relationship Id="rId50" Type="http://schemas.openxmlformats.org/officeDocument/2006/relationships/hyperlink" Target="https://enrd.ec.europa.eu/news-events/news/ex-post-evaluation-rdps-2007-2013_en" TargetMode="External"/><Relationship Id="rId55" Type="http://schemas.openxmlformats.org/officeDocument/2006/relationships/hyperlink" Target="https://ec.europa.eu/agriculture/sites/agriculture/files/evaluation/rural-development-reports/2014/investment-support-rdp/fulltext_en.pdf" TargetMode="External"/><Relationship Id="rId63" Type="http://schemas.openxmlformats.org/officeDocument/2006/relationships/image" Target="media/image15.png"/><Relationship Id="rId68" Type="http://schemas.openxmlformats.org/officeDocument/2006/relationships/image" Target="media/image20.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rd.ec.europa.eu/evaluation/publications/guidelines-assessment-rdp-results-how-prepare-reporting-evaluation-2017_en" TargetMode="External"/><Relationship Id="rId29" Type="http://schemas.openxmlformats.org/officeDocument/2006/relationships/hyperlink" Target="https://ec.europa.eu/eurostat/web/europe-2020-indicators/europe-2020-strategy/overvie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hyperlink" Target="https://enrd.ec.europa.eu/evaluation/publications/evaluation-leaderclld_en" TargetMode="External"/><Relationship Id="rId32" Type="http://schemas.openxmlformats.org/officeDocument/2006/relationships/hyperlink" Target="https://ec.europa.eu/agriculture/cap-indicators/context/2016/2016-context-indicators-fiches.pdf" TargetMode="External"/><Relationship Id="rId37" Type="http://schemas.openxmlformats.org/officeDocument/2006/relationships/image" Target="media/image6.png"/><Relationship Id="rId40" Type="http://schemas.openxmlformats.org/officeDocument/2006/relationships/image" Target="media/image7.png"/><Relationship Id="rId45" Type="http://schemas.openxmlformats.org/officeDocument/2006/relationships/hyperlink" Target="https://www.envieval.eu/" TargetMode="External"/><Relationship Id="rId53" Type="http://schemas.openxmlformats.org/officeDocument/2006/relationships/hyperlink" Target="https://ec.europa.eu/agriculture/sites/agriculture/files/evaluation/guidelines/2007-2013-ex-post_en.pdf" TargetMode="External"/><Relationship Id="rId58" Type="http://schemas.openxmlformats.org/officeDocument/2006/relationships/image" Target="media/image10.png"/><Relationship Id="rId66"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enrd.ec.europa.eu/evaluation/publications/guidelines-assessment-rdp-results-how-prepare-reporting-evaluation-2017_en" TargetMode="External"/><Relationship Id="rId28" Type="http://schemas.openxmlformats.org/officeDocument/2006/relationships/hyperlink" Target="https://enrd.ec.europa.eu/evaluation/publications/evaluation-innovation-rural-development-programmes-2014-2020_en" TargetMode="External"/><Relationship Id="rId36" Type="http://schemas.openxmlformats.org/officeDocument/2006/relationships/image" Target="media/image5.png"/><Relationship Id="rId49" Type="http://schemas.openxmlformats.org/officeDocument/2006/relationships/hyperlink" Target="https://enrd.ec.europa.eu/news-events/news/ex-post-evaluation-rdps-2007-2013_en" TargetMode="External"/><Relationship Id="rId57" Type="http://schemas.openxmlformats.org/officeDocument/2006/relationships/image" Target="media/image9.png"/><Relationship Id="rId61" Type="http://schemas.openxmlformats.org/officeDocument/2006/relationships/image" Target="media/image13.png"/><Relationship Id="rId10" Type="http://schemas.openxmlformats.org/officeDocument/2006/relationships/image" Target="media/image3.jpeg"/><Relationship Id="rId19" Type="http://schemas.openxmlformats.org/officeDocument/2006/relationships/hyperlink" Target="https://enrd.ec.europa.eu/sites/enrd/files/twg-01_rdp_results.pdf" TargetMode="External"/><Relationship Id="rId31" Type="http://schemas.openxmlformats.org/officeDocument/2006/relationships/hyperlink" Target="http://ec.europa.eu/eurostat/documents/4411192/4411431/Europe_2020_Targets.pdf" TargetMode="External"/><Relationship Id="rId44" Type="http://schemas.openxmlformats.org/officeDocument/2006/relationships/image" Target="media/image8.png"/><Relationship Id="rId52" Type="http://schemas.openxmlformats.org/officeDocument/2006/relationships/hyperlink" Target="http://enrd.ec.europa.eu/enrd-static/app_templates/enrd_assets/pdf/evaluation/epe_master.pdf" TargetMode="External"/><Relationship Id="rId60" Type="http://schemas.openxmlformats.org/officeDocument/2006/relationships/image" Target="media/image12.png"/><Relationship Id="rId65"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yperlink" Target="https://ec.europa.eu/agriculture/sites/agriculture/files/cap-indicators/result/complementary-result-indicator-fiches-pillar-ii_en.pdf" TargetMode="External"/><Relationship Id="rId27" Type="http://schemas.openxmlformats.org/officeDocument/2006/relationships/hyperlink" Target="https://ec.europa.eu/agriculture/cap-indicators/context_de" TargetMode="External"/><Relationship Id="rId30" Type="http://schemas.openxmlformats.org/officeDocument/2006/relationships/hyperlink" Target="http://ec.europa.eu/eurostat/web/products-statistical-books/-/KS-EZ-17-001" TargetMode="External"/><Relationship Id="rId35" Type="http://schemas.openxmlformats.org/officeDocument/2006/relationships/footer" Target="footer4.xml"/><Relationship Id="rId43" Type="http://schemas.openxmlformats.org/officeDocument/2006/relationships/hyperlink" Target="https://www.envieval.eu/fileadmin/envieval/dissemination/deliverables/D9.5_Handbook_for_the_evaluation_of_environmental_impacts_of_RDPs.pdf" TargetMode="External"/><Relationship Id="rId48" Type="http://schemas.openxmlformats.org/officeDocument/2006/relationships/hyperlink" Target="https://ec.europa.eu/agriculture/sites/agriculture/files/evaluation/guidelines/2007-2013-ex-post_en.pdf" TargetMode="External"/><Relationship Id="rId56" Type="http://schemas.openxmlformats.org/officeDocument/2006/relationships/hyperlink" Target="https://books.google.be/books?id=t-uPdSpvPBkC&amp;pg=PP1&amp;lpg=PP1&amp;dq=distinguishing+between+types+of+data+and+methods+of+collecting+them,&amp;source=bl&amp;ots=G26OEW8m2A&amp;sig=h528kvgUEhmDcInCs1LmMIXs8vI&amp;hl=de&amp;sa=X&amp;ved=2ahUKEwjMvZynlc7cAhUSbFAKHaHWCLEQ6AEwBHoECAUQAQ" TargetMode="External"/><Relationship Id="rId64" Type="http://schemas.openxmlformats.org/officeDocument/2006/relationships/image" Target="media/image16.png"/><Relationship Id="rId69" Type="http://schemas.openxmlformats.org/officeDocument/2006/relationships/image" Target="media/image21.jpeg"/><Relationship Id="rId8" Type="http://schemas.openxmlformats.org/officeDocument/2006/relationships/image" Target="media/image1.jpeg"/><Relationship Id="rId51" Type="http://schemas.openxmlformats.org/officeDocument/2006/relationships/hyperlink" Target="http://enrd.ec.europa.eu/enrd-static/app_templates/enrd_assets/pdf/evaluation/epe_master.pdf"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0.jpeg"/><Relationship Id="rId17" Type="http://schemas.openxmlformats.org/officeDocument/2006/relationships/image" Target="media/image4.png"/><Relationship Id="rId25" Type="http://schemas.openxmlformats.org/officeDocument/2006/relationships/hyperlink" Target="https://enrd.ec.europa.eu/evaluation/publications/evaluation-innovation-rural-development-programmes-2014-2020_en" TargetMode="External"/><Relationship Id="rId33" Type="http://schemas.openxmlformats.org/officeDocument/2006/relationships/hyperlink" Target="https://enrd.ec.europa.eu/sites/enrd/files/uploaded-files/wp_evaluation_questions_2015.pdf" TargetMode="External"/><Relationship Id="rId38" Type="http://schemas.openxmlformats.org/officeDocument/2006/relationships/hyperlink" Target="https://www.envieval.eu/" TargetMode="External"/><Relationship Id="rId46" Type="http://schemas.openxmlformats.org/officeDocument/2006/relationships/hyperlink" Target="https://www.envieval.eu/fileadmin/envieval/dissemination/deliverables/D9.5_Handbook_for_the_evaluation_of_environmental_impacts_of_RDPs.pdf" TargetMode="External"/><Relationship Id="rId59" Type="http://schemas.openxmlformats.org/officeDocument/2006/relationships/image" Target="media/image11.png"/><Relationship Id="rId67" Type="http://schemas.openxmlformats.org/officeDocument/2006/relationships/image" Target="media/image19.png"/><Relationship Id="rId20" Type="http://schemas.openxmlformats.org/officeDocument/2006/relationships/hyperlink" Target="https://ec.europa.eu/sfc/en/system/files/ged/RDP_Annex%2011.pdf" TargetMode="External"/><Relationship Id="rId41" Type="http://schemas.openxmlformats.org/officeDocument/2006/relationships/image" Target="media/image60.png"/><Relationship Id="rId54" Type="http://schemas.openxmlformats.org/officeDocument/2006/relationships/hyperlink" Target="https://ec.europa.eu/agriculture/sites/agriculture/files/evaluation/guidelines/2007-2013-ex-post_en.pdf" TargetMode="External"/><Relationship Id="rId62" Type="http://schemas.openxmlformats.org/officeDocument/2006/relationships/image" Target="media/image14.png"/><Relationship Id="rId70"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DE/ALL/?uri=CELEX%3A32014R0808" TargetMode="External"/><Relationship Id="rId3" Type="http://schemas.openxmlformats.org/officeDocument/2006/relationships/hyperlink" Target="https://eur-lex.europa.eu/legal-content/DE/ALL/?uri=CELEX%3A32014R0808" TargetMode="External"/><Relationship Id="rId7" Type="http://schemas.openxmlformats.org/officeDocument/2006/relationships/hyperlink" Target="https://eur-lex.europa.eu/legal-content/DE/TXT/?uri=CELEX%3A32014R0834" TargetMode="External"/><Relationship Id="rId12" Type="http://schemas.openxmlformats.org/officeDocument/2006/relationships/hyperlink" Target="http://enrd.ec.europa.eu/enrd-static/app_templates/enrd_assets/pdf/evaluation/epe_master.pdf" TargetMode="External"/><Relationship Id="rId2" Type="http://schemas.openxmlformats.org/officeDocument/2006/relationships/hyperlink" Target="https://enrd.ec.europa.eu/sites/enrd/files/uploaded-files/twg-05-ep-june2015_0.pdf" TargetMode="External"/><Relationship Id="rId1" Type="http://schemas.openxmlformats.org/officeDocument/2006/relationships/hyperlink" Target="http://eur-lex.europa.eu/legal-content/de/ALL/?uri=CELEX%3A32013R1305" TargetMode="External"/><Relationship Id="rId6" Type="http://schemas.openxmlformats.org/officeDocument/2006/relationships/hyperlink" Target="https://eur-lex.europa.eu/legal-content/DE/TXT/?uri=celex%3A32013R1306" TargetMode="External"/><Relationship Id="rId11" Type="http://schemas.openxmlformats.org/officeDocument/2006/relationships/hyperlink" Target="https://enrd.ec.europa.eu/evaluation/publications/guidelines-assessment-rdp-results-how-prepare-reporting-evaluation-2017_en" TargetMode="External"/><Relationship Id="rId5" Type="http://schemas.openxmlformats.org/officeDocument/2006/relationships/hyperlink" Target="file:///C:\Users\wimmer\AppData\Local\Microsoft\Windows\INetCache\Content.Outlook\3TA5XJ7V\ur-lex.europa.eu\legal-content\EN\TXT\%3furi=uriserv:OJ.L_.2014.356.01.0438.01.ENG" TargetMode="External"/><Relationship Id="rId10" Type="http://schemas.openxmlformats.org/officeDocument/2006/relationships/hyperlink" Target="https://ec.europa.eu/agriculture/sites/agriculture/files/evaluation/guidelines/2017-update-technical-handbook-monitoring-evaluation-framework_en.pdf" TargetMode="External"/><Relationship Id="rId4" Type="http://schemas.openxmlformats.org/officeDocument/2006/relationships/hyperlink" Target="https://enrd.ec.europa.eu/evaluation/publications/summary-report-synthesis-evaluation-components-2017-enhanced-air-chapter-7_en" TargetMode="External"/><Relationship Id="rId9" Type="http://schemas.openxmlformats.org/officeDocument/2006/relationships/hyperlink" Target="https://ec.europa.eu/agriculture/sites/agriculture/files/evaluation/guidelines/2017-update-technical-handbook-monitoring-evaluation-framework_en.pdf" TargetMode="External"/></Relationships>
</file>

<file path=word/theme/theme1.xml><?xml version="1.0" encoding="utf-8"?>
<a:theme xmlns:a="http://schemas.openxmlformats.org/drawingml/2006/main" name="Larissa-Design">
  <a:themeElements>
    <a:clrScheme name="Helpdesk">
      <a:dk1>
        <a:srgbClr val="373737"/>
      </a:dk1>
      <a:lt1>
        <a:srgbClr val="FFFFFF"/>
      </a:lt1>
      <a:dk2>
        <a:srgbClr val="373737"/>
      </a:dk2>
      <a:lt2>
        <a:srgbClr val="FFFFFF"/>
      </a:lt2>
      <a:accent1>
        <a:srgbClr val="F07E31"/>
      </a:accent1>
      <a:accent2>
        <a:srgbClr val="BE4A35"/>
      </a:accent2>
      <a:accent3>
        <a:srgbClr val="59638E"/>
      </a:accent3>
      <a:accent4>
        <a:srgbClr val="57825E"/>
      </a:accent4>
      <a:accent5>
        <a:srgbClr val="F7A833"/>
      </a:accent5>
      <a:accent6>
        <a:srgbClr val="8BAB80"/>
      </a:accent6>
      <a:hlink>
        <a:srgbClr val="F07E31"/>
      </a:hlink>
      <a:folHlink>
        <a:srgbClr val="F07E31"/>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AB9C5-9D12-4BF1-939F-384A528F9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8553</Words>
  <Characters>48757</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57196</CharactersWithSpaces>
  <SharedDoc>false</SharedDoc>
  <HLinks>
    <vt:vector size="6" baseType="variant">
      <vt:variant>
        <vt:i4>1048625</vt:i4>
      </vt:variant>
      <vt:variant>
        <vt:i4>2</vt:i4>
      </vt:variant>
      <vt:variant>
        <vt:i4>0</vt:i4>
      </vt:variant>
      <vt:variant>
        <vt:i4>5</vt:i4>
      </vt:variant>
      <vt:variant>
        <vt:lpwstr/>
      </vt:variant>
      <vt:variant>
        <vt:lpwstr>_Toc222036237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2018-11-19T16:41:00Z</dcterms:created>
  <dcterms:modified xsi:type="dcterms:W3CDTF">2018-11-19T16:50:00Z</dcterms:modified>
</cp:coreProperties>
</file>