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6061" w:rsidRPr="0062664B" w:rsidRDefault="000B213F" w:rsidP="009739F7">
      <w:pPr>
        <w:pStyle w:val="HHeadingboxes"/>
        <w:numPr>
          <w:ilvl w:val="0"/>
          <w:numId w:val="0"/>
        </w:numPr>
        <w:ind w:left="851" w:hanging="851"/>
      </w:pPr>
      <w:r w:rsidRPr="0062664B">
        <w:rPr>
          <w:noProof/>
          <w:szCs w:val="24"/>
          <w:lang w:eastAsia="en-GB" w:bidi="ar-SA"/>
        </w:rPr>
        <mc:AlternateContent>
          <mc:Choice Requires="wps">
            <w:drawing>
              <wp:anchor distT="0" distB="0" distL="114300" distR="114300" simplePos="0" relativeHeight="251658240" behindDoc="1" locked="0" layoutInCell="1" allowOverlap="1" wp14:anchorId="51925FEC" wp14:editId="7776BB05">
                <wp:simplePos x="0" y="0"/>
                <wp:positionH relativeFrom="page">
                  <wp:posOffset>2053590</wp:posOffset>
                </wp:positionH>
                <wp:positionV relativeFrom="page">
                  <wp:posOffset>5022215</wp:posOffset>
                </wp:positionV>
                <wp:extent cx="4775835" cy="3150870"/>
                <wp:effectExtent l="0" t="0" r="5715" b="11430"/>
                <wp:wrapTight wrapText="bothSides">
                  <wp:wrapPolygon edited="0">
                    <wp:start x="0" y="0"/>
                    <wp:lineTo x="0" y="21548"/>
                    <wp:lineTo x="21540" y="21548"/>
                    <wp:lineTo x="21540" y="0"/>
                    <wp:lineTo x="0" y="0"/>
                  </wp:wrapPolygon>
                </wp:wrapTight>
                <wp:docPr id="93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835" cy="315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EB5" w:rsidRPr="00E76949" w:rsidRDefault="001A2EB5" w:rsidP="00E76949">
                            <w:pPr>
                              <w:pStyle w:val="HTitle1"/>
                            </w:pPr>
                            <w:r>
                              <w:t>RETNINGSLINJER</w:t>
                            </w:r>
                          </w:p>
                          <w:p w:rsidR="001A2EB5" w:rsidRPr="00196DF6" w:rsidRDefault="001A2EB5" w:rsidP="00196DF6">
                            <w:pPr>
                              <w:pStyle w:val="HTitle2"/>
                            </w:pPr>
                            <w:r>
                              <w:t>Vurdering af resultaterne og virkningerne af landdistriktsudviklingsprogrammer I 2019</w:t>
                            </w:r>
                          </w:p>
                          <w:p w:rsidR="001A2EB5" w:rsidRPr="00F15219" w:rsidRDefault="001A2EB5" w:rsidP="00196DF6">
                            <w:pPr>
                              <w:pStyle w:val="HTitle2"/>
                            </w:pPr>
                          </w:p>
                          <w:p w:rsidR="001A2EB5" w:rsidRPr="00435F02" w:rsidRDefault="001A2EB5" w:rsidP="00196DF6">
                            <w:pPr>
                              <w:pStyle w:val="HTitle3"/>
                              <w:rPr>
                                <w:color w:val="auto"/>
                              </w:rPr>
                            </w:pPr>
                            <w:r>
                              <w:rPr>
                                <w:color w:val="auto"/>
                              </w:rPr>
                              <w:t>August 2018</w:t>
                            </w:r>
                          </w:p>
                          <w:p w:rsidR="001A2EB5" w:rsidRDefault="001A2EB5" w:rsidP="00196DF6">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925FEC" id="_x0000_t202" coordsize="21600,21600" o:spt="202" path="m,l,21600r21600,l21600,xe">
                <v:stroke joinstyle="miter"/>
                <v:path gradientshapeok="t" o:connecttype="rect"/>
              </v:shapetype>
              <v:shape id="Text Box 5" o:spid="_x0000_s1026" type="#_x0000_t202" style="position:absolute;left:0;text-align:left;margin-left:161.7pt;margin-top:395.45pt;width:376.05pt;height:248.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0tFsgIAAKw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" filled="f" stroked="f">
                <v:textbox inset="0,0,0,0">
                  <w:txbxContent>
                    <w:p w:rsidR="001A2EB5" w:rsidRPr="00E76949" w:rsidRDefault="001A2EB5" w:rsidP="00E76949">
                      <w:pPr>
                        <w:pStyle w:val="HTitle1"/>
                      </w:pPr>
                      <w:r>
                        <w:t>RETNINGSLINJER</w:t>
                      </w:r>
                    </w:p>
                    <w:p w:rsidR="001A2EB5" w:rsidRPr="00196DF6" w:rsidRDefault="001A2EB5" w:rsidP="00196DF6">
                      <w:pPr>
                        <w:pStyle w:val="HTitle2"/>
                      </w:pPr>
                      <w:r>
                        <w:t>Vurdering af resultaterne og virkningerne af landdistriktsudviklingsprogrammer I 2019</w:t>
                      </w:r>
                    </w:p>
                    <w:p w:rsidR="001A2EB5" w:rsidRPr="00F15219" w:rsidRDefault="001A2EB5" w:rsidP="00196DF6">
                      <w:pPr>
                        <w:pStyle w:val="HTitle2"/>
                      </w:pPr>
                    </w:p>
                    <w:p w:rsidR="001A2EB5" w:rsidRPr="00435F02" w:rsidRDefault="001A2EB5" w:rsidP="00196DF6">
                      <w:pPr>
                        <w:pStyle w:val="HTitle3"/>
                        <w:rPr>
                          <w:color w:val="auto"/>
                        </w:rPr>
                      </w:pPr>
                      <w:r>
                        <w:rPr>
                          <w:color w:val="auto"/>
                        </w:rPr>
                        <w:t>August 2018</w:t>
                      </w:r>
                    </w:p>
                    <w:p w:rsidR="001A2EB5" w:rsidRDefault="001A2EB5" w:rsidP="00196DF6">
                      <w:pPr>
                        <w:pStyle w:val="HTitle3"/>
                      </w:pPr>
                    </w:p>
                  </w:txbxContent>
                </v:textbox>
                <w10:wrap type="tight" anchorx="page" anchory="page"/>
              </v:shape>
            </w:pict>
          </mc:Fallback>
        </mc:AlternateContent>
      </w:r>
      <w:r w:rsidRPr="0062664B">
        <w:rPr>
          <w:noProof/>
          <w:lang w:eastAsia="en-GB" w:bidi="ar-SA"/>
        </w:rPr>
        <w:drawing>
          <wp:anchor distT="0" distB="0" distL="114300" distR="114300" simplePos="0" relativeHeight="251656192" behindDoc="1" locked="0" layoutInCell="1" allowOverlap="1" wp14:anchorId="20F1AA4D" wp14:editId="721F0CA2">
            <wp:simplePos x="0" y="0"/>
            <wp:positionH relativeFrom="margin">
              <wp:posOffset>-918210</wp:posOffset>
            </wp:positionH>
            <wp:positionV relativeFrom="margin">
              <wp:posOffset>-914400</wp:posOffset>
            </wp:positionV>
            <wp:extent cx="7561580" cy="10683240"/>
            <wp:effectExtent l="19050" t="0" r="127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mne-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1580" cy="10683240"/>
                    </a:xfrm>
                    <a:prstGeom prst="rect">
                      <a:avLst/>
                    </a:prstGeom>
                  </pic:spPr>
                </pic:pic>
              </a:graphicData>
            </a:graphic>
          </wp:anchor>
        </w:drawing>
      </w:r>
      <w:r w:rsidRPr="0062664B">
        <w:t xml:space="preserve"> </w:t>
      </w:r>
      <w:r w:rsidRPr="0062664B">
        <w:br w:type="page"/>
      </w:r>
    </w:p>
    <w:p w:rsidR="00016061" w:rsidRPr="0062664B" w:rsidRDefault="000B213F" w:rsidP="007C6797">
      <w:pPr>
        <w:pStyle w:val="HStandard"/>
      </w:pPr>
      <w:r w:rsidRPr="0062664B">
        <w:rPr>
          <w:noProof/>
          <w:lang w:eastAsia="en-GB" w:bidi="ar-SA"/>
        </w:rPr>
        <w:lastRenderedPageBreak/>
        <mc:AlternateContent>
          <mc:Choice Requires="wps">
            <w:drawing>
              <wp:anchor distT="0" distB="0" distL="114300" distR="114300" simplePos="0" relativeHeight="251664896" behindDoc="0" locked="0" layoutInCell="1" allowOverlap="1" wp14:anchorId="2C3499B0" wp14:editId="78F8D1EC">
                <wp:simplePos x="0" y="0"/>
                <wp:positionH relativeFrom="margin">
                  <wp:posOffset>-426085</wp:posOffset>
                </wp:positionH>
                <wp:positionV relativeFrom="paragraph">
                  <wp:posOffset>4095115</wp:posOffset>
                </wp:positionV>
                <wp:extent cx="6583680" cy="5161915"/>
                <wp:effectExtent l="0" t="0" r="0" b="0"/>
                <wp:wrapNone/>
                <wp:docPr id="9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rsidR="001A2EB5" w:rsidRPr="00811EF1" w:rsidRDefault="001A2EB5" w:rsidP="00811EF1">
                            <w:pPr>
                              <w:pStyle w:val="Hdisclaimer"/>
                            </w:pPr>
                            <w:r>
                              <w:t>Meddelelse om ophavsret</w:t>
                            </w:r>
                          </w:p>
                          <w:p w:rsidR="001A2EB5" w:rsidRPr="00811EF1" w:rsidRDefault="001A2EB5" w:rsidP="00811EF1">
                            <w:pPr>
                              <w:pStyle w:val="Hdisclaimer"/>
                            </w:pPr>
                            <w:r>
                              <w:t>© Den Europæiske Union, 2018</w:t>
                            </w:r>
                          </w:p>
                          <w:p w:rsidR="001A2EB5" w:rsidRPr="00811EF1" w:rsidRDefault="001A2EB5" w:rsidP="00811EF1">
                            <w:pPr>
                              <w:pStyle w:val="Hdisclaimer"/>
                            </w:pPr>
                            <w:r>
                              <w:t>Eftertryk tilladt med kildeangivelse.</w:t>
                            </w:r>
                          </w:p>
                          <w:p w:rsidR="001A2EB5" w:rsidRPr="00811EF1" w:rsidRDefault="001A2EB5" w:rsidP="00811EF1">
                            <w:pPr>
                              <w:pStyle w:val="Hdisclaimer"/>
                            </w:pPr>
                            <w:r>
                              <w:t xml:space="preserve">Anbefalet henvisning: </w:t>
                            </w:r>
                          </w:p>
                          <w:p w:rsidR="001A2EB5" w:rsidRDefault="001A2EB5" w:rsidP="00435F02">
                            <w:pPr>
                              <w:pStyle w:val="Hdisclaimer"/>
                            </w:pPr>
                            <w:r>
                              <w:t xml:space="preserve">EUROPA-KOMMISSIONEN – Generaldirektoratet for Landbrug og Udvikling af Landdistrikter – Kontor C.4 (2018): Retningslinjer. Vurdering af resultaterne og virkningerne af landdistriktsudviklingsprogrammer i 2019. Bruxelles, august 2018. </w:t>
                            </w:r>
                          </w:p>
                          <w:p w:rsidR="001A2EB5" w:rsidRPr="00811EF1" w:rsidRDefault="001A2EB5" w:rsidP="00811EF1">
                            <w:pPr>
                              <w:pStyle w:val="Hdisclaimer"/>
                            </w:pPr>
                            <w:r>
                              <w:t>Ansvarsfraskrivelse:</w:t>
                            </w:r>
                          </w:p>
                          <w:p w:rsidR="001A2EB5" w:rsidRPr="00811EF1" w:rsidRDefault="001A2EB5" w:rsidP="00811EF1">
                            <w:pPr>
                              <w:pStyle w:val="Hdisclaimer"/>
                            </w:pPr>
                            <w:r>
                              <w:t>De oplysninger og synspunkter, der fremsættes i denne publikation, er forfatterens egne og afspejler ikke nødvendigvis Kommissionens officielle holdning. Kommissionen garanterer ikke nøjagtigheden af de data, der indgår i disse retningslinjer. Hverken Kommissionen eller nogen, der handler på Kommissionens vegne, kan holdes ansvarlige for brugen af de heri indeholdte oplysninger.</w:t>
                            </w:r>
                          </w:p>
                          <w:p w:rsidR="001A2EB5" w:rsidRPr="00811EF1" w:rsidRDefault="001A2EB5" w:rsidP="005B24FC">
                            <w:pPr>
                              <w:pStyle w:val="Hdisclaimer"/>
                              <w:tabs>
                                <w:tab w:val="right" w:pos="10065"/>
                              </w:tabs>
                            </w:pPr>
                            <w:r>
                              <w:rPr>
                                <w:noProof/>
                                <w:color w:val="auto"/>
                                <w:lang w:val="en-GB" w:eastAsia="en-GB" w:bidi="ar-SA"/>
                              </w:rPr>
                              <w:drawing>
                                <wp:inline distT="0" distB="0" distL="0" distR="0" wp14:anchorId="77FC4442" wp14:editId="23D3994E">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07AD0C72" wp14:editId="14C3335B">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1A2EB5" w:rsidRPr="00811EF1" w:rsidRDefault="001A2EB5" w:rsidP="00811EF1">
                            <w:pPr>
                              <w:pStyle w:val="Hdisclaimer"/>
                            </w:pPr>
                            <w:r>
                              <w:t>Evaluation Helpdesk'en er ansvarlig for evalueringsfunktionen inden for det europæiske netværk for udvikling af landdistrikterne (ENRD) ved at yde vejledning om evaluering af de landdistriktsudviklingsprogrammer og politikker, der henhører under opgaver og vejledning i GD AGRI's Kontor C.4, "Overvågning og evaluering", i Europa-Kommissionen. For at forbedre evalueringen af EU's politik for udvikling af landdistrikterne støtter Evaluation Helpdesk alle evalueringsinteressenter, især GD AGRI, nationale myndigheder, forvaltningsmyndigheder og evalueringseksperter i henhold til landdistriktsudviklingsprogrammerne gennem udvikling og formidling af passende metoder og værktøjer; indsamling og udveksling af god praksis; kapacitetsopbygning og kommunikation med netværksmedlemmer om evalueringsrelaterede emner.</w:t>
                            </w:r>
                          </w:p>
                          <w:p w:rsidR="001A2EB5" w:rsidRPr="00811EF1" w:rsidRDefault="001A2EB5" w:rsidP="00811EF1">
                            <w:pPr>
                              <w:pStyle w:val="Hdisclaimer"/>
                            </w:pPr>
                            <w:r>
                              <w:t>Yderligere oplysninger om aktiviteterne i European Evaluation Helpdesk for Rural Development (den europæiske evalueringshelpdesk for udvikling af landdistrikter) er tilgængelige online via Europa-serveren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499B0" id="Text Box 7" o:spid="_x0000_s1027" type="#_x0000_t202" style="position:absolute;left:0;text-align:left;margin-left:-33.55pt;margin-top:322.45pt;width:518.4pt;height:406.45pt;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" stroked="f">
                <v:fill opacity="0"/>
                <v:textbox>
                  <w:txbxContent>
                    <w:p w:rsidR="001A2EB5" w:rsidRPr="00811EF1" w:rsidRDefault="001A2EB5" w:rsidP="00811EF1">
                      <w:pPr>
                        <w:pStyle w:val="Hdisclaimer"/>
                      </w:pPr>
                      <w:r>
                        <w:t>Meddelelse om ophavsret</w:t>
                      </w:r>
                    </w:p>
                    <w:p w:rsidR="001A2EB5" w:rsidRPr="00811EF1" w:rsidRDefault="001A2EB5" w:rsidP="00811EF1">
                      <w:pPr>
                        <w:pStyle w:val="Hdisclaimer"/>
                      </w:pPr>
                      <w:r>
                        <w:t>© Den Europæiske Union, 2018</w:t>
                      </w:r>
                    </w:p>
                    <w:p w:rsidR="001A2EB5" w:rsidRPr="00811EF1" w:rsidRDefault="001A2EB5" w:rsidP="00811EF1">
                      <w:pPr>
                        <w:pStyle w:val="Hdisclaimer"/>
                      </w:pPr>
                      <w:r>
                        <w:t>Eftertryk tilladt med kildeangivelse.</w:t>
                      </w:r>
                    </w:p>
                    <w:p w:rsidR="001A2EB5" w:rsidRPr="00811EF1" w:rsidRDefault="001A2EB5" w:rsidP="00811EF1">
                      <w:pPr>
                        <w:pStyle w:val="Hdisclaimer"/>
                      </w:pPr>
                      <w:r>
                        <w:t xml:space="preserve">Anbefalet henvisning: </w:t>
                      </w:r>
                    </w:p>
                    <w:p w:rsidR="001A2EB5" w:rsidRDefault="001A2EB5" w:rsidP="00435F02">
                      <w:pPr>
                        <w:pStyle w:val="Hdisclaimer"/>
                      </w:pPr>
                      <w:r>
                        <w:t xml:space="preserve">EUROPA-KOMMISSIONEN – Generaldirektoratet for Landbrug og Udvikling af Landdistrikter – Kontor C.4 (2018): Retningslinjer. Vurdering af resultaterne og virkningerne af landdistriktsudviklingsprogrammer i 2019. Bruxelles, august 2018. </w:t>
                      </w:r>
                    </w:p>
                    <w:p w:rsidR="001A2EB5" w:rsidRPr="00811EF1" w:rsidRDefault="001A2EB5" w:rsidP="00811EF1">
                      <w:pPr>
                        <w:pStyle w:val="Hdisclaimer"/>
                      </w:pPr>
                      <w:r>
                        <w:t>Ansvarsfraskrivelse:</w:t>
                      </w:r>
                    </w:p>
                    <w:p w:rsidR="001A2EB5" w:rsidRPr="00811EF1" w:rsidRDefault="001A2EB5" w:rsidP="00811EF1">
                      <w:pPr>
                        <w:pStyle w:val="Hdisclaimer"/>
                      </w:pPr>
                      <w:r>
                        <w:t>De oplysninger og synspunkter, der fremsættes i denne publikation, er forfatterens egne og afspejler ikke nødvendigvis Kommissionens officielle holdning. Kommissionen garanterer ikke nøjagtigheden af de data, der indgår i disse retningslinjer. Hverken Kommissionen eller nogen, der handler på Kommissionens vegne, kan holdes ansvarlige for brugen af de heri indeholdte oplysninger.</w:t>
                      </w:r>
                    </w:p>
                    <w:p w:rsidR="001A2EB5" w:rsidRPr="00811EF1" w:rsidRDefault="001A2EB5" w:rsidP="005B24FC">
                      <w:pPr>
                        <w:pStyle w:val="Hdisclaimer"/>
                        <w:tabs>
                          <w:tab w:val="right" w:pos="10065"/>
                        </w:tabs>
                      </w:pPr>
                      <w:r>
                        <w:rPr>
                          <w:noProof/>
                          <w:color w:val="auto"/>
                          <w:lang w:val="en-GB" w:eastAsia="en-GB" w:bidi="ar-SA"/>
                        </w:rPr>
                        <w:drawing>
                          <wp:inline distT="0" distB="0" distL="0" distR="0" wp14:anchorId="77FC4442" wp14:editId="23D3994E">
                            <wp:extent cx="1676400" cy="792474"/>
                            <wp:effectExtent l="0" t="0" r="0" b="8255"/>
                            <wp:docPr id="6"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9">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rPr>
                          <w:noProof/>
                          <w:color w:val="auto"/>
                          <w:lang w:val="en-GB" w:eastAsia="en-GB" w:bidi="ar-SA"/>
                        </w:rPr>
                        <w:drawing>
                          <wp:inline distT="0" distB="0" distL="0" distR="0" wp14:anchorId="07AD0C72" wp14:editId="14C3335B">
                            <wp:extent cx="1808480" cy="665125"/>
                            <wp:effectExtent l="0" t="0" r="1270" b="1905"/>
                            <wp:docPr id="9"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1A2EB5" w:rsidRPr="00811EF1" w:rsidRDefault="001A2EB5" w:rsidP="00811EF1">
                      <w:pPr>
                        <w:pStyle w:val="Hdisclaimer"/>
                      </w:pPr>
                      <w:r>
                        <w:t>Evaluation Helpdesk'en er ansvarlig for evalueringsfunktionen inden for det europæiske netværk for udvikling af landdistrikterne (ENRD) ved at yde vejledning om evaluering af de landdistriktsudviklingsprogrammer og politikker, der henhører under opgaver og vejledning i GD AGRI's Kontor C.4, "Overvågning og evaluering", i Europa-Kommissionen. For at forbedre evalueringen af EU's politik for udvikling af landdistrikterne støtter Evaluation Helpdesk alle evalueringsinteressenter, især GD AGRI, nationale myndigheder, forvaltningsmyndigheder og evalueringseksperter i henhold til landdistriktsudviklingsprogrammerne gennem udvikling og formidling af passende metoder og værktøjer; indsamling og udveksling af god praksis; kapacitetsopbygning og kommunikation med netværksmedlemmer om evalueringsrelaterede emner.</w:t>
                      </w:r>
                    </w:p>
                    <w:p w:rsidR="001A2EB5" w:rsidRPr="00811EF1" w:rsidRDefault="001A2EB5" w:rsidP="00811EF1">
                      <w:pPr>
                        <w:pStyle w:val="Hdisclaimer"/>
                      </w:pPr>
                      <w:r>
                        <w:t>Yderligere oplysninger om aktiviteterne i European Evaluation Helpdesk for Rural Development (den europæiske evalueringshelpdesk for udvikling af landdistrikter) er tilgængelige online via Europa-serveren (http://enrd.ec.europa.eu).</w:t>
                      </w:r>
                    </w:p>
                  </w:txbxContent>
                </v:textbox>
                <w10:wrap anchorx="margin"/>
              </v:shape>
            </w:pict>
          </mc:Fallback>
        </mc:AlternateContent>
      </w:r>
      <w:r w:rsidRPr="0062664B">
        <w:br w:type="page"/>
      </w:r>
    </w:p>
    <w:p w:rsidR="00016061" w:rsidRPr="0062664B" w:rsidRDefault="00016061" w:rsidP="007C6797">
      <w:pPr>
        <w:pStyle w:val="HStandard"/>
      </w:pPr>
    </w:p>
    <w:p w:rsidR="00016061" w:rsidRPr="0062664B" w:rsidRDefault="00016061" w:rsidP="007C6797">
      <w:pPr>
        <w:pStyle w:val="HStandard"/>
      </w:pPr>
    </w:p>
    <w:p w:rsidR="00016061" w:rsidRPr="0062664B" w:rsidRDefault="00016061" w:rsidP="007C6797">
      <w:pPr>
        <w:pStyle w:val="HStandard"/>
      </w:pPr>
    </w:p>
    <w:p w:rsidR="00016061" w:rsidRPr="0062664B" w:rsidRDefault="000B213F" w:rsidP="007C6797">
      <w:pPr>
        <w:pStyle w:val="HStandard"/>
      </w:pPr>
      <w:r w:rsidRPr="0062664B">
        <w:rPr>
          <w:noProof/>
          <w:lang w:eastAsia="en-GB" w:bidi="ar-SA"/>
        </w:rPr>
        <mc:AlternateContent>
          <mc:Choice Requires="wps">
            <w:drawing>
              <wp:anchor distT="0" distB="0" distL="114300" distR="114300" simplePos="0" relativeHeight="251665920" behindDoc="1" locked="0" layoutInCell="1" allowOverlap="1" wp14:anchorId="7C9A3488" wp14:editId="42DE3187">
                <wp:simplePos x="0" y="0"/>
                <wp:positionH relativeFrom="page">
                  <wp:posOffset>2204720</wp:posOffset>
                </wp:positionH>
                <wp:positionV relativeFrom="page">
                  <wp:posOffset>5175250</wp:posOffset>
                </wp:positionV>
                <wp:extent cx="4958080" cy="3855720"/>
                <wp:effectExtent l="0" t="0" r="13970" b="11430"/>
                <wp:wrapTight wrapText="bothSides">
                  <wp:wrapPolygon edited="0">
                    <wp:start x="0" y="0"/>
                    <wp:lineTo x="0" y="21557"/>
                    <wp:lineTo x="21578" y="21557"/>
                    <wp:lineTo x="21578" y="0"/>
                    <wp:lineTo x="0" y="0"/>
                  </wp:wrapPolygon>
                </wp:wrapTight>
                <wp:docPr id="93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2EB5" w:rsidRPr="00F15219" w:rsidRDefault="001A2EB5" w:rsidP="00E76949">
                            <w:pPr>
                              <w:pStyle w:val="HTitle1"/>
                            </w:pPr>
                            <w:r>
                              <w:t>Retningslinjer</w:t>
                            </w:r>
                          </w:p>
                          <w:p w:rsidR="001A2EB5" w:rsidRPr="00F15219" w:rsidRDefault="001A2EB5" w:rsidP="00BE49CF">
                            <w:pPr>
                              <w:pStyle w:val="HTitle2"/>
                            </w:pPr>
                            <w:r>
                              <w:t>VURDERING AF RESULTATERNE OG VIRKNINGERNE AF LANDDISTRIKTSUDVIKLINGS-PROGRAMMER I 2019</w:t>
                            </w:r>
                          </w:p>
                          <w:p w:rsidR="001A2EB5" w:rsidRPr="00F15219" w:rsidRDefault="001A2EB5" w:rsidP="00196DF6">
                            <w:pPr>
                              <w:pStyle w:val="HTitle2"/>
                            </w:pPr>
                          </w:p>
                          <w:p w:rsidR="001A2EB5" w:rsidRPr="00D46054" w:rsidRDefault="001A2EB5" w:rsidP="00BE49CF">
                            <w:pPr>
                              <w:pStyle w:val="HTitle3"/>
                              <w:rPr>
                                <w:color w:val="auto"/>
                              </w:rPr>
                            </w:pPr>
                            <w:r>
                              <w:rPr>
                                <w:color w:val="auto"/>
                              </w:rPr>
                              <w:t>August 2018</w:t>
                            </w:r>
                          </w:p>
                          <w:p w:rsidR="001A2EB5" w:rsidRPr="00D46054" w:rsidRDefault="001A2EB5" w:rsidP="00196DF6">
                            <w:pPr>
                              <w:pStyle w:val="HTitle3"/>
                              <w:rPr>
                                <w:color w:val="au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9A3488" id="Text Box 16" o:spid="_x0000_s1028" type="#_x0000_t202" style="position:absolute;left:0;text-align:left;margin-left:173.6pt;margin-top:407.5pt;width:390.4pt;height:303.6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S82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" filled="f" stroked="f">
                <v:textbox inset="0,0,0,0">
                  <w:txbxContent>
                    <w:p w:rsidR="001A2EB5" w:rsidRPr="00F15219" w:rsidRDefault="001A2EB5" w:rsidP="00E76949">
                      <w:pPr>
                        <w:pStyle w:val="HTitle1"/>
                      </w:pPr>
                      <w:r>
                        <w:t>Retningslinjer</w:t>
                      </w:r>
                    </w:p>
                    <w:p w:rsidR="001A2EB5" w:rsidRPr="00F15219" w:rsidRDefault="001A2EB5" w:rsidP="00BE49CF">
                      <w:pPr>
                        <w:pStyle w:val="HTitle2"/>
                      </w:pPr>
                      <w:r>
                        <w:t>VURDERING AF RESULTATERNE OG VIRKNINGERNE AF LANDDISTRIKTSUDVIKLINGS-PROGRAMMER I 2019</w:t>
                      </w:r>
                    </w:p>
                    <w:p w:rsidR="001A2EB5" w:rsidRPr="00F15219" w:rsidRDefault="001A2EB5" w:rsidP="00196DF6">
                      <w:pPr>
                        <w:pStyle w:val="HTitle2"/>
                      </w:pPr>
                    </w:p>
                    <w:p w:rsidR="001A2EB5" w:rsidRPr="00D46054" w:rsidRDefault="001A2EB5" w:rsidP="00BE49CF">
                      <w:pPr>
                        <w:pStyle w:val="HTitle3"/>
                        <w:rPr>
                          <w:color w:val="auto"/>
                        </w:rPr>
                      </w:pPr>
                      <w:r>
                        <w:rPr>
                          <w:color w:val="auto"/>
                        </w:rPr>
                        <w:t>August 2018</w:t>
                      </w:r>
                    </w:p>
                    <w:p w:rsidR="001A2EB5" w:rsidRPr="00D46054" w:rsidRDefault="001A2EB5" w:rsidP="00196DF6">
                      <w:pPr>
                        <w:pStyle w:val="HTitle3"/>
                        <w:rPr>
                          <w:color w:val="auto"/>
                        </w:rPr>
                      </w:pPr>
                    </w:p>
                  </w:txbxContent>
                </v:textbox>
                <w10:wrap type="tight" anchorx="page" anchory="page"/>
              </v:shape>
            </w:pict>
          </mc:Fallback>
        </mc:AlternateContent>
      </w:r>
    </w:p>
    <w:p w:rsidR="00016061" w:rsidRPr="0062664B" w:rsidRDefault="00016061" w:rsidP="007C6797">
      <w:pPr>
        <w:pStyle w:val="HStandard"/>
        <w:sectPr w:rsidR="00016061" w:rsidRPr="0062664B" w:rsidSect="00FA7E7B">
          <w:footerReference w:type="first" r:id="rId11"/>
          <w:pgSz w:w="11906" w:h="16838" w:code="9"/>
          <w:pgMar w:top="1440" w:right="1440" w:bottom="1134" w:left="1440" w:header="284" w:footer="709" w:gutter="0"/>
          <w:cols w:space="708"/>
          <w:titlePg/>
          <w:docGrid w:linePitch="360"/>
        </w:sectPr>
      </w:pPr>
    </w:p>
    <w:p w:rsidR="008B6E5C" w:rsidRPr="0062664B" w:rsidRDefault="008B6E5C">
      <w:pPr>
        <w:spacing w:before="0" w:after="0" w:line="240" w:lineRule="auto"/>
        <w:jc w:val="left"/>
        <w:rPr>
          <w:rFonts w:cs="Arial"/>
          <w:b/>
          <w:bCs/>
          <w:caps/>
          <w:color w:val="F07E31" w:themeColor="accent1"/>
          <w:kern w:val="32"/>
          <w:sz w:val="20"/>
          <w:szCs w:val="32"/>
        </w:rPr>
      </w:pPr>
      <w:r w:rsidRPr="0062664B">
        <w:lastRenderedPageBreak/>
        <w:br w:type="page"/>
      </w:r>
    </w:p>
    <w:p w:rsidR="000B62C2" w:rsidRPr="0062664B" w:rsidRDefault="000B62C2" w:rsidP="000B62C2">
      <w:pPr>
        <w:pStyle w:val="HContent"/>
      </w:pPr>
      <w:r w:rsidRPr="0062664B">
        <w:lastRenderedPageBreak/>
        <w:t>Indhold</w:t>
      </w:r>
    </w:p>
    <w:p w:rsidR="00FB5A40" w:rsidRPr="0062664B" w:rsidRDefault="00FB5A40" w:rsidP="00402862">
      <w:pPr>
        <w:jc w:val="left"/>
      </w:pPr>
      <w:r w:rsidRPr="0062664B">
        <w:t>Kilder og bidragydere</w:t>
      </w:r>
      <w:r w:rsidRPr="0062664B">
        <w:tab/>
      </w:r>
      <w:r w:rsidR="00402862">
        <w:t xml:space="preserve">            </w:t>
      </w:r>
      <w:r w:rsidRPr="0062664B">
        <w:t>1</w:t>
      </w:r>
    </w:p>
    <w:p w:rsidR="00FB5A40" w:rsidRPr="0062664B" w:rsidRDefault="00FB5A40" w:rsidP="00FB5A40">
      <w:r w:rsidRPr="0062664B">
        <w:t>INDLEDNING</w:t>
      </w:r>
      <w:r w:rsidRPr="0062664B">
        <w:tab/>
        <w:t>2</w:t>
      </w:r>
    </w:p>
    <w:p w:rsidR="00FB5A40" w:rsidRPr="0062664B" w:rsidRDefault="00FB5A40" w:rsidP="00FB5A40">
      <w:r w:rsidRPr="0062664B">
        <w:t>1</w:t>
      </w:r>
      <w:r w:rsidRPr="0062664B">
        <w:tab/>
        <w:t>Hvad skal der indberettes om evaluering i den årlige gennemførelsesrapport, der indsendes i 2019?</w:t>
      </w:r>
      <w:r w:rsidR="004E0861" w:rsidRPr="0062664B">
        <w:br/>
      </w:r>
      <w:r w:rsidR="004E0861" w:rsidRPr="0062664B">
        <w:tab/>
      </w:r>
      <w:r w:rsidR="00C979A3" w:rsidRPr="0062664B">
        <w:t>(Del I)</w:t>
      </w:r>
      <w:r w:rsidR="00C979A3" w:rsidRPr="0062664B">
        <w:tab/>
      </w:r>
      <w:r w:rsidRPr="0062664B">
        <w:t>3</w:t>
      </w:r>
    </w:p>
    <w:p w:rsidR="00FB5A40" w:rsidRPr="0062664B" w:rsidRDefault="00FB5A40" w:rsidP="00FB5A40">
      <w:r w:rsidRPr="0062664B">
        <w:t>1</w:t>
      </w:r>
      <w:r w:rsidR="00886FA8" w:rsidRPr="0062664B">
        <w:t>.</w:t>
      </w:r>
      <w:r w:rsidRPr="0062664B">
        <w:t>1</w:t>
      </w:r>
      <w:r w:rsidRPr="0062664B">
        <w:tab/>
        <w:t>Retsgrundlag og hovedfokus for evalueringen i 2019</w:t>
      </w:r>
      <w:r w:rsidR="00C979A3" w:rsidRPr="0062664B">
        <w:tab/>
      </w:r>
      <w:r w:rsidRPr="0062664B">
        <w:tab/>
        <w:t>3</w:t>
      </w:r>
    </w:p>
    <w:p w:rsidR="00FB5A40" w:rsidRPr="0062664B" w:rsidRDefault="00FB5A40" w:rsidP="00FB5A40">
      <w:r w:rsidRPr="0062664B">
        <w:t>1</w:t>
      </w:r>
      <w:r w:rsidR="00886FA8" w:rsidRPr="0062664B">
        <w:t>.</w:t>
      </w:r>
      <w:r w:rsidRPr="0062664B">
        <w:t>2</w:t>
      </w:r>
      <w:r w:rsidRPr="0062664B">
        <w:tab/>
        <w:t>Hvordan indberettes fælles evalueringsspørgsmål i 2019?</w:t>
      </w:r>
      <w:r w:rsidR="00C979A3" w:rsidRPr="0062664B">
        <w:tab/>
      </w:r>
      <w:r w:rsidRPr="0062664B">
        <w:tab/>
        <w:t>6</w:t>
      </w:r>
    </w:p>
    <w:p w:rsidR="00FB5A40" w:rsidRPr="0062664B" w:rsidRDefault="00FB5A40" w:rsidP="00FB5A40">
      <w:r w:rsidRPr="0062664B">
        <w:t>1</w:t>
      </w:r>
      <w:r w:rsidR="00886FA8" w:rsidRPr="0062664B">
        <w:t>.</w:t>
      </w:r>
      <w:r w:rsidRPr="0062664B">
        <w:t>3</w:t>
      </w:r>
      <w:r w:rsidRPr="0062664B">
        <w:tab/>
        <w:t>Forberedelse af den årlige gennemførelsesrapport i 2019</w:t>
      </w:r>
      <w:r w:rsidR="00C979A3" w:rsidRPr="0062664B">
        <w:tab/>
      </w:r>
      <w:r w:rsidRPr="0062664B">
        <w:tab/>
        <w:t>8</w:t>
      </w:r>
    </w:p>
    <w:p w:rsidR="00FB5A40" w:rsidRPr="0062664B" w:rsidRDefault="00FB5A40" w:rsidP="00FB5A40">
      <w:r w:rsidRPr="0062664B">
        <w:t>2</w:t>
      </w:r>
      <w:r w:rsidRPr="0062664B">
        <w:tab/>
        <w:t>Metoder til vurdering af virkningerne i 2019 af landdistriktsudviklingsprogrammer (DEL II)</w:t>
      </w:r>
      <w:r w:rsidRPr="0062664B">
        <w:tab/>
      </w:r>
      <w:r w:rsidR="00C979A3" w:rsidRPr="0062664B">
        <w:tab/>
        <w:t xml:space="preserve"> </w:t>
      </w:r>
      <w:r w:rsidRPr="0062664B">
        <w:t>12</w:t>
      </w:r>
    </w:p>
    <w:p w:rsidR="00FB5A40" w:rsidRPr="0062664B" w:rsidRDefault="00FB5A40" w:rsidP="00FB5A40">
      <w:r w:rsidRPr="0062664B">
        <w:t>2</w:t>
      </w:r>
      <w:r w:rsidR="00886FA8" w:rsidRPr="0062664B">
        <w:t>.</w:t>
      </w:r>
      <w:r w:rsidRPr="0062664B">
        <w:t>1</w:t>
      </w:r>
      <w:r w:rsidRPr="0062664B">
        <w:tab/>
        <w:t>Valg af passende evalueringstilgange til vurdering af virkningerne af landdistriktsudviklingsprogrammer</w:t>
      </w:r>
      <w:r w:rsidRPr="0062664B">
        <w:tab/>
        <w:t>12</w:t>
      </w:r>
    </w:p>
    <w:p w:rsidR="00FB5A40" w:rsidRPr="0062664B" w:rsidRDefault="00FB5A40" w:rsidP="00FB5A40">
      <w:r w:rsidRPr="0062664B">
        <w:t>2.1.1</w:t>
      </w:r>
      <w:r w:rsidRPr="0062664B">
        <w:tab/>
        <w:t>Hvordan kan logiske modeller anvendes til at afgøre, hvilke evalueringstilgange der er passende?</w:t>
      </w:r>
      <w:r w:rsidRPr="0062664B">
        <w:tab/>
      </w:r>
      <w:r w:rsidR="00C979A3" w:rsidRPr="0062664B">
        <w:t xml:space="preserve">  </w:t>
      </w:r>
      <w:r w:rsidRPr="0062664B">
        <w:t>12</w:t>
      </w:r>
    </w:p>
    <w:p w:rsidR="00FB5A40" w:rsidRPr="0062664B" w:rsidRDefault="00FB5A40" w:rsidP="00FB5A40">
      <w:r w:rsidRPr="0062664B">
        <w:t>2.1.2</w:t>
      </w:r>
      <w:r w:rsidRPr="0062664B">
        <w:tab/>
        <w:t>Oversigt over anbefalede evalueringstilgange til vurdering af effektindikatorer for den fælles landbrugspolitik</w:t>
      </w:r>
      <w:r w:rsidRPr="0062664B">
        <w:tab/>
      </w:r>
      <w:r w:rsidR="00C979A3" w:rsidRPr="0062664B">
        <w:tab/>
      </w:r>
      <w:r w:rsidRPr="0062664B">
        <w:t>23</w:t>
      </w:r>
    </w:p>
    <w:p w:rsidR="00016061" w:rsidRPr="0062664B" w:rsidRDefault="00542440" w:rsidP="000B62C2">
      <w:pPr>
        <w:pStyle w:val="HContent"/>
      </w:pPr>
      <w:r w:rsidRPr="0062664B">
        <w:lastRenderedPageBreak/>
        <w:t xml:space="preserve">Tabeller og figurer </w:t>
      </w:r>
    </w:p>
    <w:p w:rsidR="00FB5A40" w:rsidRPr="0062664B" w:rsidRDefault="00FB5A40" w:rsidP="00FB5A40">
      <w:r w:rsidRPr="0062664B">
        <w:t>Tabel 1.</w:t>
      </w:r>
      <w:r w:rsidRPr="0062664B">
        <w:tab/>
        <w:t>Retningslinjer om besvarelse af fælles evalueringsspørgsmål i den årlige gennemførelsesrapport i 2019</w:t>
      </w:r>
      <w:r w:rsidRPr="0062664B">
        <w:tab/>
        <w:t>7</w:t>
      </w:r>
    </w:p>
    <w:p w:rsidR="00FB5A40" w:rsidRPr="0062664B" w:rsidRDefault="00FB5A40" w:rsidP="00FB5A40">
      <w:r w:rsidRPr="0062664B">
        <w:t>Tabel 2.</w:t>
      </w:r>
      <w:r w:rsidRPr="0062664B">
        <w:tab/>
        <w:t>Tjekliste over anbefalede evalueringstrin i 2019</w:t>
      </w:r>
      <w:r w:rsidRPr="0062664B">
        <w:tab/>
        <w:t>9</w:t>
      </w:r>
    </w:p>
    <w:p w:rsidR="00FB5A40" w:rsidRPr="0062664B" w:rsidRDefault="00FB5A40" w:rsidP="00FB5A40">
      <w:r w:rsidRPr="0062664B">
        <w:t>Tabel 3.</w:t>
      </w:r>
      <w:r w:rsidRPr="0062664B">
        <w:tab/>
        <w:t>Eksempler på anbefalede evalueringstilgange til vurdering af effektindikatorer for den fælles landbrugspolitik</w:t>
      </w:r>
      <w:r w:rsidRPr="0062664B">
        <w:tab/>
        <w:t>24</w:t>
      </w:r>
    </w:p>
    <w:p w:rsidR="00FE491B" w:rsidRPr="0062664B" w:rsidRDefault="00FE491B" w:rsidP="00FE491B">
      <w:pPr>
        <w:pStyle w:val="HContent"/>
      </w:pPr>
      <w:r w:rsidRPr="0062664B">
        <w:lastRenderedPageBreak/>
        <w:t>Liste over forkortelser</w:t>
      </w:r>
    </w:p>
    <w:p w:rsidR="00FE491B" w:rsidRPr="0062664B" w:rsidRDefault="00FE491B" w:rsidP="00FE491B">
      <w:pPr>
        <w:pStyle w:val="HStandard"/>
        <w:ind w:left="993" w:hanging="993"/>
      </w:pPr>
      <w:r w:rsidRPr="0062664B">
        <w:t>AEI</w:t>
      </w:r>
      <w:r w:rsidRPr="0062664B">
        <w:tab/>
      </w:r>
      <w:r w:rsidRPr="0062664B">
        <w:tab/>
        <w:t>Lan</w:t>
      </w:r>
      <w:r w:rsidR="00245F85" w:rsidRPr="0062664B">
        <w:t>d</w:t>
      </w:r>
      <w:r w:rsidRPr="0062664B">
        <w:t>brugsbedrifternes indkomst</w:t>
      </w:r>
    </w:p>
    <w:p w:rsidR="00FE491B" w:rsidRPr="0062664B" w:rsidRDefault="00FE491B" w:rsidP="00FE491B">
      <w:pPr>
        <w:pStyle w:val="HStandard"/>
        <w:ind w:left="993" w:hanging="993"/>
      </w:pPr>
      <w:r w:rsidRPr="0062664B">
        <w:t>AEI</w:t>
      </w:r>
      <w:r w:rsidRPr="0062664B">
        <w:tab/>
      </w:r>
      <w:r w:rsidRPr="0062664B">
        <w:tab/>
        <w:t>Landbrugsmiljøindikatorer</w:t>
      </w:r>
    </w:p>
    <w:p w:rsidR="00FE491B" w:rsidRPr="0062664B" w:rsidRDefault="00FE491B" w:rsidP="00FE491B">
      <w:pPr>
        <w:pStyle w:val="HStandard"/>
        <w:ind w:left="993" w:hanging="993"/>
      </w:pPr>
      <w:r w:rsidRPr="0062664B">
        <w:t>AFI</w:t>
      </w:r>
      <w:r w:rsidRPr="0062664B">
        <w:tab/>
      </w:r>
      <w:r w:rsidRPr="0062664B">
        <w:tab/>
        <w:t>Faktorindkomst i landbruget</w:t>
      </w:r>
    </w:p>
    <w:p w:rsidR="00FE491B" w:rsidRPr="0062664B" w:rsidRDefault="00FE491B" w:rsidP="00FE491B">
      <w:pPr>
        <w:pStyle w:val="HStandard"/>
        <w:ind w:left="993" w:hanging="993"/>
      </w:pPr>
      <w:r w:rsidRPr="0062664B">
        <w:t>AIR</w:t>
      </w:r>
      <w:r w:rsidRPr="0062664B">
        <w:tab/>
      </w:r>
      <w:r w:rsidRPr="0062664B">
        <w:tab/>
        <w:t>Årlig gennemførelsesrapport</w:t>
      </w:r>
    </w:p>
    <w:p w:rsidR="00FE491B" w:rsidRPr="0062664B" w:rsidRDefault="00886FA8" w:rsidP="00FE491B">
      <w:pPr>
        <w:pStyle w:val="HStandard"/>
        <w:ind w:left="993" w:hanging="993"/>
      </w:pPr>
      <w:r w:rsidRPr="0062664B">
        <w:t>ANC</w:t>
      </w:r>
      <w:r w:rsidRPr="0062664B">
        <w:tab/>
      </w:r>
      <w:r w:rsidRPr="0062664B">
        <w:tab/>
      </w:r>
      <w:r w:rsidR="00FE491B" w:rsidRPr="0062664B">
        <w:t>Områder med naturbetingede begrænsninger</w:t>
      </w:r>
      <w:r w:rsidR="00FE491B" w:rsidRPr="0062664B">
        <w:tab/>
      </w:r>
      <w:r w:rsidR="00FE491B" w:rsidRPr="0062664B">
        <w:tab/>
      </w:r>
    </w:p>
    <w:p w:rsidR="00FE491B" w:rsidRPr="0062664B" w:rsidRDefault="00FE491B" w:rsidP="00FE491B">
      <w:pPr>
        <w:pStyle w:val="HStandard"/>
        <w:ind w:left="993" w:hanging="993"/>
      </w:pPr>
      <w:r w:rsidRPr="0062664B">
        <w:t>ATT</w:t>
      </w:r>
      <w:r w:rsidRPr="0062664B">
        <w:tab/>
      </w:r>
      <w:r w:rsidRPr="0062664B">
        <w:tab/>
        <w:t>Gennemsnitlige behandlingseffekter på behandlede</w:t>
      </w:r>
    </w:p>
    <w:p w:rsidR="00FE491B" w:rsidRPr="0062664B" w:rsidRDefault="00FE491B" w:rsidP="00FE491B">
      <w:pPr>
        <w:pStyle w:val="HStandard"/>
        <w:ind w:left="993" w:hanging="993"/>
      </w:pPr>
      <w:r w:rsidRPr="0062664B">
        <w:t>AROPE</w:t>
      </w:r>
      <w:r w:rsidRPr="0062664B">
        <w:tab/>
      </w:r>
      <w:r w:rsidRPr="0062664B">
        <w:tab/>
        <w:t>I fare for fattigdom eller social udstødelse</w:t>
      </w:r>
    </w:p>
    <w:p w:rsidR="00FE491B" w:rsidRPr="0062664B" w:rsidRDefault="00FE491B" w:rsidP="00FE491B">
      <w:pPr>
        <w:pStyle w:val="HStandard"/>
        <w:ind w:left="993" w:hanging="993"/>
      </w:pPr>
      <w:r w:rsidRPr="0062664B">
        <w:t>AWU</w:t>
      </w:r>
      <w:r w:rsidRPr="0062664B">
        <w:tab/>
      </w:r>
      <w:r w:rsidRPr="0062664B">
        <w:tab/>
        <w:t>Årsværk</w:t>
      </w:r>
    </w:p>
    <w:p w:rsidR="00FE491B" w:rsidRPr="0062664B" w:rsidRDefault="00FE491B" w:rsidP="00FE491B">
      <w:pPr>
        <w:pStyle w:val="HStandard"/>
        <w:ind w:left="993" w:hanging="993"/>
      </w:pPr>
      <w:r w:rsidRPr="0062664B">
        <w:t>CAP</w:t>
      </w:r>
      <w:r w:rsidRPr="0062664B">
        <w:tab/>
      </w:r>
      <w:r w:rsidRPr="0062664B">
        <w:tab/>
        <w:t xml:space="preserve">Den fælles landbrugspolitik </w:t>
      </w:r>
    </w:p>
    <w:p w:rsidR="00FE491B" w:rsidRPr="0062664B" w:rsidRDefault="00FE491B" w:rsidP="00FE491B">
      <w:pPr>
        <w:pStyle w:val="HStandard"/>
        <w:ind w:left="993" w:hanging="993"/>
      </w:pPr>
      <w:r w:rsidRPr="0062664B">
        <w:t>CCI</w:t>
      </w:r>
      <w:r w:rsidRPr="0062664B">
        <w:tab/>
      </w:r>
      <w:r w:rsidRPr="0062664B">
        <w:tab/>
        <w:t>Fælles kontekstindikatorer</w:t>
      </w:r>
    </w:p>
    <w:p w:rsidR="00FE491B" w:rsidRPr="0062664B" w:rsidRDefault="00FE491B" w:rsidP="00FE491B">
      <w:pPr>
        <w:pStyle w:val="HStandard"/>
        <w:ind w:left="993" w:hanging="993"/>
      </w:pPr>
      <w:r w:rsidRPr="0062664B">
        <w:t>CEQ</w:t>
      </w:r>
      <w:r w:rsidRPr="0062664B">
        <w:tab/>
      </w:r>
      <w:r w:rsidRPr="0062664B">
        <w:tab/>
        <w:t>Fælles evalueringsspørgsmål</w:t>
      </w:r>
    </w:p>
    <w:p w:rsidR="00FE491B" w:rsidRPr="0062664B" w:rsidRDefault="00FE491B" w:rsidP="00FE491B">
      <w:pPr>
        <w:pStyle w:val="HStandard"/>
        <w:ind w:left="993" w:hanging="993"/>
      </w:pPr>
      <w:r w:rsidRPr="0062664B">
        <w:t>CLLD</w:t>
      </w:r>
      <w:r w:rsidRPr="0062664B">
        <w:tab/>
      </w:r>
      <w:r w:rsidRPr="0062664B">
        <w:tab/>
        <w:t>Lokaludvikling styret af lokalsamfundet</w:t>
      </w:r>
    </w:p>
    <w:p w:rsidR="00FE491B" w:rsidRPr="0062664B" w:rsidRDefault="00FE491B" w:rsidP="00FE491B">
      <w:pPr>
        <w:pStyle w:val="HStandard"/>
        <w:ind w:left="993" w:hanging="993"/>
      </w:pPr>
      <w:r w:rsidRPr="0062664B">
        <w:t xml:space="preserve">CGE </w:t>
      </w:r>
      <w:r w:rsidRPr="0062664B">
        <w:tab/>
      </w:r>
      <w:r w:rsidRPr="0062664B">
        <w:tab/>
        <w:t>Beregnelige generelle ligevægtsmodeller</w:t>
      </w:r>
    </w:p>
    <w:p w:rsidR="00FE491B" w:rsidRPr="0062664B" w:rsidRDefault="00FE491B" w:rsidP="00FE491B">
      <w:pPr>
        <w:pStyle w:val="HStandard"/>
        <w:ind w:left="993" w:hanging="993"/>
      </w:pPr>
      <w:r w:rsidRPr="0062664B">
        <w:t xml:space="preserve">CMES </w:t>
      </w:r>
      <w:r w:rsidRPr="0062664B">
        <w:tab/>
      </w:r>
      <w:r w:rsidRPr="0062664B">
        <w:tab/>
        <w:t>Fælles overvågnings- og evalueringssystem</w:t>
      </w:r>
    </w:p>
    <w:p w:rsidR="00FE491B" w:rsidRPr="0062664B" w:rsidRDefault="00FE491B" w:rsidP="00FE491B">
      <w:pPr>
        <w:pStyle w:val="HStandard"/>
        <w:ind w:left="993" w:hanging="993"/>
      </w:pPr>
      <w:r w:rsidRPr="0062664B">
        <w:t>CORINE</w:t>
      </w:r>
      <w:r w:rsidRPr="0062664B">
        <w:tab/>
      </w:r>
      <w:r w:rsidRPr="0062664B">
        <w:tab/>
        <w:t>Fællesskabsprogram til koordinering af oplysninger om miljøet</w:t>
      </w:r>
    </w:p>
    <w:p w:rsidR="00FE491B" w:rsidRPr="0062664B" w:rsidRDefault="00FE491B" w:rsidP="00FE491B">
      <w:pPr>
        <w:pStyle w:val="HStandard"/>
        <w:ind w:left="993" w:hanging="993"/>
      </w:pPr>
      <w:r w:rsidRPr="0062664B">
        <w:t>GD AGRI</w:t>
      </w:r>
      <w:r w:rsidRPr="0062664B">
        <w:tab/>
      </w:r>
      <w:r w:rsidRPr="0062664B">
        <w:tab/>
        <w:t>Generaldirektoratet for Landbrug og Udvikling af Landdistrikter</w:t>
      </w:r>
    </w:p>
    <w:p w:rsidR="00FE491B" w:rsidRPr="0062664B" w:rsidRDefault="007008C0" w:rsidP="00FE491B">
      <w:pPr>
        <w:pStyle w:val="HStandard"/>
        <w:ind w:left="993" w:hanging="993"/>
      </w:pPr>
      <w:r w:rsidRPr="0062664B">
        <w:t>DiD</w:t>
      </w:r>
      <w:r w:rsidRPr="0062664B">
        <w:tab/>
      </w:r>
      <w:r w:rsidRPr="0062664B">
        <w:tab/>
        <w:t>Difference in Differences</w:t>
      </w:r>
    </w:p>
    <w:p w:rsidR="00FE491B" w:rsidRPr="0062664B" w:rsidRDefault="00FE491B" w:rsidP="00FE491B">
      <w:pPr>
        <w:pStyle w:val="HStandard"/>
        <w:ind w:left="993" w:hanging="993"/>
      </w:pPr>
      <w:r w:rsidRPr="0062664B">
        <w:t>DP</w:t>
      </w:r>
      <w:r w:rsidRPr="0062664B">
        <w:tab/>
      </w:r>
      <w:r w:rsidRPr="0062664B">
        <w:tab/>
        <w:t>Dataudbyderen</w:t>
      </w:r>
    </w:p>
    <w:p w:rsidR="00FE491B" w:rsidRPr="0062664B" w:rsidRDefault="00FE491B" w:rsidP="00FE491B">
      <w:pPr>
        <w:pStyle w:val="HStandard"/>
        <w:ind w:left="993" w:hanging="993"/>
      </w:pPr>
      <w:r w:rsidRPr="0062664B">
        <w:t>EAA</w:t>
      </w:r>
      <w:r w:rsidRPr="0062664B">
        <w:tab/>
      </w:r>
      <w:r w:rsidRPr="0062664B">
        <w:tab/>
        <w:t>Landøkonomisk regnskab</w:t>
      </w:r>
    </w:p>
    <w:p w:rsidR="00FE491B" w:rsidRPr="0062664B" w:rsidRDefault="00FE491B" w:rsidP="00FE491B">
      <w:pPr>
        <w:pStyle w:val="HStandard"/>
        <w:ind w:left="993" w:hanging="993"/>
      </w:pPr>
      <w:r w:rsidRPr="0062664B">
        <w:t>EAP</w:t>
      </w:r>
      <w:r w:rsidRPr="0062664B">
        <w:tab/>
      </w:r>
      <w:r w:rsidRPr="0062664B">
        <w:tab/>
        <w:t>Miljøhandlingsprogram</w:t>
      </w:r>
    </w:p>
    <w:p w:rsidR="00FE491B" w:rsidRPr="0062664B" w:rsidRDefault="00FE491B" w:rsidP="00FE491B">
      <w:pPr>
        <w:pStyle w:val="HStandard"/>
        <w:ind w:left="993" w:hanging="993"/>
      </w:pPr>
      <w:r w:rsidRPr="0062664B">
        <w:t>ELFUL</w:t>
      </w:r>
      <w:r w:rsidRPr="0062664B">
        <w:tab/>
      </w:r>
      <w:r w:rsidRPr="0062664B">
        <w:tab/>
        <w:t>Den Europæiske Landbrugsfond for Udvikling af Landdistrikterne</w:t>
      </w:r>
    </w:p>
    <w:p w:rsidR="00FE491B" w:rsidRPr="0062664B" w:rsidRDefault="00FE491B" w:rsidP="00FE491B">
      <w:pPr>
        <w:pStyle w:val="HStandard"/>
        <w:ind w:left="993" w:hanging="993"/>
      </w:pPr>
      <w:r w:rsidRPr="0062664B">
        <w:t>EDGAR</w:t>
      </w:r>
      <w:r w:rsidRPr="0062664B">
        <w:tab/>
      </w:r>
      <w:r w:rsidRPr="0062664B">
        <w:tab/>
        <w:t>Elektronisk dataindsamling, -analyse og -genfinding</w:t>
      </w:r>
    </w:p>
    <w:p w:rsidR="00FE491B" w:rsidRPr="0062664B" w:rsidRDefault="00FE491B" w:rsidP="00FE491B">
      <w:pPr>
        <w:pStyle w:val="HStandard"/>
        <w:ind w:left="993" w:hanging="993"/>
      </w:pPr>
      <w:r w:rsidRPr="0062664B">
        <w:t>EIP</w:t>
      </w:r>
      <w:r w:rsidRPr="0062664B">
        <w:tab/>
      </w:r>
      <w:r w:rsidRPr="0062664B">
        <w:tab/>
        <w:t>Europæisk innovationspartnerskab</w:t>
      </w:r>
    </w:p>
    <w:p w:rsidR="00FE491B" w:rsidRPr="0062664B" w:rsidRDefault="000F0463" w:rsidP="00FE491B">
      <w:pPr>
        <w:pStyle w:val="HStandard"/>
        <w:ind w:left="993" w:hanging="993"/>
      </w:pPr>
      <w:r w:rsidRPr="0062664B">
        <w:t>ESDAC</w:t>
      </w:r>
      <w:r w:rsidRPr="0062664B">
        <w:tab/>
      </w:r>
      <w:r w:rsidRPr="0062664B">
        <w:tab/>
        <w:t>Det Europæiske Jordbundsdatacenter</w:t>
      </w:r>
    </w:p>
    <w:p w:rsidR="00FE491B" w:rsidRPr="0062664B" w:rsidRDefault="00FE491B" w:rsidP="00FE491B">
      <w:pPr>
        <w:pStyle w:val="HStandard"/>
        <w:ind w:left="993" w:hanging="993"/>
      </w:pPr>
      <w:r w:rsidRPr="0062664B">
        <w:t xml:space="preserve">ESG </w:t>
      </w:r>
      <w:r w:rsidRPr="0062664B">
        <w:tab/>
      </w:r>
      <w:r w:rsidRPr="0062664B">
        <w:tab/>
        <w:t>Styregruppe for evalueringer</w:t>
      </w:r>
    </w:p>
    <w:p w:rsidR="00FE491B" w:rsidRPr="0062664B" w:rsidRDefault="00FE491B" w:rsidP="00FE491B">
      <w:pPr>
        <w:pStyle w:val="HStandard"/>
        <w:ind w:left="993" w:hanging="993"/>
      </w:pPr>
      <w:r w:rsidRPr="0062664B">
        <w:t>ESI</w:t>
      </w:r>
      <w:r w:rsidRPr="0062664B">
        <w:tab/>
      </w:r>
      <w:r w:rsidRPr="0062664B">
        <w:tab/>
        <w:t>De europæiske struktur- og investeringsfonde</w:t>
      </w:r>
    </w:p>
    <w:p w:rsidR="00FE491B" w:rsidRPr="0062664B" w:rsidRDefault="00FE491B" w:rsidP="00FE491B">
      <w:pPr>
        <w:pStyle w:val="HStandard"/>
        <w:ind w:left="993" w:hanging="993"/>
      </w:pPr>
      <w:r w:rsidRPr="0062664B">
        <w:t>EU</w:t>
      </w:r>
      <w:r w:rsidRPr="0062664B">
        <w:tab/>
      </w:r>
      <w:r w:rsidRPr="0062664B">
        <w:tab/>
        <w:t>Den Europæiske Union</w:t>
      </w:r>
    </w:p>
    <w:p w:rsidR="00FE491B" w:rsidRPr="0062664B" w:rsidRDefault="00FE491B" w:rsidP="00FE491B">
      <w:pPr>
        <w:pStyle w:val="HStandard"/>
        <w:ind w:left="993" w:hanging="993"/>
      </w:pPr>
      <w:r w:rsidRPr="0062664B">
        <w:t>Ev</w:t>
      </w:r>
      <w:r w:rsidRPr="0062664B">
        <w:tab/>
      </w:r>
      <w:r w:rsidRPr="0062664B">
        <w:tab/>
        <w:t>Evalueringsekspert</w:t>
      </w:r>
    </w:p>
    <w:p w:rsidR="008A59FC" w:rsidRPr="0062664B" w:rsidRDefault="008A59FC" w:rsidP="00FE491B">
      <w:pPr>
        <w:pStyle w:val="HStandard"/>
        <w:ind w:left="993" w:hanging="993"/>
      </w:pPr>
      <w:r w:rsidRPr="0062664B">
        <w:t>EvU</w:t>
      </w:r>
      <w:r w:rsidRPr="0062664B">
        <w:tab/>
      </w:r>
      <w:r w:rsidRPr="0062664B">
        <w:tab/>
        <w:t>Evalueringsenhed</w:t>
      </w:r>
    </w:p>
    <w:p w:rsidR="00FE491B" w:rsidRPr="0062664B" w:rsidRDefault="00FE491B" w:rsidP="00FE491B">
      <w:pPr>
        <w:pStyle w:val="HStandard"/>
        <w:ind w:left="993" w:hanging="993"/>
      </w:pPr>
      <w:r w:rsidRPr="0062664B">
        <w:t>FA</w:t>
      </w:r>
      <w:r w:rsidRPr="0062664B">
        <w:tab/>
      </w:r>
      <w:r w:rsidRPr="0062664B">
        <w:tab/>
        <w:t>Fokusområde</w:t>
      </w:r>
    </w:p>
    <w:p w:rsidR="00FE491B" w:rsidRPr="0062664B" w:rsidRDefault="00FE491B" w:rsidP="00FE491B">
      <w:pPr>
        <w:pStyle w:val="HStandard"/>
        <w:ind w:left="993" w:hanging="993"/>
      </w:pPr>
      <w:r w:rsidRPr="0062664B">
        <w:t>INLB</w:t>
      </w:r>
      <w:r w:rsidRPr="0062664B">
        <w:tab/>
      </w:r>
      <w:r w:rsidRPr="0062664B">
        <w:tab/>
        <w:t>Informationsnettet for landøkonomisk bogføring</w:t>
      </w:r>
    </w:p>
    <w:p w:rsidR="00FE491B" w:rsidRPr="0062664B" w:rsidRDefault="00FE491B" w:rsidP="00FE491B">
      <w:pPr>
        <w:pStyle w:val="HStandard"/>
        <w:ind w:left="993" w:hanging="993"/>
      </w:pPr>
      <w:r w:rsidRPr="0062664B">
        <w:t>FBI</w:t>
      </w:r>
      <w:r w:rsidRPr="0062664B">
        <w:tab/>
      </w:r>
      <w:r w:rsidRPr="0062664B">
        <w:tab/>
        <w:t>Indeks for agerlandsfugle</w:t>
      </w:r>
    </w:p>
    <w:p w:rsidR="00FE491B" w:rsidRPr="0062664B" w:rsidRDefault="00FE491B" w:rsidP="00FE491B">
      <w:pPr>
        <w:pStyle w:val="HStandard"/>
        <w:ind w:left="993" w:hanging="993"/>
      </w:pPr>
      <w:r w:rsidRPr="0062664B">
        <w:t>FWU</w:t>
      </w:r>
      <w:r w:rsidRPr="0062664B">
        <w:tab/>
      </w:r>
      <w:r w:rsidRPr="0062664B">
        <w:tab/>
        <w:t xml:space="preserve">Familiearbejdsenhed </w:t>
      </w:r>
    </w:p>
    <w:p w:rsidR="00FE491B" w:rsidRPr="0062664B" w:rsidRDefault="00FE491B" w:rsidP="00FE491B">
      <w:pPr>
        <w:pStyle w:val="HStandard"/>
        <w:ind w:left="993" w:hanging="993"/>
      </w:pPr>
      <w:r w:rsidRPr="0062664B">
        <w:lastRenderedPageBreak/>
        <w:t>GLM</w:t>
      </w:r>
      <w:r w:rsidRPr="0062664B">
        <w:tab/>
      </w:r>
      <w:r w:rsidRPr="0062664B">
        <w:tab/>
        <w:t>God landbrugs- og miljømæssig stand</w:t>
      </w:r>
    </w:p>
    <w:p w:rsidR="00FE491B" w:rsidRPr="0062664B" w:rsidRDefault="00FE491B" w:rsidP="00FE491B">
      <w:pPr>
        <w:pStyle w:val="HStandard"/>
        <w:ind w:left="993" w:hanging="993"/>
      </w:pPr>
      <w:r w:rsidRPr="0062664B">
        <w:t>BNP</w:t>
      </w:r>
      <w:r w:rsidRPr="0062664B">
        <w:tab/>
      </w:r>
      <w:r w:rsidRPr="0062664B">
        <w:tab/>
        <w:t xml:space="preserve">Bruttonationalprodukt </w:t>
      </w:r>
    </w:p>
    <w:p w:rsidR="00FE491B" w:rsidRPr="0062664B" w:rsidRDefault="00FE491B" w:rsidP="00FE491B">
      <w:pPr>
        <w:pStyle w:val="HStandard"/>
        <w:ind w:left="993" w:hanging="993"/>
      </w:pPr>
      <w:r w:rsidRPr="0062664B">
        <w:t>NUFoU</w:t>
      </w:r>
      <w:r w:rsidRPr="0062664B">
        <w:tab/>
      </w:r>
      <w:r w:rsidRPr="0062664B">
        <w:tab/>
        <w:t>Nationale udgifter til forskning og udvikling</w:t>
      </w:r>
    </w:p>
    <w:p w:rsidR="00FE491B" w:rsidRPr="0062664B" w:rsidRDefault="00FE491B" w:rsidP="00FE491B">
      <w:pPr>
        <w:pStyle w:val="HStandard"/>
        <w:ind w:left="993" w:hanging="993"/>
      </w:pPr>
      <w:r w:rsidRPr="0062664B">
        <w:t>GES</w:t>
      </w:r>
      <w:r w:rsidRPr="0062664B">
        <w:tab/>
      </w:r>
      <w:r w:rsidRPr="0062664B">
        <w:tab/>
        <w:t>God miljøtilstand</w:t>
      </w:r>
    </w:p>
    <w:p w:rsidR="00FE491B" w:rsidRPr="0062664B" w:rsidRDefault="00FE491B" w:rsidP="00FE491B">
      <w:pPr>
        <w:pStyle w:val="HStandard"/>
        <w:ind w:left="993" w:hanging="993"/>
      </w:pPr>
      <w:r w:rsidRPr="0062664B">
        <w:t>GHG</w:t>
      </w:r>
      <w:r w:rsidRPr="0062664B">
        <w:tab/>
      </w:r>
      <w:r w:rsidRPr="0062664B">
        <w:tab/>
        <w:t>Drivhusgas</w:t>
      </w:r>
    </w:p>
    <w:p w:rsidR="00FE491B" w:rsidRPr="0062664B" w:rsidRDefault="00FE491B" w:rsidP="00FE491B">
      <w:pPr>
        <w:pStyle w:val="HStandard"/>
        <w:ind w:left="993" w:hanging="993"/>
      </w:pPr>
      <w:r w:rsidRPr="0062664B">
        <w:t>GIS</w:t>
      </w:r>
      <w:r w:rsidRPr="0062664B">
        <w:tab/>
      </w:r>
      <w:r w:rsidRPr="0062664B">
        <w:tab/>
        <w:t>Geografisk informationssystem</w:t>
      </w:r>
    </w:p>
    <w:p w:rsidR="00FE491B" w:rsidRPr="0062664B" w:rsidRDefault="00FE491B" w:rsidP="00FE491B">
      <w:pPr>
        <w:pStyle w:val="HStandard"/>
        <w:ind w:left="993" w:hanging="993"/>
      </w:pPr>
      <w:r w:rsidRPr="0062664B">
        <w:t>GNB</w:t>
      </w:r>
      <w:r w:rsidRPr="0062664B">
        <w:tab/>
      </w:r>
      <w:r w:rsidRPr="0062664B">
        <w:tab/>
        <w:t>Bruttonæringsstofbalance</w:t>
      </w:r>
    </w:p>
    <w:p w:rsidR="00FE491B" w:rsidRPr="0062664B" w:rsidRDefault="00FE491B" w:rsidP="00FE491B">
      <w:pPr>
        <w:pStyle w:val="HStandard"/>
        <w:ind w:left="993" w:hanging="993"/>
      </w:pPr>
      <w:r w:rsidRPr="0062664B">
        <w:t>GPSM</w:t>
      </w:r>
      <w:r w:rsidRPr="0062664B">
        <w:tab/>
      </w:r>
      <w:r w:rsidRPr="0062664B">
        <w:tab/>
        <w:t>Generalised Propensity Score Matching</w:t>
      </w:r>
    </w:p>
    <w:p w:rsidR="00FE491B" w:rsidRPr="0062664B" w:rsidRDefault="00FE491B" w:rsidP="00FE491B">
      <w:pPr>
        <w:pStyle w:val="HStandard"/>
        <w:ind w:left="993" w:hanging="993"/>
      </w:pPr>
      <w:r w:rsidRPr="0062664B">
        <w:t>GRIT</w:t>
      </w:r>
      <w:r w:rsidRPr="0062664B">
        <w:tab/>
      </w:r>
      <w:r w:rsidRPr="0062664B">
        <w:tab/>
        <w:t>Generering af regionale input-output-tabeller</w:t>
      </w:r>
    </w:p>
    <w:p w:rsidR="00FE491B" w:rsidRPr="0062664B" w:rsidRDefault="00FE491B" w:rsidP="00FE491B">
      <w:pPr>
        <w:pStyle w:val="HStandard"/>
        <w:ind w:left="993" w:hanging="993"/>
      </w:pPr>
      <w:r w:rsidRPr="0062664B">
        <w:t>HNV</w:t>
      </w:r>
      <w:r w:rsidRPr="0062664B">
        <w:tab/>
      </w:r>
      <w:r w:rsidRPr="0062664B">
        <w:tab/>
        <w:t>Landbrug af høj landskabsværdi</w:t>
      </w:r>
    </w:p>
    <w:p w:rsidR="00FE491B" w:rsidRPr="0062664B" w:rsidRDefault="00FE491B" w:rsidP="00FE491B">
      <w:pPr>
        <w:pStyle w:val="HStandard"/>
        <w:ind w:left="993" w:hanging="993"/>
      </w:pPr>
      <w:r w:rsidRPr="0062664B">
        <w:t>I</w:t>
      </w:r>
      <w:r w:rsidRPr="0062664B">
        <w:tab/>
      </w:r>
      <w:r w:rsidRPr="0062664B">
        <w:tab/>
        <w:t>Effektindikator</w:t>
      </w:r>
    </w:p>
    <w:p w:rsidR="00FE491B" w:rsidRPr="0062664B" w:rsidRDefault="00FE491B" w:rsidP="00FE491B">
      <w:pPr>
        <w:pStyle w:val="HStandard"/>
        <w:ind w:left="993" w:hanging="993"/>
      </w:pPr>
      <w:r w:rsidRPr="0062664B">
        <w:t>IFKS</w:t>
      </w:r>
      <w:r w:rsidRPr="0062664B">
        <w:tab/>
      </w:r>
      <w:r w:rsidRPr="0062664B">
        <w:tab/>
        <w:t>Det integrerede forvaltnings- og kontrolsystem</w:t>
      </w:r>
    </w:p>
    <w:p w:rsidR="00FE491B" w:rsidRPr="0062664B" w:rsidRDefault="00FE491B" w:rsidP="00FE491B">
      <w:pPr>
        <w:pStyle w:val="HStandard"/>
        <w:ind w:left="993" w:hanging="993"/>
      </w:pPr>
      <w:r w:rsidRPr="0062664B">
        <w:t xml:space="preserve">IKT </w:t>
      </w:r>
      <w:r w:rsidRPr="0062664B">
        <w:tab/>
      </w:r>
      <w:r w:rsidRPr="0062664B">
        <w:tab/>
        <w:t>Informations- og kommunikationsteknologi</w:t>
      </w:r>
    </w:p>
    <w:p w:rsidR="00FE491B" w:rsidRPr="0062664B" w:rsidRDefault="00FE491B" w:rsidP="00FE491B">
      <w:pPr>
        <w:pStyle w:val="HStandard"/>
        <w:ind w:left="993" w:hanging="993"/>
      </w:pPr>
      <w:r w:rsidRPr="0062664B">
        <w:t>IL</w:t>
      </w:r>
      <w:r w:rsidRPr="0062664B">
        <w:tab/>
      </w:r>
      <w:r w:rsidRPr="0062664B">
        <w:tab/>
        <w:t>Interventionslogik</w:t>
      </w:r>
    </w:p>
    <w:p w:rsidR="00FE491B" w:rsidRPr="0062664B" w:rsidRDefault="00FE491B" w:rsidP="00FE491B">
      <w:pPr>
        <w:pStyle w:val="HStandard"/>
        <w:ind w:left="993" w:hanging="993"/>
      </w:pPr>
      <w:r w:rsidRPr="0062664B">
        <w:t>IO</w:t>
      </w:r>
      <w:r w:rsidRPr="0062664B">
        <w:tab/>
      </w:r>
      <w:r w:rsidRPr="0062664B">
        <w:tab/>
        <w:t>Input-output-analyse</w:t>
      </w:r>
    </w:p>
    <w:p w:rsidR="00FE491B" w:rsidRPr="0062664B" w:rsidRDefault="00FE491B" w:rsidP="00FE491B">
      <w:pPr>
        <w:pStyle w:val="HStandard"/>
        <w:ind w:left="993" w:hanging="993"/>
      </w:pPr>
      <w:r w:rsidRPr="0062664B">
        <w:t>IPPC</w:t>
      </w:r>
      <w:r w:rsidRPr="0062664B">
        <w:tab/>
      </w:r>
      <w:r w:rsidRPr="0062664B">
        <w:tab/>
        <w:t>Integreret forebyggelse og bekæmpelse af forurening</w:t>
      </w:r>
    </w:p>
    <w:p w:rsidR="00FE491B" w:rsidRPr="0062664B" w:rsidRDefault="00FE491B" w:rsidP="00FE491B">
      <w:pPr>
        <w:pStyle w:val="HStandard"/>
        <w:ind w:left="993" w:hanging="993"/>
      </w:pPr>
      <w:r w:rsidRPr="0062664B">
        <w:t>IV</w:t>
      </w:r>
      <w:r w:rsidRPr="0062664B">
        <w:tab/>
      </w:r>
      <w:r w:rsidRPr="0062664B">
        <w:tab/>
        <w:t>Instrumentale variabler</w:t>
      </w:r>
    </w:p>
    <w:p w:rsidR="00FE491B" w:rsidRPr="0062664B" w:rsidRDefault="00FE491B" w:rsidP="00FE491B">
      <w:pPr>
        <w:pStyle w:val="HStandard"/>
        <w:ind w:left="993" w:hanging="993"/>
      </w:pPr>
      <w:r w:rsidRPr="0062664B">
        <w:t>JC</w:t>
      </w:r>
      <w:r w:rsidRPr="0062664B">
        <w:tab/>
      </w:r>
      <w:r w:rsidRPr="0062664B">
        <w:tab/>
        <w:t>Vurderingskriterier</w:t>
      </w:r>
    </w:p>
    <w:p w:rsidR="00FE491B" w:rsidRPr="0062664B" w:rsidRDefault="00FE491B" w:rsidP="00FE491B">
      <w:pPr>
        <w:pStyle w:val="HStandard"/>
        <w:ind w:left="993" w:hanging="993"/>
      </w:pPr>
      <w:r w:rsidRPr="0062664B">
        <w:t>FFC</w:t>
      </w:r>
      <w:r w:rsidRPr="0062664B">
        <w:tab/>
      </w:r>
      <w:r w:rsidRPr="0062664B">
        <w:tab/>
        <w:t>Det Fælles Forskningscenter</w:t>
      </w:r>
    </w:p>
    <w:p w:rsidR="00FE491B" w:rsidRPr="0062664B" w:rsidRDefault="00FE491B" w:rsidP="00FE491B">
      <w:pPr>
        <w:pStyle w:val="HStandard"/>
        <w:ind w:left="993" w:hanging="993"/>
      </w:pPr>
      <w:r w:rsidRPr="0062664B">
        <w:t>LAU</w:t>
      </w:r>
      <w:r w:rsidRPr="0062664B">
        <w:tab/>
      </w:r>
      <w:r w:rsidRPr="0062664B">
        <w:tab/>
        <w:t>Administrativ enhed</w:t>
      </w:r>
    </w:p>
    <w:p w:rsidR="00FE491B" w:rsidRPr="0062664B" w:rsidRDefault="00FE491B" w:rsidP="00FE491B">
      <w:pPr>
        <w:pStyle w:val="HStandard"/>
        <w:ind w:left="993" w:hanging="993"/>
      </w:pPr>
      <w:r w:rsidRPr="0062664B">
        <w:t>LPIS</w:t>
      </w:r>
      <w:r w:rsidRPr="0062664B">
        <w:tab/>
      </w:r>
      <w:r w:rsidRPr="0062664B">
        <w:tab/>
        <w:t>Markidentifikationssystem</w:t>
      </w:r>
    </w:p>
    <w:p w:rsidR="00FE491B" w:rsidRPr="0062664B" w:rsidRDefault="00FE491B" w:rsidP="00FE491B">
      <w:pPr>
        <w:pStyle w:val="HStandard"/>
        <w:ind w:left="993" w:hanging="993"/>
      </w:pPr>
      <w:r w:rsidRPr="0062664B">
        <w:t>LU</w:t>
      </w:r>
      <w:r w:rsidRPr="0062664B">
        <w:tab/>
      </w:r>
      <w:r w:rsidRPr="0062664B">
        <w:tab/>
        <w:t>Husdyrenhed</w:t>
      </w:r>
    </w:p>
    <w:p w:rsidR="00FE491B" w:rsidRPr="0062664B" w:rsidRDefault="00FE491B" w:rsidP="00FE491B">
      <w:pPr>
        <w:pStyle w:val="HStandard"/>
        <w:ind w:left="993" w:hanging="993"/>
      </w:pPr>
      <w:r w:rsidRPr="0062664B">
        <w:t>LUCAS</w:t>
      </w:r>
      <w:r w:rsidRPr="0062664B">
        <w:tab/>
      </w:r>
      <w:r w:rsidRPr="0062664B">
        <w:tab/>
        <w:t>Arealanvendelse og rammeundersøgelsens dækningsområde</w:t>
      </w:r>
    </w:p>
    <w:p w:rsidR="00FE491B" w:rsidRPr="0062664B" w:rsidRDefault="00FE491B" w:rsidP="00FE491B">
      <w:pPr>
        <w:pStyle w:val="HStandard"/>
        <w:ind w:left="993" w:hanging="993"/>
      </w:pPr>
      <w:r w:rsidRPr="0062664B">
        <w:t>LULUCF</w:t>
      </w:r>
      <w:r w:rsidRPr="0062664B">
        <w:tab/>
      </w:r>
      <w:r w:rsidRPr="0062664B">
        <w:tab/>
        <w:t>Arealanvendelse, ændringer i arealanvendelse og skovbrug</w:t>
      </w:r>
    </w:p>
    <w:p w:rsidR="00FE491B" w:rsidRPr="0062664B" w:rsidRDefault="00FE491B" w:rsidP="00FE491B">
      <w:pPr>
        <w:pStyle w:val="HStandard"/>
        <w:ind w:left="993" w:hanging="993"/>
      </w:pPr>
      <w:r w:rsidRPr="0062664B">
        <w:t>M</w:t>
      </w:r>
      <w:r w:rsidRPr="0062664B">
        <w:tab/>
      </w:r>
      <w:r w:rsidRPr="0062664B">
        <w:tab/>
        <w:t xml:space="preserve">Foranstaltning </w:t>
      </w:r>
    </w:p>
    <w:p w:rsidR="00FE491B" w:rsidRPr="0062664B" w:rsidRDefault="00FE491B" w:rsidP="00FE491B">
      <w:pPr>
        <w:pStyle w:val="HStandard"/>
        <w:ind w:left="993" w:hanging="993"/>
      </w:pPr>
      <w:r w:rsidRPr="0062664B">
        <w:t>MA</w:t>
      </w:r>
      <w:r w:rsidRPr="0062664B">
        <w:tab/>
      </w:r>
      <w:r w:rsidRPr="0062664B">
        <w:tab/>
        <w:t>Forvaltningsmyndighed</w:t>
      </w:r>
    </w:p>
    <w:p w:rsidR="00FE491B" w:rsidRPr="0062664B" w:rsidRDefault="00FE491B" w:rsidP="00FE491B">
      <w:pPr>
        <w:pStyle w:val="HStandard"/>
        <w:ind w:left="993" w:hanging="993"/>
      </w:pPr>
      <w:r w:rsidRPr="0062664B">
        <w:t>MC</w:t>
      </w:r>
      <w:r w:rsidRPr="0062664B">
        <w:tab/>
      </w:r>
      <w:r w:rsidRPr="0062664B">
        <w:tab/>
        <w:t>Overvågningsudvalg</w:t>
      </w:r>
    </w:p>
    <w:p w:rsidR="00FE491B" w:rsidRPr="0062664B" w:rsidRDefault="00FE491B" w:rsidP="00FE491B">
      <w:pPr>
        <w:pStyle w:val="HStandard"/>
        <w:ind w:left="993" w:hanging="993"/>
      </w:pPr>
      <w:r w:rsidRPr="0062664B">
        <w:t>MAPP</w:t>
      </w:r>
      <w:r w:rsidRPr="0062664B">
        <w:tab/>
      </w:r>
      <w:r w:rsidRPr="0062664B">
        <w:tab/>
        <w:t>Method for Impact Assessment of Programme and Project (metode til konsekvensanalyse af programmer og projekter)</w:t>
      </w:r>
    </w:p>
    <w:p w:rsidR="00FE491B" w:rsidRPr="0062664B" w:rsidRDefault="00FE491B" w:rsidP="00FE491B">
      <w:pPr>
        <w:pStyle w:val="HStandard"/>
        <w:ind w:left="993" w:hanging="993"/>
      </w:pPr>
      <w:r w:rsidRPr="0062664B">
        <w:t>MS</w:t>
      </w:r>
      <w:r w:rsidRPr="0062664B">
        <w:tab/>
      </w:r>
      <w:r w:rsidRPr="0062664B">
        <w:tab/>
        <w:t>Medlemsstat</w:t>
      </w:r>
    </w:p>
    <w:p w:rsidR="00FE491B" w:rsidRPr="0062664B" w:rsidRDefault="00FE491B" w:rsidP="00FE491B">
      <w:pPr>
        <w:pStyle w:val="HStandard"/>
        <w:ind w:left="993" w:hanging="993"/>
      </w:pPr>
      <w:r w:rsidRPr="0062664B">
        <w:t>ND</w:t>
      </w:r>
      <w:r w:rsidRPr="0062664B">
        <w:tab/>
      </w:r>
      <w:r w:rsidRPr="0062664B">
        <w:tab/>
        <w:t>Nitratdirektivet</w:t>
      </w:r>
    </w:p>
    <w:p w:rsidR="00FE491B" w:rsidRPr="0062664B" w:rsidRDefault="00FE491B" w:rsidP="00FE491B">
      <w:pPr>
        <w:pStyle w:val="HStandard"/>
        <w:ind w:left="993" w:hanging="993"/>
      </w:pPr>
      <w:r w:rsidRPr="0062664B">
        <w:t>NGO</w:t>
      </w:r>
      <w:r w:rsidRPr="0062664B">
        <w:tab/>
      </w:r>
      <w:r w:rsidRPr="0062664B">
        <w:tab/>
        <w:t>Ikke-statslig organisation</w:t>
      </w:r>
    </w:p>
    <w:p w:rsidR="00FE491B" w:rsidRPr="0062664B" w:rsidRDefault="00FE491B" w:rsidP="00FE491B">
      <w:pPr>
        <w:pStyle w:val="HStandard"/>
        <w:ind w:left="993" w:hanging="993"/>
      </w:pPr>
      <w:r w:rsidRPr="0062664B">
        <w:t>NRN</w:t>
      </w:r>
      <w:r w:rsidRPr="0062664B">
        <w:tab/>
      </w:r>
      <w:r w:rsidRPr="0062664B">
        <w:tab/>
        <w:t>Nationalt landdistriktsnetværk</w:t>
      </w:r>
    </w:p>
    <w:p w:rsidR="00FE491B" w:rsidRPr="0062664B" w:rsidRDefault="00FE491B" w:rsidP="00FE491B">
      <w:pPr>
        <w:pStyle w:val="HStandard"/>
        <w:ind w:left="993" w:hanging="993"/>
      </w:pPr>
      <w:r w:rsidRPr="0062664B">
        <w:t>NUTS</w:t>
      </w:r>
      <w:r w:rsidRPr="0062664B">
        <w:tab/>
      </w:r>
      <w:r w:rsidRPr="0062664B">
        <w:tab/>
        <w:t>Nomenklatur for statistiske regionale enheder</w:t>
      </w:r>
      <w:r w:rsidRPr="0062664B">
        <w:tab/>
      </w:r>
    </w:p>
    <w:p w:rsidR="00FE491B" w:rsidRPr="0062664B" w:rsidRDefault="00FE491B" w:rsidP="00FE491B">
      <w:pPr>
        <w:pStyle w:val="HStandard"/>
        <w:ind w:left="993" w:hanging="993"/>
      </w:pPr>
      <w:r w:rsidRPr="0062664B">
        <w:t>PA</w:t>
      </w:r>
      <w:r w:rsidRPr="0062664B">
        <w:tab/>
      </w:r>
      <w:r w:rsidRPr="0062664B">
        <w:tab/>
        <w:t>Betalingsorgan</w:t>
      </w:r>
    </w:p>
    <w:p w:rsidR="00FE491B" w:rsidRPr="0062664B" w:rsidRDefault="00FE491B" w:rsidP="00FE491B">
      <w:pPr>
        <w:pStyle w:val="HStandard"/>
        <w:ind w:left="993" w:hanging="993"/>
      </w:pPr>
      <w:r w:rsidRPr="0062664B">
        <w:t>PSEQ</w:t>
      </w:r>
      <w:r w:rsidRPr="0062664B">
        <w:tab/>
      </w:r>
      <w:r w:rsidRPr="0062664B">
        <w:tab/>
        <w:t>Programspecifikt evalueringsspørgsmål</w:t>
      </w:r>
    </w:p>
    <w:p w:rsidR="00FE491B" w:rsidRPr="0062664B" w:rsidRDefault="00FE491B" w:rsidP="00FE491B">
      <w:pPr>
        <w:pStyle w:val="HStandard"/>
        <w:ind w:left="993" w:hanging="993"/>
      </w:pPr>
      <w:r w:rsidRPr="0062664B">
        <w:lastRenderedPageBreak/>
        <w:t>PSM</w:t>
      </w:r>
      <w:r w:rsidRPr="0062664B">
        <w:tab/>
      </w:r>
      <w:r w:rsidRPr="0062664B">
        <w:tab/>
        <w:t>Propensity Score Matching</w:t>
      </w:r>
    </w:p>
    <w:p w:rsidR="00FE491B" w:rsidRPr="0062664B" w:rsidRDefault="00FE491B" w:rsidP="00FE491B">
      <w:pPr>
        <w:pStyle w:val="HStandard"/>
        <w:ind w:left="993" w:hanging="993"/>
      </w:pPr>
      <w:r w:rsidRPr="0062664B">
        <w:t>R</w:t>
      </w:r>
      <w:r w:rsidRPr="0062664B">
        <w:tab/>
      </w:r>
      <w:r w:rsidRPr="0062664B">
        <w:tab/>
        <w:t>Resultatindikatorer</w:t>
      </w:r>
    </w:p>
    <w:p w:rsidR="00FE491B" w:rsidRPr="0062664B" w:rsidRDefault="00FE491B" w:rsidP="00FE491B">
      <w:pPr>
        <w:pStyle w:val="HStandard"/>
        <w:ind w:left="993" w:hanging="993"/>
      </w:pPr>
      <w:r w:rsidRPr="0062664B">
        <w:t>RBD</w:t>
      </w:r>
      <w:r w:rsidRPr="0062664B">
        <w:tab/>
      </w:r>
      <w:r w:rsidRPr="0062664B">
        <w:tab/>
        <w:t>Vandområdedistrikt</w:t>
      </w:r>
    </w:p>
    <w:p w:rsidR="00FE491B" w:rsidRPr="0062664B" w:rsidRDefault="00FE491B" w:rsidP="00FE491B">
      <w:pPr>
        <w:pStyle w:val="HStandard"/>
        <w:ind w:left="993" w:hanging="993"/>
      </w:pPr>
      <w:r w:rsidRPr="0062664B">
        <w:t>RDD</w:t>
      </w:r>
      <w:r w:rsidRPr="0062664B">
        <w:tab/>
      </w:r>
      <w:r w:rsidRPr="0062664B">
        <w:tab/>
        <w:t xml:space="preserve">Regressionsanalyse vedrørende diskontinuitet </w:t>
      </w:r>
    </w:p>
    <w:p w:rsidR="00FE491B" w:rsidRPr="0062664B" w:rsidRDefault="00FE491B" w:rsidP="00FE491B">
      <w:pPr>
        <w:pStyle w:val="HStandard"/>
        <w:ind w:left="993" w:hanging="993"/>
      </w:pPr>
      <w:r w:rsidRPr="0062664B">
        <w:t>RDP</w:t>
      </w:r>
      <w:r w:rsidRPr="0062664B">
        <w:tab/>
      </w:r>
      <w:r w:rsidRPr="0062664B">
        <w:tab/>
        <w:t>Landdistriktsudviklingsprogram</w:t>
      </w:r>
    </w:p>
    <w:p w:rsidR="00FE491B" w:rsidRPr="0062664B" w:rsidRDefault="00FE491B" w:rsidP="00FE491B">
      <w:pPr>
        <w:pStyle w:val="HStandard"/>
        <w:ind w:left="993" w:hanging="993"/>
      </w:pPr>
      <w:r w:rsidRPr="0062664B">
        <w:t>RUSLE</w:t>
      </w:r>
      <w:r w:rsidRPr="0062664B">
        <w:tab/>
      </w:r>
      <w:r w:rsidRPr="0062664B">
        <w:tab/>
        <w:t>Revideret universel ligning for jordtab</w:t>
      </w:r>
    </w:p>
    <w:p w:rsidR="00FE491B" w:rsidRPr="0062664B" w:rsidRDefault="00FE491B" w:rsidP="00FE491B">
      <w:pPr>
        <w:pStyle w:val="HStandard"/>
        <w:ind w:left="993" w:hanging="993"/>
      </w:pPr>
      <w:r w:rsidRPr="0062664B">
        <w:t>SAPM</w:t>
      </w:r>
      <w:r w:rsidRPr="0062664B">
        <w:tab/>
      </w:r>
      <w:r w:rsidRPr="0062664B">
        <w:tab/>
        <w:t>Undersøgelse af produktionsmetoder i landbruget</w:t>
      </w:r>
    </w:p>
    <w:p w:rsidR="00FE491B" w:rsidRPr="0062664B" w:rsidRDefault="00FE491B" w:rsidP="00FE491B">
      <w:pPr>
        <w:pStyle w:val="HStandard"/>
        <w:ind w:left="993" w:hanging="993"/>
      </w:pPr>
      <w:r w:rsidRPr="0062664B">
        <w:t>SAM</w:t>
      </w:r>
      <w:r w:rsidRPr="0062664B">
        <w:tab/>
      </w:r>
      <w:r w:rsidRPr="0062664B">
        <w:tab/>
        <w:t>Samfundsmæssige regnskabsmatricer</w:t>
      </w:r>
    </w:p>
    <w:p w:rsidR="00FE491B" w:rsidRPr="0062664B" w:rsidRDefault="00FE491B" w:rsidP="00FE491B">
      <w:pPr>
        <w:pStyle w:val="HStandard"/>
        <w:ind w:left="993" w:hanging="993"/>
      </w:pPr>
      <w:r w:rsidRPr="0062664B">
        <w:t>SEBI</w:t>
      </w:r>
      <w:r w:rsidRPr="0062664B">
        <w:tab/>
      </w:r>
      <w:r w:rsidRPr="0062664B">
        <w:tab/>
        <w:t>Streamlining European Biodiversity Indicators</w:t>
      </w:r>
    </w:p>
    <w:p w:rsidR="00FE491B" w:rsidRPr="0062664B" w:rsidRDefault="00FE491B" w:rsidP="00FE491B">
      <w:pPr>
        <w:pStyle w:val="HStandard"/>
        <w:ind w:left="993" w:hanging="993"/>
      </w:pPr>
      <w:r w:rsidRPr="0062664B">
        <w:t>SFC</w:t>
      </w:r>
      <w:r w:rsidRPr="0062664B">
        <w:tab/>
      </w:r>
      <w:r w:rsidRPr="0062664B">
        <w:tab/>
        <w:t>Fælles system for delt fondsforvaltning</w:t>
      </w:r>
    </w:p>
    <w:p w:rsidR="00FE491B" w:rsidRPr="0062664B" w:rsidRDefault="00FE491B" w:rsidP="00FE491B">
      <w:pPr>
        <w:pStyle w:val="HStandard"/>
        <w:ind w:left="993" w:hanging="993"/>
      </w:pPr>
      <w:r w:rsidRPr="0062664B">
        <w:t>SOC</w:t>
      </w:r>
      <w:r w:rsidRPr="0062664B">
        <w:tab/>
      </w:r>
      <w:r w:rsidRPr="0062664B">
        <w:tab/>
        <w:t>Organisk kulstof i jorden</w:t>
      </w:r>
    </w:p>
    <w:p w:rsidR="00FE491B" w:rsidRPr="0062664B" w:rsidRDefault="00FE491B" w:rsidP="00FE491B">
      <w:pPr>
        <w:pStyle w:val="HStandard"/>
        <w:ind w:left="993" w:hanging="993"/>
      </w:pPr>
      <w:r w:rsidRPr="0062664B">
        <w:t>SOM</w:t>
      </w:r>
      <w:r w:rsidRPr="0062664B">
        <w:tab/>
      </w:r>
      <w:r w:rsidRPr="0062664B">
        <w:tab/>
        <w:t xml:space="preserve">Organisk materiale i jord </w:t>
      </w:r>
    </w:p>
    <w:p w:rsidR="00FE491B" w:rsidRPr="0062664B" w:rsidRDefault="00FE491B" w:rsidP="00FE491B">
      <w:pPr>
        <w:pStyle w:val="HStandard"/>
        <w:ind w:left="993" w:hanging="993"/>
      </w:pPr>
      <w:r w:rsidRPr="0062664B">
        <w:t>SWOT</w:t>
      </w:r>
      <w:r w:rsidRPr="0062664B">
        <w:tab/>
      </w:r>
      <w:r w:rsidRPr="0062664B">
        <w:tab/>
        <w:t>Styrker, svagheder, muligheder, trusler</w:t>
      </w:r>
    </w:p>
    <w:p w:rsidR="00FE491B" w:rsidRPr="0062664B" w:rsidRDefault="00FE491B" w:rsidP="00FE491B">
      <w:pPr>
        <w:pStyle w:val="HStandard"/>
        <w:ind w:left="993" w:hanging="993"/>
      </w:pPr>
      <w:r w:rsidRPr="0062664B">
        <w:t>T</w:t>
      </w:r>
      <w:r w:rsidRPr="0062664B">
        <w:tab/>
      </w:r>
      <w:r w:rsidRPr="0062664B">
        <w:tab/>
        <w:t>Målindikator</w:t>
      </w:r>
    </w:p>
    <w:p w:rsidR="00FE491B" w:rsidRPr="0062664B" w:rsidRDefault="00FE491B" w:rsidP="00FE491B">
      <w:pPr>
        <w:pStyle w:val="HStandard"/>
        <w:ind w:left="993" w:hanging="993"/>
      </w:pPr>
      <w:r w:rsidRPr="0062664B">
        <w:t>TB</w:t>
      </w:r>
      <w:r w:rsidRPr="0062664B">
        <w:tab/>
      </w:r>
      <w:r w:rsidRPr="0062664B">
        <w:tab/>
        <w:t>Teknisk bistand</w:t>
      </w:r>
    </w:p>
    <w:p w:rsidR="00FE491B" w:rsidRPr="0062664B" w:rsidRDefault="00FE491B" w:rsidP="00FE491B">
      <w:pPr>
        <w:pStyle w:val="HStandard"/>
        <w:ind w:left="993" w:hanging="993"/>
      </w:pPr>
      <w:r w:rsidRPr="0062664B">
        <w:t>TBE</w:t>
      </w:r>
      <w:r w:rsidRPr="0062664B">
        <w:tab/>
      </w:r>
      <w:r w:rsidRPr="0062664B">
        <w:tab/>
        <w:t>Teoribaseret evaluering</w:t>
      </w:r>
    </w:p>
    <w:p w:rsidR="00FE491B" w:rsidRPr="0062664B" w:rsidRDefault="00FE491B" w:rsidP="00FE491B">
      <w:pPr>
        <w:pStyle w:val="HStandard"/>
        <w:ind w:left="993" w:hanging="993"/>
      </w:pPr>
      <w:r w:rsidRPr="0062664B">
        <w:t>ToR</w:t>
      </w:r>
      <w:r w:rsidRPr="0062664B">
        <w:tab/>
      </w:r>
      <w:r w:rsidRPr="0062664B">
        <w:tab/>
        <w:t>Mandat</w:t>
      </w:r>
    </w:p>
    <w:p w:rsidR="00FE491B" w:rsidRPr="0062664B" w:rsidRDefault="00FE491B" w:rsidP="00FE491B">
      <w:pPr>
        <w:pStyle w:val="HStandard"/>
        <w:ind w:left="993" w:hanging="993"/>
      </w:pPr>
      <w:r w:rsidRPr="0062664B">
        <w:t>TFP</w:t>
      </w:r>
      <w:r w:rsidRPr="0062664B">
        <w:tab/>
      </w:r>
      <w:r w:rsidRPr="0062664B">
        <w:tab/>
        <w:t>Samlet faktorproduktivitet</w:t>
      </w:r>
    </w:p>
    <w:p w:rsidR="00FE491B" w:rsidRPr="0062664B" w:rsidRDefault="00FE491B" w:rsidP="00FE491B">
      <w:pPr>
        <w:pStyle w:val="HStandard"/>
        <w:ind w:left="993" w:hanging="993"/>
      </w:pPr>
      <w:r w:rsidRPr="0062664B">
        <w:t>ULA</w:t>
      </w:r>
      <w:r w:rsidRPr="0062664B">
        <w:tab/>
      </w:r>
      <w:r w:rsidRPr="0062664B">
        <w:tab/>
        <w:t>Udnyttet landbrugsareal</w:t>
      </w:r>
    </w:p>
    <w:p w:rsidR="00FE491B" w:rsidRPr="0062664B" w:rsidRDefault="00FE491B" w:rsidP="00FE491B">
      <w:pPr>
        <w:pStyle w:val="HStandard"/>
        <w:ind w:left="993" w:hanging="993"/>
      </w:pPr>
      <w:r w:rsidRPr="0062664B">
        <w:t>WD</w:t>
      </w:r>
      <w:r w:rsidRPr="0062664B">
        <w:tab/>
      </w:r>
      <w:r w:rsidRPr="0062664B">
        <w:tab/>
        <w:t>Arbejdsdokument</w:t>
      </w:r>
    </w:p>
    <w:p w:rsidR="00FE491B" w:rsidRPr="0062664B" w:rsidRDefault="00FE491B" w:rsidP="00FE491B">
      <w:pPr>
        <w:pStyle w:val="HStandard"/>
        <w:ind w:left="993" w:hanging="993"/>
      </w:pPr>
      <w:r w:rsidRPr="0062664B">
        <w:t>WDF</w:t>
      </w:r>
      <w:r w:rsidRPr="0062664B">
        <w:tab/>
      </w:r>
      <w:r w:rsidRPr="0062664B">
        <w:tab/>
        <w:t>Vandrammedirektivet</w:t>
      </w:r>
    </w:p>
    <w:p w:rsidR="00D32538" w:rsidRPr="0062664B" w:rsidRDefault="00D32538" w:rsidP="0095356C">
      <w:pPr>
        <w:pStyle w:val="HStandard"/>
        <w:ind w:left="993" w:hanging="993"/>
        <w:sectPr w:rsidR="00D32538" w:rsidRPr="0062664B" w:rsidSect="00C702ED">
          <w:headerReference w:type="default" r:id="rId12"/>
          <w:footerReference w:type="first" r:id="rId13"/>
          <w:pgSz w:w="11906" w:h="16838" w:code="9"/>
          <w:pgMar w:top="1440" w:right="1440" w:bottom="1134" w:left="1440" w:header="567" w:footer="737" w:gutter="0"/>
          <w:cols w:space="708"/>
          <w:titlePg/>
          <w:docGrid w:linePitch="360"/>
        </w:sectPr>
      </w:pPr>
    </w:p>
    <w:p w:rsidR="006F7D30" w:rsidRPr="0062664B" w:rsidRDefault="006F7D30" w:rsidP="006F7D30">
      <w:pPr>
        <w:pStyle w:val="HHeading1"/>
        <w:numPr>
          <w:ilvl w:val="0"/>
          <w:numId w:val="0"/>
        </w:numPr>
        <w:rPr>
          <w:sz w:val="28"/>
        </w:rPr>
      </w:pPr>
      <w:r w:rsidRPr="0062664B">
        <w:rPr>
          <w:sz w:val="28"/>
        </w:rPr>
        <w:lastRenderedPageBreak/>
        <w:t>Kilder og bidragydere</w:t>
      </w:r>
    </w:p>
    <w:p w:rsidR="00EB120C" w:rsidRPr="0062664B" w:rsidRDefault="00EB120C" w:rsidP="00EB120C">
      <w:pPr>
        <w:spacing w:after="120" w:line="280" w:lineRule="atLeast"/>
        <w:rPr>
          <w:rFonts w:ascii="Calibri" w:hAnsi="Calibri"/>
          <w:i/>
          <w:iCs/>
          <w:color w:val="373737" w:themeColor="text1"/>
          <w:sz w:val="20"/>
          <w:szCs w:val="20"/>
        </w:rPr>
      </w:pPr>
      <w:r w:rsidRPr="0062664B">
        <w:rPr>
          <w:i/>
          <w:color w:val="373737" w:themeColor="text1"/>
          <w:sz w:val="20"/>
        </w:rPr>
        <w:t xml:space="preserve">Retningslinjerne er udarbejdet af en international gruppe af eksperter i evaluering af udvikling i landdistrikter. Gruppen består af Jerzy Michalek (sektorspecifikke virkninger), Demetrios Psaltopoulos (samfundsøkonomiske virkninger), Marili Parisaki (kvalitative metoder), Tomáš Ratinger (sektorspecifikke virkninger), Gerald Schwarz (miljømæssige konsekvenser), Dimitris Skuras (miljømæssige virkninger), Darko Znaor (miljømæssige virkninger). Den relaterede tematiske arbejdsgruppe er blevet koordineret af Evaluation Helpdesk under vejledning af Jela Tvrdonova og Hannes Wimmer. Valérie Dumont, Myles Stiffler, Matteo Metta, Valdis Kudins og Harriet Mackaill-Hill støttede udviklingsarbejdet og sikrede kvaliteten og layoutet af de endelige retningslinjer. </w:t>
      </w:r>
    </w:p>
    <w:p w:rsidR="00EB120C" w:rsidRPr="0062664B" w:rsidRDefault="00EB120C" w:rsidP="00EB120C">
      <w:pPr>
        <w:spacing w:after="120" w:line="280" w:lineRule="atLeast"/>
        <w:rPr>
          <w:i/>
          <w:iCs/>
          <w:color w:val="373737" w:themeColor="text1"/>
          <w:sz w:val="20"/>
          <w:szCs w:val="20"/>
        </w:rPr>
      </w:pPr>
      <w:r w:rsidRPr="0062664B">
        <w:rPr>
          <w:i/>
          <w:color w:val="373737" w:themeColor="text1"/>
          <w:sz w:val="20"/>
        </w:rPr>
        <w:t>Forskellige eksperter har fungeret som bedømmere (Rolf Bergs, Kit Macleod, Žymantas Morkvėnas). Repræsentanter for GD for Landbrug og Udvikling af Landdistrikter har sørget for, at retningslinjerne er i overensstemmelse med EU's politiske rammer.</w:t>
      </w:r>
    </w:p>
    <w:p w:rsidR="006F7D30" w:rsidRPr="0062664B" w:rsidRDefault="00EB120C" w:rsidP="00EB120C">
      <w:pPr>
        <w:pStyle w:val="HStandard"/>
      </w:pPr>
      <w:r w:rsidRPr="0062664B">
        <w:rPr>
          <w:i/>
        </w:rPr>
        <w:t>Repræsentanter fra medlemsstaterne har fremsat bemærkninger til udkast til retningslinjerne i løbet af høringen af sparringspartnere fra januar til april 2018. Medlemmerne af ekspertgruppen om overvågning og evaluering af den fælles landbrugspolitik kommenterede det endelige udkast i juni 2018. </w:t>
      </w:r>
    </w:p>
    <w:p w:rsidR="00860B72" w:rsidRPr="0062664B" w:rsidRDefault="00860B72" w:rsidP="000B2A17">
      <w:pPr>
        <w:pStyle w:val="HStandard"/>
      </w:pPr>
    </w:p>
    <w:p w:rsidR="008E728A" w:rsidRPr="0062664B" w:rsidRDefault="008549B5" w:rsidP="008E3ACB">
      <w:pPr>
        <w:pStyle w:val="HHeading1"/>
        <w:numPr>
          <w:ilvl w:val="0"/>
          <w:numId w:val="0"/>
        </w:numPr>
        <w:rPr>
          <w:sz w:val="28"/>
        </w:rPr>
      </w:pPr>
      <w:r w:rsidRPr="0062664B">
        <w:rPr>
          <w:sz w:val="28"/>
        </w:rPr>
        <w:lastRenderedPageBreak/>
        <w:t>INDLEDNING</w:t>
      </w:r>
    </w:p>
    <w:p w:rsidR="00CD63F6" w:rsidRPr="0062664B" w:rsidRDefault="00CD63F6" w:rsidP="00CD63F6">
      <w:pPr>
        <w:pStyle w:val="HHeading4"/>
      </w:pPr>
      <w:r w:rsidRPr="0062664B">
        <w:t>Betydning af evalueringen</w:t>
      </w:r>
    </w:p>
    <w:p w:rsidR="00CD63F6" w:rsidRPr="0062664B" w:rsidRDefault="00CD63F6" w:rsidP="00CD63F6">
      <w:pPr>
        <w:pStyle w:val="HStandard"/>
      </w:pPr>
      <w:r w:rsidRPr="0062664B">
        <w:t xml:space="preserve">De europæiske struktur-og investeringsfonde er vigtige </w:t>
      </w:r>
      <w:r w:rsidRPr="0062664B">
        <w:rPr>
          <w:b/>
        </w:rPr>
        <w:t>offentlige instrumenter</w:t>
      </w:r>
      <w:r w:rsidRPr="0062664B">
        <w:t xml:space="preserve"> med hensyn til at støtte foranstaltninger vedrørende de centrale EU-prioriteter, der leveres via flerårige programmer i medlemsstaterne og regionerne. Det er derfor i både de politiske beslutningstageres og offentlighedens interesse at vide, om pengene bruges ansvarligt, giver de forventede resultater, og om interventionerne når ud til de rigtige støttemodtagere med henblik på at nå EU's politiske mål. </w:t>
      </w:r>
    </w:p>
    <w:p w:rsidR="00CD63F6" w:rsidRPr="0062664B" w:rsidRDefault="00CD63F6" w:rsidP="00CC00DA">
      <w:pPr>
        <w:pStyle w:val="HStandard"/>
      </w:pPr>
      <w:r w:rsidRPr="0062664B">
        <w:rPr>
          <w:b/>
        </w:rPr>
        <w:t>Evaluering</w:t>
      </w:r>
      <w:r w:rsidRPr="0062664B">
        <w:t xml:space="preserve"> er et redskab til at måle politikkens effektivitet, resultater og virkninger</w:t>
      </w:r>
      <w:r w:rsidRPr="0062664B">
        <w:rPr>
          <w:rStyle w:val="FootnoteReference"/>
        </w:rPr>
        <w:footnoteReference w:id="1"/>
      </w:r>
      <w:r w:rsidRPr="0062664B">
        <w:t>, relevans, sammenhæng og den europæiske merværdi med henblik på at sikre ansvarlighed og gennemsigtighed, og i sidste ende forbedre udformningen af politikken. I forbindelse med</w:t>
      </w:r>
      <w:r w:rsidRPr="0062664B">
        <w:rPr>
          <w:b/>
        </w:rPr>
        <w:t xml:space="preserve"> </w:t>
      </w:r>
      <w:r w:rsidRPr="0062664B">
        <w:t xml:space="preserve">udvikling af landdistrikterne er der to evalueringsdelmål </w:t>
      </w:r>
      <w:r w:rsidRPr="0062664B">
        <w:rPr>
          <w:b/>
        </w:rPr>
        <w:t>for programmeringsperioden 2014-2020</w:t>
      </w:r>
      <w:r w:rsidRPr="0062664B">
        <w:t>. Et i 2017, hvor interessenterne vurderer politikkens resultater, og det andet i 2019, hvor både politikkens resultater og virkninger måles. Desuden bliver der</w:t>
      </w:r>
      <w:r w:rsidR="00245F85" w:rsidRPr="0062664B">
        <w:t xml:space="preserve"> </w:t>
      </w:r>
      <w:r w:rsidRPr="0062664B">
        <w:rPr>
          <w:b/>
        </w:rPr>
        <w:t>efter programmeringsperioden</w:t>
      </w:r>
      <w:r w:rsidRPr="0062664B">
        <w:t xml:space="preserve"> gennemført en efterfølgende evaluering.</w:t>
      </w:r>
      <w:r w:rsidRPr="0062664B">
        <w:rPr>
          <w:b/>
        </w:rPr>
        <w:t xml:space="preserve"> </w:t>
      </w:r>
    </w:p>
    <w:p w:rsidR="00CD63F6" w:rsidRPr="0062664B" w:rsidRDefault="00CD63F6" w:rsidP="005C0884">
      <w:pPr>
        <w:pStyle w:val="HHeading4"/>
      </w:pPr>
      <w:r w:rsidRPr="0062664B">
        <w:t xml:space="preserve">Formålet med retningslinjerne </w:t>
      </w:r>
    </w:p>
    <w:p w:rsidR="00CD63F6" w:rsidRPr="0062664B" w:rsidRDefault="00BD7C99" w:rsidP="00CD63F6">
      <w:pPr>
        <w:pStyle w:val="HStandard"/>
      </w:pPr>
      <w:r w:rsidRPr="0062664B">
        <w:t>De retlige rammer pålægger medlemsstaterne i 2019 at aflægge rapport om resultaterne af programmet henimod opfyldelsen af programmets mål og dets bidrag til EU's strategi for intelligent, bæredygtig og inklusiv vækst. Dette opnås gennem de årlige gennemførelsesrapporter, der indsendes i 2019. Evalueringerne skal vurdere programmets nettobidrag til ændringer i den fælles landbrugspolitiks effektindikatorværdier og besvare evalueringsspørgsmålene.</w:t>
      </w:r>
      <w:r w:rsidRPr="0062664B">
        <w:rPr>
          <w:rStyle w:val="FootnoteReference"/>
        </w:rPr>
        <w:footnoteReference w:id="2"/>
      </w:r>
      <w:r w:rsidRPr="0062664B">
        <w:t xml:space="preserve"> </w:t>
      </w:r>
    </w:p>
    <w:p w:rsidR="00CD63F6" w:rsidRPr="0062664B" w:rsidRDefault="009642AA" w:rsidP="009F77FD">
      <w:pPr>
        <w:pStyle w:val="HStandard"/>
      </w:pPr>
      <w:r w:rsidRPr="0062664B">
        <w:t xml:space="preserve">Formålet med disse retningslinjer er at </w:t>
      </w:r>
      <w:r w:rsidRPr="0062664B">
        <w:rPr>
          <w:b/>
        </w:rPr>
        <w:t>undersøge udfordringerne</w:t>
      </w:r>
      <w:r w:rsidRPr="0062664B">
        <w:t xml:space="preserve"> i forbindelse med evalueringsaktiviteterne for de årlige gennemførelsesrapporter i 2019, </w:t>
      </w:r>
      <w:r w:rsidRPr="0062664B">
        <w:rPr>
          <w:b/>
        </w:rPr>
        <w:t>fremlægge praktiske metoder</w:t>
      </w:r>
      <w:r w:rsidRPr="0062664B">
        <w:t xml:space="preserve"> til at anslå landdistriktsprogrammets nettobidrag</w:t>
      </w:r>
      <w:r w:rsidR="00E43FAC" w:rsidRPr="0062664B">
        <w:t xml:space="preserve"> </w:t>
      </w:r>
      <w:r w:rsidRPr="0062664B">
        <w:t>til den fælles landbrugspolitiks effektindikatorer og til at vurdere fremskridtene med hensyn til opfyld</w:t>
      </w:r>
      <w:r w:rsidR="00E43FAC" w:rsidRPr="0062664B">
        <w:t xml:space="preserve">elsen af målene på EU-plan, og </w:t>
      </w:r>
      <w:r w:rsidRPr="0062664B">
        <w:rPr>
          <w:b/>
        </w:rPr>
        <w:t>yde støtte til besvarelsen af</w:t>
      </w:r>
      <w:r w:rsidRPr="0062664B">
        <w:t xml:space="preserve"> fælles evalueringsspørgsmål 22-30 og til rapportering af evalueringsresultaterne til Europa-Kommissionen i de årlige gennemførelsesrapporter, der skal indsendes i 2019.</w:t>
      </w:r>
    </w:p>
    <w:p w:rsidR="00CD63F6" w:rsidRPr="0062664B" w:rsidRDefault="00CD63F6" w:rsidP="005C0884">
      <w:pPr>
        <w:pStyle w:val="HHeading4"/>
      </w:pPr>
      <w:r w:rsidRPr="0062664B">
        <w:t xml:space="preserve">Retningslinjernes struktur og indhold </w:t>
      </w:r>
    </w:p>
    <w:p w:rsidR="00CD63F6" w:rsidRPr="0062664B" w:rsidRDefault="00BD7C99" w:rsidP="005C0884">
      <w:pPr>
        <w:pStyle w:val="HStandard"/>
      </w:pPr>
      <w:r w:rsidRPr="0062664B">
        <w:t xml:space="preserve">De </w:t>
      </w:r>
      <w:r w:rsidRPr="0062664B">
        <w:rPr>
          <w:b/>
        </w:rPr>
        <w:t>IKKE-BINDENDE retningslinjer</w:t>
      </w:r>
      <w:r w:rsidRPr="0062664B">
        <w:t xml:space="preserve"> </w:t>
      </w:r>
      <w:r w:rsidRPr="0062664B">
        <w:rPr>
          <w:i/>
        </w:rPr>
        <w:t xml:space="preserve">for vurdering af resultaterne og virkningerne af </w:t>
      </w:r>
      <w:r w:rsidR="0079176B" w:rsidRPr="0062664B">
        <w:t>l</w:t>
      </w:r>
      <w:r w:rsidR="00904571" w:rsidRPr="0062664B">
        <w:t>anddistriktsudviklingsprogrammer</w:t>
      </w:r>
      <w:r w:rsidR="0079176B" w:rsidRPr="0062664B">
        <w:t xml:space="preserve"> i </w:t>
      </w:r>
      <w:r w:rsidRPr="0062664B">
        <w:rPr>
          <w:i/>
        </w:rPr>
        <w:t>2019,</w:t>
      </w:r>
      <w:r w:rsidRPr="0062664B">
        <w:t xml:space="preserve"> omfatter følgende: </w:t>
      </w:r>
    </w:p>
    <w:p w:rsidR="00CD63F6" w:rsidRPr="0062664B" w:rsidRDefault="008358D0" w:rsidP="00AD4DC6">
      <w:pPr>
        <w:pStyle w:val="Hlistbullet"/>
        <w:spacing w:line="276" w:lineRule="auto"/>
      </w:pPr>
      <w:r w:rsidRPr="0062664B">
        <w:rPr>
          <w:b/>
          <w:color w:val="F07E31" w:themeColor="accent1"/>
        </w:rPr>
        <w:t>DEL I</w:t>
      </w:r>
      <w:r w:rsidRPr="0062664B">
        <w:t xml:space="preserve"> </w:t>
      </w:r>
      <w:r w:rsidRPr="0062664B">
        <w:rPr>
          <w:b/>
          <w:color w:val="F07E31" w:themeColor="accent1"/>
        </w:rPr>
        <w:t xml:space="preserve">(der primært henvender sig til forvaltningsmyndighederne): </w:t>
      </w:r>
      <w:r w:rsidRPr="0062664B">
        <w:t xml:space="preserve">oplyser om lovkravene og gør rede for, hvordan man i 2019 indberetter vedrørende fælles evalueringsspørgsmål 22-30. Del I indeholder henvisninger til andre eksisterende retningslinjer. </w:t>
      </w:r>
    </w:p>
    <w:p w:rsidR="00CD63F6" w:rsidRPr="0062664B" w:rsidRDefault="008358D0" w:rsidP="00AD4DC6">
      <w:pPr>
        <w:pStyle w:val="Hlistbullet"/>
        <w:spacing w:line="276" w:lineRule="auto"/>
      </w:pPr>
      <w:r w:rsidRPr="0062664B">
        <w:rPr>
          <w:b/>
          <w:color w:val="F07E31" w:themeColor="accent1"/>
        </w:rPr>
        <w:t>DEL II</w:t>
      </w:r>
      <w:r w:rsidRPr="0062664B">
        <w:t xml:space="preserve"> </w:t>
      </w:r>
      <w:r w:rsidRPr="0062664B">
        <w:rPr>
          <w:b/>
          <w:color w:val="F07E31" w:themeColor="accent1"/>
        </w:rPr>
        <w:t>(der primært henvender sig til evalueringseksperter):</w:t>
      </w:r>
      <w:r w:rsidRPr="0062664B">
        <w:t xml:space="preserve"> yder metodologisk støtte til vurdering af de fælles effektindikatorer i søjle II (sektorspecifikke, miljømæssige og samfundsøkonomiske virkninger). Denne del redegør for interventionslogikken, anvendelse af yderligere evalueringselementer, den forklarer datakravene og vurderingsenhederne og vejleder læseren i forbindelse med valget af de mest hensigtsmæssige evalueringsmetoder til at registrere</w:t>
      </w:r>
      <w:r w:rsidR="0079176B" w:rsidRPr="0062664B">
        <w:t xml:space="preserve"> landdistriktsudviklingsprogrammets</w:t>
      </w:r>
      <w:r w:rsidRPr="0062664B">
        <w:t xml:space="preserve"> bidrag til værdierne af den fælles landbrugspolitiks effektindikatorer. Del II indeholder desuden forslag til vurdering af </w:t>
      </w:r>
      <w:r w:rsidRPr="0062664B">
        <w:lastRenderedPageBreak/>
        <w:t xml:space="preserve">landdistriktsudviklingsprogrammernes bidrag til virkeliggørelsen af EU's 2020-strategi og til innovation. </w:t>
      </w:r>
    </w:p>
    <w:p w:rsidR="00800238" w:rsidRPr="0062664B" w:rsidRDefault="00800238" w:rsidP="00AD4DC6">
      <w:pPr>
        <w:pStyle w:val="Hlistbullet"/>
        <w:spacing w:line="276" w:lineRule="auto"/>
      </w:pPr>
      <w:r w:rsidRPr="0062664B">
        <w:rPr>
          <w:b/>
          <w:color w:val="F07E31" w:themeColor="accent1"/>
        </w:rPr>
        <w:t>DEL III:</w:t>
      </w:r>
      <w:r w:rsidRPr="0062664B">
        <w:rPr>
          <w:color w:val="F07E31" w:themeColor="accent1"/>
        </w:rPr>
        <w:t xml:space="preserve"> </w:t>
      </w:r>
      <w:r w:rsidRPr="0062664B">
        <w:t>indeholder datablade for besvarelse af fælles evalueringsspørgsmål 22 – 30.</w:t>
      </w:r>
    </w:p>
    <w:p w:rsidR="00CD63F6" w:rsidRPr="0062664B" w:rsidRDefault="00402862" w:rsidP="00AD4DC6">
      <w:pPr>
        <w:pStyle w:val="Hlistbullet"/>
        <w:spacing w:line="276" w:lineRule="auto"/>
      </w:pPr>
      <w:r>
        <w:rPr>
          <w:b/>
          <w:color w:val="F07E31" w:themeColor="accent1"/>
        </w:rPr>
        <w:t>DEL IV</w:t>
      </w:r>
      <w:r w:rsidR="00FE491B" w:rsidRPr="0062664B">
        <w:rPr>
          <w:b/>
          <w:color w:val="F07E31" w:themeColor="accent1"/>
        </w:rPr>
        <w:t xml:space="preserve">: </w:t>
      </w:r>
      <w:r w:rsidR="00FE491B" w:rsidRPr="0062664B">
        <w:t>indeholder det</w:t>
      </w:r>
      <w:r w:rsidR="00FE491B" w:rsidRPr="0062664B">
        <w:rPr>
          <w:b/>
        </w:rPr>
        <w:t xml:space="preserve"> </w:t>
      </w:r>
      <w:r w:rsidR="00FE491B" w:rsidRPr="0062664B">
        <w:t xml:space="preserve">tekniske bilag med detaljerede oplysninger om metoder til vurdering af den fælles landbrugspolitiks effektindikatorer samt en ordforklaring. </w:t>
      </w:r>
    </w:p>
    <w:p w:rsidR="001C2076" w:rsidRPr="0062664B" w:rsidRDefault="001C2076" w:rsidP="008D52EA">
      <w:pPr>
        <w:pStyle w:val="HHeading1"/>
        <w:tabs>
          <w:tab w:val="clear" w:pos="474"/>
          <w:tab w:val="clear" w:pos="567"/>
        </w:tabs>
        <w:rPr>
          <w:sz w:val="28"/>
        </w:rPr>
      </w:pPr>
      <w:r w:rsidRPr="0062664B">
        <w:rPr>
          <w:sz w:val="28"/>
        </w:rPr>
        <w:lastRenderedPageBreak/>
        <w:t>Hvad skal der indberettes om evaluering i den årlige gennemførelsesrapport, der indsendes i 2019? (Del I)</w:t>
      </w:r>
    </w:p>
    <w:p w:rsidR="001C2076" w:rsidRPr="0062664B" w:rsidRDefault="000C5796" w:rsidP="00E35440">
      <w:pPr>
        <w:pStyle w:val="HHeading2"/>
      </w:pPr>
      <w:r w:rsidRPr="0062664B">
        <w:t xml:space="preserve">Retsgrundlag og hovedfokus for evalueringen i 2019 </w:t>
      </w:r>
    </w:p>
    <w:p w:rsidR="00B013D7" w:rsidRPr="0062664B" w:rsidRDefault="006A3698" w:rsidP="001C2076">
      <w:pPr>
        <w:pStyle w:val="HStandard"/>
      </w:pPr>
      <w:r w:rsidRPr="0062664B">
        <w:t>Fra juni 2016 og hvert år frem til 2024</w:t>
      </w:r>
      <w:r w:rsidRPr="0062664B">
        <w:rPr>
          <w:rStyle w:val="FootnoteReference"/>
        </w:rPr>
        <w:footnoteReference w:id="3"/>
      </w:r>
      <w:r w:rsidRPr="0062664B">
        <w:t xml:space="preserve"> skal medlemsstaterne forelægge Europa-Kommissionen en årlig gennemførelsesrapport. Den årlige gennemførelsesrapport giver oplysninger om gennemførelsen af landdistriktsudviklingsprogrammet samt oplysninger om fremskridt vedrørende gennemførelsen af evalueringsplanen</w:t>
      </w:r>
      <w:r w:rsidRPr="0062664B">
        <w:rPr>
          <w:rStyle w:val="FootnoteReference"/>
        </w:rPr>
        <w:footnoteReference w:id="4"/>
      </w:r>
      <w:r w:rsidRPr="0062664B">
        <w:t xml:space="preserve">. </w:t>
      </w:r>
    </w:p>
    <w:p w:rsidR="001C2076" w:rsidRPr="0062664B" w:rsidRDefault="001C2076" w:rsidP="001C2076">
      <w:pPr>
        <w:pStyle w:val="HStandard"/>
      </w:pPr>
      <w:r w:rsidRPr="0062664B">
        <w:t xml:space="preserve">Den </w:t>
      </w:r>
      <w:r w:rsidRPr="0062664B">
        <w:rPr>
          <w:b/>
        </w:rPr>
        <w:t>årlige gennemførelsesrapport</w:t>
      </w:r>
      <w:r w:rsidRPr="0062664B">
        <w:t xml:space="preserve"> </w:t>
      </w:r>
      <w:r w:rsidRPr="0062664B">
        <w:rPr>
          <w:b/>
        </w:rPr>
        <w:t>i 2017</w:t>
      </w:r>
      <w:r w:rsidRPr="0062664B">
        <w:t xml:space="preserve"> omfattede kvantificering af programmets resultater (gennem vurdering af effektindikatorerne, herunder supplerende resultatindikatorer). Der blev anvendt vurderingskriterier til at fortolke resultatindikatorerne og til at </w:t>
      </w:r>
      <w:r w:rsidR="00612E75" w:rsidRPr="0062664B">
        <w:t>besvare fælles</w:t>
      </w:r>
      <w:r w:rsidRPr="0062664B">
        <w:t xml:space="preserve"> evalueringsspørgsmål</w:t>
      </w:r>
      <w:r w:rsidRPr="0062664B">
        <w:rPr>
          <w:rStyle w:val="FootnoteReference"/>
        </w:rPr>
        <w:footnoteReference w:id="5"/>
      </w:r>
      <w:r w:rsidRPr="0062664B">
        <w:t xml:space="preserve"> 1-21. </w:t>
      </w:r>
      <w:r w:rsidRPr="0062664B">
        <w:rPr>
          <w:i/>
        </w:rPr>
        <w:t xml:space="preserve">Retningslinjerne: </w:t>
      </w:r>
      <w:hyperlink r:id="rId14">
        <w:r w:rsidRPr="0062664B">
          <w:rPr>
            <w:rStyle w:val="Hyperlink"/>
            <w:i/>
          </w:rPr>
          <w:t>Vurdering af f landdistriktsudviklingsprogrammets resultater: sådan forbereder man sig til</w:t>
        </w:r>
        <w:r w:rsidR="00904571" w:rsidRPr="0062664B">
          <w:rPr>
            <w:rStyle w:val="Hyperlink"/>
            <w:i/>
          </w:rPr>
          <w:t xml:space="preserve"> </w:t>
        </w:r>
        <w:r w:rsidRPr="0062664B">
          <w:rPr>
            <w:rStyle w:val="Hyperlink"/>
            <w:i/>
          </w:rPr>
          <w:t xml:space="preserve">evalueringsrapportering i 2017 </w:t>
        </w:r>
      </w:hyperlink>
      <w:r w:rsidRPr="0062664B">
        <w:t>, kan også støtte disse aktiviteter, hvilket også gør dem relevante for øvelsen i 2019.</w:t>
      </w:r>
      <w:r w:rsidRPr="0062664B">
        <w:rPr>
          <w:rStyle w:val="FootnoteReference"/>
        </w:rPr>
        <w:footnoteReference w:id="6"/>
      </w:r>
      <w:r w:rsidRPr="0062664B">
        <w:t xml:space="preserve"> </w:t>
      </w:r>
    </w:p>
    <w:p w:rsidR="00BA41C1" w:rsidRPr="0062664B" w:rsidRDefault="001C2076" w:rsidP="001C2076">
      <w:pPr>
        <w:pStyle w:val="HStandard"/>
      </w:pPr>
      <w:r w:rsidRPr="0062664B">
        <w:t xml:space="preserve">Der kræves i forbindelse med den </w:t>
      </w:r>
      <w:r w:rsidR="00097EBE" w:rsidRPr="0062664B">
        <w:rPr>
          <w:b/>
        </w:rPr>
        <w:t>årlige gennemførelsesrapport</w:t>
      </w:r>
      <w:r w:rsidRPr="0062664B">
        <w:rPr>
          <w:b/>
        </w:rPr>
        <w:t>, der indsendes i 2019</w:t>
      </w:r>
      <w:r w:rsidR="00097EBE" w:rsidRPr="0062664B">
        <w:t>,</w:t>
      </w:r>
      <w:r w:rsidRPr="0062664B">
        <w:t xml:space="preserve"> en ajourføring af de tidligere evalueringsresultater, som blev rapporteret i 2017</w:t>
      </w:r>
      <w:r w:rsidR="00612E75" w:rsidRPr="0062664B">
        <w:t>.</w:t>
      </w:r>
      <w:r w:rsidR="00612E75" w:rsidRPr="0062664B">
        <w:rPr>
          <w:u w:val="single"/>
        </w:rPr>
        <w:t xml:space="preserve"> Derudover</w:t>
      </w:r>
      <w:r w:rsidRPr="0062664B">
        <w:rPr>
          <w:u w:val="single"/>
        </w:rPr>
        <w:t xml:space="preserve"> </w:t>
      </w:r>
      <w:r w:rsidRPr="0062664B">
        <w:t>vil den omfatte:</w:t>
      </w:r>
    </w:p>
    <w:p w:rsidR="00BA41C1" w:rsidRPr="0062664B" w:rsidRDefault="001C2076" w:rsidP="00BA41C1">
      <w:pPr>
        <w:pStyle w:val="Hlistbullet"/>
      </w:pPr>
      <w:r w:rsidRPr="0062664B">
        <w:t xml:space="preserve">resultaterne af vurderingen af landdistriktsudviklingsprogrammets virkninger, der opnås ved beregning og fortolkning af nettoværdierne af den fælles landbrugspolitiks effektindikatorer </w:t>
      </w:r>
    </w:p>
    <w:p w:rsidR="00BA41C1" w:rsidRPr="0062664B" w:rsidRDefault="00BA41C1" w:rsidP="00BA41C1">
      <w:pPr>
        <w:pStyle w:val="Hlistbullet"/>
      </w:pPr>
      <w:r w:rsidRPr="0062664B">
        <w:t xml:space="preserve">landdistriktsudviklingsprogrammets bidrag til EU's strategi for intelligent, bæredygtig og inklusiv vækst samt til biodiversitetsstrategien og </w:t>
      </w:r>
    </w:p>
    <w:p w:rsidR="001C2076" w:rsidRPr="0062664B" w:rsidRDefault="00BA41C1" w:rsidP="00BA41C1">
      <w:pPr>
        <w:pStyle w:val="Hlistbullet"/>
      </w:pPr>
      <w:r w:rsidRPr="0062664B">
        <w:t>svarene på de fælles evalueringsspørgsmål for landdistriktsudviklingsprogrammerne 2014-2020 med hensyn til målene på EU-plan (dvs. fælles evalueringsspørgsmål 22 – 30).</w:t>
      </w:r>
    </w:p>
    <w:p w:rsidR="001C2076" w:rsidRPr="0062664B" w:rsidRDefault="00CA1C02" w:rsidP="001C2076">
      <w:pPr>
        <w:pStyle w:val="HStandard"/>
      </w:pPr>
      <w:r w:rsidRPr="0062664B">
        <w:t>Nedenstående figur giver et overblik over de vigtigste krav til evalueringsrapporteringen</w:t>
      </w:r>
      <w:r w:rsidR="00097EBE" w:rsidRPr="0062664B">
        <w:t xml:space="preserve"> </w:t>
      </w:r>
      <w:r w:rsidRPr="0062664B">
        <w:t>i den årlige gennemførelsesrapport for hele programmeringsperioden i overensstemmelse med de retlige rammer</w:t>
      </w:r>
      <w:r w:rsidRPr="0062664B">
        <w:rPr>
          <w:rStyle w:val="FootnoteReference"/>
        </w:rPr>
        <w:footnoteReference w:id="7"/>
      </w:r>
      <w:r w:rsidRPr="0062664B">
        <w:t xml:space="preserve"> samt de tilhørende retningslinjer. </w:t>
      </w:r>
    </w:p>
    <w:p w:rsidR="001C2076" w:rsidRPr="0062664B" w:rsidRDefault="0062664B" w:rsidP="0062664B">
      <w:pPr>
        <w:pStyle w:val="HHeadingfigures"/>
        <w:numPr>
          <w:ilvl w:val="0"/>
          <w:numId w:val="0"/>
        </w:numPr>
      </w:pPr>
      <w:r w:rsidRPr="0062664B">
        <w:lastRenderedPageBreak/>
        <w:t xml:space="preserve">Figur 1: </w:t>
      </w:r>
      <w:r w:rsidR="00CA1C02" w:rsidRPr="0062664B">
        <w:t xml:space="preserve">Evalueringsrapportering (i overensstemmelse med bilag VII til forordning (EU) nr. 808/2014) </w:t>
      </w:r>
    </w:p>
    <w:p w:rsidR="001A2EB5" w:rsidRPr="0062664B" w:rsidRDefault="001A2EB5" w:rsidP="008D52EA">
      <w:pPr>
        <w:pStyle w:val="HSource"/>
      </w:pPr>
      <w:r w:rsidRPr="0062664B">
        <w:rPr>
          <w:i w:val="0"/>
          <w:noProof/>
          <w:color w:val="373737" w:themeColor="text1"/>
          <w:sz w:val="20"/>
          <w:lang w:eastAsia="en-GB" w:bidi="ar-SA"/>
        </w:rPr>
        <w:drawing>
          <wp:inline distT="0" distB="0" distL="0" distR="0" wp14:anchorId="611EE614" wp14:editId="796D6587">
            <wp:extent cx="4501759" cy="2532239"/>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01759" cy="2532239"/>
                    </a:xfrm>
                    <a:prstGeom prst="rect">
                      <a:avLst/>
                    </a:prstGeom>
                  </pic:spPr>
                </pic:pic>
              </a:graphicData>
            </a:graphic>
          </wp:inline>
        </w:drawing>
      </w:r>
    </w:p>
    <w:p w:rsidR="001C2076" w:rsidRPr="0062664B" w:rsidRDefault="001C2076" w:rsidP="008D52EA">
      <w:pPr>
        <w:pStyle w:val="HSource"/>
        <w:rPr>
          <w:i w:val="0"/>
        </w:rPr>
      </w:pPr>
      <w:r w:rsidRPr="0062664B">
        <w:t>Kilde: European Evaluation Helpdesk for Rural Development (2018)</w:t>
      </w:r>
    </w:p>
    <w:p w:rsidR="00E52E73" w:rsidRPr="0062664B" w:rsidRDefault="00E52E73" w:rsidP="00E52E73">
      <w:pPr>
        <w:pStyle w:val="HHeading4"/>
      </w:pPr>
      <w:r w:rsidRPr="0062664B">
        <w:t xml:space="preserve">Retsgrundlag </w:t>
      </w:r>
    </w:p>
    <w:p w:rsidR="00DE65AB" w:rsidRPr="0062664B" w:rsidRDefault="00BA41C1" w:rsidP="001C2076">
      <w:pPr>
        <w:pStyle w:val="HStandard"/>
      </w:pPr>
      <w:r w:rsidRPr="0062664B">
        <w:t xml:space="preserve">Retsgrundlaget og det fælles overvågnings- og evalueringssystem er grundlaget for evalueringen af landdistriktsudviklingsprogrammerne. </w:t>
      </w:r>
    </w:p>
    <w:p w:rsidR="001A2395" w:rsidRPr="0062664B" w:rsidRDefault="00BA41C1" w:rsidP="001C2076">
      <w:pPr>
        <w:pStyle w:val="HStandard"/>
      </w:pPr>
      <w:r w:rsidRPr="0062664B">
        <w:rPr>
          <w:b/>
        </w:rPr>
        <w:t>Retsgrundlaget</w:t>
      </w:r>
      <w:r w:rsidRPr="0062664B">
        <w:rPr>
          <w:rStyle w:val="FootnoteReference"/>
        </w:rPr>
        <w:footnoteReference w:id="8"/>
      </w:r>
      <w:r w:rsidRPr="0062664B">
        <w:t xml:space="preserve"> danner grundlag for evalueringen af de resultater og bidrag til EU's overordnede politiske mål, som </w:t>
      </w:r>
      <w:r w:rsidR="0079176B" w:rsidRPr="0062664B">
        <w:t xml:space="preserve">landdistriktsudviklingsprogrammet </w:t>
      </w:r>
      <w:r w:rsidRPr="0062664B">
        <w:t xml:space="preserve">har medført. </w:t>
      </w:r>
    </w:p>
    <w:p w:rsidR="001C2076" w:rsidRPr="0062664B" w:rsidRDefault="00CA1C02" w:rsidP="001C2076">
      <w:pPr>
        <w:pStyle w:val="HStandard"/>
      </w:pPr>
      <w:r w:rsidRPr="0062664B">
        <w:t xml:space="preserve">De </w:t>
      </w:r>
      <w:r w:rsidRPr="0062664B">
        <w:rPr>
          <w:b/>
        </w:rPr>
        <w:t>generelle bestemmelser</w:t>
      </w:r>
      <w:r w:rsidRPr="0062664B">
        <w:t xml:space="preserve"> om evaluering er fastsat i </w:t>
      </w:r>
      <w:r w:rsidRPr="0062664B">
        <w:rPr>
          <w:b/>
        </w:rPr>
        <w:t>forordning (EU) nr. 1303/2013</w:t>
      </w:r>
      <w:r w:rsidRPr="0062664B">
        <w:t xml:space="preserve"> og præciserer evalueringens rolle i forbindelse med:</w:t>
      </w:r>
    </w:p>
    <w:p w:rsidR="001C2076" w:rsidRPr="0062664B" w:rsidRDefault="001C2076" w:rsidP="008D52EA">
      <w:pPr>
        <w:pStyle w:val="Hlistbullet"/>
      </w:pPr>
      <w:r w:rsidRPr="0062664B">
        <w:t xml:space="preserve">forbedring af kvaliteten af udformningen og gennemførelsen af programmerne og </w:t>
      </w:r>
    </w:p>
    <w:p w:rsidR="001C2076" w:rsidRPr="0062664B" w:rsidRDefault="001C2076" w:rsidP="008D52EA">
      <w:pPr>
        <w:pStyle w:val="Hlistbullet"/>
      </w:pPr>
      <w:r w:rsidRPr="0062664B">
        <w:t>vurderingen af programmets effektivitet og virkninger.</w:t>
      </w:r>
      <w:r w:rsidRPr="0062664B">
        <w:rPr>
          <w:rStyle w:val="FootnoteReference"/>
        </w:rPr>
        <w:footnoteReference w:id="9"/>
      </w:r>
      <w:r w:rsidRPr="0062664B">
        <w:t xml:space="preserve"> </w:t>
      </w:r>
    </w:p>
    <w:p w:rsidR="00087412" w:rsidRPr="0062664B" w:rsidRDefault="00D42EC7" w:rsidP="001C2076">
      <w:pPr>
        <w:pStyle w:val="HStandard"/>
      </w:pPr>
      <w:r w:rsidRPr="0062664B">
        <w:t xml:space="preserve">I denne forbindelse skal medlemsstaterne tilvejebringe </w:t>
      </w:r>
      <w:r w:rsidRPr="0062664B">
        <w:rPr>
          <w:b/>
        </w:rPr>
        <w:t>de midler, der er nødvendige for udførelsen af evalueringerne</w:t>
      </w:r>
      <w:r w:rsidRPr="0062664B">
        <w:t xml:space="preserve"> og sikre, at der er indført </w:t>
      </w:r>
      <w:r w:rsidRPr="0062664B">
        <w:rPr>
          <w:b/>
        </w:rPr>
        <w:t>procedurer til at udarbejde og indsamle de data, der er nødvendige for evalueringerne</w:t>
      </w:r>
      <w:r w:rsidRPr="0062664B">
        <w:t xml:space="preserve">, herunder data vedrørende fælles og eventuelle programspecifikke indikatorer. </w:t>
      </w:r>
    </w:p>
    <w:p w:rsidR="001C2076" w:rsidRPr="0062664B" w:rsidRDefault="001C2076" w:rsidP="001C2076">
      <w:pPr>
        <w:pStyle w:val="HStandard"/>
      </w:pPr>
      <w:r w:rsidRPr="0062664B">
        <w:t xml:space="preserve">Evalueringen skal udføres i overensstemmelse med </w:t>
      </w:r>
      <w:r w:rsidRPr="0062664B">
        <w:rPr>
          <w:b/>
        </w:rPr>
        <w:t>evalueringsplanen,</w:t>
      </w:r>
      <w:r w:rsidRPr="0062664B">
        <w:t xml:space="preserve"> og dens resultater skal følges op i overensstemmelse med fondsspecifikke regler. Mindst én gang i løbet af programmeringsperioden skal en evaluering vurdere, hvordan støtten fra ESI-fondene har bidraget til målene for hver prioritet.</w:t>
      </w:r>
      <w:r w:rsidRPr="0062664B">
        <w:rPr>
          <w:rStyle w:val="FootnoteReference"/>
        </w:rPr>
        <w:footnoteReference w:id="10"/>
      </w:r>
    </w:p>
    <w:p w:rsidR="001C2076" w:rsidRPr="0062664B" w:rsidRDefault="001C2076" w:rsidP="001C2076">
      <w:pPr>
        <w:pStyle w:val="HStandard"/>
      </w:pPr>
      <w:r w:rsidRPr="0062664B">
        <w:rPr>
          <w:b/>
        </w:rPr>
        <w:t>Forordning (EU) nr. 1306/2013</w:t>
      </w:r>
      <w:r w:rsidRPr="0062664B">
        <w:t xml:space="preserve"> fastsætter overvågnings- og evalueringskravene for den fælles landbrugspolitik.</w:t>
      </w:r>
      <w:r w:rsidRPr="0062664B">
        <w:rPr>
          <w:rStyle w:val="FootnoteReference"/>
        </w:rPr>
        <w:footnoteReference w:id="11"/>
      </w:r>
      <w:r w:rsidRPr="0062664B">
        <w:t xml:space="preserve"> Den fastsætter, at Europa-Kommissionen skal sikre, at den fælles landbrugspolitik når sine </w:t>
      </w:r>
      <w:r w:rsidRPr="0062664B">
        <w:rPr>
          <w:b/>
        </w:rPr>
        <w:t>fælles målsætninger.</w:t>
      </w:r>
      <w:r w:rsidRPr="0062664B">
        <w:t xml:space="preserve"> De samlede virkninger af alle instrumenter under den fælles landbrugspolitik måles og evalueres på grundlag af oplysningerne fra overvågnings- og evalueringsaktiviteterne, der gennemføres i medlemsstaterne.</w:t>
      </w:r>
      <w:r w:rsidRPr="0062664B">
        <w:rPr>
          <w:b/>
        </w:rPr>
        <w:t xml:space="preserve"> </w:t>
      </w:r>
      <w:r w:rsidRPr="0062664B">
        <w:t xml:space="preserve">De fælles målsætninger skal vurderes på grundlag af </w:t>
      </w:r>
      <w:r w:rsidRPr="0062664B">
        <w:rPr>
          <w:b/>
        </w:rPr>
        <w:t>fælles effektindikatorer</w:t>
      </w:r>
      <w:r w:rsidRPr="0062664B">
        <w:t xml:space="preserve">, og de underliggende specifikke målsætninger skal vurderes på grundlag af </w:t>
      </w:r>
      <w:r w:rsidRPr="0062664B">
        <w:rPr>
          <w:b/>
        </w:rPr>
        <w:t>fælles</w:t>
      </w:r>
      <w:r w:rsidRPr="0062664B">
        <w:t xml:space="preserve"> </w:t>
      </w:r>
      <w:r w:rsidRPr="0062664B">
        <w:rPr>
          <w:b/>
        </w:rPr>
        <w:t>resultatindikatorer</w:t>
      </w:r>
      <w:r w:rsidRPr="0062664B">
        <w:t xml:space="preserve">. Disse oplysninger skal indsamles på baggrund af etablerede datakilder, som f.eks. informationsnettet for landøkonomisk bogføring og Eurostat. </w:t>
      </w:r>
      <w:r w:rsidRPr="0062664B">
        <w:lastRenderedPageBreak/>
        <w:t>Europa-Kommissionen tager hensyn til databehovene og synergierne mellem potentielle datakilder, især deres anvendelse til statistiske formål, hvor det er relevant.</w:t>
      </w:r>
      <w:r w:rsidRPr="0062664B">
        <w:rPr>
          <w:rStyle w:val="FootnoteReference"/>
        </w:rPr>
        <w:footnoteReference w:id="12"/>
      </w:r>
    </w:p>
    <w:p w:rsidR="001C2076" w:rsidRPr="0062664B" w:rsidRDefault="001C2076" w:rsidP="001C2076">
      <w:pPr>
        <w:pStyle w:val="HStandard"/>
      </w:pPr>
      <w:r w:rsidRPr="0062664B">
        <w:rPr>
          <w:b/>
        </w:rPr>
        <w:t>Forordning (EU) 1305/2013 om oprettelsen af det</w:t>
      </w:r>
      <w:r w:rsidRPr="0062664B">
        <w:t xml:space="preserve"> </w:t>
      </w:r>
      <w:r w:rsidRPr="0062664B">
        <w:rPr>
          <w:b/>
        </w:rPr>
        <w:t>fælles overvågnings- og evalueringssystem</w:t>
      </w:r>
      <w:r w:rsidRPr="0062664B">
        <w:t>, dets målsætninger</w:t>
      </w:r>
      <w:r w:rsidRPr="0062664B">
        <w:rPr>
          <w:rStyle w:val="FootnoteReference"/>
        </w:rPr>
        <w:footnoteReference w:id="13"/>
      </w:r>
      <w:r w:rsidRPr="0062664B">
        <w:t xml:space="preserve"> og de fælles indikatorer</w:t>
      </w:r>
      <w:r w:rsidRPr="0062664B">
        <w:rPr>
          <w:rStyle w:val="FootnoteReference"/>
        </w:rPr>
        <w:footnoteReference w:id="14"/>
      </w:r>
      <w:r w:rsidRPr="0062664B">
        <w:t>. Disse indikatorer vedrører udgangssituationen (kontekstindikatorer) samt den økonomiske gennemførelse, outputtet, resultaterne og virkningerne af programmet. De fælles indikatorer skal baseres på tilgængelige data og være forbundet med strukturen og målsætningerne for politikken for udvikling af landdistrikterne og gøre det muligt at vurdere fremskridt, effektivitet og gennemslagskraft af gennemførelsen af politikken i forhold til målsætningerne og målene på EU-plan, nationalt plan og programplan.</w:t>
      </w:r>
    </w:p>
    <w:p w:rsidR="001C2076" w:rsidRPr="0062664B" w:rsidRDefault="001C2076" w:rsidP="001C2076">
      <w:pPr>
        <w:pStyle w:val="HStandard"/>
        <w:rPr>
          <w:b/>
        </w:rPr>
      </w:pPr>
      <w:r w:rsidRPr="0062664B">
        <w:t xml:space="preserve">Virkningerne af landdistriktsudviklingsprogrammet vurderes på grundlag af fælles (samt yderligere og programspecifikke) effektindikatorer. </w:t>
      </w:r>
      <w:r w:rsidRPr="0062664B">
        <w:rPr>
          <w:b/>
        </w:rPr>
        <w:t xml:space="preserve">Den enkelte medlemsstat har ansvaret for vurdering af det pågældende programs virkninger. </w:t>
      </w:r>
    </w:p>
    <w:p w:rsidR="00E52E73" w:rsidRPr="0062664B" w:rsidRDefault="00E52E73" w:rsidP="00E52E73">
      <w:pPr>
        <w:pStyle w:val="HHeading4"/>
      </w:pPr>
      <w:r w:rsidRPr="0062664B">
        <w:t>Elementerne af det fælles evalueringssystem</w:t>
      </w:r>
    </w:p>
    <w:p w:rsidR="00D42EC7" w:rsidRPr="0062664B" w:rsidRDefault="00D42EC7" w:rsidP="00D42EC7">
      <w:pPr>
        <w:pStyle w:val="HStandard"/>
      </w:pPr>
      <w:r w:rsidRPr="0062664B">
        <w:t>Det fælles evalueringssystem er en del af den fælles landbrugspolitiks fælles ramme for overvågning og evaluering</w:t>
      </w:r>
      <w:r w:rsidRPr="0062664B">
        <w:rPr>
          <w:rStyle w:val="FootnoteReference"/>
        </w:rPr>
        <w:footnoteReference w:id="15"/>
      </w:r>
      <w:r w:rsidRPr="0062664B">
        <w:t xml:space="preserve"> og omfatter en række retningslinjer om anvendelsen af de fælles evalueringsspørgsmål og indikatorer i overvågningen og evalueringen af politikken for udvikling af landdistrikterne. I Kommissionens </w:t>
      </w:r>
      <w:r w:rsidRPr="0062664B">
        <w:rPr>
          <w:b/>
        </w:rPr>
        <w:t>gennemførelsesforordning (EU) nr. 808/2014</w:t>
      </w:r>
      <w:r w:rsidRPr="0062664B">
        <w:rPr>
          <w:rStyle w:val="FootnoteReference"/>
          <w:b/>
        </w:rPr>
        <w:footnoteReference w:id="16"/>
      </w:r>
      <w:r w:rsidRPr="0062664B">
        <w:rPr>
          <w:b/>
        </w:rPr>
        <w:t xml:space="preserve"> </w:t>
      </w:r>
      <w:r w:rsidRPr="0062664B">
        <w:t xml:space="preserve">beskrives det fælles overvågnings- og evalueringssystem mere detaljeret og dets elementerne præciseres: </w:t>
      </w:r>
    </w:p>
    <w:p w:rsidR="001C2076" w:rsidRPr="0062664B" w:rsidRDefault="001C2076" w:rsidP="008D52EA">
      <w:pPr>
        <w:pStyle w:val="Hlistbullet"/>
      </w:pPr>
      <w:r w:rsidRPr="0062664B">
        <w:t xml:space="preserve">en interventionslogik, der viser samspillet mellem prioriteter, fokusområder og foranstaltninger </w:t>
      </w:r>
    </w:p>
    <w:p w:rsidR="001C2076" w:rsidRPr="0062664B" w:rsidRDefault="001C2076" w:rsidP="008D52EA">
      <w:pPr>
        <w:pStyle w:val="Hlistbullet"/>
      </w:pPr>
      <w:r w:rsidRPr="0062664B">
        <w:t>et sæt fælles kontekst-, resultat- og outputindikatorer, herunder indikatorer, som skal anvendes til fastsættelse af kvantitative mål for fokusområder for landdistriktsudvikling</w:t>
      </w:r>
      <w:r w:rsidRPr="0062664B">
        <w:rPr>
          <w:rStyle w:val="FootnoteReference"/>
        </w:rPr>
        <w:footnoteReference w:id="17"/>
      </w:r>
      <w:r w:rsidRPr="0062664B">
        <w:t xml:space="preserve"> </w:t>
      </w:r>
    </w:p>
    <w:p w:rsidR="001C2076" w:rsidRPr="0062664B" w:rsidRDefault="001C2076" w:rsidP="008D52EA">
      <w:pPr>
        <w:pStyle w:val="Hlistbullet"/>
      </w:pPr>
      <w:r w:rsidRPr="0062664B">
        <w:t>fælles evalueringsspørgsmål</w:t>
      </w:r>
      <w:r w:rsidRPr="0062664B">
        <w:rPr>
          <w:rStyle w:val="FootnoteReference"/>
        </w:rPr>
        <w:footnoteReference w:id="18"/>
      </w:r>
    </w:p>
    <w:p w:rsidR="001C2076" w:rsidRPr="0062664B" w:rsidRDefault="001C2076" w:rsidP="008D52EA">
      <w:pPr>
        <w:pStyle w:val="Hlistbullet"/>
      </w:pPr>
      <w:r w:rsidRPr="0062664B">
        <w:t xml:space="preserve">dataindsamling, -lagring og -overførsel </w:t>
      </w:r>
    </w:p>
    <w:p w:rsidR="001C2076" w:rsidRPr="0062664B" w:rsidRDefault="001C2076" w:rsidP="008D52EA">
      <w:pPr>
        <w:pStyle w:val="Hlistbullet"/>
      </w:pPr>
      <w:r w:rsidRPr="0062664B">
        <w:t>regelmæssig rapportering om overvågnings- og evalueringsaktiviteter</w:t>
      </w:r>
      <w:r w:rsidRPr="0062664B">
        <w:rPr>
          <w:rStyle w:val="FootnoteReference"/>
        </w:rPr>
        <w:footnoteReference w:id="19"/>
      </w:r>
      <w:r w:rsidRPr="0062664B">
        <w:t xml:space="preserve"> </w:t>
      </w:r>
    </w:p>
    <w:p w:rsidR="001C2076" w:rsidRPr="0062664B" w:rsidRDefault="001C2076" w:rsidP="008D52EA">
      <w:pPr>
        <w:pStyle w:val="Hlistbullet"/>
      </w:pPr>
      <w:r w:rsidRPr="0062664B">
        <w:t>evalueringsplanen</w:t>
      </w:r>
      <w:r w:rsidRPr="0062664B">
        <w:rPr>
          <w:rStyle w:val="FootnoteReference"/>
        </w:rPr>
        <w:footnoteReference w:id="20"/>
      </w:r>
      <w:r w:rsidRPr="0062664B">
        <w:t xml:space="preserve"> </w:t>
      </w:r>
    </w:p>
    <w:p w:rsidR="001C2076" w:rsidRPr="0062664B" w:rsidRDefault="001C2076" w:rsidP="008D52EA">
      <w:pPr>
        <w:pStyle w:val="Hlistbullet"/>
      </w:pPr>
      <w:r w:rsidRPr="0062664B">
        <w:t>forhåndsevalueringen og den efterfølgende evaluering og alle øvrige evalueringsaktiviteter i forbindelse med landdistriktsudviklingsprogrammet, herunder de evalueringer, der kræves for at opfylde de øgede krav i gennemførelsesrapporterne for 2017 og 2019</w:t>
      </w:r>
      <w:r w:rsidRPr="0062664B">
        <w:rPr>
          <w:rStyle w:val="FootnoteReference"/>
        </w:rPr>
        <w:footnoteReference w:id="21"/>
      </w:r>
    </w:p>
    <w:p w:rsidR="001C2076" w:rsidRPr="0062664B" w:rsidRDefault="001C2076" w:rsidP="008D52EA">
      <w:pPr>
        <w:pStyle w:val="Hlistbullet"/>
      </w:pPr>
      <w:r w:rsidRPr="0062664B">
        <w:t>støtte med henblik på at gøre det muligt for alle aktører med ansvar for overvågning og evaluering at opfylde deres forpligtelser.</w:t>
      </w:r>
      <w:r w:rsidRPr="0062664B">
        <w:rPr>
          <w:rStyle w:val="FootnoteReference"/>
        </w:rPr>
        <w:footnoteReference w:id="22"/>
      </w:r>
      <w:r w:rsidRPr="0062664B">
        <w:t xml:space="preserve"> </w:t>
      </w:r>
    </w:p>
    <w:p w:rsidR="00F40273" w:rsidRPr="0062664B" w:rsidRDefault="00D42EC7" w:rsidP="001C2076">
      <w:pPr>
        <w:pStyle w:val="HStandard"/>
      </w:pPr>
      <w:r w:rsidRPr="0062664B">
        <w:t xml:space="preserve">Europa-Kommissionen stiller også detaljerede </w:t>
      </w:r>
      <w:r w:rsidRPr="0062664B">
        <w:rPr>
          <w:b/>
        </w:rPr>
        <w:t xml:space="preserve">datablade </w:t>
      </w:r>
      <w:r w:rsidRPr="0062664B">
        <w:t xml:space="preserve">til rådighed for hver af de fælles indikatorer, der skal indberettes i den årlige gennemførelsesrapport for 2017 og 2019, og som blandt andet omfatter 16 af den fælles </w:t>
      </w:r>
      <w:hyperlink r:id="rId16">
        <w:r w:rsidRPr="0062664B">
          <w:rPr>
            <w:rStyle w:val="Hyperlink"/>
          </w:rPr>
          <w:t>landbrugspolitiks effektindikatorer</w:t>
        </w:r>
      </w:hyperlink>
      <w:r w:rsidRPr="0062664B">
        <w:t xml:space="preserve">. </w:t>
      </w:r>
      <w:r w:rsidRPr="0062664B">
        <w:rPr>
          <w:b/>
        </w:rPr>
        <w:t>Hver effektindikators datablad</w:t>
      </w:r>
      <w:r w:rsidRPr="0062664B">
        <w:t xml:space="preserve"> indeholder et link til:</w:t>
      </w:r>
    </w:p>
    <w:p w:rsidR="00F40273" w:rsidRPr="0062664B" w:rsidRDefault="00A3244E" w:rsidP="00DA263D">
      <w:pPr>
        <w:pStyle w:val="Hlistbullet"/>
      </w:pPr>
      <w:r w:rsidRPr="0062664B">
        <w:t xml:space="preserve">dens respektive politiske mål </w:t>
      </w:r>
    </w:p>
    <w:p w:rsidR="00F40273" w:rsidRPr="0062664B" w:rsidRDefault="001C2076" w:rsidP="00DA263D">
      <w:pPr>
        <w:pStyle w:val="Hlistbullet"/>
      </w:pPr>
      <w:r w:rsidRPr="0062664B">
        <w:t xml:space="preserve">definitionen af indikatoren </w:t>
      </w:r>
    </w:p>
    <w:p w:rsidR="00F40273" w:rsidRPr="0062664B" w:rsidRDefault="001C2076" w:rsidP="00DA263D">
      <w:pPr>
        <w:pStyle w:val="Hlistbullet"/>
      </w:pPr>
      <w:r w:rsidRPr="0062664B">
        <w:t xml:space="preserve">måleenheden </w:t>
      </w:r>
    </w:p>
    <w:p w:rsidR="00F40273" w:rsidRPr="0062664B" w:rsidRDefault="001C2076" w:rsidP="00DA263D">
      <w:pPr>
        <w:pStyle w:val="Hlistbullet"/>
      </w:pPr>
      <w:r w:rsidRPr="0062664B">
        <w:t xml:space="preserve">metoden/formlen til beregning </w:t>
      </w:r>
    </w:p>
    <w:p w:rsidR="00F40273" w:rsidRPr="0062664B" w:rsidRDefault="001C2076" w:rsidP="00DA263D">
      <w:pPr>
        <w:pStyle w:val="Hlistbullet"/>
      </w:pPr>
      <w:r w:rsidRPr="0062664B">
        <w:t xml:space="preserve">datakravene og -kilderne </w:t>
      </w:r>
    </w:p>
    <w:p w:rsidR="00F40273" w:rsidRPr="0062664B" w:rsidRDefault="003304E5" w:rsidP="00DA263D">
      <w:pPr>
        <w:pStyle w:val="Hlistbullet"/>
      </w:pPr>
      <w:r w:rsidRPr="0062664B">
        <w:lastRenderedPageBreak/>
        <w:t xml:space="preserve">niveauet og hyppigheden af dataindsamlingen </w:t>
      </w:r>
    </w:p>
    <w:p w:rsidR="001C2076" w:rsidRPr="0062664B" w:rsidRDefault="001C2076" w:rsidP="00DA263D">
      <w:pPr>
        <w:pStyle w:val="Hlistbullet"/>
      </w:pPr>
      <w:r w:rsidRPr="0062664B">
        <w:t xml:space="preserve">oplysninger om forsinkelser i dataindsamlingen. </w:t>
      </w:r>
    </w:p>
    <w:p w:rsidR="001C2076" w:rsidRPr="0062664B" w:rsidRDefault="001C2076" w:rsidP="001C2076">
      <w:pPr>
        <w:pStyle w:val="HStandard"/>
      </w:pPr>
      <w:r w:rsidRPr="0062664B">
        <w:rPr>
          <w:b/>
        </w:rPr>
        <w:t>13 ud af 16 af den fælles landbrugspolitiks effektindikatorer</w:t>
      </w:r>
      <w:r w:rsidRPr="0062664B">
        <w:t xml:space="preserve"> skal anvendes ved vurderingen af landdistriktsudviklingsprogrammets </w:t>
      </w:r>
      <w:r w:rsidR="00612E75" w:rsidRPr="0062664B">
        <w:t>virkninger.</w:t>
      </w:r>
      <w:r w:rsidRPr="0062664B">
        <w:t xml:space="preserve"> Disse er som følger:</w:t>
      </w:r>
    </w:p>
    <w:p w:rsidR="001C2076" w:rsidRPr="0062664B" w:rsidRDefault="001C2076" w:rsidP="008D52EA">
      <w:pPr>
        <w:pStyle w:val="Hlistbullet"/>
      </w:pPr>
      <w:r w:rsidRPr="0062664B">
        <w:t>I.01 Virksomhedsindkomst i landbruget</w:t>
      </w:r>
    </w:p>
    <w:p w:rsidR="001C2076" w:rsidRPr="0062664B" w:rsidRDefault="001C2076" w:rsidP="008D52EA">
      <w:pPr>
        <w:pStyle w:val="Hlistbullet"/>
      </w:pPr>
      <w:r w:rsidRPr="0062664B">
        <w:t>I.02 Faktorindkomst i landbruget</w:t>
      </w:r>
    </w:p>
    <w:p w:rsidR="001C2076" w:rsidRPr="0062664B" w:rsidRDefault="001C2076" w:rsidP="008D52EA">
      <w:pPr>
        <w:pStyle w:val="Hlistbullet"/>
      </w:pPr>
      <w:r w:rsidRPr="0062664B">
        <w:t>I.03 Samlet faktorproduktivitet i landbruget</w:t>
      </w:r>
    </w:p>
    <w:p w:rsidR="001C2076" w:rsidRPr="0062664B" w:rsidRDefault="001C2076" w:rsidP="008D52EA">
      <w:pPr>
        <w:pStyle w:val="Hlistbullet"/>
      </w:pPr>
      <w:r w:rsidRPr="0062664B">
        <w:t>I.07 Emissioner fra landbruget</w:t>
      </w:r>
    </w:p>
    <w:p w:rsidR="001C2076" w:rsidRPr="0062664B" w:rsidRDefault="001C2076" w:rsidP="008D52EA">
      <w:pPr>
        <w:pStyle w:val="Hlistbullet"/>
      </w:pPr>
      <w:r w:rsidRPr="0062664B">
        <w:t>I.08 Indeks for agerlandsfugle</w:t>
      </w:r>
    </w:p>
    <w:p w:rsidR="001C2076" w:rsidRPr="0062664B" w:rsidRDefault="001C2076" w:rsidP="008D52EA">
      <w:pPr>
        <w:pStyle w:val="Hlistbullet"/>
      </w:pPr>
      <w:r w:rsidRPr="0062664B">
        <w:t>I.09 Landbrug af høj landskabsværdi</w:t>
      </w:r>
    </w:p>
    <w:p w:rsidR="001C2076" w:rsidRPr="0062664B" w:rsidRDefault="001C2076" w:rsidP="008D52EA">
      <w:pPr>
        <w:pStyle w:val="Hlistbullet"/>
      </w:pPr>
      <w:r w:rsidRPr="0062664B">
        <w:t>I.10 Vandindvinding i landbruget</w:t>
      </w:r>
    </w:p>
    <w:p w:rsidR="001C2076" w:rsidRPr="0062664B" w:rsidRDefault="001C2076" w:rsidP="008D52EA">
      <w:pPr>
        <w:pStyle w:val="Hlistbullet"/>
      </w:pPr>
      <w:r w:rsidRPr="0062664B">
        <w:t>I.11 Vandkvalitet</w:t>
      </w:r>
    </w:p>
    <w:p w:rsidR="001C2076" w:rsidRPr="0062664B" w:rsidRDefault="001C2076" w:rsidP="008D52EA">
      <w:pPr>
        <w:pStyle w:val="Hlistbullet"/>
      </w:pPr>
      <w:r w:rsidRPr="0062664B">
        <w:t>I.12 Jordbundens organiske materiale i agerjord</w:t>
      </w:r>
    </w:p>
    <w:p w:rsidR="001C2076" w:rsidRPr="0062664B" w:rsidRDefault="001C2076" w:rsidP="008D52EA">
      <w:pPr>
        <w:pStyle w:val="Hlistbullet"/>
      </w:pPr>
      <w:r w:rsidRPr="0062664B">
        <w:t>I.13 Jorderosion på grund af vand</w:t>
      </w:r>
    </w:p>
    <w:p w:rsidR="001C2076" w:rsidRPr="0062664B" w:rsidRDefault="001C2076" w:rsidP="008D52EA">
      <w:pPr>
        <w:pStyle w:val="Hlistbullet"/>
      </w:pPr>
      <w:r w:rsidRPr="0062664B">
        <w:t>I.14 Beskæftigelsesfrekvens i landdistrikterne</w:t>
      </w:r>
    </w:p>
    <w:p w:rsidR="001C2076" w:rsidRPr="0062664B" w:rsidRDefault="001C2076" w:rsidP="008D52EA">
      <w:pPr>
        <w:pStyle w:val="Hlistbullet"/>
      </w:pPr>
      <w:r w:rsidRPr="0062664B">
        <w:t>I.15 Fattigdom i landdistrikterne</w:t>
      </w:r>
    </w:p>
    <w:p w:rsidR="001C2076" w:rsidRPr="0062664B" w:rsidRDefault="001C2076" w:rsidP="008D52EA">
      <w:pPr>
        <w:pStyle w:val="Hlistbullet"/>
      </w:pPr>
      <w:r w:rsidRPr="0062664B">
        <w:t>I.16 BNP pr. indbygger i landdistrikterne</w:t>
      </w:r>
    </w:p>
    <w:p w:rsidR="001C2076" w:rsidRPr="0062664B" w:rsidRDefault="00B21618" w:rsidP="00E35440">
      <w:pPr>
        <w:pStyle w:val="HHeading2"/>
      </w:pPr>
      <w:r w:rsidRPr="0062664B">
        <w:t xml:space="preserve"> Hvordan indberettes fælles evalueringsspørgsmål i 2019?</w:t>
      </w:r>
    </w:p>
    <w:p w:rsidR="001C2076" w:rsidRPr="0062664B" w:rsidRDefault="003304E5" w:rsidP="003304E5">
      <w:pPr>
        <w:pStyle w:val="HStandard"/>
      </w:pPr>
      <w:r w:rsidRPr="0062664B">
        <w:t xml:space="preserve">Medlemsstaterne skal i 2019 indberette evalueringsresultaterne ved at besvare alle de relevante fælles og programspecifikke evalueringsspørgsmål i hvert af de respektive afsnit i den årlige gennemførelsesrapport. </w:t>
      </w:r>
    </w:p>
    <w:p w:rsidR="001C2076" w:rsidRPr="0062664B" w:rsidRDefault="00906DAF" w:rsidP="003304E5">
      <w:pPr>
        <w:pStyle w:val="HStandard"/>
      </w:pPr>
      <w:r w:rsidRPr="0062664B">
        <w:t>Ligesom for fælles evalueringsspørgsmål 1-21 bør svarene på de fælles evalueringsspørgsmål vedrørende mål på EU-plan (fælles evalueringsspørgsmål 22–30) baseres på dokumentation fra evalueringsresultaterne. Vurderinger af, om interventionerne er vellykkede, formuleres på baggrund af vurderingskriterier og måles i henhold til fælles og supplerende effektindikatorer samt med indikatorer, der er knyttet til EU's strategi for intelligent, bæredygtig og inklusiv vækst. Desuden kan der indsamles kvalitative oplysninger til besvarelse af evalueringsspørgsmålene i tilfælde af dataknaphed.</w:t>
      </w:r>
    </w:p>
    <w:p w:rsidR="00970A15" w:rsidRPr="0062664B" w:rsidRDefault="00C16EB2" w:rsidP="00970A15">
      <w:pPr>
        <w:pStyle w:val="HHeading4"/>
      </w:pPr>
      <w:r w:rsidRPr="0062664B">
        <w:t>Hvilke er de generelle skridt til besvarelse af evalueringsspørgsmålene?</w:t>
      </w:r>
    </w:p>
    <w:p w:rsidR="001C2076" w:rsidRPr="0062664B" w:rsidRDefault="001C2076" w:rsidP="007D2D54">
      <w:pPr>
        <w:pStyle w:val="HStandard"/>
        <w:rPr>
          <w:rFonts w:cs="Arial"/>
        </w:rPr>
      </w:pPr>
      <w:r w:rsidRPr="0062664B">
        <w:t>Følgende generelle skridt anbefales til udarbejdelse af svarene på fælles evalueringsspørgsmål 22–30:</w:t>
      </w:r>
    </w:p>
    <w:p w:rsidR="001C2076" w:rsidRPr="0062664B" w:rsidRDefault="007B324B" w:rsidP="00E35440">
      <w:pPr>
        <w:pStyle w:val="Hlistbullet"/>
      </w:pPr>
      <w:r w:rsidRPr="0062664B">
        <w:t>revision af programmets interventionslogik, der er knyttet til hvert af de fælles evalueringsspørgsmåls mål i den fælles landbrugspolitik/EU 2020-strategiens mål, prioritet(-er) for udvikling af landdistrikter, fokusområder/-områder og foranstaltninger</w:t>
      </w:r>
    </w:p>
    <w:p w:rsidR="001C2076" w:rsidRPr="0062664B" w:rsidRDefault="00DA263D" w:rsidP="00E35440">
      <w:pPr>
        <w:pStyle w:val="Hlistbullet"/>
      </w:pPr>
      <w:r w:rsidRPr="0062664B">
        <w:t xml:space="preserve">definition af vurderingskriterier og deres tilknytning til fælles (og supplerende) effektindikatorer, der skal anvendes til besvarelse af evalueringsspørgsmålet </w:t>
      </w:r>
    </w:p>
    <w:p w:rsidR="001C2076" w:rsidRPr="0062664B" w:rsidRDefault="007B324B" w:rsidP="00E35440">
      <w:pPr>
        <w:pStyle w:val="Hlistbullet"/>
      </w:pPr>
      <w:r w:rsidRPr="0062664B">
        <w:t>udvælgelse af kvantitative og kvalitative metoder, der er i stand til at vurdere nettoværdierne</w:t>
      </w:r>
      <w:r w:rsidRPr="0062664B">
        <w:rPr>
          <w:rStyle w:val="FootnoteReference"/>
          <w:i w:val="0"/>
          <w:position w:val="0"/>
          <w:sz w:val="20"/>
          <w:vertAlign w:val="superscript"/>
        </w:rPr>
        <w:footnoteReference w:id="23"/>
      </w:r>
      <w:r w:rsidRPr="0062664B">
        <w:rPr>
          <w:vertAlign w:val="superscript"/>
        </w:rPr>
        <w:t xml:space="preserve"> </w:t>
      </w:r>
      <w:r w:rsidRPr="0062664B">
        <w:t>af effektindikatorerne</w:t>
      </w:r>
    </w:p>
    <w:p w:rsidR="001C2076" w:rsidRPr="0062664B" w:rsidRDefault="007B324B" w:rsidP="00E35440">
      <w:pPr>
        <w:pStyle w:val="Hlistbullet"/>
      </w:pPr>
      <w:r w:rsidRPr="0062664B">
        <w:t xml:space="preserve">fastsættelse af kvantitative værdier for resultat- og effektindikatorer samt de relevante kvalitative resultater til besvarelse af evalueringsspørgsmålene </w:t>
      </w:r>
    </w:p>
    <w:p w:rsidR="001C2076" w:rsidRPr="0062664B" w:rsidRDefault="007B324B" w:rsidP="00E35440">
      <w:pPr>
        <w:pStyle w:val="Hlistbullet"/>
      </w:pPr>
      <w:r w:rsidRPr="0062664B">
        <w:t>besvarelse af evalueringsspørgsmålene.</w:t>
      </w:r>
    </w:p>
    <w:p w:rsidR="001C2076" w:rsidRPr="0062664B" w:rsidRDefault="00217482" w:rsidP="007D2D54">
      <w:pPr>
        <w:pStyle w:val="HStandard"/>
      </w:pPr>
      <w:r w:rsidRPr="0062664B">
        <w:t xml:space="preserve">De ovennævnte trin svarer til dem, der blev foreslået for evalueringen i 2017. Der kan dog opstå nogle nye udfordringer i 2019, som er nærmere beskrevet i </w:t>
      </w:r>
      <w:r w:rsidRPr="0062664B">
        <w:rPr>
          <w:color w:val="F07E31" w:themeColor="accent1"/>
        </w:rPr>
        <w:t xml:space="preserve">Del II </w:t>
      </w:r>
      <w:r w:rsidRPr="0062664B">
        <w:t xml:space="preserve">i retningslinjerne. </w:t>
      </w:r>
    </w:p>
    <w:p w:rsidR="001C2076" w:rsidRPr="0062664B" w:rsidRDefault="001C2076" w:rsidP="00812032">
      <w:pPr>
        <w:pStyle w:val="HHeading4"/>
      </w:pPr>
      <w:r w:rsidRPr="0062664B">
        <w:lastRenderedPageBreak/>
        <w:t xml:space="preserve">Hvor er der retningslinjer for besvarelse af de fælles evalueringsspørgsmål i 2019? </w:t>
      </w:r>
    </w:p>
    <w:p w:rsidR="00217482" w:rsidRPr="0062664B" w:rsidRDefault="00217482" w:rsidP="00217482">
      <w:pPr>
        <w:pStyle w:val="HStandard"/>
      </w:pPr>
      <w:r w:rsidRPr="0062664B">
        <w:t xml:space="preserve">Disse retningslinjer giver detaljerede oplysninger om besvarelse af de fælles evalueringsspørgsmål, der er knyttet til fælles evalueringsspørgsmål 22-30 om mål på EU-plan. Hvor det eventuelt er nødvendigt, henviser retningslinjerne til andre relevante retningslinjer, som vist i tabel 1. </w:t>
      </w:r>
    </w:p>
    <w:p w:rsidR="001C2076" w:rsidRPr="0062664B" w:rsidRDefault="001C2076" w:rsidP="001C2076">
      <w:pPr>
        <w:spacing w:after="0" w:line="280" w:lineRule="atLeast"/>
        <w:rPr>
          <w:rFonts w:cs="Arial"/>
          <w:color w:val="373737" w:themeColor="text1"/>
          <w:sz w:val="20"/>
          <w:szCs w:val="20"/>
        </w:rPr>
      </w:pPr>
      <w:r w:rsidRPr="0062664B">
        <w:rPr>
          <w:color w:val="373737" w:themeColor="text1"/>
          <w:sz w:val="20"/>
        </w:rPr>
        <w:t>Retningslinjerne for besvarelse af de fælles evalueringsspørgsmål, der er knyttet til fokusområder for udvikling af landdistrikterne, programsynergier, teknisk bistand og de nationale landdistriktsnetværk (fælles evalueringsspørgsmål 1-21) kan findes på:</w:t>
      </w:r>
    </w:p>
    <w:p w:rsidR="008E3ACB" w:rsidRPr="0062664B" w:rsidRDefault="00217482" w:rsidP="00E35440">
      <w:pPr>
        <w:pStyle w:val="Hlistbullet"/>
      </w:pPr>
      <w:r w:rsidRPr="0062664B">
        <w:rPr>
          <w:i/>
        </w:rPr>
        <w:t xml:space="preserve">Guidelines </w:t>
      </w:r>
      <w:hyperlink r:id="rId17">
        <w:r w:rsidRPr="0062664B">
          <w:rPr>
            <w:rStyle w:val="Hyperlink"/>
            <w:i/>
            <w:color w:val="373737" w:themeColor="text1"/>
            <w:u w:val="none"/>
          </w:rPr>
          <w:t>Assessment of RDP results: how to prepare for reporting on evaluation in 2017</w:t>
        </w:r>
      </w:hyperlink>
      <w:r w:rsidRPr="0062664B">
        <w:t>: dette dokument viser, hvordan evalueringerne i de årlige gennemførelsesrapporter for 2017 og fremover skal rapporteres. Retningslinjerne angiver mulige evalueringstilgange til vurdering af landdistriktsudviklingsprogrammernes resultater</w:t>
      </w:r>
      <w:r w:rsidR="0079176B" w:rsidRPr="0062664B">
        <w:t xml:space="preserve"> </w:t>
      </w:r>
      <w:r w:rsidRPr="0062664B">
        <w:t xml:space="preserve">i 2017, der med hensyn til fælles evalueringsspørgsmål 1–21 også gælder i 2019. </w:t>
      </w:r>
    </w:p>
    <w:p w:rsidR="001C2076" w:rsidRPr="0062664B" w:rsidRDefault="00B31552" w:rsidP="00E35440">
      <w:pPr>
        <w:pStyle w:val="Hlistbullet"/>
      </w:pPr>
      <w:hyperlink r:id="rId18">
        <w:r w:rsidR="006F62E2" w:rsidRPr="0062664B">
          <w:rPr>
            <w:rStyle w:val="Hyperlink"/>
            <w:i/>
            <w:color w:val="373737" w:themeColor="text1"/>
            <w:u w:val="none"/>
          </w:rPr>
          <w:t>Bilag 11 - Datablade til besvarelse af fælles evalueringsspørgsmål for landdistriktsudviklingsprogrammerne 2014-2020</w:t>
        </w:r>
      </w:hyperlink>
      <w:r w:rsidR="006F62E2" w:rsidRPr="0062664B">
        <w:rPr>
          <w:rStyle w:val="Hyperlink"/>
          <w:i/>
          <w:color w:val="373737" w:themeColor="text1"/>
          <w:u w:val="none"/>
        </w:rPr>
        <w:t>:</w:t>
      </w:r>
      <w:r w:rsidR="006F62E2" w:rsidRPr="0062664B">
        <w:t xml:space="preserve"> indeholder teknisk bistand til besvarelse af de fælles evalueringsspørgsmål. 1-21. Det viser interventionslogikken, der er knyttet til hvert fælles evalueringsspørgsmål, beskriver nyttige evalueringselementer og foreslår vurderingsmetoder.</w:t>
      </w:r>
    </w:p>
    <w:p w:rsidR="0020488A" w:rsidRPr="0062664B" w:rsidRDefault="0020488A" w:rsidP="005A56B7">
      <w:pPr>
        <w:pStyle w:val="HStandard"/>
      </w:pPr>
      <w:r w:rsidRPr="0062664B">
        <w:t xml:space="preserve">En oversigt over de mest relevante dokumenter til besvarelse af de fælles evalueringsspørgsmål i den årlige gennemførelsesrapport 2019 fremgår af tabel 1: </w:t>
      </w:r>
    </w:p>
    <w:p w:rsidR="00AB3BA1" w:rsidRPr="0062664B" w:rsidRDefault="009F77FD" w:rsidP="006B44E5">
      <w:pPr>
        <w:pStyle w:val="HHeadingtables"/>
      </w:pPr>
      <w:r w:rsidRPr="0062664B">
        <w:br w:type="column"/>
      </w:r>
      <w:r w:rsidRPr="0062664B">
        <w:lastRenderedPageBreak/>
        <w:t>Retningslinjer om besvarelsen af de fælles evalueringsspørgsmål i den årlige gennemførelsesrapport i 2019</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73"/>
        <w:gridCol w:w="3462"/>
        <w:gridCol w:w="3607"/>
      </w:tblGrid>
      <w:tr w:rsidR="00AB3BA1" w:rsidRPr="0062664B" w:rsidTr="00A746BC">
        <w:trPr>
          <w:tblHeader/>
        </w:trPr>
        <w:tc>
          <w:tcPr>
            <w:tcW w:w="1129" w:type="dxa"/>
            <w:shd w:val="clear" w:color="auto" w:fill="F07E31" w:themeFill="accent1"/>
          </w:tcPr>
          <w:p w:rsidR="00AB3BA1" w:rsidRPr="0062664B" w:rsidRDefault="007038B3" w:rsidP="00A746BC">
            <w:pPr>
              <w:pStyle w:val="HStandard"/>
              <w:jc w:val="center"/>
              <w:rPr>
                <w:b/>
                <w:color w:val="FFFFFF" w:themeColor="background1"/>
              </w:rPr>
            </w:pPr>
            <w:r w:rsidRPr="0062664B">
              <w:rPr>
                <w:b/>
                <w:color w:val="FFFFFF" w:themeColor="background1"/>
              </w:rPr>
              <w:t>CEQ</w:t>
            </w:r>
          </w:p>
        </w:tc>
        <w:tc>
          <w:tcPr>
            <w:tcW w:w="2410" w:type="dxa"/>
            <w:shd w:val="clear" w:color="auto" w:fill="F07E31" w:themeFill="accent1"/>
          </w:tcPr>
          <w:p w:rsidR="00AB3BA1" w:rsidRPr="0062664B" w:rsidRDefault="00116A79" w:rsidP="008D52EA">
            <w:pPr>
              <w:pStyle w:val="HStandard"/>
              <w:jc w:val="center"/>
              <w:rPr>
                <w:b/>
                <w:color w:val="FFFFFF" w:themeColor="background1"/>
              </w:rPr>
            </w:pPr>
            <w:r w:rsidRPr="0062664B">
              <w:rPr>
                <w:b/>
                <w:color w:val="FFFFFF" w:themeColor="background1"/>
              </w:rPr>
              <w:t>Dokument</w:t>
            </w:r>
          </w:p>
        </w:tc>
        <w:tc>
          <w:tcPr>
            <w:tcW w:w="5477" w:type="dxa"/>
            <w:shd w:val="clear" w:color="auto" w:fill="F07E31" w:themeFill="accent1"/>
          </w:tcPr>
          <w:p w:rsidR="00AB3BA1" w:rsidRPr="0062664B" w:rsidRDefault="00146C75" w:rsidP="008D52EA">
            <w:pPr>
              <w:pStyle w:val="HStandard"/>
              <w:jc w:val="center"/>
              <w:rPr>
                <w:b/>
                <w:color w:val="FFFFFF" w:themeColor="background1"/>
              </w:rPr>
            </w:pPr>
            <w:r w:rsidRPr="0062664B">
              <w:rPr>
                <w:b/>
                <w:color w:val="FFFFFF" w:themeColor="background1"/>
              </w:rPr>
              <w:t>Relevans for den årlige gennemførelsesrapport 2019</w:t>
            </w:r>
          </w:p>
        </w:tc>
      </w:tr>
      <w:tr w:rsidR="009F7952" w:rsidRPr="0062664B" w:rsidTr="00A746BC">
        <w:trPr>
          <w:trHeight w:val="1091"/>
        </w:trPr>
        <w:tc>
          <w:tcPr>
            <w:tcW w:w="1129" w:type="dxa"/>
            <w:vMerge w:val="restart"/>
          </w:tcPr>
          <w:p w:rsidR="009F7952" w:rsidRPr="0062664B" w:rsidRDefault="009F7952" w:rsidP="00A746BC">
            <w:pPr>
              <w:pStyle w:val="HStandard"/>
              <w:jc w:val="center"/>
            </w:pPr>
            <w:r w:rsidRPr="0062664B">
              <w:t>1-21</w:t>
            </w:r>
          </w:p>
        </w:tc>
        <w:tc>
          <w:tcPr>
            <w:tcW w:w="2410" w:type="dxa"/>
          </w:tcPr>
          <w:p w:rsidR="009F7952" w:rsidRPr="0062664B" w:rsidRDefault="00B31552" w:rsidP="00DF22D0">
            <w:pPr>
              <w:pStyle w:val="HStandard"/>
              <w:jc w:val="left"/>
            </w:pPr>
            <w:hyperlink r:id="rId19">
              <w:r w:rsidR="006F62E2" w:rsidRPr="0062664B">
                <w:rPr>
                  <w:rStyle w:val="Hyperlink"/>
                </w:rPr>
                <w:t>Datablade for målindikator i søjle II (prioritet I og II)</w:t>
              </w:r>
            </w:hyperlink>
          </w:p>
        </w:tc>
        <w:tc>
          <w:tcPr>
            <w:tcW w:w="5477" w:type="dxa"/>
          </w:tcPr>
          <w:p w:rsidR="009F7952" w:rsidRPr="0062664B" w:rsidRDefault="009F7952" w:rsidP="005A56B7">
            <w:pPr>
              <w:pStyle w:val="HStandard"/>
            </w:pPr>
            <w:r w:rsidRPr="0062664B">
              <w:t>Viser for hver indikator tilknytningen til den respektive prioritet og det respektive fokusområde, definitionen og måleenheden, metoden til beregning af den, databehovene og -kilderne, hyppigheden af indsamling og overførselsmetoder til Europa-Kommissionen.</w:t>
            </w:r>
          </w:p>
        </w:tc>
      </w:tr>
      <w:tr w:rsidR="009F7952" w:rsidRPr="0062664B" w:rsidTr="00A746BC">
        <w:trPr>
          <w:trHeight w:val="290"/>
        </w:trPr>
        <w:tc>
          <w:tcPr>
            <w:tcW w:w="1129" w:type="dxa"/>
            <w:vMerge/>
          </w:tcPr>
          <w:p w:rsidR="009F7952" w:rsidRPr="0062664B" w:rsidRDefault="009F7952" w:rsidP="00A746BC">
            <w:pPr>
              <w:pStyle w:val="HStandard"/>
              <w:jc w:val="center"/>
            </w:pPr>
          </w:p>
        </w:tc>
        <w:tc>
          <w:tcPr>
            <w:tcW w:w="2410" w:type="dxa"/>
          </w:tcPr>
          <w:p w:rsidR="009F7952" w:rsidRPr="0062664B" w:rsidRDefault="00B31552" w:rsidP="00DF22D0">
            <w:pPr>
              <w:pStyle w:val="HStandard"/>
              <w:jc w:val="left"/>
            </w:pPr>
            <w:hyperlink r:id="rId20">
              <w:r w:rsidR="006F62E2" w:rsidRPr="0062664B">
                <w:rPr>
                  <w:rStyle w:val="Hyperlink"/>
                </w:rPr>
                <w:t>Supplerende datablade for effektindikatorer i søjle II</w:t>
              </w:r>
            </w:hyperlink>
          </w:p>
        </w:tc>
        <w:tc>
          <w:tcPr>
            <w:tcW w:w="5477" w:type="dxa"/>
          </w:tcPr>
          <w:p w:rsidR="009F7952" w:rsidRPr="0062664B" w:rsidRDefault="009F7952" w:rsidP="005A56B7">
            <w:pPr>
              <w:pStyle w:val="HStandard"/>
            </w:pPr>
            <w:r w:rsidRPr="0062664B">
              <w:t>Indeholder lignende retningslinjer for hver af de supplerende resultatindikatorer.</w:t>
            </w:r>
          </w:p>
        </w:tc>
      </w:tr>
      <w:tr w:rsidR="009F7952" w:rsidRPr="0062664B" w:rsidTr="00A746BC">
        <w:trPr>
          <w:trHeight w:val="290"/>
        </w:trPr>
        <w:tc>
          <w:tcPr>
            <w:tcW w:w="1129" w:type="dxa"/>
            <w:vMerge/>
          </w:tcPr>
          <w:p w:rsidR="009F7952" w:rsidRPr="0062664B" w:rsidRDefault="009F7952" w:rsidP="00A746BC">
            <w:pPr>
              <w:pStyle w:val="HStandard"/>
              <w:jc w:val="center"/>
            </w:pPr>
          </w:p>
        </w:tc>
        <w:tc>
          <w:tcPr>
            <w:tcW w:w="2410" w:type="dxa"/>
          </w:tcPr>
          <w:p w:rsidR="009F7952" w:rsidRPr="0062664B" w:rsidRDefault="00B31552" w:rsidP="00DF22D0">
            <w:pPr>
              <w:pStyle w:val="HStandard"/>
              <w:jc w:val="left"/>
            </w:pPr>
            <w:hyperlink r:id="rId21">
              <w:r w:rsidR="006F62E2" w:rsidRPr="0062664B">
                <w:rPr>
                  <w:rStyle w:val="Hyperlink"/>
                </w:rPr>
                <w:t>Guidelines Assessment of RDP results: how to prepare for reporting on evaluation in 2017</w:t>
              </w:r>
            </w:hyperlink>
            <w:r w:rsidR="006F62E2" w:rsidRPr="0062664B">
              <w:rPr>
                <w:rStyle w:val="Hyperlink"/>
              </w:rPr>
              <w:t xml:space="preserve"> (særskilt bilag 11)</w:t>
            </w:r>
          </w:p>
        </w:tc>
        <w:tc>
          <w:tcPr>
            <w:tcW w:w="5477" w:type="dxa"/>
          </w:tcPr>
          <w:p w:rsidR="009F7952" w:rsidRPr="0062664B" w:rsidRDefault="00116A79" w:rsidP="00593F3E">
            <w:pPr>
              <w:pStyle w:val="HStandard"/>
            </w:pPr>
            <w:r w:rsidRPr="0062664B">
              <w:t>Angiver, hvordan evalueringer rapporteres i den årlige gennemførelsesrapport for 2017, hvordan evalueringsaktiviteterne udføres og hvilke metoder, der bør ligge til grund for besvarelsen af fælles evalueringsspørgsmål 1–21.</w:t>
            </w:r>
          </w:p>
        </w:tc>
      </w:tr>
      <w:tr w:rsidR="009F7952" w:rsidRPr="0062664B" w:rsidTr="00A746BC">
        <w:trPr>
          <w:trHeight w:val="290"/>
        </w:trPr>
        <w:tc>
          <w:tcPr>
            <w:tcW w:w="1129" w:type="dxa"/>
            <w:vMerge/>
          </w:tcPr>
          <w:p w:rsidR="009F7952" w:rsidRPr="0062664B" w:rsidRDefault="009F7952" w:rsidP="00A746BC">
            <w:pPr>
              <w:pStyle w:val="HStandard"/>
              <w:jc w:val="center"/>
            </w:pPr>
          </w:p>
        </w:tc>
        <w:tc>
          <w:tcPr>
            <w:tcW w:w="2410" w:type="dxa"/>
          </w:tcPr>
          <w:p w:rsidR="009F7952" w:rsidRPr="0062664B" w:rsidRDefault="00B31552" w:rsidP="00DF22D0">
            <w:pPr>
              <w:pStyle w:val="HStandard"/>
              <w:jc w:val="left"/>
            </w:pPr>
            <w:hyperlink r:id="rId22">
              <w:r w:rsidR="006F62E2" w:rsidRPr="0062664B">
                <w:rPr>
                  <w:rStyle w:val="Hyperlink"/>
                </w:rPr>
                <w:t>Retningslinjer for evaluering af LEADER-/CLLD</w:t>
              </w:r>
            </w:hyperlink>
          </w:p>
        </w:tc>
        <w:tc>
          <w:tcPr>
            <w:tcW w:w="5477" w:type="dxa"/>
          </w:tcPr>
          <w:p w:rsidR="009F7952" w:rsidRPr="0062664B" w:rsidRDefault="00116A79" w:rsidP="005A56B7">
            <w:pPr>
              <w:pStyle w:val="HStandard"/>
            </w:pPr>
            <w:r w:rsidRPr="0062664B">
              <w:t xml:space="preserve">De forklarer, hvordan de primære og sekundære bidrag fra LEADER/CLLD vurderes i forhold til udvikling af landdistrikternes fokusområder. </w:t>
            </w:r>
          </w:p>
        </w:tc>
      </w:tr>
      <w:tr w:rsidR="009F7952" w:rsidRPr="0062664B" w:rsidTr="00A746BC">
        <w:trPr>
          <w:trHeight w:val="290"/>
        </w:trPr>
        <w:tc>
          <w:tcPr>
            <w:tcW w:w="1129" w:type="dxa"/>
            <w:vMerge/>
          </w:tcPr>
          <w:p w:rsidR="009F7952" w:rsidRPr="0062664B" w:rsidRDefault="009F7952" w:rsidP="00A746BC">
            <w:pPr>
              <w:pStyle w:val="HStandard"/>
              <w:jc w:val="center"/>
            </w:pPr>
          </w:p>
        </w:tc>
        <w:tc>
          <w:tcPr>
            <w:tcW w:w="2410" w:type="dxa"/>
          </w:tcPr>
          <w:p w:rsidR="009F7952" w:rsidRPr="0062664B" w:rsidRDefault="00B31552" w:rsidP="00DF22D0">
            <w:pPr>
              <w:pStyle w:val="HStandard"/>
              <w:jc w:val="left"/>
            </w:pPr>
            <w:hyperlink r:id="rId23">
              <w:r w:rsidR="006F62E2" w:rsidRPr="0062664B">
                <w:rPr>
                  <w:rStyle w:val="Hyperlink"/>
                </w:rPr>
                <w:t>Guidelines Evaluation of innovation in RDPs 2014-2020</w:t>
              </w:r>
            </w:hyperlink>
          </w:p>
        </w:tc>
        <w:tc>
          <w:tcPr>
            <w:tcW w:w="5477" w:type="dxa"/>
          </w:tcPr>
          <w:p w:rsidR="009F7952" w:rsidRPr="0062664B" w:rsidRDefault="009F7952" w:rsidP="005A56B7">
            <w:pPr>
              <w:pStyle w:val="HStandard"/>
            </w:pPr>
            <w:r w:rsidRPr="0062664B">
              <w:t xml:space="preserve">Indeholder oplysninger om vurderingen af innovation i tilknytning til fokusområde 1A og 1B og om støtte til innovation gennem aktiviteterne i de nationale landdistriktsnetværk. De yder endvidere støtte til besvarelse af fælles evalueringsspørgsmål 1, 2 og 21 med hensyn til innovation. </w:t>
            </w:r>
          </w:p>
        </w:tc>
      </w:tr>
      <w:tr w:rsidR="002C57D4" w:rsidRPr="0062664B" w:rsidTr="00A746BC">
        <w:tc>
          <w:tcPr>
            <w:tcW w:w="1129" w:type="dxa"/>
            <w:vMerge w:val="restart"/>
          </w:tcPr>
          <w:p w:rsidR="002C57D4" w:rsidRPr="0062664B" w:rsidRDefault="002C57D4" w:rsidP="00A746BC">
            <w:pPr>
              <w:pStyle w:val="HStandard"/>
              <w:jc w:val="center"/>
            </w:pPr>
            <w:r w:rsidRPr="0062664B">
              <w:t>22 - 30</w:t>
            </w:r>
          </w:p>
        </w:tc>
        <w:tc>
          <w:tcPr>
            <w:tcW w:w="2410" w:type="dxa"/>
          </w:tcPr>
          <w:p w:rsidR="002C57D4" w:rsidRPr="0062664B" w:rsidRDefault="00B31552" w:rsidP="00DF22D0">
            <w:pPr>
              <w:pStyle w:val="HStandard"/>
              <w:jc w:val="left"/>
            </w:pPr>
            <w:hyperlink r:id="rId24">
              <w:r w:rsidR="006F62E2" w:rsidRPr="0062664B">
                <w:rPr>
                  <w:rStyle w:val="Hyperlink"/>
                </w:rPr>
                <w:t>Datablade for effektindikatorer</w:t>
              </w:r>
            </w:hyperlink>
            <w:r w:rsidR="006F62E2" w:rsidRPr="0062664B">
              <w:t xml:space="preserve"> </w:t>
            </w:r>
          </w:p>
        </w:tc>
        <w:tc>
          <w:tcPr>
            <w:tcW w:w="5477" w:type="dxa"/>
          </w:tcPr>
          <w:p w:rsidR="002C57D4" w:rsidRPr="0062664B" w:rsidRDefault="002C57D4" w:rsidP="005A56B7">
            <w:pPr>
              <w:pStyle w:val="HStandard"/>
            </w:pPr>
            <w:r w:rsidRPr="0062664B">
              <w:t>De indeholder oplysninger om en indikators forbindelse til den fælles landbrugspolitiks overordnede mål, definition af indikatorer, måleenhed, metode/formel til beregning, datakrav, kilder og hyppighed/forsinkelse af indsamling og placeringen af data.</w:t>
            </w:r>
          </w:p>
        </w:tc>
      </w:tr>
      <w:tr w:rsidR="00A75E50" w:rsidRPr="0062664B" w:rsidTr="00A746BC">
        <w:tc>
          <w:tcPr>
            <w:tcW w:w="1129" w:type="dxa"/>
            <w:vMerge/>
          </w:tcPr>
          <w:p w:rsidR="00A75E50" w:rsidRPr="0062664B" w:rsidRDefault="00A75E50" w:rsidP="00A746BC">
            <w:pPr>
              <w:pStyle w:val="HStandard"/>
              <w:jc w:val="center"/>
            </w:pPr>
          </w:p>
        </w:tc>
        <w:tc>
          <w:tcPr>
            <w:tcW w:w="2410" w:type="dxa"/>
          </w:tcPr>
          <w:p w:rsidR="00A75E50" w:rsidRPr="0062664B" w:rsidRDefault="00B31552">
            <w:pPr>
              <w:pStyle w:val="HStandard"/>
              <w:jc w:val="left"/>
            </w:pPr>
            <w:hyperlink r:id="rId25">
              <w:r w:rsidR="006F62E2" w:rsidRPr="0062664B">
                <w:rPr>
                  <w:rStyle w:val="Hyperlink"/>
                </w:rPr>
                <w:t>Seneste data om kontekstindikatorer fra medlemsstaterne</w:t>
              </w:r>
            </w:hyperlink>
          </w:p>
        </w:tc>
        <w:tc>
          <w:tcPr>
            <w:tcW w:w="5477" w:type="dxa"/>
          </w:tcPr>
          <w:p w:rsidR="00A75E50" w:rsidRPr="0062664B" w:rsidRDefault="00A75E50" w:rsidP="00FF4127">
            <w:pPr>
              <w:pStyle w:val="HStandard"/>
            </w:pPr>
            <w:r w:rsidRPr="0062664B">
              <w:t xml:space="preserve">Europa-Kommissionen leverer en årlig opdatering af data (hvis de er tilgængelige) vedrørende fælles kontekstindikatorer baseret på oplysninger fremsendt af </w:t>
            </w:r>
            <w:r w:rsidRPr="0062664B">
              <w:lastRenderedPageBreak/>
              <w:t>medlemsstaterne.</w:t>
            </w:r>
          </w:p>
        </w:tc>
      </w:tr>
      <w:tr w:rsidR="00A75E50" w:rsidRPr="0062664B" w:rsidTr="00A746BC">
        <w:tc>
          <w:tcPr>
            <w:tcW w:w="1129" w:type="dxa"/>
            <w:vMerge/>
          </w:tcPr>
          <w:p w:rsidR="00A75E50" w:rsidRPr="0062664B" w:rsidRDefault="00A75E50" w:rsidP="00A746BC">
            <w:pPr>
              <w:pStyle w:val="HStandard"/>
              <w:jc w:val="center"/>
            </w:pPr>
          </w:p>
        </w:tc>
        <w:tc>
          <w:tcPr>
            <w:tcW w:w="2410" w:type="dxa"/>
          </w:tcPr>
          <w:p w:rsidR="00A75E50" w:rsidRPr="0062664B" w:rsidRDefault="00B31552" w:rsidP="00DF22D0">
            <w:pPr>
              <w:pStyle w:val="HStandard"/>
              <w:jc w:val="left"/>
              <w:rPr>
                <w:color w:val="F07E31" w:themeColor="accent1"/>
              </w:rPr>
            </w:pPr>
            <w:hyperlink r:id="rId26">
              <w:r w:rsidR="006F62E2" w:rsidRPr="0062664B">
                <w:rPr>
                  <w:rStyle w:val="Hyperlink"/>
                </w:rPr>
                <w:t>Guidelines Evaluation of innovation in RDPs 2014-2020</w:t>
              </w:r>
            </w:hyperlink>
          </w:p>
          <w:p w:rsidR="00A75E50" w:rsidRPr="0062664B" w:rsidRDefault="00A75E50">
            <w:pPr>
              <w:pStyle w:val="HStandard"/>
              <w:jc w:val="left"/>
            </w:pPr>
          </w:p>
        </w:tc>
        <w:tc>
          <w:tcPr>
            <w:tcW w:w="5477" w:type="dxa"/>
          </w:tcPr>
          <w:p w:rsidR="00A75E50" w:rsidRPr="0062664B" w:rsidRDefault="00A75E50" w:rsidP="009C785A">
            <w:pPr>
              <w:pStyle w:val="HStandard"/>
            </w:pPr>
            <w:r w:rsidRPr="0062664B">
              <w:t xml:space="preserve">Indeholder oplysninger om vurderingen af </w:t>
            </w:r>
            <w:r w:rsidR="009C785A" w:rsidRPr="0062664B">
              <w:t xml:space="preserve">landdistriktsudviklingsprogrammets </w:t>
            </w:r>
            <w:r w:rsidRPr="0062664B">
              <w:t xml:space="preserve">bidrag til EU's overordnede mål for 2020 om at investere 3 % af EU's BNP i forskning og udvikling samt innovation og </w:t>
            </w:r>
            <w:r w:rsidR="009C785A" w:rsidRPr="0062664B">
              <w:t xml:space="preserve">landdistriktsudviklingsprogrammets </w:t>
            </w:r>
            <w:r w:rsidRPr="0062664B">
              <w:t>bidrag til innovation</w:t>
            </w:r>
            <w:r w:rsidR="009C785A" w:rsidRPr="0062664B">
              <w:t xml:space="preserve">, samt om </w:t>
            </w:r>
            <w:r w:rsidRPr="0062664B">
              <w:t>besvarelse af de fælles evalueringsspørgsmål 23 og 30.</w:t>
            </w:r>
          </w:p>
        </w:tc>
      </w:tr>
      <w:tr w:rsidR="00A75E50" w:rsidRPr="0062664B" w:rsidTr="00A746BC">
        <w:tc>
          <w:tcPr>
            <w:tcW w:w="1129" w:type="dxa"/>
            <w:vMerge/>
          </w:tcPr>
          <w:p w:rsidR="00A75E50" w:rsidRPr="0062664B" w:rsidRDefault="00A75E50" w:rsidP="00A746BC">
            <w:pPr>
              <w:pStyle w:val="HStandard"/>
              <w:jc w:val="center"/>
            </w:pPr>
          </w:p>
        </w:tc>
        <w:tc>
          <w:tcPr>
            <w:tcW w:w="2410" w:type="dxa"/>
          </w:tcPr>
          <w:p w:rsidR="00A75E50" w:rsidRPr="0062664B" w:rsidRDefault="00B31552" w:rsidP="00DF22D0">
            <w:pPr>
              <w:pStyle w:val="HStandard"/>
              <w:jc w:val="left"/>
            </w:pPr>
            <w:hyperlink r:id="rId27">
              <w:r w:rsidR="006F62E2" w:rsidRPr="0062664B">
                <w:rPr>
                  <w:rStyle w:val="Hyperlink"/>
                </w:rPr>
                <w:t>Oplysninger om Europa 2020-strategien</w:t>
              </w:r>
            </w:hyperlink>
          </w:p>
        </w:tc>
        <w:tc>
          <w:tcPr>
            <w:tcW w:w="5477" w:type="dxa"/>
          </w:tcPr>
          <w:p w:rsidR="00A75E50" w:rsidRPr="0062664B" w:rsidRDefault="00A75E50" w:rsidP="00EE407C">
            <w:pPr>
              <w:pStyle w:val="HStandard"/>
            </w:pPr>
            <w:r w:rsidRPr="0062664B">
              <w:t>Europa 2020-strategien anvendes som referenceramme for aktiviteter i EU samt på nationalt og regionalt plan. EU's regeringer har fastsat nationale mål med henblik på at bidrage til virkeliggørelsen af EU's overordnede mål, og de rapporterer om målene som led i deres årlige nationale reformprogrammer. EU's statistiske kontor (Eurostat) offentliggør regelmæssigt samlede statusrapporter for målene (</w:t>
            </w:r>
            <w:hyperlink r:id="rId28">
              <w:r w:rsidRPr="0062664B">
                <w:rPr>
                  <w:rStyle w:val="Hyperlink"/>
                </w:rPr>
                <w:t>publikationen "Smarter, greener, more inclusive? Indicators to support the Europe 2020 strategy</w:t>
              </w:r>
            </w:hyperlink>
            <w:r w:rsidRPr="0062664B">
              <w:rPr>
                <w:color w:val="F07E31" w:themeColor="accent1"/>
              </w:rPr>
              <w:t>"</w:t>
            </w:r>
            <w:r w:rsidRPr="0062664B">
              <w:t>)</w:t>
            </w:r>
            <w:r w:rsidRPr="0062664B">
              <w:rPr>
                <w:color w:val="333333"/>
              </w:rPr>
              <w:t>, som overvåger fremskridtene hen imod EU's målsætninger og mål, der er defineret i de tre gensidigt forstærkende prioriteter om intelligent, bæredygtig og inklusiv vækst, og som illustrerer situationen i medlemsstaterne</w:t>
            </w:r>
            <w:r w:rsidRPr="0062664B">
              <w:t>.</w:t>
            </w:r>
          </w:p>
        </w:tc>
      </w:tr>
      <w:tr w:rsidR="00A75E50" w:rsidRPr="0062664B" w:rsidTr="00A746BC">
        <w:tc>
          <w:tcPr>
            <w:tcW w:w="1129" w:type="dxa"/>
            <w:vMerge w:val="restart"/>
          </w:tcPr>
          <w:p w:rsidR="00A75E50" w:rsidRPr="0062664B" w:rsidRDefault="00A75E50" w:rsidP="00A746BC">
            <w:pPr>
              <w:pStyle w:val="HStandard"/>
              <w:jc w:val="center"/>
            </w:pPr>
            <w:r w:rsidRPr="0062664B">
              <w:t>22, 23, 24, 25, 30</w:t>
            </w:r>
          </w:p>
        </w:tc>
        <w:tc>
          <w:tcPr>
            <w:tcW w:w="2410" w:type="dxa"/>
          </w:tcPr>
          <w:p w:rsidR="00A75E50" w:rsidRPr="0062664B" w:rsidRDefault="00B31552">
            <w:pPr>
              <w:pStyle w:val="HStandard"/>
              <w:jc w:val="left"/>
              <w:rPr>
                <w:rFonts w:cs="Arial"/>
                <w:color w:val="F07E31" w:themeColor="accent1"/>
              </w:rPr>
            </w:pPr>
            <w:hyperlink r:id="rId29">
              <w:r w:rsidR="006F62E2" w:rsidRPr="0062664B">
                <w:rPr>
                  <w:rStyle w:val="Hyperlink"/>
                </w:rPr>
                <w:t>Oplysninger pr. medlemsstat om Europa 2020-strategiens mål</w:t>
              </w:r>
            </w:hyperlink>
          </w:p>
        </w:tc>
        <w:tc>
          <w:tcPr>
            <w:tcW w:w="5477" w:type="dxa"/>
          </w:tcPr>
          <w:p w:rsidR="00A75E50" w:rsidRPr="0062664B" w:rsidRDefault="00A75E50" w:rsidP="00823352">
            <w:pPr>
              <w:pStyle w:val="HStandard"/>
            </w:pPr>
            <w:r w:rsidRPr="0062664B">
              <w:t>Eurostat ajourfører regelmæssigt oplysninger for hver medlemsstat om de nationale mål for at opfylde Europa 2020-strategiens overordnede mål.</w:t>
            </w:r>
          </w:p>
        </w:tc>
      </w:tr>
      <w:tr w:rsidR="00A75E50" w:rsidRPr="0062664B" w:rsidTr="00A746BC">
        <w:tc>
          <w:tcPr>
            <w:tcW w:w="1129" w:type="dxa"/>
            <w:vMerge/>
          </w:tcPr>
          <w:p w:rsidR="00A75E50" w:rsidRPr="0062664B" w:rsidRDefault="00A75E50" w:rsidP="00A746BC">
            <w:pPr>
              <w:pStyle w:val="HStandard"/>
              <w:jc w:val="center"/>
            </w:pPr>
          </w:p>
        </w:tc>
        <w:tc>
          <w:tcPr>
            <w:tcW w:w="2410" w:type="dxa"/>
          </w:tcPr>
          <w:p w:rsidR="00A75E50" w:rsidRPr="0062664B" w:rsidRDefault="00B31552">
            <w:pPr>
              <w:pStyle w:val="HStandard"/>
              <w:jc w:val="left"/>
              <w:rPr>
                <w:rFonts w:cs="Arial"/>
              </w:rPr>
            </w:pPr>
            <w:hyperlink r:id="rId30">
              <w:r w:rsidR="006F62E2" w:rsidRPr="0062664B">
                <w:rPr>
                  <w:rStyle w:val="Hyperlink"/>
                </w:rPr>
                <w:t>Datablade for kontekstindikatorer</w:t>
              </w:r>
            </w:hyperlink>
            <w:r w:rsidR="006F62E2" w:rsidRPr="0062664B">
              <w:t xml:space="preserve"> </w:t>
            </w:r>
          </w:p>
        </w:tc>
        <w:tc>
          <w:tcPr>
            <w:tcW w:w="5477" w:type="dxa"/>
          </w:tcPr>
          <w:p w:rsidR="00A75E50" w:rsidRPr="0062664B" w:rsidRDefault="00A75E50" w:rsidP="00FF4127">
            <w:pPr>
              <w:pStyle w:val="HStandard"/>
            </w:pPr>
            <w:r w:rsidRPr="0062664B">
              <w:t xml:space="preserve">45 fælles kontekstindikatorer inden for den fælles landbrugspolitik (opdelt i tre grupper – samfundsøkonomiske, sektorspecifikke og miljømæssige) afspejler de relevante aspekter af den overordnede kontekstuelle udvikling inden for økonomi, miljø og samfund. Disse kan forventes at have betydning </w:t>
            </w:r>
            <w:r w:rsidRPr="0062664B">
              <w:lastRenderedPageBreak/>
              <w:t>for gennemførelse, virkninger og resultater af den fælles landbrugspolitik. Indikatorfaktablade indeholder en beskrivelse af definitioner, metoder og datakilder.</w:t>
            </w:r>
          </w:p>
        </w:tc>
      </w:tr>
      <w:tr w:rsidR="00A75E50" w:rsidRPr="0062664B" w:rsidTr="00A746BC">
        <w:trPr>
          <w:trHeight w:val="1800"/>
        </w:trPr>
        <w:tc>
          <w:tcPr>
            <w:tcW w:w="1129" w:type="dxa"/>
          </w:tcPr>
          <w:p w:rsidR="00A75E50" w:rsidRPr="0062664B" w:rsidRDefault="00A75E50" w:rsidP="00A746BC">
            <w:pPr>
              <w:pStyle w:val="HStandard"/>
              <w:jc w:val="center"/>
            </w:pPr>
            <w:r w:rsidRPr="0062664B">
              <w:lastRenderedPageBreak/>
              <w:t>Alle fælles evalueringsspørgsmål</w:t>
            </w:r>
          </w:p>
        </w:tc>
        <w:tc>
          <w:tcPr>
            <w:tcW w:w="2410" w:type="dxa"/>
          </w:tcPr>
          <w:p w:rsidR="00A75E50" w:rsidRPr="0062664B" w:rsidRDefault="00B31552" w:rsidP="00026F56">
            <w:pPr>
              <w:pStyle w:val="HStandard"/>
              <w:jc w:val="left"/>
            </w:pPr>
            <w:hyperlink r:id="rId31">
              <w:r w:rsidR="006F62E2" w:rsidRPr="0062664B">
                <w:rPr>
                  <w:rStyle w:val="Hyperlink"/>
                </w:rPr>
                <w:t>Arbejdsdokument til besvarelse af fælles evalueringsspørgsmål fo</w:t>
              </w:r>
              <w:r w:rsidR="00026F56" w:rsidRPr="0062664B">
                <w:rPr>
                  <w:rStyle w:val="Hyperlink"/>
                </w:rPr>
                <w:t xml:space="preserve">r landdistriktsudviklingsprogrammerne </w:t>
              </w:r>
              <w:r w:rsidR="006F62E2" w:rsidRPr="0062664B">
                <w:rPr>
                  <w:rStyle w:val="Hyperlink"/>
                </w:rPr>
                <w:t>2014-2020</w:t>
              </w:r>
            </w:hyperlink>
          </w:p>
        </w:tc>
        <w:tc>
          <w:tcPr>
            <w:tcW w:w="5477" w:type="dxa"/>
          </w:tcPr>
          <w:p w:rsidR="00A75E50" w:rsidRPr="0062664B" w:rsidRDefault="00A75E50" w:rsidP="00E95159">
            <w:pPr>
              <w:pStyle w:val="HStandard"/>
            </w:pPr>
            <w:r w:rsidRPr="0062664B">
              <w:t>Forklarer formålet med og anvendelsen af de fælles evalueringsspørgsmål i det fælles overvågnings- og evalueringssystem. Det beskriver de forskellige typer af evalueringsspørgsmål og indeholder en liste over vurderingskriterier samt fælles og yderligere indikatorer for fælles evalueringsspørgsmål 1–21.</w:t>
            </w:r>
          </w:p>
        </w:tc>
      </w:tr>
    </w:tbl>
    <w:p w:rsidR="00154C43" w:rsidRPr="0062664B" w:rsidRDefault="00154C43"/>
    <w:p w:rsidR="001C2076" w:rsidRPr="0062664B" w:rsidRDefault="001C2076" w:rsidP="00E35440">
      <w:pPr>
        <w:pStyle w:val="HHeading2"/>
      </w:pPr>
      <w:r w:rsidRPr="0062664B">
        <w:t xml:space="preserve">Forberedelse af den årlige gennemførelsesrapport i 2019 </w:t>
      </w:r>
    </w:p>
    <w:p w:rsidR="009B016B" w:rsidRPr="0062664B" w:rsidRDefault="00A74558" w:rsidP="00217482">
      <w:pPr>
        <w:pStyle w:val="HStandard"/>
      </w:pPr>
      <w:r w:rsidRPr="0062664B">
        <w:t>I forbindelse med forberedelse</w:t>
      </w:r>
      <w:r w:rsidR="00806A70" w:rsidRPr="0062664B">
        <w:t xml:space="preserve"> af vurderingen af resultater</w:t>
      </w:r>
      <w:r w:rsidRPr="0062664B">
        <w:t>ne</w:t>
      </w:r>
      <w:r w:rsidR="00806A70" w:rsidRPr="0062664B">
        <w:t xml:space="preserve"> og virkninger</w:t>
      </w:r>
      <w:r w:rsidRPr="0062664B">
        <w:t>ne</w:t>
      </w:r>
      <w:r w:rsidR="00806A70" w:rsidRPr="0062664B">
        <w:t xml:space="preserve"> </w:t>
      </w:r>
      <w:r w:rsidR="00670115" w:rsidRPr="0062664B">
        <w:t xml:space="preserve">af landdistriktsudviklingsprogrammet </w:t>
      </w:r>
      <w:r w:rsidR="00806A70" w:rsidRPr="0062664B">
        <w:t>i 2019 kan de forskellige evalueringsinteressenter i medle</w:t>
      </w:r>
      <w:r w:rsidR="00670115" w:rsidRPr="0062664B">
        <w:t>msstaterne gennemføre flere trin</w:t>
      </w:r>
      <w:r w:rsidR="00806A70" w:rsidRPr="0062664B">
        <w:rPr>
          <w:rStyle w:val="FootnoteReference"/>
          <w:sz w:val="20"/>
          <w:vertAlign w:val="superscript"/>
        </w:rPr>
        <w:footnoteReference w:id="24"/>
      </w:r>
      <w:r w:rsidR="00670115" w:rsidRPr="0062664B">
        <w:t xml:space="preserve">, </w:t>
      </w:r>
      <w:r w:rsidR="00806A70" w:rsidRPr="0062664B">
        <w:t>som vil bidrage til at sikre, at resultaterne af evalueringen vil være af høj kvalitet og relevans for de politiske beslutningstagere.</w:t>
      </w:r>
    </w:p>
    <w:p w:rsidR="00932C3E" w:rsidRPr="0062664B" w:rsidRDefault="003146E6" w:rsidP="00217482">
      <w:pPr>
        <w:pStyle w:val="HStandard"/>
      </w:pPr>
      <w:r w:rsidRPr="0062664B">
        <w:t xml:space="preserve">Tabel 2 indeholder forslag til en tjekliste, som indeholder de nødvendige trin til evaluering i 2019. Den omfatter også nogle forberedende trin, der, hvis de endnu ikke realiseret, stadig kan foretages før påbegyndelse af evalueringsaktiviteterne i 2019. Tabel 2 viser ansvarsområderne for de forskellige aktører, der kan være involveret i evalueringen på medlemsstatsplan: Forvaltningsmyndighed, overvågningsudvalg, betalingsorgan, evalueringsenhed (hvis en sådan er oprettet), styregruppe for evalueringer (hvis en sådan er oprettet), evalueringseksperter, dataleverandører og andre relevante evalueringsinteressenter. </w:t>
      </w:r>
    </w:p>
    <w:p w:rsidR="004773BB" w:rsidRPr="0062664B" w:rsidRDefault="00A75E50" w:rsidP="006B44E5">
      <w:pPr>
        <w:pStyle w:val="HHeadingtables"/>
      </w:pPr>
      <w:r w:rsidRPr="0062664B">
        <w:br w:type="column"/>
      </w:r>
      <w:r w:rsidRPr="0062664B">
        <w:lastRenderedPageBreak/>
        <w:t>Tjekliste over anbefalede evalueringstrin i 2019</w:t>
      </w:r>
    </w:p>
    <w:tbl>
      <w:tblPr>
        <w:tblStyle w:val="Tabukasmriekou5tmavzvraznenie61"/>
        <w:tblW w:w="9492" w:type="dxa"/>
        <w:jc w:val="center"/>
        <w:tblLayout w:type="fixed"/>
        <w:tblLook w:val="04A0" w:firstRow="1" w:lastRow="0" w:firstColumn="1" w:lastColumn="0" w:noHBand="0" w:noVBand="1"/>
      </w:tblPr>
      <w:tblGrid>
        <w:gridCol w:w="562"/>
        <w:gridCol w:w="3402"/>
        <w:gridCol w:w="1061"/>
        <w:gridCol w:w="622"/>
        <w:gridCol w:w="549"/>
        <w:gridCol w:w="549"/>
        <w:gridCol w:w="550"/>
        <w:gridCol w:w="593"/>
        <w:gridCol w:w="505"/>
        <w:gridCol w:w="549"/>
        <w:gridCol w:w="550"/>
      </w:tblGrid>
      <w:tr w:rsidR="00055507" w:rsidRPr="0062664B" w:rsidTr="0005550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top w:val="single" w:sz="4" w:space="0" w:color="6E8967"/>
              <w:left w:val="single" w:sz="4" w:space="0" w:color="6E8967"/>
              <w:right w:val="single" w:sz="4" w:space="0" w:color="FFFFFF"/>
            </w:tcBorders>
            <w:textDirection w:val="btLr"/>
            <w:vAlign w:val="center"/>
          </w:tcPr>
          <w:p w:rsidR="00055507" w:rsidRPr="0062664B" w:rsidRDefault="00055507" w:rsidP="00DF22D0">
            <w:pPr>
              <w:spacing w:line="280" w:lineRule="atLeast"/>
              <w:ind w:left="113" w:right="113"/>
              <w:jc w:val="center"/>
              <w:rPr>
                <w:rFonts w:cs="Arial"/>
                <w:sz w:val="16"/>
                <w:szCs w:val="16"/>
              </w:rPr>
            </w:pPr>
            <w:r w:rsidRPr="0062664B">
              <w:rPr>
                <w:sz w:val="16"/>
              </w:rPr>
              <w:t>Fase</w:t>
            </w:r>
          </w:p>
        </w:tc>
        <w:tc>
          <w:tcPr>
            <w:tcW w:w="3402" w:type="dxa"/>
            <w:vMerge w:val="restart"/>
            <w:tcBorders>
              <w:top w:val="single" w:sz="4" w:space="0" w:color="6E8967"/>
              <w:left w:val="single" w:sz="4" w:space="0" w:color="FFFFFF"/>
              <w:right w:val="single" w:sz="4" w:space="0" w:color="FFFFFF"/>
            </w:tcBorders>
            <w:vAlign w:val="center"/>
          </w:tcPr>
          <w:p w:rsidR="00055507" w:rsidRPr="0062664B"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664B">
              <w:rPr>
                <w:sz w:val="16"/>
              </w:rPr>
              <w:t>Trin</w:t>
            </w:r>
          </w:p>
        </w:tc>
        <w:tc>
          <w:tcPr>
            <w:tcW w:w="1061" w:type="dxa"/>
            <w:vMerge w:val="restart"/>
            <w:tcBorders>
              <w:top w:val="single" w:sz="4" w:space="0" w:color="6E8967"/>
              <w:left w:val="single" w:sz="4" w:space="0" w:color="FFFFFF"/>
              <w:right w:val="single" w:sz="4" w:space="0" w:color="FFFFFF" w:themeColor="background1"/>
            </w:tcBorders>
            <w:vAlign w:val="center"/>
          </w:tcPr>
          <w:p w:rsidR="00055507" w:rsidRPr="0062664B"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664B">
              <w:rPr>
                <w:sz w:val="16"/>
              </w:rPr>
              <w:t>Vejledende tidsplan</w:t>
            </w:r>
          </w:p>
        </w:tc>
        <w:tc>
          <w:tcPr>
            <w:tcW w:w="4467" w:type="dxa"/>
            <w:gridSpan w:val="8"/>
            <w:tcBorders>
              <w:top w:val="single" w:sz="4" w:space="0" w:color="6E8967"/>
              <w:left w:val="single" w:sz="4" w:space="0" w:color="FFFFFF" w:themeColor="background1"/>
              <w:right w:val="single" w:sz="4" w:space="0" w:color="6E8967"/>
            </w:tcBorders>
            <w:vAlign w:val="center"/>
          </w:tcPr>
          <w:p w:rsidR="00055507" w:rsidRPr="0062664B" w:rsidRDefault="00055507" w:rsidP="00DF22D0">
            <w:pPr>
              <w:spacing w:line="280" w:lineRule="atLeast"/>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664B">
              <w:rPr>
                <w:sz w:val="16"/>
              </w:rPr>
              <w:t>Ansvarsområde (x) og engagement (y)</w:t>
            </w:r>
            <w:r w:rsidRPr="0062664B">
              <w:rPr>
                <w:rStyle w:val="FootnoteReference"/>
                <w:color w:val="FFFFFF" w:themeColor="background1"/>
                <w:sz w:val="10"/>
              </w:rPr>
              <w:footnoteReference w:id="25"/>
            </w:r>
          </w:p>
        </w:tc>
      </w:tr>
      <w:tr w:rsidR="0079176B" w:rsidRPr="0062664B" w:rsidTr="004C3C30">
        <w:trPr>
          <w:cnfStyle w:val="100000000000" w:firstRow="1" w:lastRow="0" w:firstColumn="0" w:lastColumn="0" w:oddVBand="0" w:evenVBand="0" w:oddHBand="0" w:evenHBand="0" w:firstRowFirstColumn="0" w:firstRowLastColumn="0" w:lastRowFirstColumn="0" w:lastRowLastColumn="0"/>
          <w:trHeight w:val="260"/>
          <w:tblHeader/>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right w:val="single" w:sz="4" w:space="0" w:color="FFFFFF"/>
            </w:tcBorders>
            <w:textDirection w:val="btLr"/>
          </w:tcPr>
          <w:p w:rsidR="00055507" w:rsidRPr="0062664B" w:rsidRDefault="00055507" w:rsidP="00DF22D0">
            <w:pPr>
              <w:spacing w:line="280" w:lineRule="atLeast"/>
              <w:ind w:left="113" w:right="113"/>
              <w:jc w:val="right"/>
              <w:rPr>
                <w:rFonts w:cs="Arial"/>
                <w:b w:val="0"/>
                <w:sz w:val="16"/>
                <w:szCs w:val="16"/>
              </w:rPr>
            </w:pPr>
          </w:p>
        </w:tc>
        <w:tc>
          <w:tcPr>
            <w:tcW w:w="3402" w:type="dxa"/>
            <w:vMerge/>
            <w:tcBorders>
              <w:top w:val="single" w:sz="4" w:space="0" w:color="FFFFFF"/>
              <w:left w:val="single" w:sz="4" w:space="0" w:color="FFFFFF"/>
              <w:right w:val="single" w:sz="4" w:space="0" w:color="FFFFFF"/>
            </w:tcBorders>
          </w:tcPr>
          <w:p w:rsidR="00055507" w:rsidRPr="0062664B"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1061" w:type="dxa"/>
            <w:vMerge/>
            <w:tcBorders>
              <w:top w:val="single" w:sz="4" w:space="0" w:color="FFFFFF"/>
              <w:left w:val="single" w:sz="4" w:space="0" w:color="FFFFFF"/>
              <w:right w:val="single" w:sz="4" w:space="0" w:color="FFFFFF" w:themeColor="background1"/>
            </w:tcBorders>
          </w:tcPr>
          <w:p w:rsidR="00055507" w:rsidRPr="0062664B" w:rsidRDefault="00055507" w:rsidP="00DA3493">
            <w:pPr>
              <w:spacing w:line="280" w:lineRule="atLeast"/>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p>
        </w:tc>
        <w:tc>
          <w:tcPr>
            <w:tcW w:w="622"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62664B"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664B">
              <w:rPr>
                <w:sz w:val="16"/>
              </w:rPr>
              <w:t>MA</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62664B"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664B">
              <w:rPr>
                <w:sz w:val="16"/>
              </w:rPr>
              <w:t>PA</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62664B"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664B">
              <w:rPr>
                <w:sz w:val="16"/>
              </w:rPr>
              <w:t>DP</w:t>
            </w:r>
          </w:p>
        </w:tc>
        <w:tc>
          <w:tcPr>
            <w:tcW w:w="550"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62664B"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664B">
              <w:rPr>
                <w:sz w:val="16"/>
              </w:rPr>
              <w:t>EvU</w:t>
            </w:r>
          </w:p>
        </w:tc>
        <w:tc>
          <w:tcPr>
            <w:tcW w:w="593"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62664B"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664B">
              <w:rPr>
                <w:sz w:val="16"/>
              </w:rPr>
              <w:t>ESG</w:t>
            </w:r>
          </w:p>
        </w:tc>
        <w:tc>
          <w:tcPr>
            <w:tcW w:w="505"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62664B"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664B">
              <w:rPr>
                <w:sz w:val="16"/>
              </w:rPr>
              <w:t>Ev</w:t>
            </w:r>
          </w:p>
        </w:tc>
        <w:tc>
          <w:tcPr>
            <w:tcW w:w="549" w:type="dxa"/>
            <w:tcBorders>
              <w:top w:val="single" w:sz="4" w:space="0" w:color="FFFFFF"/>
              <w:left w:val="single" w:sz="4" w:space="0" w:color="FFFFFF" w:themeColor="background1"/>
              <w:bottom w:val="single" w:sz="4" w:space="0" w:color="FFFFFF"/>
              <w:right w:val="single" w:sz="4" w:space="0" w:color="FFFFFF" w:themeColor="background1"/>
            </w:tcBorders>
          </w:tcPr>
          <w:p w:rsidR="00055507" w:rsidRPr="0062664B"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664B">
              <w:rPr>
                <w:sz w:val="16"/>
              </w:rPr>
              <w:t>MC</w:t>
            </w:r>
          </w:p>
        </w:tc>
        <w:tc>
          <w:tcPr>
            <w:tcW w:w="550" w:type="dxa"/>
            <w:tcBorders>
              <w:top w:val="single" w:sz="4" w:space="0" w:color="FFFFFF"/>
              <w:left w:val="single" w:sz="4" w:space="0" w:color="FFFFFF" w:themeColor="background1"/>
              <w:bottom w:val="single" w:sz="4" w:space="0" w:color="FFFFFF"/>
              <w:right w:val="single" w:sz="4" w:space="0" w:color="6E8967"/>
            </w:tcBorders>
          </w:tcPr>
          <w:p w:rsidR="00055507" w:rsidRPr="0062664B" w:rsidRDefault="00055507" w:rsidP="00093CBB">
            <w:pPr>
              <w:spacing w:line="280" w:lineRule="atLeas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62664B">
              <w:rPr>
                <w:sz w:val="16"/>
              </w:rPr>
              <w:t>O</w:t>
            </w:r>
          </w:p>
        </w:tc>
      </w:tr>
      <w:tr w:rsidR="00810ED5" w:rsidRPr="0062664B" w:rsidTr="004C3C30">
        <w:trPr>
          <w:cnfStyle w:val="000000100000" w:firstRow="0" w:lastRow="0" w:firstColumn="0" w:lastColumn="0" w:oddVBand="0" w:evenVBand="0" w:oddHBand="1" w:evenHBand="0" w:firstRowFirstColumn="0" w:firstRowLastColumn="0" w:lastRowFirstColumn="0" w:lastRowLastColumn="0"/>
          <w:trHeight w:val="56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r w:rsidRPr="0062664B">
              <w:rPr>
                <w:i/>
                <w:sz w:val="16"/>
              </w:rPr>
              <w:t>Planlægning</w:t>
            </w:r>
          </w:p>
        </w:tc>
        <w:tc>
          <w:tcPr>
            <w:tcW w:w="3402" w:type="dxa"/>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 xml:space="preserve">Ajourføring af referenceværdier for fælles kontekstindikatorer (i </w:t>
            </w:r>
            <w:r w:rsidR="008811A6" w:rsidRPr="0062664B">
              <w:t>landdistriktsudviklingsprogrammet</w:t>
            </w:r>
            <w:r w:rsidRPr="0062664B">
              <w:rPr>
                <w:color w:val="373737"/>
                <w:sz w:val="16"/>
              </w:rPr>
              <w:t>).</w:t>
            </w:r>
          </w:p>
        </w:tc>
        <w:tc>
          <w:tcPr>
            <w:tcW w:w="1061" w:type="dxa"/>
          </w:tcPr>
          <w:p w:rsidR="00055507" w:rsidRPr="0062664B"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Så snart data foreligger</w:t>
            </w:r>
          </w:p>
        </w:tc>
        <w:tc>
          <w:tcPr>
            <w:tcW w:w="622" w:type="dxa"/>
            <w:tcBorders>
              <w:top w:val="single" w:sz="4" w:space="0" w:color="FFFFFF"/>
              <w:right w:val="single" w:sz="4" w:space="0" w:color="FFFFFF"/>
            </w:tcBorders>
            <w:shd w:val="clear" w:color="auto" w:fill="95B89B" w:themeFill="accent4" w:themeFillTint="99"/>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49" w:type="dxa"/>
            <w:tcBorders>
              <w:top w:val="single" w:sz="4" w:space="0" w:color="FFFFFF"/>
              <w:left w:val="single" w:sz="4" w:space="0" w:color="FFFFFF"/>
            </w:tcBorders>
            <w:shd w:val="clear" w:color="auto" w:fill="auto"/>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tcBorders>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93" w:type="dxa"/>
            <w:tcBorders>
              <w:top w:val="single" w:sz="4" w:space="0" w:color="FFFFFF"/>
            </w:tcBorders>
            <w:shd w:val="clear" w:color="auto" w:fill="auto"/>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top w:val="single" w:sz="4" w:space="0" w:color="FFFFFF"/>
            </w:tcBorders>
            <w:shd w:val="clear" w:color="auto" w:fill="auto"/>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top w:val="single" w:sz="4" w:space="0" w:color="FFFFFF"/>
            </w:tcBorders>
            <w:shd w:val="clear" w:color="auto" w:fill="auto"/>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auto"/>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62664B" w:rsidTr="004C3C30">
        <w:trPr>
          <w:trHeight w:val="5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p>
        </w:tc>
        <w:tc>
          <w:tcPr>
            <w:tcW w:w="3402" w:type="dxa"/>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 xml:space="preserve">Planlægning af evalueringsaktiviteter, emner, undersøgelser, dataindsamlingsordninger, der er knyttet til fælles effektindikatorer i evalueringsplanen for </w:t>
            </w:r>
            <w:r w:rsidR="008811A6" w:rsidRPr="0062664B">
              <w:t>landdistriktsudviklingsprogrammets</w:t>
            </w:r>
            <w:r w:rsidRPr="0062664B">
              <w:rPr>
                <w:color w:val="373737"/>
                <w:sz w:val="16"/>
              </w:rPr>
              <w:t xml:space="preserve">. </w:t>
            </w:r>
          </w:p>
        </w:tc>
        <w:tc>
          <w:tcPr>
            <w:tcW w:w="1061" w:type="dxa"/>
          </w:tcPr>
          <w:p w:rsidR="00055507" w:rsidRPr="0062664B"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 xml:space="preserve">Fra 2013 </w:t>
            </w:r>
          </w:p>
        </w:tc>
        <w:tc>
          <w:tcPr>
            <w:tcW w:w="622" w:type="dxa"/>
            <w:tcBorders>
              <w:right w:val="single" w:sz="4" w:space="0" w:color="FFFFFF"/>
            </w:tcBorders>
            <w:shd w:val="clear" w:color="auto" w:fill="95B89B" w:themeFill="accent4" w:themeFillTint="99"/>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49" w:type="dxa"/>
            <w:tcBorders>
              <w:left w:val="single" w:sz="4" w:space="0" w:color="FFFFFF"/>
            </w:tcBorders>
            <w:shd w:val="clear" w:color="auto" w:fill="auto"/>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93" w:type="dxa"/>
            <w:shd w:val="clear" w:color="auto" w:fill="auto"/>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62664B" w:rsidTr="004C3C30">
        <w:trPr>
          <w:cnfStyle w:val="000000100000" w:firstRow="0" w:lastRow="0" w:firstColumn="0" w:lastColumn="0" w:oddVBand="0" w:evenVBand="0" w:oddHBand="1"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p>
        </w:tc>
        <w:tc>
          <w:tcPr>
            <w:tcW w:w="3402" w:type="dxa"/>
          </w:tcPr>
          <w:p w:rsidR="00055507" w:rsidRPr="0062664B" w:rsidRDefault="002A0D72" w:rsidP="004C3C30">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 xml:space="preserve">Udvikling/ajourføring af intern evalueringsplanlægning (dokument) til yderligere at præcisere evalueringsemner og -aktiviteter (herunder oplysninger om dataordninger til beregning af effektindikatorer, til indsamling af anden dokumentation og dermed forbundne undersøgelser). </w:t>
            </w:r>
          </w:p>
        </w:tc>
        <w:tc>
          <w:tcPr>
            <w:tcW w:w="1061" w:type="dxa"/>
          </w:tcPr>
          <w:p w:rsidR="00055507" w:rsidRPr="0062664B"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Fra 2013</w:t>
            </w:r>
          </w:p>
        </w:tc>
        <w:tc>
          <w:tcPr>
            <w:tcW w:w="622" w:type="dxa"/>
            <w:shd w:val="clear" w:color="auto" w:fill="95B89B" w:themeFill="accent4" w:themeFillTint="99"/>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93" w:type="dxa"/>
            <w:shd w:val="clear" w:color="auto" w:fill="auto"/>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auto"/>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62664B" w:rsidTr="004C3C30">
        <w:trPr>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r w:rsidRPr="0062664B">
              <w:rPr>
                <w:i/>
                <w:sz w:val="16"/>
              </w:rPr>
              <w:t>Forberedelse</w:t>
            </w:r>
          </w:p>
        </w:tc>
        <w:tc>
          <w:tcPr>
            <w:tcW w:w="3402" w:type="dxa"/>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Oprettelse af en frivillig styringsgruppe til styring af evalueringsprocessen (regelmæssige møder).</w:t>
            </w:r>
          </w:p>
        </w:tc>
        <w:tc>
          <w:tcPr>
            <w:tcW w:w="1061" w:type="dxa"/>
          </w:tcPr>
          <w:p w:rsidR="00055507" w:rsidRPr="0062664B"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 xml:space="preserve">Tidligt i programmeringsperioden </w:t>
            </w:r>
          </w:p>
        </w:tc>
        <w:tc>
          <w:tcPr>
            <w:tcW w:w="622" w:type="dxa"/>
            <w:shd w:val="clear" w:color="auto" w:fill="95B89B" w:themeFill="accent4" w:themeFillTint="99"/>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D0DDCC" w:themeFill="accent6" w:themeFillTint="66"/>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49" w:type="dxa"/>
            <w:shd w:val="clear" w:color="auto" w:fill="D0DDCC" w:themeFill="accent6" w:themeFillTint="66"/>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50" w:type="dxa"/>
            <w:shd w:val="clear" w:color="auto" w:fill="95B89B" w:themeFill="accent4" w:themeFillTint="99"/>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93" w:type="dxa"/>
            <w:shd w:val="clear" w:color="auto" w:fill="95B89B" w:themeFill="accent4" w:themeFillTint="99"/>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05" w:type="dxa"/>
            <w:shd w:val="clear" w:color="auto" w:fill="auto"/>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r>
      <w:tr w:rsidR="00810ED5" w:rsidRPr="0062664B" w:rsidTr="0095480A">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p>
        </w:tc>
        <w:tc>
          <w:tcPr>
            <w:tcW w:w="3402" w:type="dxa"/>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 xml:space="preserve">Gennemgang af programmets interventionslogik (mål, prioriteter og fokusområder for udvikling i landdistrikter, foranstaltninger). </w:t>
            </w:r>
          </w:p>
        </w:tc>
        <w:tc>
          <w:tcPr>
            <w:tcW w:w="1061" w:type="dxa"/>
          </w:tcPr>
          <w:p w:rsidR="00055507" w:rsidRPr="0062664B" w:rsidRDefault="00055507" w:rsidP="00DA3493">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Tidligt i programmeringsperioden og før hver evaluering</w:t>
            </w:r>
          </w:p>
        </w:tc>
        <w:tc>
          <w:tcPr>
            <w:tcW w:w="622" w:type="dxa"/>
            <w:shd w:val="clear" w:color="auto" w:fill="95B89B" w:themeFill="accent4" w:themeFillTint="99"/>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93" w:type="dxa"/>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05" w:type="dxa"/>
          </w:tcPr>
          <w:p w:rsidR="00055507" w:rsidRPr="0062664B" w:rsidRDefault="0095480A"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49" w:type="dxa"/>
            <w:shd w:val="clear" w:color="auto" w:fill="auto"/>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664B" w:rsidRDefault="00055507" w:rsidP="00093CBB">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62664B" w:rsidTr="0095480A">
        <w:trPr>
          <w:trHeight w:val="502"/>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p>
        </w:tc>
        <w:tc>
          <w:tcPr>
            <w:tcW w:w="3402" w:type="dxa"/>
          </w:tcPr>
          <w:p w:rsidR="00055507" w:rsidRPr="0062664B" w:rsidRDefault="00055507" w:rsidP="0095134D">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 xml:space="preserve">Udarbejdelse af en fælles forståelse af de fælles evalueringsspørgsmål, udvikling af vurderingskriterier og tilknytning af dem til fælles (og yderligere) indikatorer. Sikring af overensstemmelse ved tilknytning af evalueringselementer til interventionslogikken i </w:t>
            </w:r>
            <w:r w:rsidR="008811A6" w:rsidRPr="0062664B">
              <w:t>landdistriktsudviklingsprogrammets</w:t>
            </w:r>
            <w:r w:rsidRPr="0062664B">
              <w:rPr>
                <w:color w:val="373737"/>
                <w:sz w:val="16"/>
              </w:rPr>
              <w:t xml:space="preserve">. </w:t>
            </w:r>
          </w:p>
        </w:tc>
        <w:tc>
          <w:tcPr>
            <w:tcW w:w="1061" w:type="dxa"/>
          </w:tcPr>
          <w:p w:rsidR="00055507" w:rsidRPr="0062664B" w:rsidRDefault="00055507" w:rsidP="00DA3493">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Tidligt i programmeringsperioden og før hver evaluering</w:t>
            </w:r>
          </w:p>
        </w:tc>
        <w:tc>
          <w:tcPr>
            <w:tcW w:w="622" w:type="dxa"/>
            <w:shd w:val="clear" w:color="auto" w:fill="95B89B" w:themeFill="accent4" w:themeFillTint="99"/>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93" w:type="dxa"/>
            <w:shd w:val="clear" w:color="auto" w:fill="D0DDCC" w:themeFill="accent6" w:themeFillTint="66"/>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05" w:type="dxa"/>
            <w:shd w:val="clear" w:color="auto" w:fill="D0DDCC" w:themeFill="accent6" w:themeFillTint="66"/>
          </w:tcPr>
          <w:p w:rsidR="00055507" w:rsidRPr="0062664B" w:rsidRDefault="0095480A"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49" w:type="dxa"/>
            <w:shd w:val="clear" w:color="auto" w:fill="auto"/>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664B" w:rsidRDefault="00055507" w:rsidP="00093CBB">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62664B" w:rsidTr="0095480A">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p>
        </w:tc>
        <w:tc>
          <w:tcPr>
            <w:tcW w:w="3402" w:type="dxa"/>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 xml:space="preserve">Udvikling af programspecifikke evalueringsspørgsmål, hvis det er nødvendigt. Levering af vurderingskriterier og programspecifikke indikatorer. Sikring af overensstemmelse ved tilknytning af evalueringselementer til interventionslogikken i </w:t>
            </w:r>
            <w:r w:rsidR="00DC053F" w:rsidRPr="0062664B">
              <w:t>landdistriktsudviklingsprogrammets</w:t>
            </w:r>
            <w:r w:rsidRPr="0062664B">
              <w:rPr>
                <w:color w:val="373737"/>
                <w:sz w:val="16"/>
              </w:rPr>
              <w:t>.</w:t>
            </w:r>
          </w:p>
        </w:tc>
        <w:tc>
          <w:tcPr>
            <w:tcW w:w="1061" w:type="dxa"/>
          </w:tcPr>
          <w:p w:rsidR="00055507" w:rsidRPr="0062664B"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Tidligt i programmeringsperioden og før hver evaluering</w:t>
            </w:r>
          </w:p>
        </w:tc>
        <w:tc>
          <w:tcPr>
            <w:tcW w:w="622" w:type="dxa"/>
            <w:shd w:val="clear" w:color="auto" w:fill="95B89B" w:themeFill="accent4" w:themeFillTint="99"/>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93" w:type="dxa"/>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05" w:type="dxa"/>
          </w:tcPr>
          <w:p w:rsidR="00055507" w:rsidRPr="0062664B"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49" w:type="dxa"/>
            <w:shd w:val="clear" w:color="auto" w:fill="auto"/>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79176B" w:rsidRPr="0062664B" w:rsidTr="0095480A">
        <w:trPr>
          <w:trHeight w:val="1050"/>
          <w:jc w:val="center"/>
        </w:trPr>
        <w:tc>
          <w:tcPr>
            <w:cnfStyle w:val="001000000000" w:firstRow="0" w:lastRow="0" w:firstColumn="1" w:lastColumn="0" w:oddVBand="0" w:evenVBand="0" w:oddHBand="0" w:evenHBand="0" w:firstRowFirstColumn="0" w:firstRowLastColumn="0" w:lastRowFirstColumn="0" w:lastRowLastColumn="0"/>
            <w:tcW w:w="562" w:type="dxa"/>
            <w:vMerge/>
            <w:tcBorders>
              <w:top w:val="single" w:sz="4" w:space="0" w:color="FFFFFF"/>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p>
        </w:tc>
        <w:tc>
          <w:tcPr>
            <w:tcW w:w="3402" w:type="dxa"/>
            <w:tcBorders>
              <w:top w:val="single" w:sz="4" w:space="0" w:color="FFFFFF"/>
            </w:tcBorders>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 xml:space="preserve">Screening af eksisterende data til beregning af de fælles (og yderligere) indikatorer til at indsamle den nødvendige dokumentation til at imødekomme EU's 2020-strategi vedrørende fælles evalueringsspørgsmål. Udpegning af eventuelle manglende data </w:t>
            </w:r>
            <w:r w:rsidRPr="0062664B">
              <w:rPr>
                <w:color w:val="373737"/>
                <w:sz w:val="16"/>
              </w:rPr>
              <w:lastRenderedPageBreak/>
              <w:t xml:space="preserve">med hensyn til de valgte indikatorer. </w:t>
            </w:r>
          </w:p>
        </w:tc>
        <w:tc>
          <w:tcPr>
            <w:tcW w:w="1061" w:type="dxa"/>
            <w:tcBorders>
              <w:top w:val="single" w:sz="4" w:space="0" w:color="FFFFFF"/>
            </w:tcBorders>
          </w:tcPr>
          <w:p w:rsidR="00055507" w:rsidRPr="0062664B"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lastRenderedPageBreak/>
              <w:t>Tidligt i programmeringsperioden og før evalueringe</w:t>
            </w:r>
            <w:r w:rsidRPr="0062664B">
              <w:rPr>
                <w:color w:val="373737"/>
                <w:sz w:val="16"/>
              </w:rPr>
              <w:lastRenderedPageBreak/>
              <w:t>n</w:t>
            </w:r>
          </w:p>
        </w:tc>
        <w:tc>
          <w:tcPr>
            <w:tcW w:w="622" w:type="dxa"/>
            <w:tcBorders>
              <w:top w:val="single" w:sz="4" w:space="0" w:color="FFFFFF"/>
            </w:tcBorders>
            <w:shd w:val="clear" w:color="auto" w:fill="95B89B" w:themeFill="accent4" w:themeFillTint="99"/>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lastRenderedPageBreak/>
              <w:t>x</w:t>
            </w:r>
          </w:p>
        </w:tc>
        <w:tc>
          <w:tcPr>
            <w:tcW w:w="549" w:type="dxa"/>
            <w:tcBorders>
              <w:top w:val="single" w:sz="4" w:space="0" w:color="FFFFFF"/>
            </w:tcBorders>
            <w:shd w:val="clear" w:color="auto" w:fill="D0DDCC" w:themeFill="accent6" w:themeFillTint="66"/>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49" w:type="dxa"/>
            <w:tcBorders>
              <w:top w:val="single" w:sz="4" w:space="0" w:color="FFFFFF"/>
            </w:tcBorders>
            <w:shd w:val="clear" w:color="auto" w:fill="D0DDCC" w:themeFill="accent6" w:themeFillTint="66"/>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50" w:type="dxa"/>
            <w:tcBorders>
              <w:top w:val="single" w:sz="4" w:space="0" w:color="FFFFFF"/>
            </w:tcBorders>
            <w:shd w:val="clear" w:color="auto" w:fill="95B89B" w:themeFill="accent4" w:themeFillTint="99"/>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93" w:type="dxa"/>
            <w:tcBorders>
              <w:top w:val="single" w:sz="4" w:space="0" w:color="FFFFFF"/>
            </w:tcBorders>
            <w:shd w:val="clear" w:color="auto" w:fill="95B89B" w:themeFill="accent4" w:themeFillTint="99"/>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05" w:type="dxa"/>
            <w:tcBorders>
              <w:top w:val="single" w:sz="4" w:space="0" w:color="FFFFFF"/>
            </w:tcBorders>
            <w:shd w:val="clear" w:color="auto" w:fill="D0DDCC" w:themeFill="accent6" w:themeFillTint="66"/>
          </w:tcPr>
          <w:p w:rsidR="00055507" w:rsidRPr="0062664B" w:rsidRDefault="0095480A"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49" w:type="dxa"/>
            <w:tcBorders>
              <w:top w:val="single" w:sz="4" w:space="0" w:color="FFFFFF"/>
            </w:tcBorders>
            <w:shd w:val="clear" w:color="auto" w:fill="auto"/>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top w:val="single" w:sz="4" w:space="0" w:color="FFFFFF"/>
              <w:right w:val="single" w:sz="4" w:space="0" w:color="6E8967"/>
            </w:tcBorders>
            <w:shd w:val="clear" w:color="auto" w:fill="D0DDCC" w:themeFill="accent6" w:themeFillTint="66"/>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r>
      <w:tr w:rsidR="00810ED5" w:rsidRPr="0062664B" w:rsidTr="0095480A">
        <w:trPr>
          <w:cnfStyle w:val="000000100000" w:firstRow="0" w:lastRow="0" w:firstColumn="0" w:lastColumn="0" w:oddVBand="0" w:evenVBand="0" w:oddHBand="1" w:evenHBand="0" w:firstRowFirstColumn="0" w:firstRowLastColumn="0" w:lastRowFirstColumn="0" w:lastRowLastColumn="0"/>
          <w:trHeight w:val="20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p>
        </w:tc>
        <w:tc>
          <w:tcPr>
            <w:tcW w:w="3402" w:type="dxa"/>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 xml:space="preserve">Drøftelse af mulige evalueringsmetoder til vurdering/beregning af effektindikatorer i overensstemmelse med de eksisterende data. </w:t>
            </w:r>
          </w:p>
        </w:tc>
        <w:tc>
          <w:tcPr>
            <w:tcW w:w="1061" w:type="dxa"/>
          </w:tcPr>
          <w:p w:rsidR="00055507" w:rsidRPr="0062664B"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Tidligt i programmeringsperioden og før evalueringen</w:t>
            </w:r>
          </w:p>
        </w:tc>
        <w:tc>
          <w:tcPr>
            <w:tcW w:w="622" w:type="dxa"/>
            <w:shd w:val="clear" w:color="auto" w:fill="95B89B" w:themeFill="accent4" w:themeFillTint="99"/>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93" w:type="dxa"/>
            <w:shd w:val="clear" w:color="auto" w:fill="95B89B" w:themeFill="accent4" w:themeFillTint="99"/>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05" w:type="dxa"/>
          </w:tcPr>
          <w:p w:rsidR="00055507" w:rsidRPr="0062664B" w:rsidRDefault="0095480A"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49" w:type="dxa"/>
            <w:shd w:val="clear" w:color="auto" w:fill="auto"/>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62664B" w:rsidTr="004C3C30">
        <w:trPr>
          <w:trHeight w:val="24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p>
        </w:tc>
        <w:tc>
          <w:tcPr>
            <w:tcW w:w="3402" w:type="dxa"/>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 xml:space="preserve">Udarbejdelse af referencebegreber og indkaldelse af bud til evalueringen (som løbende evaluering eller en enkeltstående evalueringskontrakt for 2017 og 2019). </w:t>
            </w:r>
          </w:p>
        </w:tc>
        <w:tc>
          <w:tcPr>
            <w:tcW w:w="1061" w:type="dxa"/>
          </w:tcPr>
          <w:p w:rsidR="00055507" w:rsidRPr="0062664B"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Tidligt i programmeringsperioden eller i 2016 og 2018</w:t>
            </w:r>
          </w:p>
        </w:tc>
        <w:tc>
          <w:tcPr>
            <w:tcW w:w="622" w:type="dxa"/>
            <w:shd w:val="clear" w:color="auto" w:fill="95B89B" w:themeFill="accent4" w:themeFillTint="99"/>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93" w:type="dxa"/>
            <w:shd w:val="clear" w:color="auto" w:fill="D0DDCC" w:themeFill="accent6" w:themeFillTint="66"/>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05" w:type="dxa"/>
            <w:shd w:val="clear" w:color="auto" w:fill="auto"/>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79176B" w:rsidRPr="0062664B"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r w:rsidRPr="0062664B">
              <w:rPr>
                <w:i/>
                <w:sz w:val="16"/>
              </w:rPr>
              <w:t>Strukturering</w:t>
            </w:r>
          </w:p>
        </w:tc>
        <w:tc>
          <w:tcPr>
            <w:tcW w:w="3402" w:type="dxa"/>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 xml:space="preserve">Drøftelse af eksisterende datakilder og manglende data med evalueringseksperter. Aftale om, hvordan datamanglerne skal løses. </w:t>
            </w:r>
          </w:p>
        </w:tc>
        <w:tc>
          <w:tcPr>
            <w:tcW w:w="1061" w:type="dxa"/>
          </w:tcPr>
          <w:p w:rsidR="00055507" w:rsidRPr="0062664B"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2016 og K2 – K3 2018</w:t>
            </w:r>
          </w:p>
        </w:tc>
        <w:tc>
          <w:tcPr>
            <w:tcW w:w="622" w:type="dxa"/>
            <w:shd w:val="clear" w:color="auto" w:fill="95B89B" w:themeFill="accent4" w:themeFillTint="99"/>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49" w:type="dxa"/>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49" w:type="dxa"/>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50" w:type="dxa"/>
            <w:shd w:val="clear" w:color="auto" w:fill="95B89B" w:themeFill="accent4" w:themeFillTint="99"/>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93" w:type="dxa"/>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05" w:type="dxa"/>
            <w:shd w:val="clear" w:color="auto" w:fill="95B89B" w:themeFill="accent4" w:themeFillTint="99"/>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r>
      <w:tr w:rsidR="00810ED5" w:rsidRPr="0062664B"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p>
        </w:tc>
        <w:tc>
          <w:tcPr>
            <w:tcW w:w="3402" w:type="dxa"/>
          </w:tcPr>
          <w:p w:rsidR="00055507" w:rsidRPr="0062664B" w:rsidRDefault="00055507" w:rsidP="001677D9">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 xml:space="preserve">Drøftelse med evalueringseksperter af metodologiske vurderingsmetoder til effekten af </w:t>
            </w:r>
            <w:r w:rsidR="001677D9" w:rsidRPr="0062664B">
              <w:rPr>
                <w:color w:val="373737"/>
                <w:sz w:val="16"/>
              </w:rPr>
              <w:t xml:space="preserve">landdistriktsudviklingsprogrammet </w:t>
            </w:r>
            <w:r w:rsidRPr="0062664B">
              <w:rPr>
                <w:color w:val="373737"/>
                <w:sz w:val="16"/>
              </w:rPr>
              <w:t xml:space="preserve">og til beregning af de fælles (og yderligere) effektindikatorer. </w:t>
            </w:r>
          </w:p>
        </w:tc>
        <w:tc>
          <w:tcPr>
            <w:tcW w:w="1061" w:type="dxa"/>
          </w:tcPr>
          <w:p w:rsidR="00055507" w:rsidRPr="0062664B" w:rsidRDefault="00055507" w:rsidP="000E436F">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2016 og K2 – K3 2018</w:t>
            </w:r>
          </w:p>
        </w:tc>
        <w:tc>
          <w:tcPr>
            <w:tcW w:w="622" w:type="dxa"/>
            <w:shd w:val="clear" w:color="auto" w:fill="95B89B" w:themeFill="accent4" w:themeFillTint="99"/>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93" w:type="dxa"/>
            <w:shd w:val="clear" w:color="auto" w:fill="auto"/>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664B" w:rsidRDefault="00055507" w:rsidP="000E436F">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62664B"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r w:rsidRPr="0062664B">
              <w:rPr>
                <w:i/>
                <w:sz w:val="16"/>
              </w:rPr>
              <w:t>Observation</w:t>
            </w:r>
          </w:p>
        </w:tc>
        <w:tc>
          <w:tcPr>
            <w:tcW w:w="3402" w:type="dxa"/>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 xml:space="preserve">Indsamling af data og oplysninger om støttemodtagere, som er knyttet til de fælles (og yderligere) effektindikatorer og er i overensstemmelse med de foreslåede metoder. </w:t>
            </w:r>
          </w:p>
        </w:tc>
        <w:tc>
          <w:tcPr>
            <w:tcW w:w="1061" w:type="dxa"/>
          </w:tcPr>
          <w:p w:rsidR="00055507" w:rsidRPr="0062664B" w:rsidRDefault="00055507" w:rsidP="000E436F">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 xml:space="preserve">Fra begyndelsen af </w:t>
            </w:r>
            <w:r w:rsidR="00DC053F" w:rsidRPr="0062664B">
              <w:rPr>
                <w:sz w:val="16"/>
                <w:szCs w:val="16"/>
              </w:rPr>
              <w:t>l</w:t>
            </w:r>
            <w:r w:rsidR="00DC053F" w:rsidRPr="0062664B">
              <w:t xml:space="preserve"> </w:t>
            </w:r>
            <w:r w:rsidR="00DC053F" w:rsidRPr="0062664B">
              <w:rPr>
                <w:sz w:val="16"/>
                <w:szCs w:val="16"/>
              </w:rPr>
              <w:t xml:space="preserve">landdistriktsudviklingsprogrammet </w:t>
            </w:r>
            <w:r w:rsidRPr="0062664B">
              <w:rPr>
                <w:color w:val="373737"/>
                <w:sz w:val="16"/>
                <w:szCs w:val="16"/>
              </w:rPr>
              <w:t>til</w:t>
            </w:r>
            <w:r w:rsidRPr="0062664B">
              <w:rPr>
                <w:color w:val="373737"/>
                <w:sz w:val="16"/>
              </w:rPr>
              <w:t xml:space="preserve"> udgangen af 2018</w:t>
            </w:r>
          </w:p>
        </w:tc>
        <w:tc>
          <w:tcPr>
            <w:tcW w:w="622" w:type="dxa"/>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49" w:type="dxa"/>
            <w:shd w:val="clear" w:color="auto" w:fill="95B89B" w:themeFill="accent4" w:themeFillTint="99"/>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49" w:type="dxa"/>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50" w:type="dxa"/>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93" w:type="dxa"/>
            <w:shd w:val="clear" w:color="auto" w:fill="auto"/>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tcPr>
          <w:p w:rsidR="00055507" w:rsidRPr="0062664B" w:rsidRDefault="00055507" w:rsidP="000E436F">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r>
      <w:tr w:rsidR="00810ED5" w:rsidRPr="0062664B"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p>
        </w:tc>
        <w:tc>
          <w:tcPr>
            <w:tcW w:w="3402" w:type="dxa"/>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 xml:space="preserve">Indsamling af data og oplysninger om ikke-støttemodtagere, som er knyttet til de fælles (og yderligere) effektindikatorer og er i overensstemmelse med de foreslåede metoder. </w:t>
            </w:r>
          </w:p>
        </w:tc>
        <w:tc>
          <w:tcPr>
            <w:tcW w:w="1061" w:type="dxa"/>
          </w:tcPr>
          <w:p w:rsidR="00055507" w:rsidRPr="0062664B"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 xml:space="preserve">Fra begyndelsen af </w:t>
            </w:r>
            <w:r w:rsidR="00DC053F" w:rsidRPr="0062664B">
              <w:rPr>
                <w:color w:val="373737"/>
                <w:sz w:val="16"/>
              </w:rPr>
              <w:t xml:space="preserve">landdistriktsudviklingsprogrammet </w:t>
            </w:r>
            <w:r w:rsidRPr="0062664B">
              <w:rPr>
                <w:color w:val="373737"/>
                <w:sz w:val="16"/>
              </w:rPr>
              <w:t>til udgangen af 2018</w:t>
            </w:r>
          </w:p>
        </w:tc>
        <w:tc>
          <w:tcPr>
            <w:tcW w:w="622" w:type="dxa"/>
            <w:shd w:val="clear" w:color="auto" w:fill="95B89B" w:themeFill="accent4" w:themeFillTint="99"/>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D0DDCC" w:themeFill="accent6" w:themeFillTint="66"/>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50" w:type="dxa"/>
            <w:shd w:val="clear" w:color="auto" w:fill="D0DDCC" w:themeFill="accent6" w:themeFillTint="66"/>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93"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D0DDCC" w:themeFill="accent6" w:themeFillTint="66"/>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r>
      <w:tr w:rsidR="00810ED5" w:rsidRPr="0062664B"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p>
        </w:tc>
        <w:tc>
          <w:tcPr>
            <w:tcW w:w="3402" w:type="dxa"/>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 xml:space="preserve">Sikring af kvaliteten af de indsamlede data fra databasen over operationer og fra andre kilder (f.eks. INLB, statistiske kontorer, miljøovervågning, osv.). </w:t>
            </w:r>
          </w:p>
        </w:tc>
        <w:tc>
          <w:tcPr>
            <w:tcW w:w="1061" w:type="dxa"/>
          </w:tcPr>
          <w:p w:rsidR="00055507" w:rsidRPr="0062664B" w:rsidRDefault="00AF5B55" w:rsidP="00810ED5">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Løbende</w:t>
            </w:r>
          </w:p>
        </w:tc>
        <w:tc>
          <w:tcPr>
            <w:tcW w:w="622" w:type="dxa"/>
            <w:shd w:val="clear" w:color="auto" w:fill="95B89B" w:themeFill="accent4" w:themeFillTint="99"/>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95B89B" w:themeFill="accent4" w:themeFillTint="99"/>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95B89B" w:themeFill="accent4" w:themeFillTint="99"/>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50" w:type="dxa"/>
            <w:shd w:val="clear" w:color="auto" w:fill="95B89B" w:themeFill="accent4" w:themeFillTint="99"/>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93" w:type="dxa"/>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05" w:type="dxa"/>
            <w:shd w:val="clear" w:color="auto" w:fill="95B89B" w:themeFill="accent4" w:themeFillTint="99"/>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62664B"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r w:rsidRPr="0062664B">
              <w:rPr>
                <w:i/>
                <w:sz w:val="16"/>
              </w:rPr>
              <w:t>Analyse</w:t>
            </w:r>
          </w:p>
        </w:tc>
        <w:tc>
          <w:tcPr>
            <w:tcW w:w="3402" w:type="dxa"/>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 xml:space="preserve">Gennemførelse af vurdering og beregning af effektindikatorerne i overensstemmelse med den foreslåede evalueringstilgang og de valgte evalueringsmetoder. </w:t>
            </w:r>
          </w:p>
        </w:tc>
        <w:tc>
          <w:tcPr>
            <w:tcW w:w="1061" w:type="dxa"/>
          </w:tcPr>
          <w:p w:rsidR="00055507" w:rsidRPr="0062664B" w:rsidRDefault="0095480A" w:rsidP="0095480A">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K1 2019</w:t>
            </w:r>
          </w:p>
        </w:tc>
        <w:tc>
          <w:tcPr>
            <w:tcW w:w="622"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93"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62664B"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p>
        </w:tc>
        <w:tc>
          <w:tcPr>
            <w:tcW w:w="3402" w:type="dxa"/>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 xml:space="preserve">Sikring af kvaliteten af analysen. </w:t>
            </w:r>
          </w:p>
        </w:tc>
        <w:tc>
          <w:tcPr>
            <w:tcW w:w="1061" w:type="dxa"/>
          </w:tcPr>
          <w:p w:rsidR="00055507" w:rsidRPr="0062664B"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K1 i 2019</w:t>
            </w:r>
          </w:p>
        </w:tc>
        <w:tc>
          <w:tcPr>
            <w:tcW w:w="622" w:type="dxa"/>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49" w:type="dxa"/>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93" w:type="dxa"/>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05" w:type="dxa"/>
            <w:shd w:val="clear" w:color="auto" w:fill="95B89B" w:themeFill="accent4" w:themeFillTint="99"/>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62664B"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r w:rsidRPr="0062664B">
              <w:rPr>
                <w:i/>
                <w:sz w:val="16"/>
              </w:rPr>
              <w:t>Vurdering</w:t>
            </w:r>
          </w:p>
        </w:tc>
        <w:tc>
          <w:tcPr>
            <w:tcW w:w="3402" w:type="dxa"/>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 xml:space="preserve">Fortolkning af evalueringsresultaterne fra analysen, udarbejdelse af bedømmelse på grundlag af vurderingskriterier og besvarelse af evalueringsspørgsmålene. </w:t>
            </w:r>
          </w:p>
        </w:tc>
        <w:tc>
          <w:tcPr>
            <w:tcW w:w="1061" w:type="dxa"/>
          </w:tcPr>
          <w:p w:rsidR="00055507" w:rsidRPr="0062664B"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K1 i 2019</w:t>
            </w:r>
          </w:p>
        </w:tc>
        <w:tc>
          <w:tcPr>
            <w:tcW w:w="622"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93"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62664B"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p>
        </w:tc>
        <w:tc>
          <w:tcPr>
            <w:tcW w:w="3402" w:type="dxa"/>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Formulering af konklusioner, der er knyttet til bedømmelser og formulering af henstillinger, hvis det er nødvendigt.</w:t>
            </w:r>
          </w:p>
        </w:tc>
        <w:tc>
          <w:tcPr>
            <w:tcW w:w="1061" w:type="dxa"/>
          </w:tcPr>
          <w:p w:rsidR="00055507" w:rsidRPr="0062664B"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K1 og K2 i 2019</w:t>
            </w:r>
          </w:p>
        </w:tc>
        <w:tc>
          <w:tcPr>
            <w:tcW w:w="622" w:type="dxa"/>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93" w:type="dxa"/>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shd w:val="clear" w:color="auto" w:fill="95B89B" w:themeFill="accent4" w:themeFillTint="99"/>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62664B"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p>
        </w:tc>
        <w:tc>
          <w:tcPr>
            <w:tcW w:w="3402" w:type="dxa"/>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 xml:space="preserve">Sikring af kvaliteten af vurderinger. </w:t>
            </w:r>
          </w:p>
        </w:tc>
        <w:tc>
          <w:tcPr>
            <w:tcW w:w="1061" w:type="dxa"/>
          </w:tcPr>
          <w:p w:rsidR="00055507" w:rsidRPr="0062664B"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K1 og K2 i 2019</w:t>
            </w:r>
          </w:p>
        </w:tc>
        <w:tc>
          <w:tcPr>
            <w:tcW w:w="622" w:type="dxa"/>
            <w:shd w:val="clear" w:color="auto" w:fill="D0DDCC" w:themeFill="accent6" w:themeFillTint="66"/>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49"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93" w:type="dxa"/>
            <w:shd w:val="clear" w:color="auto" w:fill="D0DDCC" w:themeFill="accent6" w:themeFillTint="66"/>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05" w:type="dxa"/>
            <w:shd w:val="clear" w:color="auto" w:fill="95B89B" w:themeFill="accent4" w:themeFillTint="99"/>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62664B"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val="restart"/>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r w:rsidRPr="0062664B">
              <w:rPr>
                <w:i/>
                <w:sz w:val="16"/>
              </w:rPr>
              <w:t>Rapportering</w:t>
            </w:r>
          </w:p>
        </w:tc>
        <w:tc>
          <w:tcPr>
            <w:tcW w:w="3402" w:type="dxa"/>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Udarbejdelse af evalueringsrapporten.</w:t>
            </w:r>
          </w:p>
        </w:tc>
        <w:tc>
          <w:tcPr>
            <w:tcW w:w="1061" w:type="dxa"/>
          </w:tcPr>
          <w:p w:rsidR="00055507" w:rsidRPr="0062664B"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K2 i 2019</w:t>
            </w:r>
          </w:p>
        </w:tc>
        <w:tc>
          <w:tcPr>
            <w:tcW w:w="622" w:type="dxa"/>
            <w:shd w:val="clear" w:color="auto" w:fill="95B89B" w:themeFill="accent4" w:themeFillTint="99"/>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49" w:type="dxa"/>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49" w:type="dxa"/>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93" w:type="dxa"/>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05" w:type="dxa"/>
            <w:shd w:val="clear" w:color="auto" w:fill="95B89B" w:themeFill="accent4" w:themeFillTint="99"/>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62664B"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p>
        </w:tc>
        <w:tc>
          <w:tcPr>
            <w:tcW w:w="3402" w:type="dxa"/>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Præsentation af evalueringsresultater for overvågningsudvalget.</w:t>
            </w:r>
          </w:p>
        </w:tc>
        <w:tc>
          <w:tcPr>
            <w:tcW w:w="1061" w:type="dxa"/>
          </w:tcPr>
          <w:p w:rsidR="00055507" w:rsidRPr="0062664B"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K2 i 2019</w:t>
            </w:r>
          </w:p>
        </w:tc>
        <w:tc>
          <w:tcPr>
            <w:tcW w:w="622" w:type="dxa"/>
            <w:shd w:val="clear" w:color="auto" w:fill="95B89B" w:themeFill="accent4" w:themeFillTint="99"/>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D0DDCC" w:themeFill="accent6" w:themeFillTint="66"/>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93" w:type="dxa"/>
            <w:shd w:val="clear" w:color="auto" w:fill="D0DDCC" w:themeFill="accent6" w:themeFillTint="66"/>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05" w:type="dxa"/>
            <w:shd w:val="clear" w:color="auto" w:fill="95B89B" w:themeFill="accent4" w:themeFillTint="99"/>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D0DDCC" w:themeFill="accent6" w:themeFillTint="66"/>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50" w:type="dxa"/>
            <w:tcBorders>
              <w:right w:val="single" w:sz="4" w:space="0" w:color="6E8967"/>
            </w:tcBorders>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62664B"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p>
        </w:tc>
        <w:tc>
          <w:tcPr>
            <w:tcW w:w="3402" w:type="dxa"/>
          </w:tcPr>
          <w:p w:rsidR="00055507" w:rsidRPr="0062664B" w:rsidRDefault="00055507" w:rsidP="00CD67A7">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Udfyldning af SFC-skabelon</w:t>
            </w:r>
            <w:r w:rsidRPr="0062664B">
              <w:t>en til den årlige gennemførelsesrapport (herunder kapitel 2 og 7) og indsendelse af den til Europa-Kommissionen.</w:t>
            </w:r>
          </w:p>
        </w:tc>
        <w:tc>
          <w:tcPr>
            <w:tcW w:w="1061" w:type="dxa"/>
          </w:tcPr>
          <w:p w:rsidR="00055507" w:rsidRPr="0062664B"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K2 i 2019</w:t>
            </w:r>
          </w:p>
        </w:tc>
        <w:tc>
          <w:tcPr>
            <w:tcW w:w="622" w:type="dxa"/>
            <w:shd w:val="clear" w:color="auto" w:fill="95B89B" w:themeFill="accent4" w:themeFillTint="99"/>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93" w:type="dxa"/>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49" w:type="dxa"/>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62664B"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p>
        </w:tc>
        <w:tc>
          <w:tcPr>
            <w:tcW w:w="3402" w:type="dxa"/>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Offentliggørelse af den årlige gennemførelsesrapport og evalueringsrapporter (ikke kun kapitel 7 i den årlige gennemførelsesrapport) på det offentlige websted.</w:t>
            </w:r>
          </w:p>
        </w:tc>
        <w:tc>
          <w:tcPr>
            <w:tcW w:w="1061" w:type="dxa"/>
          </w:tcPr>
          <w:p w:rsidR="00055507" w:rsidRPr="0062664B" w:rsidRDefault="00025148"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K2, K3 og K4 i 2019</w:t>
            </w:r>
          </w:p>
        </w:tc>
        <w:tc>
          <w:tcPr>
            <w:tcW w:w="622" w:type="dxa"/>
            <w:shd w:val="clear" w:color="auto" w:fill="95B89B" w:themeFill="accent4" w:themeFillTint="99"/>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93"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05"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r>
      <w:tr w:rsidR="00810ED5" w:rsidRPr="0062664B" w:rsidTr="004C3C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p>
        </w:tc>
        <w:tc>
          <w:tcPr>
            <w:tcW w:w="3402" w:type="dxa"/>
          </w:tcPr>
          <w:p w:rsidR="00055507" w:rsidRPr="0062664B" w:rsidRDefault="00434BEF"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Udarbejdelse af evalueringsresultaterne i andre egnede formater (f.eks. et resumé til borgere) til de forskellige målgrupper.</w:t>
            </w:r>
          </w:p>
        </w:tc>
        <w:tc>
          <w:tcPr>
            <w:tcW w:w="1061" w:type="dxa"/>
          </w:tcPr>
          <w:p w:rsidR="00055507" w:rsidRPr="0062664B" w:rsidRDefault="00055507" w:rsidP="00151F61">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K3 og K4 i 2019</w:t>
            </w:r>
          </w:p>
        </w:tc>
        <w:tc>
          <w:tcPr>
            <w:tcW w:w="622" w:type="dxa"/>
            <w:shd w:val="clear" w:color="auto" w:fill="95B89B" w:themeFill="accent4" w:themeFillTint="99"/>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93" w:type="dxa"/>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05" w:type="dxa"/>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49" w:type="dxa"/>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right w:val="single" w:sz="4" w:space="0" w:color="6E8967"/>
            </w:tcBorders>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r>
      <w:tr w:rsidR="00810ED5" w:rsidRPr="0062664B" w:rsidTr="004C3C30">
        <w:trPr>
          <w:jc w:val="center"/>
        </w:trPr>
        <w:tc>
          <w:tcPr>
            <w:cnfStyle w:val="001000000000" w:firstRow="0" w:lastRow="0" w:firstColumn="1" w:lastColumn="0" w:oddVBand="0" w:evenVBand="0" w:oddHBand="0" w:evenHBand="0" w:firstRowFirstColumn="0" w:firstRowLastColumn="0" w:lastRowFirstColumn="0" w:lastRowLastColumn="0"/>
            <w:tcW w:w="562" w:type="dxa"/>
            <w:vMerge/>
            <w:tcBorders>
              <w:left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p>
        </w:tc>
        <w:tc>
          <w:tcPr>
            <w:tcW w:w="3402" w:type="dxa"/>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 xml:space="preserve">Formidling af evalueringsresultater til målgrupper. </w:t>
            </w:r>
          </w:p>
        </w:tc>
        <w:tc>
          <w:tcPr>
            <w:tcW w:w="1061" w:type="dxa"/>
          </w:tcPr>
          <w:p w:rsidR="00055507" w:rsidRPr="0062664B" w:rsidRDefault="00055507" w:rsidP="00151F61">
            <w:pPr>
              <w:jc w:val="left"/>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K3 og K4 i 2019</w:t>
            </w:r>
          </w:p>
        </w:tc>
        <w:tc>
          <w:tcPr>
            <w:tcW w:w="622" w:type="dxa"/>
            <w:shd w:val="clear" w:color="auto" w:fill="95B89B" w:themeFill="accent4" w:themeFillTint="99"/>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49"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49" w:type="dxa"/>
            <w:shd w:val="clear" w:color="auto" w:fill="auto"/>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p>
        </w:tc>
        <w:tc>
          <w:tcPr>
            <w:tcW w:w="550" w:type="dxa"/>
            <w:shd w:val="clear" w:color="auto" w:fill="95B89B" w:themeFill="accent4" w:themeFillTint="99"/>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x</w:t>
            </w:r>
          </w:p>
        </w:tc>
        <w:tc>
          <w:tcPr>
            <w:tcW w:w="593" w:type="dxa"/>
            <w:shd w:val="clear" w:color="auto" w:fill="D0DDCC" w:themeFill="accent6" w:themeFillTint="66"/>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05" w:type="dxa"/>
            <w:shd w:val="clear" w:color="auto" w:fill="D0DDCC" w:themeFill="accent6" w:themeFillTint="66"/>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49" w:type="dxa"/>
            <w:shd w:val="clear" w:color="auto" w:fill="D0DDCC" w:themeFill="accent6" w:themeFillTint="66"/>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c>
          <w:tcPr>
            <w:tcW w:w="550" w:type="dxa"/>
            <w:tcBorders>
              <w:right w:val="single" w:sz="4" w:space="0" w:color="6E8967"/>
            </w:tcBorders>
            <w:shd w:val="clear" w:color="auto" w:fill="D0DDCC" w:themeFill="accent6" w:themeFillTint="66"/>
          </w:tcPr>
          <w:p w:rsidR="00055507" w:rsidRPr="0062664B" w:rsidRDefault="00055507" w:rsidP="00151F61">
            <w:pPr>
              <w:cnfStyle w:val="000000000000" w:firstRow="0" w:lastRow="0" w:firstColumn="0" w:lastColumn="0" w:oddVBand="0" w:evenVBand="0" w:oddHBand="0" w:evenHBand="0" w:firstRowFirstColumn="0" w:firstRowLastColumn="0" w:lastRowFirstColumn="0" w:lastRowLastColumn="0"/>
              <w:rPr>
                <w:rFonts w:cs="Arial"/>
                <w:color w:val="373737"/>
                <w:sz w:val="16"/>
                <w:szCs w:val="16"/>
              </w:rPr>
            </w:pPr>
            <w:r w:rsidRPr="0062664B">
              <w:rPr>
                <w:color w:val="373737"/>
                <w:sz w:val="16"/>
              </w:rPr>
              <w:t>y</w:t>
            </w:r>
          </w:p>
        </w:tc>
      </w:tr>
      <w:tr w:rsidR="00810ED5" w:rsidRPr="0062664B" w:rsidTr="004C3C30">
        <w:trPr>
          <w:cnfStyle w:val="000000100000" w:firstRow="0" w:lastRow="0" w:firstColumn="0" w:lastColumn="0" w:oddVBand="0" w:evenVBand="0" w:oddHBand="1" w:evenHBand="0" w:firstRowFirstColumn="0" w:firstRowLastColumn="0" w:lastRowFirstColumn="0" w:lastRowLastColumn="0"/>
          <w:cantSplit/>
          <w:trHeight w:val="1134"/>
          <w:jc w:val="center"/>
        </w:trPr>
        <w:tc>
          <w:tcPr>
            <w:cnfStyle w:val="001000000000" w:firstRow="0" w:lastRow="0" w:firstColumn="1" w:lastColumn="0" w:oddVBand="0" w:evenVBand="0" w:oddHBand="0" w:evenHBand="0" w:firstRowFirstColumn="0" w:firstRowLastColumn="0" w:lastRowFirstColumn="0" w:lastRowLastColumn="0"/>
            <w:tcW w:w="562" w:type="dxa"/>
            <w:tcBorders>
              <w:left w:val="single" w:sz="4" w:space="0" w:color="6E8967"/>
              <w:bottom w:val="single" w:sz="4" w:space="0" w:color="6E8967"/>
            </w:tcBorders>
            <w:textDirection w:val="btLr"/>
          </w:tcPr>
          <w:p w:rsidR="00055507" w:rsidRPr="0062664B" w:rsidRDefault="00055507" w:rsidP="00DF22D0">
            <w:pPr>
              <w:spacing w:line="280" w:lineRule="atLeast"/>
              <w:ind w:left="113" w:right="113"/>
              <w:jc w:val="right"/>
              <w:rPr>
                <w:rFonts w:cs="Arial"/>
                <w:b w:val="0"/>
                <w:i/>
                <w:sz w:val="16"/>
                <w:szCs w:val="16"/>
              </w:rPr>
            </w:pPr>
            <w:r w:rsidRPr="0062664B">
              <w:rPr>
                <w:i/>
                <w:sz w:val="16"/>
              </w:rPr>
              <w:t>Opfølgning</w:t>
            </w:r>
          </w:p>
        </w:tc>
        <w:tc>
          <w:tcPr>
            <w:tcW w:w="3402" w:type="dxa"/>
            <w:tcBorders>
              <w:bottom w:val="single" w:sz="4" w:space="0" w:color="6E8967"/>
            </w:tcBorders>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Behandling af og opfølgning på konklusionerne og henstillingerne fra evalueringen med henblik på at forbedre udformningen og gennemførelsen af</w:t>
            </w:r>
            <w:r w:rsidR="00DC053F" w:rsidRPr="0062664B">
              <w:rPr>
                <w:color w:val="373737"/>
                <w:sz w:val="16"/>
              </w:rPr>
              <w:t xml:space="preserve"> </w:t>
            </w:r>
            <w:r w:rsidRPr="0062664B">
              <w:t xml:space="preserve">landdistriktsudviklingsprogrammet. </w:t>
            </w:r>
          </w:p>
        </w:tc>
        <w:tc>
          <w:tcPr>
            <w:tcW w:w="1061" w:type="dxa"/>
            <w:tcBorders>
              <w:bottom w:val="single" w:sz="4" w:space="0" w:color="6E8967"/>
            </w:tcBorders>
          </w:tcPr>
          <w:p w:rsidR="00055507" w:rsidRPr="0062664B" w:rsidRDefault="00055507" w:rsidP="00DF22D0">
            <w:pPr>
              <w:jc w:val="left"/>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 xml:space="preserve">Fra K2 i 2019 </w:t>
            </w:r>
          </w:p>
        </w:tc>
        <w:tc>
          <w:tcPr>
            <w:tcW w:w="622" w:type="dxa"/>
            <w:tcBorders>
              <w:bottom w:val="single" w:sz="4" w:space="0" w:color="6E8967"/>
            </w:tcBorders>
            <w:shd w:val="clear" w:color="auto" w:fill="95B89B" w:themeFill="accent4" w:themeFillTint="99"/>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x</w:t>
            </w:r>
          </w:p>
        </w:tc>
        <w:tc>
          <w:tcPr>
            <w:tcW w:w="549" w:type="dxa"/>
            <w:tcBorders>
              <w:bottom w:val="single" w:sz="4" w:space="0" w:color="6E8967"/>
            </w:tcBorders>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50" w:type="dxa"/>
            <w:tcBorders>
              <w:bottom w:val="single" w:sz="4" w:space="0" w:color="6E8967"/>
            </w:tcBorders>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93" w:type="dxa"/>
            <w:tcBorders>
              <w:bottom w:val="single" w:sz="4" w:space="0" w:color="6E8967"/>
            </w:tcBorders>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05" w:type="dxa"/>
            <w:tcBorders>
              <w:bottom w:val="single" w:sz="4" w:space="0" w:color="6E8967"/>
            </w:tcBorders>
            <w:shd w:val="clear" w:color="auto" w:fill="auto"/>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p>
        </w:tc>
        <w:tc>
          <w:tcPr>
            <w:tcW w:w="549" w:type="dxa"/>
            <w:tcBorders>
              <w:bottom w:val="single" w:sz="4" w:space="0" w:color="6E8967"/>
            </w:tcBorders>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c>
          <w:tcPr>
            <w:tcW w:w="550" w:type="dxa"/>
            <w:tcBorders>
              <w:bottom w:val="single" w:sz="4" w:space="0" w:color="6E8967"/>
              <w:right w:val="single" w:sz="4" w:space="0" w:color="6E8967"/>
            </w:tcBorders>
          </w:tcPr>
          <w:p w:rsidR="00055507" w:rsidRPr="0062664B" w:rsidRDefault="00055507" w:rsidP="00151F61">
            <w:pPr>
              <w:cnfStyle w:val="000000100000" w:firstRow="0" w:lastRow="0" w:firstColumn="0" w:lastColumn="0" w:oddVBand="0" w:evenVBand="0" w:oddHBand="1" w:evenHBand="0" w:firstRowFirstColumn="0" w:firstRowLastColumn="0" w:lastRowFirstColumn="0" w:lastRowLastColumn="0"/>
              <w:rPr>
                <w:rFonts w:cs="Arial"/>
                <w:color w:val="373737"/>
                <w:sz w:val="16"/>
                <w:szCs w:val="16"/>
              </w:rPr>
            </w:pPr>
            <w:r w:rsidRPr="0062664B">
              <w:rPr>
                <w:color w:val="373737"/>
                <w:sz w:val="16"/>
              </w:rPr>
              <w:t>y</w:t>
            </w:r>
          </w:p>
        </w:tc>
      </w:tr>
    </w:tbl>
    <w:p w:rsidR="00C744FC" w:rsidRPr="0062664B" w:rsidRDefault="00C744FC" w:rsidP="001F25E0">
      <w:pPr>
        <w:pStyle w:val="HStandard"/>
      </w:pPr>
    </w:p>
    <w:p w:rsidR="00425D88" w:rsidRPr="0062664B" w:rsidRDefault="00425D88" w:rsidP="00425D88">
      <w:pPr>
        <w:pStyle w:val="HStandard"/>
        <w:sectPr w:rsidR="00425D88" w:rsidRPr="0062664B" w:rsidSect="00D32538">
          <w:footerReference w:type="default" r:id="rId32"/>
          <w:footerReference w:type="first" r:id="rId33"/>
          <w:pgSz w:w="11906" w:h="16838" w:code="9"/>
          <w:pgMar w:top="1440" w:right="1440" w:bottom="1134" w:left="1440" w:header="567" w:footer="737" w:gutter="0"/>
          <w:pgNumType w:start="1"/>
          <w:cols w:space="708"/>
          <w:titlePg/>
          <w:docGrid w:linePitch="360"/>
        </w:sectPr>
      </w:pPr>
    </w:p>
    <w:p w:rsidR="00425D88" w:rsidRPr="0062664B" w:rsidRDefault="00425D88" w:rsidP="00E93BEA">
      <w:pPr>
        <w:pStyle w:val="HHeading1"/>
        <w:tabs>
          <w:tab w:val="clear" w:pos="474"/>
          <w:tab w:val="clear" w:pos="567"/>
        </w:tabs>
        <w:rPr>
          <w:sz w:val="28"/>
        </w:rPr>
      </w:pPr>
      <w:r w:rsidRPr="0062664B">
        <w:rPr>
          <w:sz w:val="28"/>
        </w:rPr>
        <w:lastRenderedPageBreak/>
        <w:t>Tilgange til vurdering af virkninger</w:t>
      </w:r>
      <w:r w:rsidR="00F0530B" w:rsidRPr="0062664B">
        <w:rPr>
          <w:sz w:val="28"/>
        </w:rPr>
        <w:t>NE</w:t>
      </w:r>
      <w:r w:rsidRPr="0062664B">
        <w:rPr>
          <w:sz w:val="28"/>
        </w:rPr>
        <w:t xml:space="preserve"> af </w:t>
      </w:r>
      <w:r w:rsidR="00DC053F" w:rsidRPr="0062664B">
        <w:rPr>
          <w:sz w:val="28"/>
        </w:rPr>
        <w:t>LANDDISTRIKTSUDVIKLINGS</w:t>
      </w:r>
      <w:r w:rsidRPr="0062664B">
        <w:rPr>
          <w:sz w:val="28"/>
        </w:rPr>
        <w:t xml:space="preserve">programmet i 2019 </w:t>
      </w:r>
      <w:r w:rsidRPr="0062664B">
        <w:rPr>
          <w:sz w:val="28"/>
        </w:rPr>
        <w:br/>
        <w:t>(DEL II)</w:t>
      </w:r>
    </w:p>
    <w:p w:rsidR="00BB6B80" w:rsidRPr="0062664B" w:rsidRDefault="000B213F" w:rsidP="00B86C6A">
      <w:pPr>
        <w:pStyle w:val="HStandard"/>
      </w:pPr>
      <w:r w:rsidRPr="0062664B">
        <w:rPr>
          <w:b/>
          <w:noProof/>
          <w:lang w:eastAsia="en-GB" w:bidi="ar-SA"/>
        </w:rPr>
        <mc:AlternateContent>
          <mc:Choice Requires="wps">
            <w:drawing>
              <wp:inline distT="0" distB="0" distL="0" distR="0" wp14:anchorId="74DCEB32" wp14:editId="5A37C071">
                <wp:extent cx="5695950" cy="1398815"/>
                <wp:effectExtent l="0" t="0" r="19050" b="11430"/>
                <wp:docPr id="935" name="Rectangle: Diagonal Corners Rounded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5950" cy="1398815"/>
                        </a:xfrm>
                        <a:custGeom>
                          <a:avLst/>
                          <a:gdLst>
                            <a:gd name="T0" fmla="*/ 254411 w 5695950"/>
                            <a:gd name="T1" fmla="*/ 0 h 1464319"/>
                            <a:gd name="T2" fmla="*/ 5695950 w 5695950"/>
                            <a:gd name="T3" fmla="*/ 0 h 1464319"/>
                            <a:gd name="T4" fmla="*/ 5695950 w 5695950"/>
                            <a:gd name="T5" fmla="*/ 0 h 1464319"/>
                            <a:gd name="T6" fmla="*/ 5695950 w 5695950"/>
                            <a:gd name="T7" fmla="*/ 1209908 h 1464319"/>
                            <a:gd name="T8" fmla="*/ 5441539 w 5695950"/>
                            <a:gd name="T9" fmla="*/ 1464319 h 1464319"/>
                            <a:gd name="T10" fmla="*/ 0 w 5695950"/>
                            <a:gd name="T11" fmla="*/ 1464319 h 1464319"/>
                            <a:gd name="T12" fmla="*/ 0 w 5695950"/>
                            <a:gd name="T13" fmla="*/ 1464319 h 1464319"/>
                            <a:gd name="T14" fmla="*/ 0 w 5695950"/>
                            <a:gd name="T15" fmla="*/ 254411 h 1464319"/>
                            <a:gd name="T16" fmla="*/ 254411 w 5695950"/>
                            <a:gd name="T17" fmla="*/ 0 h 14643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695950"/>
                            <a:gd name="T28" fmla="*/ 0 h 1464319"/>
                            <a:gd name="T29" fmla="*/ 5695950 w 5695950"/>
                            <a:gd name="T30" fmla="*/ 1464319 h 146431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695950" h="1464319">
                              <a:moveTo>
                                <a:pt x="254411" y="0"/>
                              </a:moveTo>
                              <a:lnTo>
                                <a:pt x="5695950" y="0"/>
                              </a:lnTo>
                              <a:lnTo>
                                <a:pt x="5695950" y="1209908"/>
                              </a:lnTo>
                              <a:cubicBezTo>
                                <a:pt x="5695950" y="1350415"/>
                                <a:pt x="5582046" y="1464319"/>
                                <a:pt x="5441539" y="1464319"/>
                              </a:cubicBezTo>
                              <a:lnTo>
                                <a:pt x="0" y="1464319"/>
                              </a:lnTo>
                              <a:lnTo>
                                <a:pt x="0" y="254411"/>
                              </a:lnTo>
                              <a:cubicBezTo>
                                <a:pt x="0" y="113904"/>
                                <a:pt x="113904" y="0"/>
                                <a:pt x="254411" y="0"/>
                              </a:cubicBezTo>
                              <a:close/>
                            </a:path>
                          </a:pathLst>
                        </a:custGeom>
                        <a:noFill/>
                        <a:ln w="25400">
                          <a:solidFill>
                            <a:srgbClr val="8BAB80"/>
                          </a:solidFill>
                          <a:miter lim="800000"/>
                          <a:headEnd/>
                          <a:tailEnd/>
                        </a:ln>
                        <a:extLst>
                          <a:ext uri="{909E8E84-426E-40DD-AFC4-6F175D3DCCD1}">
                            <a14:hiddenFill xmlns:a14="http://schemas.microsoft.com/office/drawing/2010/main">
                              <a:solidFill>
                                <a:srgbClr val="FFFFFF"/>
                              </a:solidFill>
                            </a14:hiddenFill>
                          </a:ext>
                        </a:extLst>
                      </wps:spPr>
                      <wps:txbx>
                        <w:txbxContent>
                          <w:p w:rsidR="001A2EB5" w:rsidRPr="00B86C6A" w:rsidRDefault="001A2EB5" w:rsidP="00BB6B80">
                            <w:pPr>
                              <w:pStyle w:val="Normal12PTcouleurgris"/>
                              <w:rPr>
                                <w:rStyle w:val="HStandardCar"/>
                                <w:color w:val="292929" w:themeColor="text1" w:themeShade="BF"/>
                              </w:rPr>
                            </w:pPr>
                            <w:r>
                              <w:rPr>
                                <w:rStyle w:val="HStandardCar"/>
                                <w:b/>
                                <w:color w:val="F07E31"/>
                                <w:sz w:val="20"/>
                              </w:rPr>
                              <w:t>DEL II</w:t>
                            </w:r>
                            <w:r>
                              <w:rPr>
                                <w:rStyle w:val="HStandardCar"/>
                                <w:color w:val="F07E31"/>
                                <w:sz w:val="20"/>
                              </w:rPr>
                              <w:t xml:space="preserve"> </w:t>
                            </w:r>
                            <w:r>
                              <w:rPr>
                                <w:rStyle w:val="HStandardCar"/>
                                <w:color w:val="292929" w:themeColor="text1" w:themeShade="BF"/>
                                <w:sz w:val="20"/>
                              </w:rPr>
                              <w:t xml:space="preserve">af de ikke-bindende retningslinjer "Vurdering af resultaterne og virkningerne af </w:t>
                            </w:r>
                            <w:r w:rsidRPr="00A65F07">
                              <w:rPr>
                                <w:rStyle w:val="HStandardCar"/>
                                <w:color w:val="292929" w:themeColor="text1" w:themeShade="BF"/>
                                <w:sz w:val="20"/>
                              </w:rPr>
                              <w:t>l</w:t>
                            </w:r>
                            <w:r>
                              <w:rPr>
                                <w:rStyle w:val="HStandardCar"/>
                                <w:color w:val="292929" w:themeColor="text1" w:themeShade="BF"/>
                                <w:sz w:val="20"/>
                              </w:rPr>
                              <w:t>anddistriktsudviklingsprogrammer</w:t>
                            </w:r>
                            <w:r w:rsidRPr="00A65F07">
                              <w:rPr>
                                <w:rStyle w:val="HStandardCar"/>
                                <w:color w:val="292929" w:themeColor="text1" w:themeShade="BF"/>
                                <w:sz w:val="20"/>
                              </w:rPr>
                              <w:t xml:space="preserve"> </w:t>
                            </w:r>
                            <w:r>
                              <w:rPr>
                                <w:rStyle w:val="HStandardCar"/>
                                <w:color w:val="292929" w:themeColor="text1" w:themeShade="BF"/>
                                <w:sz w:val="20"/>
                              </w:rPr>
                              <w:t>i 2019" skal læses i sammen med</w:t>
                            </w:r>
                            <w:r>
                              <w:t xml:space="preserve"> </w:t>
                            </w:r>
                            <w:r>
                              <w:rPr>
                                <w:rStyle w:val="HStandardCar"/>
                                <w:b/>
                                <w:color w:val="F07E31"/>
                                <w:sz w:val="20"/>
                              </w:rPr>
                              <w:t>DEL III</w:t>
                            </w:r>
                            <w:r>
                              <w:rPr>
                                <w:rStyle w:val="HStandardCar"/>
                                <w:color w:val="F07E31"/>
                                <w:sz w:val="20"/>
                              </w:rPr>
                              <w:t xml:space="preserve"> </w:t>
                            </w:r>
                            <w:r>
                              <w:rPr>
                                <w:rStyle w:val="HStandardCar"/>
                                <w:color w:val="292929" w:themeColor="text1" w:themeShade="BF"/>
                                <w:sz w:val="20"/>
                              </w:rPr>
                              <w:t xml:space="preserve">(datablade til besvarelse af fælles evalueringsspørgsmål 22-30) og </w:t>
                            </w:r>
                            <w:r>
                              <w:rPr>
                                <w:rStyle w:val="HStandardCar"/>
                                <w:b/>
                                <w:color w:val="F07E31"/>
                                <w:sz w:val="20"/>
                              </w:rPr>
                              <w:t xml:space="preserve">DEL IV </w:t>
                            </w:r>
                            <w:r>
                              <w:rPr>
                                <w:rStyle w:val="HStandardCar"/>
                                <w:color w:val="292929" w:themeColor="text1" w:themeShade="BF"/>
                                <w:sz w:val="20"/>
                              </w:rPr>
                              <w:t>(tekniske bilag), som indeholder supplerende oplysninger om de foreslåede evalueringstilgange, eksempler på yderligere indikatorer, en detaljeret beskrivelse af trinene i arbejdsprocessen, egnetheden af de foreslåede evalueringstilgange, hvad man skal gøre og ikke skal gøre, ordliste).</w:t>
                            </w:r>
                          </w:p>
                        </w:txbxContent>
                      </wps:txbx>
                      <wps:bodyPr rot="0" vert="horz" wrap="square" lIns="91440" tIns="45720" rIns="91440" bIns="45720" anchor="ctr" anchorCtr="0" upright="1">
                        <a:noAutofit/>
                      </wps:bodyPr>
                    </wps:wsp>
                  </a:graphicData>
                </a:graphic>
              </wp:inline>
            </w:drawing>
          </mc:Choice>
          <mc:Fallback>
            <w:pict>
              <v:shape w14:anchorId="74DCEB32" id="Rectangle: Diagonal Corners Rounded 48" o:spid="_x0000_s1029" style="width:448.5pt;height:110.15pt;visibility:visible;mso-wrap-style:square;mso-left-percent:-10001;mso-top-percent:-10001;mso-position-horizontal:absolute;mso-position-horizontal-relative:char;mso-position-vertical:absolute;mso-position-vertical-relative:line;mso-left-percent:-10001;mso-top-percent:-10001;v-text-anchor:middle" coordsize="5695950,14643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" adj="-11796480,,5400" path="m254411,l5695950,r,1209908c5695950,1350415,5582046,1464319,5441539,1464319l,1464319,,254411c,113904,113904,,254411,xe" filled="f" strokecolor="#8bab80" strokeweight="2pt">
                <v:stroke joinstyle="miter"/>
                <v:formulas/>
                <v:path arrowok="t" o:connecttype="custom" o:connectlocs="254411,0;5695950,0;5695950,0;5695950,1155785;5441539,1398815;0,1398815;0,1398815;0,243030;254411,0" o:connectangles="0,0,0,0,0,0,0,0,0" textboxrect="0,0,5695950,1464319"/>
                <v:textbox>
                  <w:txbxContent>
                    <w:p w:rsidR="001A2EB5" w:rsidRPr="00B86C6A" w:rsidRDefault="001A2EB5" w:rsidP="00BB6B80">
                      <w:pPr>
                        <w:pStyle w:val="Normal12PTcouleurgris"/>
                        <w:rPr>
                          <w:rStyle w:val="HStandardCar"/>
                          <w:color w:val="292929" w:themeColor="text1" w:themeShade="BF"/>
                        </w:rPr>
                      </w:pPr>
                      <w:r>
                        <w:rPr>
                          <w:rStyle w:val="HStandardCar"/>
                          <w:b/>
                          <w:color w:val="F07E31"/>
                          <w:sz w:val="20"/>
                        </w:rPr>
                        <w:t>DEL II</w:t>
                      </w:r>
                      <w:r>
                        <w:rPr>
                          <w:rStyle w:val="HStandardCar"/>
                          <w:color w:val="F07E31"/>
                          <w:sz w:val="20"/>
                        </w:rPr>
                        <w:t xml:space="preserve"> </w:t>
                      </w:r>
                      <w:r>
                        <w:rPr>
                          <w:rStyle w:val="HStandardCar"/>
                          <w:color w:val="292929" w:themeColor="text1" w:themeShade="BF"/>
                          <w:sz w:val="20"/>
                        </w:rPr>
                        <w:t xml:space="preserve">af de ikke-bindende retningslinjer "Vurdering af resultaterne og virkningerne af </w:t>
                      </w:r>
                      <w:r w:rsidRPr="00A65F07">
                        <w:rPr>
                          <w:rStyle w:val="HStandardCar"/>
                          <w:color w:val="292929" w:themeColor="text1" w:themeShade="BF"/>
                          <w:sz w:val="20"/>
                        </w:rPr>
                        <w:t>l</w:t>
                      </w:r>
                      <w:r>
                        <w:rPr>
                          <w:rStyle w:val="HStandardCar"/>
                          <w:color w:val="292929" w:themeColor="text1" w:themeShade="BF"/>
                          <w:sz w:val="20"/>
                        </w:rPr>
                        <w:t>anddistriktsudviklingsprogrammer</w:t>
                      </w:r>
                      <w:r w:rsidRPr="00A65F07">
                        <w:rPr>
                          <w:rStyle w:val="HStandardCar"/>
                          <w:color w:val="292929" w:themeColor="text1" w:themeShade="BF"/>
                          <w:sz w:val="20"/>
                        </w:rPr>
                        <w:t xml:space="preserve"> </w:t>
                      </w:r>
                      <w:r>
                        <w:rPr>
                          <w:rStyle w:val="HStandardCar"/>
                          <w:color w:val="292929" w:themeColor="text1" w:themeShade="BF"/>
                          <w:sz w:val="20"/>
                        </w:rPr>
                        <w:t>i 2019" skal læses i sammen med</w:t>
                      </w:r>
                      <w:r>
                        <w:t xml:space="preserve"> </w:t>
                      </w:r>
                      <w:r>
                        <w:rPr>
                          <w:rStyle w:val="HStandardCar"/>
                          <w:b/>
                          <w:color w:val="F07E31"/>
                          <w:sz w:val="20"/>
                        </w:rPr>
                        <w:t>DEL III</w:t>
                      </w:r>
                      <w:r>
                        <w:rPr>
                          <w:rStyle w:val="HStandardCar"/>
                          <w:color w:val="F07E31"/>
                          <w:sz w:val="20"/>
                        </w:rPr>
                        <w:t xml:space="preserve"> </w:t>
                      </w:r>
                      <w:r>
                        <w:rPr>
                          <w:rStyle w:val="HStandardCar"/>
                          <w:color w:val="292929" w:themeColor="text1" w:themeShade="BF"/>
                          <w:sz w:val="20"/>
                        </w:rPr>
                        <w:t xml:space="preserve">(datablade til besvarelse af fælles evalueringsspørgsmål 22-30) og </w:t>
                      </w:r>
                      <w:r>
                        <w:rPr>
                          <w:rStyle w:val="HStandardCar"/>
                          <w:b/>
                          <w:color w:val="F07E31"/>
                          <w:sz w:val="20"/>
                        </w:rPr>
                        <w:t xml:space="preserve">DEL IV </w:t>
                      </w:r>
                      <w:r>
                        <w:rPr>
                          <w:rStyle w:val="HStandardCar"/>
                          <w:color w:val="292929" w:themeColor="text1" w:themeShade="BF"/>
                          <w:sz w:val="20"/>
                        </w:rPr>
                        <w:t>(tekniske bilag), som indeholder supplerende oplysninger om de foreslåede evalueringstilgange, eksempler på yderligere indikatorer, en detaljeret beskrivelse af trinene i arbejdsprocessen, egnetheden af de foreslåede evalueringstilgange, hvad man skal gøre og ikke skal gøre, ordliste).</w:t>
                      </w:r>
                    </w:p>
                  </w:txbxContent>
                </v:textbox>
                <w10:anchorlock/>
              </v:shape>
            </w:pict>
          </mc:Fallback>
        </mc:AlternateContent>
      </w:r>
    </w:p>
    <w:p w:rsidR="00425D88" w:rsidRPr="0062664B" w:rsidRDefault="00425D88" w:rsidP="00C10AE7">
      <w:pPr>
        <w:pStyle w:val="HHeading2"/>
      </w:pPr>
      <w:r w:rsidRPr="0062664B">
        <w:t xml:space="preserve">Valg af passende evalueringstilgange til vurdering af virkninger af </w:t>
      </w:r>
      <w:r w:rsidR="00C10AE7" w:rsidRPr="0062664B">
        <w:t>landdistriktsudviklingsprogrammet</w:t>
      </w:r>
    </w:p>
    <w:p w:rsidR="00E93BEA" w:rsidRPr="0062664B" w:rsidRDefault="00E93BEA" w:rsidP="00E93BEA">
      <w:pPr>
        <w:pStyle w:val="HStandard"/>
        <w:rPr>
          <w:rFonts w:cs="Arial"/>
        </w:rPr>
      </w:pPr>
      <w:r w:rsidRPr="0062664B">
        <w:t xml:space="preserve">Vurderingen og beregningen af fælles effektindikatorer for søjle II i den fælles landbrugspolitik i 2019 er en krævende opgave i 2019 og rejser </w:t>
      </w:r>
      <w:r w:rsidRPr="0062664B">
        <w:rPr>
          <w:b/>
        </w:rPr>
        <w:t>flere spørgsmål</w:t>
      </w:r>
      <w:r w:rsidRPr="0062664B">
        <w:t xml:space="preserve">: </w:t>
      </w:r>
    </w:p>
    <w:p w:rsidR="00E93BEA" w:rsidRPr="0062664B" w:rsidRDefault="00E93BEA" w:rsidP="00252755">
      <w:pPr>
        <w:pStyle w:val="Hlistbullet"/>
      </w:pPr>
      <w:r w:rsidRPr="0062664B">
        <w:t xml:space="preserve">Hvordan kan de konstaterede ændringer i landdistrikterne tilskrives tiltag under </w:t>
      </w:r>
      <w:r w:rsidR="00252755" w:rsidRPr="0062664B">
        <w:t>landdistriktsudviklingsprogrammet</w:t>
      </w:r>
      <w:r w:rsidRPr="0062664B">
        <w:t xml:space="preserve">, og hvilke evalueringstilgange bør anvendes til dette formål? </w:t>
      </w:r>
    </w:p>
    <w:p w:rsidR="00E93BEA" w:rsidRPr="0062664B" w:rsidRDefault="00E93BEA" w:rsidP="00E93BEA">
      <w:pPr>
        <w:pStyle w:val="Hlistbullet"/>
      </w:pPr>
      <w:r w:rsidRPr="0062664B">
        <w:t xml:space="preserve">Hvilke data fra eksisterende kilder (f.eks. overvågning, europæiske, nationale og regionale databaser) bør anvendes til at underbygge den foreslåede evalueringstilgang? </w:t>
      </w:r>
    </w:p>
    <w:p w:rsidR="00E93BEA" w:rsidRPr="0062664B" w:rsidRDefault="00E93BEA" w:rsidP="00E93BEA">
      <w:pPr>
        <w:pStyle w:val="Hlistbullet"/>
      </w:pPr>
      <w:r w:rsidRPr="0062664B">
        <w:t xml:space="preserve">Hvordan koordineres de forskellige dataleverandører? </w:t>
      </w:r>
    </w:p>
    <w:p w:rsidR="00E93BEA" w:rsidRPr="0062664B" w:rsidRDefault="00E93BEA" w:rsidP="00E93BEA">
      <w:pPr>
        <w:pStyle w:val="Hlistbullet"/>
      </w:pPr>
      <w:r w:rsidRPr="0062664B">
        <w:t xml:space="preserve">Hvordan kan datakvalitet sikres, og manglende data udbedres? </w:t>
      </w:r>
    </w:p>
    <w:p w:rsidR="009B0B1E" w:rsidRPr="0062664B" w:rsidRDefault="009B0B1E" w:rsidP="00B63445">
      <w:pPr>
        <w:pStyle w:val="HHeading3"/>
      </w:pPr>
      <w:r w:rsidRPr="0062664B">
        <w:t>Hvordan kan logiske modeller anvendes til at afgøre, hvilke evalueringstilgange der er passende?</w:t>
      </w:r>
    </w:p>
    <w:p w:rsidR="009B37D9" w:rsidRPr="0062664B" w:rsidRDefault="000B213F" w:rsidP="009B37D9">
      <w:pPr>
        <w:pStyle w:val="HStandard"/>
      </w:pPr>
      <w:r w:rsidRPr="0062664B">
        <w:rPr>
          <w:b/>
          <w:i/>
          <w:noProof/>
          <w:color w:val="F07E31" w:themeColor="accent1"/>
          <w:lang w:eastAsia="en-GB" w:bidi="ar-SA"/>
        </w:rPr>
        <mc:AlternateContent>
          <mc:Choice Requires="wps">
            <w:drawing>
              <wp:anchor distT="0" distB="0" distL="114300" distR="114300" simplePos="0" relativeHeight="251728384" behindDoc="1" locked="0" layoutInCell="1" allowOverlap="1" wp14:anchorId="27DEA2D1" wp14:editId="2318F7C1">
                <wp:simplePos x="0" y="0"/>
                <wp:positionH relativeFrom="margin">
                  <wp:align>right</wp:align>
                </wp:positionH>
                <wp:positionV relativeFrom="paragraph">
                  <wp:posOffset>35560</wp:posOffset>
                </wp:positionV>
                <wp:extent cx="2447925" cy="2002790"/>
                <wp:effectExtent l="0" t="0" r="28575" b="16510"/>
                <wp:wrapTight wrapText="bothSides">
                  <wp:wrapPolygon edited="0">
                    <wp:start x="672" y="0"/>
                    <wp:lineTo x="0" y="822"/>
                    <wp:lineTo x="0" y="21573"/>
                    <wp:lineTo x="21180" y="21573"/>
                    <wp:lineTo x="21684" y="20751"/>
                    <wp:lineTo x="21684" y="0"/>
                    <wp:lineTo x="672" y="0"/>
                  </wp:wrapPolygon>
                </wp:wrapTight>
                <wp:docPr id="9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2002972"/>
                        </a:xfrm>
                        <a:prstGeom prst="round2DiagRect">
                          <a:avLst>
                            <a:gd name="adj1" fmla="val 8733"/>
                            <a:gd name="adj2" fmla="val 0"/>
                          </a:avLst>
                        </a:prstGeom>
                        <a:noFill/>
                        <a:ln w="25400" cap="flat" cmpd="sng" algn="ctr">
                          <a:solidFill>
                            <a:srgbClr val="BE4A35"/>
                          </a:solidFill>
                          <a:prstDash val="solid"/>
                        </a:ln>
                        <a:effectLst/>
                      </wps:spPr>
                      <wps:txbx>
                        <w:txbxContent>
                          <w:p w:rsidR="001A2EB5" w:rsidRPr="00C545E7" w:rsidRDefault="001A2EB5" w:rsidP="005166F3">
                            <w:pPr>
                              <w:pStyle w:val="HHeading4"/>
                              <w:spacing w:before="0"/>
                              <w:jc w:val="both"/>
                              <w:rPr>
                                <w:i/>
                                <w:color w:val="F07E31" w:themeColor="accent1"/>
                                <w:sz w:val="18"/>
                              </w:rPr>
                            </w:pPr>
                            <w:r>
                              <w:rPr>
                                <w:noProof/>
                                <w:color w:val="373737"/>
                                <w:lang w:val="en-GB" w:eastAsia="en-GB" w:bidi="ar-SA"/>
                              </w:rPr>
                              <w:drawing>
                                <wp:inline distT="0" distB="0" distL="0" distR="0" wp14:anchorId="4AB34268" wp14:editId="5A0773A9">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Logikmodeller </w:t>
                            </w:r>
                            <w:r>
                              <w:rPr>
                                <w:b w:val="0"/>
                                <w:color w:val="373737" w:themeColor="text1"/>
                              </w:rPr>
                              <w:t>er beslutningstræer, der kan hjælpe interessenter med at udforme en (kontrafaktisk) evalueringsstrategi og med at vælge de mest hensigtsmæssige metoder i overensstemmelse med tilgængelige data og oplysninger.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7DEA2D1" id="_x0000_s1030" style="position:absolute;left:0;text-align:left;margin-left:141.55pt;margin-top:2.8pt;width:192.75pt;height:157.7pt;z-index:-25158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2447925,20029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" adj="-11796480,,5400" path="m174920,l2447925,r,l2447925,1828052v,96606,-78314,174920,-174920,174920l,2002972r,l,174920c,78314,78314,,174920,xe" filled="f" strokecolor="#be4a35" strokeweight="2pt">
                <v:stroke joinstyle="miter"/>
                <v:formulas/>
                <v:path arrowok="t" o:connecttype="custom" o:connectlocs="174920,0;2447925,0;2447925,0;2447925,1828052;2273005,2002972;0,2002972;0,2002972;0,174920;174920,0" o:connectangles="0,0,0,0,0,0,0,0,0" textboxrect="0,0,2447925,2002972"/>
                <v:textbox>
                  <w:txbxContent>
                    <w:p w:rsidR="001A2EB5" w:rsidRPr="00C545E7" w:rsidRDefault="001A2EB5" w:rsidP="005166F3">
                      <w:pPr>
                        <w:pStyle w:val="HHeading4"/>
                        <w:spacing w:before="0"/>
                        <w:jc w:val="both"/>
                        <w:rPr>
                          <w:i/>
                          <w:color w:val="F07E31" w:themeColor="accent1"/>
                          <w:sz w:val="18"/>
                        </w:rPr>
                      </w:pPr>
                      <w:r>
                        <w:rPr>
                          <w:noProof/>
                          <w:color w:val="373737"/>
                          <w:lang w:val="en-GB" w:eastAsia="en-GB" w:bidi="ar-SA"/>
                        </w:rPr>
                        <w:drawing>
                          <wp:inline distT="0" distB="0" distL="0" distR="0" wp14:anchorId="4AB34268" wp14:editId="5A0773A9">
                            <wp:extent cx="664845" cy="487680"/>
                            <wp:effectExtent l="0" t="0" r="0" b="7620"/>
                            <wp:docPr id="90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Logikmodeller </w:t>
                      </w:r>
                      <w:r>
                        <w:rPr>
                          <w:b w:val="0"/>
                          <w:color w:val="373737" w:themeColor="text1"/>
                        </w:rPr>
                        <w:t>er beslutningstræer, der kan hjælpe interessenter med at udforme en (kontrafaktisk) evalueringsstrategi og med at vælge de mest hensigtsmæssige metoder i overensstemmelse med tilgængelige data og oplysninger.</w:t>
                      </w:r>
                    </w:p>
                  </w:txbxContent>
                </v:textbox>
                <w10:wrap type="tight" anchorx="margin"/>
              </v:shape>
            </w:pict>
          </mc:Fallback>
        </mc:AlternateContent>
      </w:r>
      <w:r w:rsidRPr="0062664B">
        <w:t>Logikmodeller kan vejlede evalueringseksperterne til nye tilgange, bedre planlægnin</w:t>
      </w:r>
      <w:r w:rsidR="00612E75" w:rsidRPr="0062664B">
        <w:t xml:space="preserve">g af dataindsamling og til at </w:t>
      </w:r>
      <w:r w:rsidRPr="0062664B">
        <w:t xml:space="preserve">starte en procedure til overvejning af metoder, der er mindre afhængige af tilgængelighed af data (f.eks. kvalitative metoder). Logikmodeller kan også hjælpe forvaltningsmyndighederne til bedre at planlægge og forudsige evalueringsresultater i den pågældende kontekst (data, evalueringsbudget og tidsplan). </w:t>
      </w:r>
    </w:p>
    <w:p w:rsidR="00FF13C7" w:rsidRPr="0062664B" w:rsidRDefault="00FF13C7" w:rsidP="00FF13C7">
      <w:pPr>
        <w:pStyle w:val="HStandard"/>
        <w:spacing w:after="0"/>
        <w:rPr>
          <w:rFonts w:cs="Arial"/>
          <w:color w:val="373737"/>
          <w:szCs w:val="18"/>
        </w:rPr>
      </w:pPr>
      <w:r w:rsidRPr="0062664B">
        <w:rPr>
          <w:color w:val="373737"/>
        </w:rPr>
        <w:t>Logikmodellerne giver en trin-for-trin-vejledning om udformningen af evalueringstilgange for at hjælpe til en bedre forståelse af:</w:t>
      </w:r>
    </w:p>
    <w:p w:rsidR="00FF13C7" w:rsidRPr="0062664B" w:rsidRDefault="00FF13C7" w:rsidP="00FF13C7">
      <w:pPr>
        <w:pStyle w:val="Hlistbullet"/>
        <w:spacing w:before="0" w:after="0" w:line="280" w:lineRule="atLeast"/>
        <w:ind w:left="502"/>
        <w:rPr>
          <w:rFonts w:cs="Arial"/>
          <w:color w:val="373737"/>
          <w:szCs w:val="18"/>
        </w:rPr>
      </w:pPr>
      <w:r w:rsidRPr="0062664B">
        <w:rPr>
          <w:b/>
          <w:color w:val="373737"/>
        </w:rPr>
        <w:t>MULIGHEDER:</w:t>
      </w:r>
      <w:r w:rsidRPr="0062664B">
        <w:rPr>
          <w:color w:val="373737"/>
        </w:rPr>
        <w:t xml:space="preserve"> hvilke kombinationer af data/indikatorer/metoder er tilgængelige og egnede til besvarelse af evalueringsspørgsmålene. </w:t>
      </w:r>
    </w:p>
    <w:p w:rsidR="00FF13C7" w:rsidRPr="0062664B" w:rsidRDefault="00FF13C7" w:rsidP="00FF13C7">
      <w:pPr>
        <w:pStyle w:val="Hlistbullet"/>
        <w:spacing w:before="0" w:after="0" w:line="280" w:lineRule="atLeast"/>
        <w:ind w:left="502"/>
        <w:rPr>
          <w:color w:val="373737"/>
          <w:sz w:val="22"/>
        </w:rPr>
      </w:pPr>
      <w:r w:rsidRPr="0062664B">
        <w:rPr>
          <w:b/>
          <w:color w:val="373737"/>
        </w:rPr>
        <w:t>KRAV:</w:t>
      </w:r>
      <w:r w:rsidRPr="0062664B">
        <w:rPr>
          <w:color w:val="373737"/>
        </w:rPr>
        <w:t xml:space="preserve"> hvilke data/indikatorer/metoder/tilgange er nødvendige for at vurdere nettoeffekten og besvare evalueringsspørgsmålene.</w:t>
      </w:r>
    </w:p>
    <w:p w:rsidR="00FF13C7" w:rsidRPr="0062664B" w:rsidRDefault="00FF13C7" w:rsidP="00FF13C7">
      <w:pPr>
        <w:pStyle w:val="Hlistbullet"/>
        <w:spacing w:before="0" w:after="0" w:line="280" w:lineRule="atLeast"/>
        <w:ind w:left="502"/>
        <w:rPr>
          <w:color w:val="373737"/>
          <w:sz w:val="22"/>
        </w:rPr>
      </w:pPr>
      <w:r w:rsidRPr="0062664B">
        <w:rPr>
          <w:b/>
          <w:color w:val="373737"/>
        </w:rPr>
        <w:t>KONSEKVENSER:</w:t>
      </w:r>
      <w:r w:rsidRPr="0062664B">
        <w:rPr>
          <w:color w:val="373737"/>
        </w:rPr>
        <w:t xml:space="preserve"> hvordan påvirker beslutningerne i de forskellige faser omkostningerne ved og effektiviteten af evalueringen.</w:t>
      </w:r>
    </w:p>
    <w:p w:rsidR="00E93BEA" w:rsidRPr="0062664B" w:rsidRDefault="009B37D9" w:rsidP="009B37D9">
      <w:pPr>
        <w:pStyle w:val="HStandard"/>
      </w:pPr>
      <w:r w:rsidRPr="0062664B">
        <w:t xml:space="preserve">Logikmodellerne, der præsenteres i disse retningslinjer, følger den fremgangsmåde, der er udviklet af </w:t>
      </w:r>
      <w:hyperlink r:id="rId35">
        <w:r w:rsidRPr="0062664B">
          <w:rPr>
            <w:rStyle w:val="Hyperlink"/>
            <w:u w:val="none"/>
          </w:rPr>
          <w:t>ENVIEVAL</w:t>
        </w:r>
      </w:hyperlink>
      <w:r w:rsidRPr="0062664B">
        <w:rPr>
          <w:rStyle w:val="FootnoteReference"/>
        </w:rPr>
        <w:footnoteReference w:id="26"/>
      </w:r>
      <w:r w:rsidRPr="0062664B">
        <w:t xml:space="preserve"> i </w:t>
      </w:r>
      <w:hyperlink r:id="rId36">
        <w:r w:rsidRPr="0062664B">
          <w:rPr>
            <w:rStyle w:val="Hyperlink"/>
            <w:i/>
            <w:u w:val="none"/>
          </w:rPr>
          <w:t>Methodological Handbook for the evaluation of environmental impacts of RDPs.</w:t>
        </w:r>
        <w:r w:rsidRPr="0062664B">
          <w:rPr>
            <w:rStyle w:val="Hyperlink"/>
            <w:u w:val="none"/>
          </w:rPr>
          <w:t xml:space="preserve"> </w:t>
        </w:r>
      </w:hyperlink>
      <w:r w:rsidRPr="0062664B">
        <w:t>ENVIEVAL udviklede og afprøvede disse forbedrede redskaber til evaluering af de miljømæssige virkninger af foranstaltninger og programmer for udvikling af landdistrikterne i EU's medlemsstater.</w:t>
      </w:r>
      <w:r w:rsidRPr="0062664B">
        <w:rPr>
          <w:rStyle w:val="FootnoteReference"/>
        </w:rPr>
        <w:footnoteReference w:id="27"/>
      </w:r>
      <w:r w:rsidRPr="0062664B">
        <w:t xml:space="preserve"> </w:t>
      </w:r>
    </w:p>
    <w:p w:rsidR="00AE216A" w:rsidRPr="0062664B" w:rsidRDefault="00AE216A" w:rsidP="00AE216A">
      <w:pPr>
        <w:pStyle w:val="HHeading4"/>
      </w:pPr>
      <w:r w:rsidRPr="0062664B">
        <w:t>Lagene i den logiske model</w:t>
      </w:r>
    </w:p>
    <w:p w:rsidR="00AE216A" w:rsidRPr="0062664B" w:rsidRDefault="00AE216A" w:rsidP="00AE216A">
      <w:pPr>
        <w:pStyle w:val="HStandard"/>
        <w:rPr>
          <w:rFonts w:cs="Arial"/>
        </w:rPr>
      </w:pPr>
      <w:r w:rsidRPr="0062664B">
        <w:t xml:space="preserve">Figur 2 er en oversigt over de </w:t>
      </w:r>
      <w:r w:rsidRPr="0062664B">
        <w:rPr>
          <w:b/>
        </w:rPr>
        <w:t>fire lag i den logiske model</w:t>
      </w:r>
      <w:r w:rsidRPr="0062664B">
        <w:t xml:space="preserve">. I denne figur vises i det </w:t>
      </w:r>
      <w:r w:rsidRPr="0062664B">
        <w:rPr>
          <w:b/>
        </w:rPr>
        <w:t>første lag</w:t>
      </w:r>
      <w:r w:rsidRPr="0062664B">
        <w:t xml:space="preserve">, hvordan rammen for vurderingen fastlægges. Dette kræver en forståelse af hvor i interventionslogikken virkningerne er placeret, de tilgængelige indikatorer og vurderingsenheden. Det </w:t>
      </w:r>
      <w:r w:rsidRPr="0062664B">
        <w:rPr>
          <w:b/>
        </w:rPr>
        <w:t>andet lag</w:t>
      </w:r>
      <w:r w:rsidRPr="0062664B">
        <w:t xml:space="preserve"> identificerer mulighederne for den kontrafaktiske situation, under hensyntagen til begrænsende faktorer. Det </w:t>
      </w:r>
      <w:r w:rsidRPr="0062664B">
        <w:rPr>
          <w:b/>
        </w:rPr>
        <w:t>tredje lag</w:t>
      </w:r>
      <w:r w:rsidRPr="0062664B">
        <w:t xml:space="preserve"> finpudser mulighederne på mikro- og makroniveau for at vurdere nettovirkningerne. Det </w:t>
      </w:r>
      <w:r w:rsidRPr="0062664B">
        <w:rPr>
          <w:b/>
        </w:rPr>
        <w:t>fjerde lag</w:t>
      </w:r>
      <w:r w:rsidRPr="0062664B">
        <w:t xml:space="preserve"> tjekker til sidst overensstemmelsen af analysen på mikro- og makroniveau med henblik på at validere resultaterne. </w:t>
      </w:r>
    </w:p>
    <w:p w:rsidR="0094608A" w:rsidRPr="0062664B" w:rsidRDefault="0094608A" w:rsidP="0094608A">
      <w:pPr>
        <w:pStyle w:val="HHeadingfigures"/>
        <w:numPr>
          <w:ilvl w:val="0"/>
          <w:numId w:val="0"/>
        </w:numPr>
      </w:pPr>
      <w:r w:rsidRPr="0062664B">
        <w:rPr>
          <w:noProof/>
          <w:lang w:eastAsia="en-GB" w:bidi="ar-SA"/>
        </w:rPr>
        <w:drawing>
          <wp:anchor distT="0" distB="0" distL="114300" distR="114300" simplePos="0" relativeHeight="251735552" behindDoc="0" locked="0" layoutInCell="1" allowOverlap="1" wp14:anchorId="0FE57A10" wp14:editId="71886E35">
            <wp:simplePos x="0" y="0"/>
            <wp:positionH relativeFrom="column">
              <wp:posOffset>508000</wp:posOffset>
            </wp:positionH>
            <wp:positionV relativeFrom="paragraph">
              <wp:posOffset>315652</wp:posOffset>
            </wp:positionV>
            <wp:extent cx="4969510" cy="3014980"/>
            <wp:effectExtent l="0" t="0" r="254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GRI-2018-61471-00-00-EN-SRC-03_Page_5.jpg"/>
                    <pic:cNvPicPr/>
                  </pic:nvPicPr>
                  <pic:blipFill rotWithShape="1">
                    <a:blip r:embed="rId37" cstate="print">
                      <a:extLst>
                        <a:ext uri="{28A0092B-C50C-407E-A947-70E740481C1C}">
                          <a14:useLocalDpi xmlns:a14="http://schemas.microsoft.com/office/drawing/2010/main" val="0"/>
                        </a:ext>
                      </a:extLst>
                    </a:blip>
                    <a:srcRect l="22721" t="23493" r="17004" b="11468"/>
                    <a:stretch/>
                  </pic:blipFill>
                  <pic:spPr bwMode="auto">
                    <a:xfrm>
                      <a:off x="0" y="0"/>
                      <a:ext cx="4969510" cy="301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2664B">
        <w:t>Figur 2</w:t>
      </w:r>
      <w:r w:rsidR="0062664B" w:rsidRPr="0062664B">
        <w:t>:</w:t>
      </w:r>
      <w:r w:rsidRPr="0062664B">
        <w:t xml:space="preserve"> Forenklet diagram over lagene i logikmodellen</w:t>
      </w:r>
    </w:p>
    <w:p w:rsidR="004F365B" w:rsidRPr="0062664B" w:rsidRDefault="004F365B" w:rsidP="004F365B">
      <w:pPr>
        <w:pStyle w:val="HSource"/>
        <w:rPr>
          <w:i w:val="0"/>
        </w:rPr>
      </w:pPr>
      <w:r w:rsidRPr="0062664B">
        <w:t xml:space="preserve">Kilde: European Evaluation Helpdesk for Rural Development (2018), tilpasset fra ENVIEVAL (2015): Methodological Handbook for the evaluation of environmental impacts of RDPs: Rapport D9.5. Bruxelles: Europa-Kommissionen. </w:t>
      </w:r>
    </w:p>
    <w:p w:rsidR="00B52943" w:rsidRPr="0062664B" w:rsidRDefault="00B52943" w:rsidP="00AE216A">
      <w:pPr>
        <w:pStyle w:val="HStandard"/>
        <w:rPr>
          <w:rFonts w:cs="Arial"/>
        </w:rPr>
      </w:pPr>
    </w:p>
    <w:p w:rsidR="00AE216A" w:rsidRPr="0062664B" w:rsidRDefault="00AE216A" w:rsidP="00AE216A">
      <w:pPr>
        <w:pStyle w:val="HStandard"/>
        <w:rPr>
          <w:rFonts w:cs="Arial"/>
        </w:rPr>
      </w:pPr>
      <w:r w:rsidRPr="0062664B">
        <w:t xml:space="preserve">Lagene i logikmodellen anvendes som referencepunkt for beskrivelsen af de foreslåede evalueringstilgange for effektindikatorerne af den fælles landbrugspolitik (jf. kapitel 2.2 – 2.9). </w:t>
      </w:r>
    </w:p>
    <w:p w:rsidR="006B44E5" w:rsidRPr="0062664B" w:rsidRDefault="006B44E5">
      <w:pPr>
        <w:spacing w:before="0" w:after="0" w:line="240" w:lineRule="auto"/>
        <w:jc w:val="left"/>
        <w:rPr>
          <w:b/>
          <w:color w:val="57825E" w:themeColor="accent4"/>
          <w:sz w:val="20"/>
          <w:szCs w:val="20"/>
        </w:rPr>
      </w:pPr>
      <w:r w:rsidRPr="0062664B">
        <w:br w:type="page"/>
      </w:r>
    </w:p>
    <w:p w:rsidR="00E93BEA" w:rsidRPr="0062664B" w:rsidRDefault="00E93BEA" w:rsidP="00E93BEA">
      <w:pPr>
        <w:pStyle w:val="HHeading4"/>
      </w:pPr>
      <w:r w:rsidRPr="0062664B">
        <w:lastRenderedPageBreak/>
        <w:t>Om oprettelse af rammen for vurderingen (første lag)</w:t>
      </w:r>
    </w:p>
    <w:p w:rsidR="00E93BEA" w:rsidRPr="0062664B" w:rsidRDefault="000B213F" w:rsidP="00E93BEA">
      <w:pPr>
        <w:pStyle w:val="HStandard"/>
        <w:rPr>
          <w:rFonts w:cs="Arial"/>
        </w:rPr>
      </w:pPr>
      <w:r w:rsidRPr="0062664B">
        <w:rPr>
          <w:b/>
          <w:i/>
          <w:noProof/>
          <w:color w:val="F07E31" w:themeColor="accent1"/>
          <w:lang w:eastAsia="en-GB" w:bidi="ar-SA"/>
        </w:rPr>
        <mc:AlternateContent>
          <mc:Choice Requires="wps">
            <w:drawing>
              <wp:anchor distT="0" distB="0" distL="114300" distR="114300" simplePos="0" relativeHeight="251729408" behindDoc="0" locked="0" layoutInCell="1" allowOverlap="1" wp14:anchorId="19F8E283" wp14:editId="7C168DC8">
                <wp:simplePos x="0" y="0"/>
                <wp:positionH relativeFrom="margin">
                  <wp:posOffset>-38100</wp:posOffset>
                </wp:positionH>
                <wp:positionV relativeFrom="paragraph">
                  <wp:posOffset>83185</wp:posOffset>
                </wp:positionV>
                <wp:extent cx="2286000" cy="2590800"/>
                <wp:effectExtent l="0" t="0" r="19050" b="19050"/>
                <wp:wrapThrough wrapText="bothSides">
                  <wp:wrapPolygon edited="0">
                    <wp:start x="900" y="0"/>
                    <wp:lineTo x="0" y="794"/>
                    <wp:lineTo x="0" y="21600"/>
                    <wp:lineTo x="20880" y="21600"/>
                    <wp:lineTo x="21600" y="20965"/>
                    <wp:lineTo x="21600" y="0"/>
                    <wp:lineTo x="900" y="0"/>
                  </wp:wrapPolygon>
                </wp:wrapThrough>
                <wp:docPr id="33"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590800"/>
                        </a:xfrm>
                        <a:prstGeom prst="round2DiagRect">
                          <a:avLst>
                            <a:gd name="adj1" fmla="val 8733"/>
                            <a:gd name="adj2" fmla="val 0"/>
                          </a:avLst>
                        </a:prstGeom>
                        <a:noFill/>
                        <a:ln w="25400" cap="flat" cmpd="sng" algn="ctr">
                          <a:solidFill>
                            <a:srgbClr val="BE4A35"/>
                          </a:solidFill>
                          <a:prstDash val="solid"/>
                        </a:ln>
                        <a:effectLst/>
                      </wps:spPr>
                      <wps:txbx>
                        <w:txbxContent>
                          <w:p w:rsidR="001A2EB5" w:rsidRPr="00044269" w:rsidRDefault="001A2EB5"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1ED57EF4" wp14:editId="7F741DD2">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Vurderingen af en given virkning </w:t>
                            </w:r>
                            <w:r>
                              <w:rPr>
                                <w:b w:val="0"/>
                                <w:color w:val="373737" w:themeColor="text1"/>
                              </w:rPr>
                              <w:t>(sektorspecifik, miljømæssig eller samfundsøkonomisk) starter med oprettelsen af en konsekvent evalueringsramme. Dette bidrager til at skabe klarhed om placeringen af effekten inden for interventionslogikken og viser tilgængelige indikatorer og analyseenheder til målingen heraf.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9F8E283" id="_x0000_s1031" style="position:absolute;left:0;text-align:left;margin-left:-3pt;margin-top:6.55pt;width:180pt;height:204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coordsize="2286000,259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" adj="-11796480,,5400" path="m199636,l2286000,r,l2286000,2391164v,110256,-89380,199636,-199636,199636l,2590800r,l,199636c,89380,89380,,199636,xe" filled="f" strokecolor="#be4a35" strokeweight="2pt">
                <v:stroke joinstyle="miter"/>
                <v:formulas/>
                <v:path arrowok="t" o:connecttype="custom" o:connectlocs="199636,0;2286000,0;2286000,0;2286000,2391164;2086364,2590800;0,2590800;0,2590800;0,199636;199636,0" o:connectangles="0,0,0,0,0,0,0,0,0" textboxrect="0,0,2286000,2590800"/>
                <v:textbox>
                  <w:txbxContent>
                    <w:p w:rsidR="001A2EB5" w:rsidRPr="00044269" w:rsidRDefault="001A2EB5" w:rsidP="005166F3">
                      <w:pPr>
                        <w:pStyle w:val="HHeading4"/>
                        <w:spacing w:before="0"/>
                        <w:jc w:val="both"/>
                        <w:rPr>
                          <w:b w:val="0"/>
                          <w:i/>
                          <w:color w:val="F07E31" w:themeColor="accent1"/>
                          <w:sz w:val="18"/>
                        </w:rPr>
                      </w:pPr>
                      <w:r>
                        <w:rPr>
                          <w:noProof/>
                          <w:color w:val="373737"/>
                          <w:lang w:val="en-GB" w:eastAsia="en-GB" w:bidi="ar-SA"/>
                        </w:rPr>
                        <w:drawing>
                          <wp:inline distT="0" distB="0" distL="0" distR="0" wp14:anchorId="1ED57EF4" wp14:editId="7F741DD2">
                            <wp:extent cx="664845" cy="487680"/>
                            <wp:effectExtent l="0" t="0" r="0" b="7620"/>
                            <wp:docPr id="90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rPr>
                          <w:color w:val="373737" w:themeColor="text1"/>
                        </w:rPr>
                        <w:t xml:space="preserve">Vurderingen af en given virkning </w:t>
                      </w:r>
                      <w:r>
                        <w:rPr>
                          <w:b w:val="0"/>
                          <w:color w:val="373737" w:themeColor="text1"/>
                        </w:rPr>
                        <w:t>(sektorspecifik, miljømæssig eller samfundsøkonomisk) starter med oprettelsen af en konsekvent evalueringsramme. Dette bidrager til at skabe klarhed om placeringen af effekten inden for interventionslogikken og viser tilgængelige indikatorer og analyseenheder til målingen heraf.</w:t>
                      </w:r>
                    </w:p>
                  </w:txbxContent>
                </v:textbox>
                <w10:wrap type="through" anchorx="margin"/>
              </v:shape>
            </w:pict>
          </mc:Fallback>
        </mc:AlternateContent>
      </w:r>
      <w:r w:rsidRPr="0062664B">
        <w:t>Rammen for vurderingen kan udarbejdes ved at følge disse trin:</w:t>
      </w:r>
    </w:p>
    <w:p w:rsidR="00E93BEA" w:rsidRPr="0062664B" w:rsidRDefault="0084519A" w:rsidP="00E93BEA">
      <w:pPr>
        <w:pStyle w:val="HStandard"/>
        <w:rPr>
          <w:rFonts w:cs="Arial"/>
        </w:rPr>
      </w:pPr>
      <w:r w:rsidRPr="0062664B">
        <w:rPr>
          <w:b/>
          <w:color w:val="F07E31" w:themeColor="accent1"/>
        </w:rPr>
        <w:t>Trin 1 -</w:t>
      </w:r>
      <w:r w:rsidRPr="0062664B">
        <w:rPr>
          <w:i/>
        </w:rPr>
        <w:t xml:space="preserve"> </w:t>
      </w:r>
      <w:r w:rsidRPr="0062664B">
        <w:rPr>
          <w:b/>
          <w:color w:val="F07E31" w:themeColor="accent1"/>
        </w:rPr>
        <w:t>Forklaring af interventionslogikken i det fælles overvågnings- og evalueringssystem:</w:t>
      </w:r>
      <w:r w:rsidRPr="0062664B">
        <w:t xml:space="preserve"> Interventionslogikken viser hierarkiet af de politiske mål med hensyn til de pågældende evalueringsspørgsmål, foranstaltninger og fokusområder samt </w:t>
      </w:r>
      <w:r w:rsidRPr="0062664B">
        <w:rPr>
          <w:b/>
        </w:rPr>
        <w:t>med hensyn til de tilhørende output-, resultat- og effektindikatorer i det fælles overvågnings- og evalueringssystem.</w:t>
      </w:r>
      <w:r w:rsidRPr="0062664B">
        <w:t xml:space="preserve"> Indikatorerne gennemgås inden for rammerne af de foreliggende data.</w:t>
      </w:r>
    </w:p>
    <w:p w:rsidR="000C2540" w:rsidRPr="0062664B" w:rsidRDefault="0084519A" w:rsidP="000C2540">
      <w:pPr>
        <w:pStyle w:val="HStandard"/>
        <w:rPr>
          <w:rFonts w:cs="Arial"/>
          <w:bCs/>
        </w:rPr>
      </w:pPr>
      <w:r w:rsidRPr="0062664B">
        <w:rPr>
          <w:b/>
          <w:color w:val="F07E31" w:themeColor="accent1"/>
        </w:rPr>
        <w:t xml:space="preserve">Trin 2 - Udvælgelse af yderligere (resultat- og/eller effekt-) indikatorer: </w:t>
      </w:r>
      <w:r w:rsidRPr="0062664B">
        <w:t xml:space="preserve">Disse indikatorer kan supplere de obligatoriske indikatorer i det fælles overvågnings- og evalueringssystem. </w:t>
      </w:r>
      <w:r w:rsidRPr="0062664B">
        <w:rPr>
          <w:b/>
        </w:rPr>
        <w:t>Anvendelse af eventuelle yderligere indikatorer er frivillig</w:t>
      </w:r>
      <w:r w:rsidRPr="0062664B">
        <w:t xml:space="preserve">, og anvendelse af dem bør overvejes nøje under hensyntagen til omkostninger, tilgængelighed af data, vurderingens egnethed og merværdi. Yderligere indikatorer kan være nyttige med hensyn til at kvantificere nettoresultaterne og -effekten, hvis dataene vedrørende de fælles indikatorer ikke er tilstrækkelige, eller hvis der er mangler i de fælles resultat- og effektindikatorer, der skal afhjælpes. Yderligere indikatorer kan også være af kvalitativ art (f.eks. graden af de opfattede ændringer i henhold til interessenterne baseret på en Likert-skala) for at supplere den kvantitative dokumentation eller for at kompensere for eventuelle mangler i anden kvantificerbar dokumentation. </w:t>
      </w:r>
    </w:p>
    <w:p w:rsidR="00560A1E" w:rsidRPr="0062664B" w:rsidRDefault="0084519A" w:rsidP="00E93BEA">
      <w:pPr>
        <w:pStyle w:val="HStandard"/>
        <w:rPr>
          <w:rFonts w:cs="Arial"/>
        </w:rPr>
      </w:pPr>
      <w:r w:rsidRPr="0062664B">
        <w:rPr>
          <w:b/>
          <w:color w:val="F07E31" w:themeColor="accent1"/>
        </w:rPr>
        <w:t xml:space="preserve">Trin 3 - Definition af analyseenheden (= den "mindste del af et organiseret system") til analyse på mikro- og makroniveau (hvis det er relevant): </w:t>
      </w:r>
      <w:r w:rsidRPr="0062664B">
        <w:t xml:space="preserve">Analyseenheden på mikroniveau kan være bedrifter, marker, lokalsamfund eller regioner, mens den på makroniveau kan være et afvandingsområde, en regional enhed eller hele området for programmet for </w:t>
      </w:r>
      <w:r w:rsidR="00252755" w:rsidRPr="0062664B">
        <w:t>landdistriktsudviklingsprogrammet</w:t>
      </w:r>
      <w:r w:rsidRPr="0062664B">
        <w:t xml:space="preserve">. Med en defineret analyseenhed kan indikatoren måle ændringer i arealforvaltning samt miljømæssige, sektorspecifikke eller samfundsøkonomiske ændringer, der er forårsaget af </w:t>
      </w:r>
      <w:r w:rsidR="00252755" w:rsidRPr="0062664B">
        <w:t>landdistriktsudviklingsprogrammet</w:t>
      </w:r>
      <w:r w:rsidRPr="0062664B">
        <w:t>. De respektive data bør indsamles for samme enhedskategori og bør omfatte programmets støttemodtagere og ikke-støttemodtagere.</w:t>
      </w:r>
    </w:p>
    <w:p w:rsidR="00E93BEA" w:rsidRPr="0062664B" w:rsidRDefault="00E93BEA" w:rsidP="00E93BEA">
      <w:pPr>
        <w:pStyle w:val="HHeading4"/>
      </w:pPr>
      <w:r w:rsidRPr="0062664B">
        <w:t>Oprettelse af den kontrafaktiske situation (andet lag)</w:t>
      </w:r>
    </w:p>
    <w:p w:rsidR="00391ECD" w:rsidRPr="0062664B" w:rsidRDefault="000B213F" w:rsidP="002D4AB7">
      <w:pPr>
        <w:pStyle w:val="HStandard"/>
        <w:rPr>
          <w:rFonts w:cs="Arial"/>
        </w:rPr>
      </w:pPr>
      <w:r w:rsidRPr="0062664B">
        <w:rPr>
          <w:b/>
          <w:i/>
          <w:noProof/>
          <w:color w:val="F07E31" w:themeColor="accent1"/>
          <w:lang w:eastAsia="en-GB" w:bidi="ar-SA"/>
        </w:rPr>
        <mc:AlternateContent>
          <mc:Choice Requires="wps">
            <w:drawing>
              <wp:anchor distT="0" distB="0" distL="114300" distR="114300" simplePos="0" relativeHeight="251730432" behindDoc="0" locked="0" layoutInCell="1" allowOverlap="1" wp14:anchorId="084A3BD4" wp14:editId="22E5E565">
                <wp:simplePos x="0" y="0"/>
                <wp:positionH relativeFrom="column">
                  <wp:posOffset>3243580</wp:posOffset>
                </wp:positionH>
                <wp:positionV relativeFrom="paragraph">
                  <wp:posOffset>38100</wp:posOffset>
                </wp:positionV>
                <wp:extent cx="2447925" cy="1774190"/>
                <wp:effectExtent l="0" t="0" r="28575" b="16510"/>
                <wp:wrapThrough wrapText="bothSides">
                  <wp:wrapPolygon edited="0">
                    <wp:start x="504" y="0"/>
                    <wp:lineTo x="0" y="696"/>
                    <wp:lineTo x="0" y="21569"/>
                    <wp:lineTo x="21348" y="21569"/>
                    <wp:lineTo x="21684" y="20873"/>
                    <wp:lineTo x="21684" y="0"/>
                    <wp:lineTo x="504" y="0"/>
                  </wp:wrapPolygon>
                </wp:wrapThrough>
                <wp:docPr id="38"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7925" cy="1774190"/>
                        </a:xfrm>
                        <a:prstGeom prst="round2DiagRect">
                          <a:avLst>
                            <a:gd name="adj1" fmla="val 8733"/>
                            <a:gd name="adj2" fmla="val 0"/>
                          </a:avLst>
                        </a:prstGeom>
                        <a:noFill/>
                        <a:ln w="25400" cap="flat" cmpd="sng" algn="ctr">
                          <a:solidFill>
                            <a:srgbClr val="BE4A35"/>
                          </a:solidFill>
                          <a:prstDash val="solid"/>
                        </a:ln>
                        <a:effectLst/>
                      </wps:spPr>
                      <wps:txbx>
                        <w:txbxContent>
                          <w:p w:rsidR="001A2EB5" w:rsidRPr="00044269" w:rsidRDefault="001A2EB5"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1D7C2363" wp14:editId="3E664F21">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w:t>
                            </w:r>
                            <w:r>
                              <w:rPr>
                                <w:color w:val="373737" w:themeColor="text1"/>
                              </w:rPr>
                              <w:t xml:space="preserve">Programmets effekter </w:t>
                            </w:r>
                            <w:r>
                              <w:rPr>
                                <w:b w:val="0"/>
                                <w:color w:val="373737" w:themeColor="text1"/>
                              </w:rPr>
                              <w:t>kan aldrig observeres direkte på grund af andre faktorer, der kan påvirke resultaterne, og derfor forudsætter vurderingen af dem, at der anvendes en kontrafaktisk analyse.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84A3BD4" id="_x0000_s1032" style="position:absolute;left:0;text-align:left;margin-left:255.4pt;margin-top:3pt;width:192.75pt;height:139.7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7925,17741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" adj="-11796480,,5400" path="m154940,l2447925,r,l2447925,1619250v,85571,-69369,154940,-154940,154940l,1774190r,l,154940c,69369,69369,,154940,xe" filled="f" strokecolor="#be4a35" strokeweight="2pt">
                <v:stroke joinstyle="miter"/>
                <v:formulas/>
                <v:path arrowok="t" o:connecttype="custom" o:connectlocs="154940,0;2447925,0;2447925,0;2447925,1619250;2292985,1774190;0,1774190;0,1774190;0,154940;154940,0" o:connectangles="0,0,0,0,0,0,0,0,0" textboxrect="0,0,2447925,1774190"/>
                <v:textbox>
                  <w:txbxContent>
                    <w:p w:rsidR="001A2EB5" w:rsidRPr="00044269" w:rsidRDefault="001A2EB5" w:rsidP="005166F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1D7C2363" wp14:editId="3E664F21">
                            <wp:extent cx="664845" cy="487680"/>
                            <wp:effectExtent l="0" t="0" r="0" b="7620"/>
                            <wp:docPr id="90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w:t>
                      </w:r>
                      <w:r>
                        <w:rPr>
                          <w:color w:val="373737" w:themeColor="text1"/>
                        </w:rPr>
                        <w:t xml:space="preserve">Programmets effekter </w:t>
                      </w:r>
                      <w:r>
                        <w:rPr>
                          <w:b w:val="0"/>
                          <w:color w:val="373737" w:themeColor="text1"/>
                        </w:rPr>
                        <w:t>kan aldrig observeres direkte på grund af andre faktorer, der kan påvirke resultaterne, og derfor forudsætter vurderingen af dem, at der anvendes en kontrafaktisk analyse.</w:t>
                      </w:r>
                    </w:p>
                  </w:txbxContent>
                </v:textbox>
                <w10:wrap type="through"/>
              </v:shape>
            </w:pict>
          </mc:Fallback>
        </mc:AlternateContent>
      </w:r>
      <w:r w:rsidRPr="0062664B">
        <w:t>Programeffekten er forskellen i værdien af de specifikke resultater (f.eks. bruttoværditilvæksten eller arbejdsproduktiviteten) for den samme enhed, med og uden programmet. Denne definition gælder for enhver analyseenhed (f.eks. en person, en bedrift, en virksomhed, et område, et lokalsamfund, en landsby, en region, et programmeringsområde eller et land) og ethvert resultat (udtrykt i form af sektorspecifikke, miljømæssige eller samfundsøkonomiske indikatorer), som med rimelighed kan knyttes til programmet.</w:t>
      </w:r>
    </w:p>
    <w:p w:rsidR="002D4AB7" w:rsidRPr="0062664B" w:rsidRDefault="002D4AB7" w:rsidP="002D4AB7">
      <w:pPr>
        <w:pStyle w:val="HStandard"/>
        <w:rPr>
          <w:rFonts w:cs="Arial"/>
        </w:rPr>
      </w:pPr>
      <w:r w:rsidRPr="0062664B">
        <w:t xml:space="preserve">Det andet lag hjælper evalueringseksperten med at identificere de typer af kontrafaktiske situationer, der kan skabes på baggrund af de foreliggende data. Dette lag tager hensyn til en række </w:t>
      </w:r>
      <w:r w:rsidRPr="0062664B">
        <w:lastRenderedPageBreak/>
        <w:t xml:space="preserve">begrænsende faktorer (såsom begrænset datatilgængelighed, kortfristede evalueringskontrakter, begrænset evalueringskapacitet) og bidrager til også at udpege gennemførlige næstbedste løsninger (f.eks. til vurdering af miljøvirkninger). Det er vigtigt med en systematisk undersøgelse af de forskellige muligheder for at udarbejde en kontrafaktisk situation, selv om der mangler data. Undersøgelsen giver nyttige oplysninger om, hvilke betingelser der skal være opfyldt for at anvende en velfunderet kontrafaktisk situation og viser alternative muligheder (f.eks. naive gruppe sammenligninger og kvalitative vurderinger). </w:t>
      </w:r>
    </w:p>
    <w:p w:rsidR="00A41C7D" w:rsidRPr="0062664B" w:rsidRDefault="00E93BEA" w:rsidP="000B6372">
      <w:pPr>
        <w:pStyle w:val="HStandard"/>
      </w:pPr>
      <w:r w:rsidRPr="0062664B">
        <w:t xml:space="preserve">I den logiske model finder det kontrafaktiske lag anvendelse på vurderinger både på mikro- og makroniveau, og det er knyttet til udvælgelsen af evalueringstilgang og -metoder. </w:t>
      </w:r>
      <w:r w:rsidRPr="0062664B">
        <w:rPr>
          <w:b/>
        </w:rPr>
        <w:t>Det er op til programmets evalueringsekspert at afgøre på hvilket niveau (mikro/makro), analysen af programmets effekt skal udføres.</w:t>
      </w:r>
      <w:r w:rsidRPr="0062664B">
        <w:t xml:space="preserve"> Denne afgørelse vil afhænge af de tilgængelige data, og den vil gå forud for valget af analyseenhed, for hvilken data (økonomiske, miljømæssige eller samfundsøkonomiske) indsamles til. </w:t>
      </w:r>
    </w:p>
    <w:p w:rsidR="00A41C7D" w:rsidRPr="0062664B" w:rsidRDefault="00C87859">
      <w:pPr>
        <w:spacing w:before="0" w:after="0" w:line="240" w:lineRule="auto"/>
        <w:jc w:val="left"/>
        <w:rPr>
          <w:color w:val="373737" w:themeColor="text1"/>
          <w:sz w:val="20"/>
          <w:szCs w:val="20"/>
        </w:rPr>
      </w:pPr>
      <w:r w:rsidRPr="0062664B">
        <w:rPr>
          <w:noProof/>
          <w:lang w:eastAsia="en-GB" w:bidi="ar-SA"/>
        </w:rPr>
        <mc:AlternateContent>
          <mc:Choice Requires="wps">
            <w:drawing>
              <wp:anchor distT="0" distB="0" distL="114300" distR="114300" simplePos="0" relativeHeight="251732480" behindDoc="0" locked="0" layoutInCell="1" allowOverlap="1" wp14:anchorId="689E2210" wp14:editId="158DBFDE">
                <wp:simplePos x="0" y="0"/>
                <wp:positionH relativeFrom="margin">
                  <wp:align>right</wp:align>
                </wp:positionH>
                <wp:positionV relativeFrom="paragraph">
                  <wp:posOffset>86360</wp:posOffset>
                </wp:positionV>
                <wp:extent cx="5731510" cy="1681843"/>
                <wp:effectExtent l="0" t="0" r="21590" b="13970"/>
                <wp:wrapNone/>
                <wp:docPr id="46"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1681843"/>
                        </a:xfrm>
                        <a:prstGeom prst="round2DiagRect">
                          <a:avLst>
                            <a:gd name="adj1" fmla="val 8733"/>
                            <a:gd name="adj2" fmla="val 0"/>
                          </a:avLst>
                        </a:prstGeom>
                        <a:noFill/>
                        <a:ln w="25400" cap="flat" cmpd="sng" algn="ctr">
                          <a:solidFill>
                            <a:srgbClr val="BE4A35"/>
                          </a:solidFill>
                          <a:prstDash val="solid"/>
                        </a:ln>
                        <a:effectLst/>
                      </wps:spPr>
                      <wps:txbx>
                        <w:txbxContent>
                          <w:p w:rsidR="001A2EB5" w:rsidRPr="009B4B57" w:rsidRDefault="001A2EB5"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4E498A2" wp14:editId="20C04D14">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Medlemsstater med flere programmer for udvikling af landdistrikter</w:t>
                            </w:r>
                            <w:r>
                              <w:rPr>
                                <w:b w:val="0"/>
                                <w:color w:val="373737" w:themeColor="text1"/>
                              </w:rPr>
                              <w:t xml:space="preserve"> kan stå over for den udfordring, at EU's datakilder (f.eks. Eurostat) ikke indeholder værdier for fælles effektindikatorer inden for den fælles landbrugspolitik for hvert regionalt program for udvikling af landdistrikter. I disse situationer kan den regionale værdi af indikatoren (NUTS 2) anslås på baggrund af nationale data eller, hvis det er muligt, ved at sammenlægge de data, der er baseret på de enheder, der er indsamlet inden for det pågældende område (I.01, I.02, I.03).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89E2210" id="_x0000_s1033" style="position:absolute;margin-left:400.1pt;margin-top:6.8pt;width:451.3pt;height:132.45pt;z-index:251732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coordsize="5731510,16818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" adj="-11796480,,5400" path="m146875,l5731510,r,l5731510,1534968v,81117,-65758,146875,-146875,146875l,1681843r,l,146875c,65758,65758,,146875,xe" filled="f" strokecolor="#be4a35" strokeweight="2pt">
                <v:stroke joinstyle="miter"/>
                <v:formulas/>
                <v:path arrowok="t" o:connecttype="custom" o:connectlocs="146875,0;5731510,0;5731510,0;5731510,1534968;5584635,1681843;0,1681843;0,1681843;0,146875;146875,0" o:connectangles="0,0,0,0,0,0,0,0,0" textboxrect="0,0,5731510,1681843"/>
                <v:textbox>
                  <w:txbxContent>
                    <w:p w:rsidR="001A2EB5" w:rsidRPr="009B4B57" w:rsidRDefault="001A2EB5" w:rsidP="005166F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14E498A2" wp14:editId="20C04D14">
                            <wp:extent cx="664845" cy="487680"/>
                            <wp:effectExtent l="0" t="0" r="0" b="7620"/>
                            <wp:docPr id="93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Medlemsstater med flere programmer for udvikling af landdistrikter</w:t>
                      </w:r>
                      <w:r>
                        <w:rPr>
                          <w:b w:val="0"/>
                          <w:color w:val="373737" w:themeColor="text1"/>
                        </w:rPr>
                        <w:t xml:space="preserve"> kan stå over for den udfordring, at EU's datakilder (f.eks. Eurostat) ikke indeholder værdier for fælles effektindikatorer inden for den fælles landbrugspolitik for hvert regionalt program for udvikling af landdistrikter. I disse situationer kan den regionale værdi af indikatoren (NUTS 2) anslås på baggrund af nationale data eller, hvis det er muligt, ved at sammenlægge de data, der er baseret på de enheder, der er indsamlet inden for det pågældende område (I.01, I.02, I.03).</w:t>
                      </w:r>
                    </w:p>
                  </w:txbxContent>
                </v:textbox>
                <w10:wrap anchorx="margin"/>
              </v:shape>
            </w:pict>
          </mc:Fallback>
        </mc:AlternateContent>
      </w:r>
      <w:r w:rsidRPr="0062664B">
        <w:br w:type="page"/>
      </w:r>
    </w:p>
    <w:p w:rsidR="00A41C7D" w:rsidRPr="0062664B" w:rsidRDefault="000B213F" w:rsidP="000B6372">
      <w:pPr>
        <w:pStyle w:val="HStandard"/>
        <w:rPr>
          <w:rFonts w:cs="Arial"/>
        </w:rPr>
      </w:pPr>
      <w:r w:rsidRPr="0062664B">
        <w:rPr>
          <w:b/>
          <w:i/>
          <w:noProof/>
          <w:color w:val="F07E31" w:themeColor="accent1"/>
          <w:lang w:eastAsia="en-GB" w:bidi="ar-SA"/>
        </w:rPr>
        <w:lastRenderedPageBreak/>
        <mc:AlternateContent>
          <mc:Choice Requires="wps">
            <w:drawing>
              <wp:anchor distT="0" distB="0" distL="114300" distR="114300" simplePos="0" relativeHeight="251733504" behindDoc="0" locked="0" layoutInCell="1" allowOverlap="1" wp14:anchorId="7A066B61" wp14:editId="6352703B">
                <wp:simplePos x="0" y="0"/>
                <wp:positionH relativeFrom="column">
                  <wp:posOffset>-212271</wp:posOffset>
                </wp:positionH>
                <wp:positionV relativeFrom="paragraph">
                  <wp:posOffset>-250370</wp:posOffset>
                </wp:positionV>
                <wp:extent cx="6388925" cy="9029700"/>
                <wp:effectExtent l="0" t="0" r="12065" b="19050"/>
                <wp:wrapNone/>
                <wp:docPr id="946" name="Rectangle: Rounded Corners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88925" cy="9029700"/>
                        </a:xfrm>
                        <a:prstGeom prst="roundRect">
                          <a:avLst>
                            <a:gd name="adj" fmla="val 4563"/>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B606A" id="Rectangle: Rounded Corners 946" o:spid="_x0000_s1026" style="position:absolute;margin-left:-16.7pt;margin-top:-19.7pt;width:503.05pt;height:71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9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" filled="f" strokecolor="#be4a35 [3205]" strokeweight="2pt">
                <v:path arrowok="t"/>
              </v:roundrect>
            </w:pict>
          </mc:Fallback>
        </mc:AlternateContent>
      </w:r>
      <w:r w:rsidRPr="0062664B">
        <w:rPr>
          <w:b/>
          <w:i/>
          <w:noProof/>
          <w:color w:val="F07E31" w:themeColor="accent1"/>
          <w:lang w:eastAsia="en-GB" w:bidi="ar-SA"/>
        </w:rPr>
        <mc:AlternateContent>
          <mc:Choice Requires="wps">
            <w:drawing>
              <wp:inline distT="0" distB="0" distL="0" distR="0" wp14:anchorId="6CA87B58" wp14:editId="1690DF19">
                <wp:extent cx="6093460" cy="2471057"/>
                <wp:effectExtent l="0" t="0" r="0" b="5715"/>
                <wp:docPr id="909" name="Rectangle: Diagonal Corners Rounded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3460" cy="2471057"/>
                        </a:xfrm>
                        <a:custGeom>
                          <a:avLst/>
                          <a:gdLst>
                            <a:gd name="T0" fmla="*/ 150406 w 6093460"/>
                            <a:gd name="T1" fmla="*/ 0 h 2609850"/>
                            <a:gd name="T2" fmla="*/ 6093460 w 6093460"/>
                            <a:gd name="T3" fmla="*/ 0 h 2609850"/>
                            <a:gd name="T4" fmla="*/ 6093460 w 6093460"/>
                            <a:gd name="T5" fmla="*/ 0 h 2609850"/>
                            <a:gd name="T6" fmla="*/ 6093460 w 6093460"/>
                            <a:gd name="T7" fmla="*/ 2459444 h 2609850"/>
                            <a:gd name="T8" fmla="*/ 5943054 w 6093460"/>
                            <a:gd name="T9" fmla="*/ 2609850 h 2609850"/>
                            <a:gd name="T10" fmla="*/ 0 w 6093460"/>
                            <a:gd name="T11" fmla="*/ 2609850 h 2609850"/>
                            <a:gd name="T12" fmla="*/ 0 w 6093460"/>
                            <a:gd name="T13" fmla="*/ 2609850 h 2609850"/>
                            <a:gd name="T14" fmla="*/ 0 w 6093460"/>
                            <a:gd name="T15" fmla="*/ 150406 h 2609850"/>
                            <a:gd name="T16" fmla="*/ 150406 w 6093460"/>
                            <a:gd name="T17" fmla="*/ 0 h 2609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6093460"/>
                            <a:gd name="T28" fmla="*/ 0 h 2609850"/>
                            <a:gd name="T29" fmla="*/ 6093460 w 6093460"/>
                            <a:gd name="T30" fmla="*/ 2609850 h 2609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6093460" h="2609850">
                              <a:moveTo>
                                <a:pt x="150406" y="0"/>
                              </a:moveTo>
                              <a:lnTo>
                                <a:pt x="6093460" y="0"/>
                              </a:lnTo>
                              <a:lnTo>
                                <a:pt x="6093460" y="2459444"/>
                              </a:lnTo>
                              <a:cubicBezTo>
                                <a:pt x="6093460" y="2542511"/>
                                <a:pt x="6026121" y="2609850"/>
                                <a:pt x="5943054" y="2609850"/>
                              </a:cubicBezTo>
                              <a:lnTo>
                                <a:pt x="0" y="2609850"/>
                              </a:lnTo>
                              <a:lnTo>
                                <a:pt x="0" y="150406"/>
                              </a:lnTo>
                              <a:cubicBezTo>
                                <a:pt x="0" y="67339"/>
                                <a:pt x="67339" y="0"/>
                                <a:pt x="150406" y="0"/>
                              </a:cubicBez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1A2EB5" w:rsidRDefault="001A2EB5" w:rsidP="00402862">
                            <w:pPr>
                              <w:pStyle w:val="HHeading4"/>
                              <w:spacing w:before="0" w:line="200" w:lineRule="atLeast"/>
                              <w:jc w:val="both"/>
                              <w:rPr>
                                <w:rFonts w:cs="Arial"/>
                                <w:color w:val="373737"/>
                                <w:sz w:val="18"/>
                                <w:szCs w:val="18"/>
                              </w:rPr>
                            </w:pPr>
                            <w:r>
                              <w:rPr>
                                <w:noProof/>
                                <w:color w:val="373737"/>
                                <w:lang w:val="en-GB" w:eastAsia="en-GB" w:bidi="ar-SA"/>
                              </w:rPr>
                              <w:drawing>
                                <wp:inline distT="0" distB="0" distL="0" distR="0" wp14:anchorId="53B8CA7B" wp14:editId="733CBBC1">
                                  <wp:extent cx="604157" cy="451757"/>
                                  <wp:effectExtent l="0" t="0" r="0" b="5715"/>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7116" cy="453969"/>
                                          </a:xfrm>
                                          <a:prstGeom prst="rect">
                                            <a:avLst/>
                                          </a:prstGeom>
                                        </pic:spPr>
                                      </pic:pic>
                                    </a:graphicData>
                                  </a:graphic>
                                </wp:inline>
                              </w:drawing>
                            </w:r>
                            <w:r>
                              <w:t>HURTIG VEJLEDNING NR. 1: Hvordan anvendes den logiske model til at identificere forskellige muligheder for at oprette den kontrafaktiske situation og til at vælge evalueringstilgangen?</w:t>
                            </w:r>
                          </w:p>
                          <w:p w:rsidR="001A2EB5" w:rsidRPr="005D575A" w:rsidRDefault="001A2EB5" w:rsidP="00402862">
                            <w:pPr>
                              <w:pStyle w:val="HStandard"/>
                              <w:spacing w:after="0" w:line="200" w:lineRule="atLeast"/>
                              <w:rPr>
                                <w:rFonts w:cs="Arial"/>
                                <w:sz w:val="18"/>
                              </w:rPr>
                            </w:pPr>
                            <w:r>
                              <w:rPr>
                                <w:sz w:val="18"/>
                              </w:rPr>
                              <w:t xml:space="preserve">Anvendelsen af de forskellige trin i beslutningstræet i det kontrafaktiske lag giver råd vedrørende besvarelse af følgende centrale spørgsmål ved udformningen af den kontrafaktiske situation: </w:t>
                            </w:r>
                          </w:p>
                          <w:p w:rsidR="001A2EB5" w:rsidRPr="005D575A" w:rsidRDefault="001A2EB5" w:rsidP="005166F3">
                            <w:pPr>
                              <w:pStyle w:val="Hlistbullet"/>
                              <w:rPr>
                                <w:sz w:val="18"/>
                              </w:rPr>
                            </w:pPr>
                            <w:r>
                              <w:rPr>
                                <w:sz w:val="18"/>
                              </w:rPr>
                              <w:t>Hvilke muligheder findes der til at udarbejde en kontrafaktisk situation?</w:t>
                            </w:r>
                          </w:p>
                          <w:p w:rsidR="001A2EB5" w:rsidRPr="005D575A" w:rsidRDefault="001A2EB5" w:rsidP="005166F3">
                            <w:pPr>
                              <w:pStyle w:val="Hlistbullet"/>
                              <w:rPr>
                                <w:sz w:val="18"/>
                              </w:rPr>
                            </w:pPr>
                            <w:r>
                              <w:rPr>
                                <w:sz w:val="18"/>
                              </w:rPr>
                              <w:t>Indeholder gennemførelse og anvendelse af foranstaltningerne mulighed for at oprette en kontrolgruppe?</w:t>
                            </w:r>
                          </w:p>
                          <w:p w:rsidR="001A2EB5" w:rsidRPr="005D575A" w:rsidRDefault="001A2EB5" w:rsidP="005166F3">
                            <w:pPr>
                              <w:pStyle w:val="Hlistbullet"/>
                              <w:rPr>
                                <w:sz w:val="18"/>
                              </w:rPr>
                            </w:pPr>
                            <w:r>
                              <w:rPr>
                                <w:sz w:val="18"/>
                              </w:rPr>
                              <w:t>I hvilket omfang har jeg data om andre faktorer, der kan påvirke de valgte indikatorer?</w:t>
                            </w:r>
                          </w:p>
                          <w:p w:rsidR="001A2EB5" w:rsidRPr="005D575A" w:rsidRDefault="001A2EB5" w:rsidP="005166F3">
                            <w:pPr>
                              <w:pStyle w:val="Hlistbullet"/>
                              <w:rPr>
                                <w:sz w:val="18"/>
                              </w:rPr>
                            </w:pPr>
                            <w:r>
                              <w:rPr>
                                <w:sz w:val="18"/>
                              </w:rPr>
                              <w:t>Har jeg data om de valgte indikatorer på forskellige tidspunkter (før og efter) for støttemodtagere og ikke-støttemodtagere?</w:t>
                            </w:r>
                          </w:p>
                          <w:p w:rsidR="001A2EB5" w:rsidRPr="00A41C7D" w:rsidRDefault="001A2EB5" w:rsidP="005166F3">
                            <w:pPr>
                              <w:pStyle w:val="Hlistbullet"/>
                              <w:rPr>
                                <w:sz w:val="18"/>
                              </w:rPr>
                            </w:pPr>
                            <w:r>
                              <w:rPr>
                                <w:sz w:val="18"/>
                              </w:rPr>
                              <w:t>Kan jeg anvende velfunderede statistikker baseret på statistikker til at kvantificere nettovirkningerne af de evaluerede foranstaltninger på en omkostningseffektiv måde?</w:t>
                            </w:r>
                          </w:p>
                          <w:p w:rsidR="001A2EB5" w:rsidRPr="00C545E7" w:rsidRDefault="001A2EB5" w:rsidP="00010B08">
                            <w:pPr>
                              <w:pStyle w:val="Hlistbullet"/>
                              <w:numPr>
                                <w:ilvl w:val="0"/>
                                <w:numId w:val="0"/>
                              </w:numPr>
                              <w:spacing w:before="0" w:after="0" w:line="280" w:lineRule="atLeast"/>
                              <w:jc w:val="right"/>
                              <w:rPr>
                                <w:i/>
                                <w:color w:val="F07E31" w:themeColor="accent1"/>
                                <w:sz w:val="18"/>
                              </w:rPr>
                            </w:pPr>
                          </w:p>
                        </w:txbxContent>
                      </wps:txbx>
                      <wps:bodyPr rot="0" vert="horz" wrap="square" lIns="91440" tIns="45720" rIns="91440" bIns="45720" anchor="ctr" anchorCtr="0" upright="1">
                        <a:noAutofit/>
                      </wps:bodyPr>
                    </wps:wsp>
                  </a:graphicData>
                </a:graphic>
              </wp:inline>
            </w:drawing>
          </mc:Choice>
          <mc:Fallback>
            <w:pict>
              <v:shape w14:anchorId="6CA87B58" id="Rectangle: Diagonal Corners Rounded 90" o:spid="_x0000_s1034" style="width:479.8pt;height:194.55pt;visibility:visible;mso-wrap-style:square;mso-left-percent:-10001;mso-top-percent:-10001;mso-position-horizontal:absolute;mso-position-horizontal-relative:char;mso-position-vertical:absolute;mso-position-vertical-relative:line;mso-left-percent:-10001;mso-top-percent:-10001;v-text-anchor:middle" coordsize="6093460,2609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" adj="-11796480,,5400" path="m150406,l6093460,r,2459444c6093460,2542511,6026121,2609850,5943054,2609850l,2609850,,150406c,67339,67339,,150406,xe" filled="f" stroked="f" strokeweight="2pt">
                <v:stroke joinstyle="miter"/>
                <v:formulas/>
                <v:path arrowok="t" o:connecttype="custom" o:connectlocs="150406,0;6093460,0;6093460,0;6093460,2328650;5943054,2471057;0,2471057;0,2471057;0,142407;150406,0" o:connectangles="0,0,0,0,0,0,0,0,0" textboxrect="0,0,6093460,2609850"/>
                <v:textbox>
                  <w:txbxContent>
                    <w:p w:rsidR="001A2EB5" w:rsidRDefault="001A2EB5" w:rsidP="00402862">
                      <w:pPr>
                        <w:pStyle w:val="HHeading4"/>
                        <w:spacing w:before="0" w:line="200" w:lineRule="atLeast"/>
                        <w:jc w:val="both"/>
                        <w:rPr>
                          <w:rFonts w:cs="Arial"/>
                          <w:color w:val="373737"/>
                          <w:sz w:val="18"/>
                          <w:szCs w:val="18"/>
                        </w:rPr>
                      </w:pPr>
                      <w:r>
                        <w:rPr>
                          <w:noProof/>
                          <w:color w:val="373737"/>
                          <w:lang w:val="en-GB" w:eastAsia="en-GB" w:bidi="ar-SA"/>
                        </w:rPr>
                        <w:drawing>
                          <wp:inline distT="0" distB="0" distL="0" distR="0" wp14:anchorId="53B8CA7B" wp14:editId="733CBBC1">
                            <wp:extent cx="604157" cy="451757"/>
                            <wp:effectExtent l="0" t="0" r="0" b="5715"/>
                            <wp:docPr id="93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7116" cy="453969"/>
                                    </a:xfrm>
                                    <a:prstGeom prst="rect">
                                      <a:avLst/>
                                    </a:prstGeom>
                                  </pic:spPr>
                                </pic:pic>
                              </a:graphicData>
                            </a:graphic>
                          </wp:inline>
                        </w:drawing>
                      </w:r>
                      <w:r>
                        <w:t>HURTIG VEJLEDNING NR. 1: Hvordan anvendes den logiske model til at identificere forskellige muligheder for at oprette den kontrafaktiske situation og til at vælge evalueringstilgangen?</w:t>
                      </w:r>
                    </w:p>
                    <w:p w:rsidR="001A2EB5" w:rsidRPr="005D575A" w:rsidRDefault="001A2EB5" w:rsidP="00402862">
                      <w:pPr>
                        <w:pStyle w:val="HStandard"/>
                        <w:spacing w:after="0" w:line="200" w:lineRule="atLeast"/>
                        <w:rPr>
                          <w:rFonts w:cs="Arial"/>
                          <w:sz w:val="18"/>
                        </w:rPr>
                      </w:pPr>
                      <w:r>
                        <w:rPr>
                          <w:sz w:val="18"/>
                        </w:rPr>
                        <w:t xml:space="preserve">Anvendelsen af de forskellige trin i beslutningstræet i det kontrafaktiske lag giver råd vedrørende besvarelse af følgende centrale spørgsmål ved udformningen af den kontrafaktiske situation: </w:t>
                      </w:r>
                    </w:p>
                    <w:p w:rsidR="001A2EB5" w:rsidRPr="005D575A" w:rsidRDefault="001A2EB5" w:rsidP="005166F3">
                      <w:pPr>
                        <w:pStyle w:val="Hlistbullet"/>
                        <w:rPr>
                          <w:sz w:val="18"/>
                        </w:rPr>
                      </w:pPr>
                      <w:r>
                        <w:rPr>
                          <w:sz w:val="18"/>
                        </w:rPr>
                        <w:t>Hvilke muligheder findes der til at udarbejde en kontrafaktisk situation?</w:t>
                      </w:r>
                    </w:p>
                    <w:p w:rsidR="001A2EB5" w:rsidRPr="005D575A" w:rsidRDefault="001A2EB5" w:rsidP="005166F3">
                      <w:pPr>
                        <w:pStyle w:val="Hlistbullet"/>
                        <w:rPr>
                          <w:sz w:val="18"/>
                        </w:rPr>
                      </w:pPr>
                      <w:r>
                        <w:rPr>
                          <w:sz w:val="18"/>
                        </w:rPr>
                        <w:t>Indeholder gennemførelse og anvendelse af foranstaltningerne mulighed for at oprette en kontrolgruppe?</w:t>
                      </w:r>
                    </w:p>
                    <w:p w:rsidR="001A2EB5" w:rsidRPr="005D575A" w:rsidRDefault="001A2EB5" w:rsidP="005166F3">
                      <w:pPr>
                        <w:pStyle w:val="Hlistbullet"/>
                        <w:rPr>
                          <w:sz w:val="18"/>
                        </w:rPr>
                      </w:pPr>
                      <w:r>
                        <w:rPr>
                          <w:sz w:val="18"/>
                        </w:rPr>
                        <w:t>I hvilket omfang har jeg data om andre faktorer, der kan påvirke de valgte indikatorer?</w:t>
                      </w:r>
                    </w:p>
                    <w:p w:rsidR="001A2EB5" w:rsidRPr="005D575A" w:rsidRDefault="001A2EB5" w:rsidP="005166F3">
                      <w:pPr>
                        <w:pStyle w:val="Hlistbullet"/>
                        <w:rPr>
                          <w:sz w:val="18"/>
                        </w:rPr>
                      </w:pPr>
                      <w:r>
                        <w:rPr>
                          <w:sz w:val="18"/>
                        </w:rPr>
                        <w:t>Har jeg data om de valgte indikatorer på forskellige tidspunkter (før og efter) for støttemodtagere og ikke-støttemodtagere?</w:t>
                      </w:r>
                    </w:p>
                    <w:p w:rsidR="001A2EB5" w:rsidRPr="00A41C7D" w:rsidRDefault="001A2EB5" w:rsidP="005166F3">
                      <w:pPr>
                        <w:pStyle w:val="Hlistbullet"/>
                        <w:rPr>
                          <w:sz w:val="18"/>
                        </w:rPr>
                      </w:pPr>
                      <w:r>
                        <w:rPr>
                          <w:sz w:val="18"/>
                        </w:rPr>
                        <w:t>Kan jeg anvende velfunderede statistikker baseret på statistikker til at kvantificere nettovirkningerne af de evaluerede foranstaltninger på en omkostningseffektiv måde?</w:t>
                      </w:r>
                    </w:p>
                    <w:p w:rsidR="001A2EB5" w:rsidRPr="00C545E7" w:rsidRDefault="001A2EB5" w:rsidP="00010B08">
                      <w:pPr>
                        <w:pStyle w:val="Hlistbullet"/>
                        <w:numPr>
                          <w:ilvl w:val="0"/>
                          <w:numId w:val="0"/>
                        </w:numPr>
                        <w:spacing w:before="0" w:after="0" w:line="280" w:lineRule="atLeast"/>
                        <w:jc w:val="right"/>
                        <w:rPr>
                          <w:i/>
                          <w:color w:val="F07E31" w:themeColor="accent1"/>
                          <w:sz w:val="18"/>
                        </w:rPr>
                      </w:pPr>
                    </w:p>
                  </w:txbxContent>
                </v:textbox>
                <w10:anchorlock/>
              </v:shape>
            </w:pict>
          </mc:Fallback>
        </mc:AlternateContent>
      </w:r>
    </w:p>
    <w:p w:rsidR="00EB120C" w:rsidRPr="0062664B" w:rsidRDefault="0062664B" w:rsidP="0062664B">
      <w:pPr>
        <w:pStyle w:val="HHeadingfigures"/>
        <w:numPr>
          <w:ilvl w:val="0"/>
          <w:numId w:val="0"/>
        </w:numPr>
      </w:pPr>
      <w:r w:rsidRPr="0062664B">
        <w:t xml:space="preserve">Figur 3: </w:t>
      </w:r>
      <w:r w:rsidR="00EC01C3" w:rsidRPr="0062664B">
        <w:t>Logisk model til at identificere muligheder for at oprette den kontrafaktiske situation</w:t>
      </w:r>
    </w:p>
    <w:p w:rsidR="0062664B" w:rsidRPr="0062664B" w:rsidRDefault="0062664B" w:rsidP="0062664B">
      <w:pPr>
        <w:pStyle w:val="HStandard"/>
      </w:pPr>
      <w:r w:rsidRPr="0062664B">
        <w:rPr>
          <w:noProof/>
          <w:color w:val="auto"/>
          <w:sz w:val="18"/>
          <w:szCs w:val="24"/>
          <w:lang w:eastAsia="en-GB" w:bidi="ar-SA"/>
        </w:rPr>
        <w:drawing>
          <wp:inline distT="0" distB="0" distL="0" distR="0" wp14:anchorId="4ECB8CC9" wp14:editId="71E4D887">
            <wp:extent cx="6114341" cy="4359391"/>
            <wp:effectExtent l="0" t="0" r="1270" b="3175"/>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 name="Figure3.jpg"/>
                    <pic:cNvPicPr/>
                  </pic:nvPicPr>
                  <pic:blipFill rotWithShape="1">
                    <a:blip r:embed="rId38" cstate="print">
                      <a:extLst>
                        <a:ext uri="{28A0092B-C50C-407E-A947-70E740481C1C}">
                          <a14:useLocalDpi xmlns:a14="http://schemas.microsoft.com/office/drawing/2010/main" val="0"/>
                        </a:ext>
                      </a:extLst>
                    </a:blip>
                    <a:srcRect l="11765" t="1418" r="12806" b="2963"/>
                    <a:stretch/>
                  </pic:blipFill>
                  <pic:spPr bwMode="auto">
                    <a:xfrm>
                      <a:off x="0" y="0"/>
                      <a:ext cx="6115156" cy="4359972"/>
                    </a:xfrm>
                    <a:prstGeom prst="rect">
                      <a:avLst/>
                    </a:prstGeom>
                    <a:ln>
                      <a:noFill/>
                    </a:ln>
                    <a:extLst>
                      <a:ext uri="{53640926-AAD7-44D8-BBD7-CCE9431645EC}">
                        <a14:shadowObscured xmlns:a14="http://schemas.microsoft.com/office/drawing/2010/main"/>
                      </a:ext>
                    </a:extLst>
                  </pic:spPr>
                </pic:pic>
              </a:graphicData>
            </a:graphic>
          </wp:inline>
        </w:drawing>
      </w:r>
    </w:p>
    <w:p w:rsidR="00EB120C" w:rsidRPr="0062664B" w:rsidRDefault="00EB120C" w:rsidP="00B42D5D">
      <w:pPr>
        <w:pStyle w:val="HSource"/>
      </w:pPr>
      <w:r w:rsidRPr="0062664B">
        <w:t>Kilde: tilpasset fra ENVIEVAL (2015)</w:t>
      </w:r>
    </w:p>
    <w:p w:rsidR="00EB120C" w:rsidRPr="0062664B" w:rsidRDefault="00EB120C" w:rsidP="00EB120C">
      <w:pPr>
        <w:pStyle w:val="Hlistbullet"/>
        <w:numPr>
          <w:ilvl w:val="0"/>
          <w:numId w:val="0"/>
        </w:numPr>
        <w:spacing w:before="0" w:after="0" w:line="280" w:lineRule="atLeast"/>
        <w:rPr>
          <w:rFonts w:cs="Arial"/>
          <w:sz w:val="18"/>
        </w:rPr>
      </w:pPr>
      <w:r w:rsidRPr="0062664B">
        <w:rPr>
          <w:sz w:val="18"/>
        </w:rPr>
        <w:t xml:space="preserve">Den logiske model begynder med en beskrivelse af anvendelse og datasituation for </w:t>
      </w:r>
      <w:r w:rsidR="00C94A94" w:rsidRPr="0062664B">
        <w:rPr>
          <w:sz w:val="18"/>
        </w:rPr>
        <w:t>landdistriktsudviklingsprogrammet</w:t>
      </w:r>
      <w:r w:rsidRPr="0062664B">
        <w:rPr>
          <w:sz w:val="18"/>
        </w:rPr>
        <w:t xml:space="preserve"> med hensyn til tilgængelige effekt- (og resultat-) indikatorer i det fælles overvågnings- og evalueringssystem, men også med hensyn til supplerende indikatorer, hvis disse er valgt (udfyldte mørkegrå bokse). En række beslutningsspørgsmål (røde bokse) fører til forskellige muligheder for at oprette af den kontrafaktiske situation (udfyldte røde bokse). </w:t>
      </w:r>
    </w:p>
    <w:p w:rsidR="00EB120C" w:rsidRPr="0062664B" w:rsidRDefault="00EB120C" w:rsidP="00B42D5D">
      <w:pPr>
        <w:pStyle w:val="Hlistbullet"/>
        <w:numPr>
          <w:ilvl w:val="0"/>
          <w:numId w:val="0"/>
        </w:numPr>
        <w:spacing w:before="0" w:after="0" w:line="280" w:lineRule="atLeast"/>
        <w:jc w:val="center"/>
        <w:rPr>
          <w:i/>
          <w:color w:val="F07E31" w:themeColor="accent1"/>
          <w:sz w:val="18"/>
        </w:rPr>
      </w:pPr>
      <w:r w:rsidRPr="0062664B">
        <w:rPr>
          <w:i/>
          <w:color w:val="F07E31" w:themeColor="accent1"/>
          <w:sz w:val="18"/>
        </w:rPr>
        <w:t xml:space="preserve">Få mere at vide om brugen af logiske modeller i </w:t>
      </w:r>
      <w:hyperlink r:id="rId39">
        <w:r w:rsidRPr="0062664B">
          <w:rPr>
            <w:rStyle w:val="Hyperlink"/>
            <w:i/>
            <w:sz w:val="18"/>
          </w:rPr>
          <w:t>FP7-forskningsprojekt ENVIEVAL</w:t>
        </w:r>
      </w:hyperlink>
      <w:r w:rsidRPr="0062664B">
        <w:rPr>
          <w:rStyle w:val="Hyperlink"/>
          <w:i/>
          <w:sz w:val="18"/>
        </w:rPr>
        <w:t xml:space="preserve"> </w:t>
      </w:r>
      <w:r w:rsidRPr="0062664B">
        <w:rPr>
          <w:rStyle w:val="Hyperlink"/>
          <w:i/>
          <w:sz w:val="18"/>
          <w:u w:val="none"/>
        </w:rPr>
        <w:t>og i</w:t>
      </w:r>
      <w:r w:rsidRPr="0062664B">
        <w:rPr>
          <w:i/>
          <w:color w:val="F07E31" w:themeColor="accent1"/>
          <w:sz w:val="18"/>
        </w:rPr>
        <w:t xml:space="preserve"> </w:t>
      </w:r>
      <w:hyperlink r:id="rId40">
        <w:r w:rsidRPr="0062664B">
          <w:rPr>
            <w:rStyle w:val="Hyperlink"/>
            <w:i/>
            <w:sz w:val="18"/>
          </w:rPr>
          <w:t>Methodological Handbook for the evaluation of environmental impacts of RDPs</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6D4194" w:rsidRPr="0062664B" w:rsidTr="00F74B7E">
        <w:tc>
          <w:tcPr>
            <w:tcW w:w="9026" w:type="dxa"/>
            <w:shd w:val="clear" w:color="auto" w:fill="auto"/>
          </w:tcPr>
          <w:p w:rsidR="006D4194" w:rsidRPr="0062664B" w:rsidRDefault="00097EBE" w:rsidP="00FF2B1F">
            <w:pPr>
              <w:pStyle w:val="Hlistbullet"/>
              <w:numPr>
                <w:ilvl w:val="0"/>
                <w:numId w:val="0"/>
              </w:numPr>
              <w:spacing w:before="0" w:after="0" w:line="280" w:lineRule="atLeast"/>
              <w:rPr>
                <w:sz w:val="18"/>
                <w:szCs w:val="18"/>
              </w:rPr>
            </w:pPr>
            <w:r w:rsidRPr="0062664B">
              <w:lastRenderedPageBreak/>
              <w:tab/>
            </w:r>
            <w:r w:rsidR="006D4194" w:rsidRPr="0062664B">
              <w:rPr>
                <w:b/>
                <w:i/>
                <w:noProof/>
                <w:color w:val="F07E31" w:themeColor="accent1"/>
                <w:lang w:eastAsia="en-GB" w:bidi="ar-SA"/>
              </w:rPr>
              <mc:AlternateContent>
                <mc:Choice Requires="wps">
                  <w:drawing>
                    <wp:inline distT="0" distB="0" distL="0" distR="0" wp14:anchorId="7353A741" wp14:editId="6B445E53">
                      <wp:extent cx="5753100" cy="8583386"/>
                      <wp:effectExtent l="0" t="0" r="19050" b="27305"/>
                      <wp:docPr id="90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53100" cy="8583386"/>
                              </a:xfrm>
                              <a:custGeom>
                                <a:avLst/>
                                <a:gdLst>
                                  <a:gd name="T0" fmla="*/ 276626 w 5567045"/>
                                  <a:gd name="T1" fmla="*/ 0 h 8401050"/>
                                  <a:gd name="T2" fmla="*/ 5567045 w 5567045"/>
                                  <a:gd name="T3" fmla="*/ 0 h 8401050"/>
                                  <a:gd name="T4" fmla="*/ 5567045 w 5567045"/>
                                  <a:gd name="T5" fmla="*/ 0 h 8401050"/>
                                  <a:gd name="T6" fmla="*/ 5567045 w 5567045"/>
                                  <a:gd name="T7" fmla="*/ 8124424 h 8401050"/>
                                  <a:gd name="T8" fmla="*/ 5290419 w 5567045"/>
                                  <a:gd name="T9" fmla="*/ 8401050 h 8401050"/>
                                  <a:gd name="T10" fmla="*/ 0 w 5567045"/>
                                  <a:gd name="T11" fmla="*/ 8401050 h 8401050"/>
                                  <a:gd name="T12" fmla="*/ 0 w 5567045"/>
                                  <a:gd name="T13" fmla="*/ 8401050 h 8401050"/>
                                  <a:gd name="T14" fmla="*/ 0 w 5567045"/>
                                  <a:gd name="T15" fmla="*/ 276626 h 8401050"/>
                                  <a:gd name="T16" fmla="*/ 276626 w 5567045"/>
                                  <a:gd name="T17" fmla="*/ 0 h 84010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567045"/>
                                  <a:gd name="T28" fmla="*/ 0 h 8401050"/>
                                  <a:gd name="T29" fmla="*/ 5567045 w 5567045"/>
                                  <a:gd name="T30" fmla="*/ 8401050 h 84010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567045" h="8401050">
                                    <a:moveTo>
                                      <a:pt x="276626" y="0"/>
                                    </a:moveTo>
                                    <a:lnTo>
                                      <a:pt x="5567045" y="0"/>
                                    </a:lnTo>
                                    <a:lnTo>
                                      <a:pt x="5567045" y="8124424"/>
                                    </a:lnTo>
                                    <a:cubicBezTo>
                                      <a:pt x="5567045" y="8277200"/>
                                      <a:pt x="5443195" y="8401050"/>
                                      <a:pt x="5290419" y="8401050"/>
                                    </a:cubicBezTo>
                                    <a:lnTo>
                                      <a:pt x="0" y="8401050"/>
                                    </a:lnTo>
                                    <a:lnTo>
                                      <a:pt x="0" y="276626"/>
                                    </a:lnTo>
                                    <a:cubicBezTo>
                                      <a:pt x="0" y="123850"/>
                                      <a:pt x="123850" y="0"/>
                                      <a:pt x="276626"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1A2EB5" w:rsidRPr="00391ECD" w:rsidRDefault="001A2EB5" w:rsidP="005C7C25">
                                  <w:pPr>
                                    <w:pStyle w:val="HHeading4"/>
                                  </w:pPr>
                                  <w:r>
                                    <w:rPr>
                                      <w:noProof/>
                                      <w:color w:val="373737"/>
                                      <w:lang w:val="en-GB" w:eastAsia="en-GB" w:bidi="ar-SA"/>
                                    </w:rPr>
                                    <w:drawing>
                                      <wp:inline distT="0" distB="0" distL="0" distR="0" wp14:anchorId="6DBEFDB5" wp14:editId="53180AAE">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t>HURTIG VEJLEDNING NR. 2: Hvordan oprettes en kontrolgruppe på mikroniveau? (med hensyn til det andet lag)</w:t>
                                  </w:r>
                                </w:p>
                                <w:p w:rsidR="001A2EB5" w:rsidRPr="007008C0" w:rsidRDefault="001A2EB5" w:rsidP="005C7C25">
                                  <w:pPr>
                                    <w:pStyle w:val="HStandard"/>
                                    <w:spacing w:after="0"/>
                                    <w:rPr>
                                      <w:rFonts w:cs="Arial"/>
                                      <w:color w:val="373737"/>
                                      <w:sz w:val="18"/>
                                      <w:szCs w:val="18"/>
                                    </w:rPr>
                                  </w:pPr>
                                  <w:r>
                                    <w:rPr>
                                      <w:color w:val="373737"/>
                                      <w:sz w:val="18"/>
                                    </w:rPr>
                                    <w:t>Den kontrafaktiske analyse på mikroniveau bør baseres på en sammenligning mellem kontrolgrupper af programmets støttemodtagere og ikke-støttemodtagere, der ligner så meget som muligt (i observerbare og ikke-observerbare dimensioner). Hvis de to grupper statistisk set er tilstrækkeligt ensartede (dvs. at de har lignende egenskaber), kan det antages, at eventuelle forskelle i resultater skyldes programmet. Kontrafaktisk analyse giver mulighed for at påvise en årsagssammenhæng – tilskrive programmet registrerede ændringer i resultaterne og samtidig fjerne forvirrende faktorer.</w:t>
                                  </w:r>
                                </w:p>
                                <w:p w:rsidR="001A2EB5" w:rsidRPr="007008C0" w:rsidRDefault="001A2EB5" w:rsidP="005C7C25">
                                  <w:pPr>
                                    <w:pStyle w:val="HStandard"/>
                                    <w:spacing w:after="0"/>
                                    <w:rPr>
                                      <w:rFonts w:cs="Arial"/>
                                      <w:color w:val="373737"/>
                                      <w:sz w:val="18"/>
                                      <w:szCs w:val="18"/>
                                    </w:rPr>
                                  </w:pPr>
                                </w:p>
                                <w:p w:rsidR="001A2EB5" w:rsidRPr="007008C0" w:rsidRDefault="001A2EB5" w:rsidP="005C7C25">
                                  <w:pPr>
                                    <w:pStyle w:val="HStandard"/>
                                    <w:spacing w:after="0"/>
                                    <w:rPr>
                                      <w:rFonts w:cs="Arial"/>
                                      <w:color w:val="373737"/>
                                      <w:sz w:val="18"/>
                                      <w:szCs w:val="18"/>
                                    </w:rPr>
                                  </w:pPr>
                                  <w:r>
                                    <w:rPr>
                                      <w:color w:val="373737"/>
                                      <w:sz w:val="18"/>
                                    </w:rPr>
                                    <w:t xml:space="preserve">Oprettelsen af en passende kontrolgruppe kan være en krævende opgave som følge af en stærk naturlig udvælgelse af programmet og strenge støttebetingelser i medfør af programmet. Programmets støttemodtagere i vurderingen, der modtog støtte, kan være vidt forskellige fra ikke-støttemodtagerne, både hvad angår de strukturelle egenskaber og de økonomiske, miljømæssige og samfundsøkonomiske resultater. </w:t>
                                  </w:r>
                                </w:p>
                                <w:p w:rsidR="001A2EB5" w:rsidRPr="007008C0" w:rsidRDefault="001A2EB5" w:rsidP="005C7C25">
                                  <w:pPr>
                                    <w:pStyle w:val="HStandard"/>
                                    <w:spacing w:after="0"/>
                                    <w:rPr>
                                      <w:rFonts w:cs="Arial"/>
                                      <w:color w:val="373737"/>
                                      <w:sz w:val="18"/>
                                      <w:szCs w:val="18"/>
                                    </w:rPr>
                                  </w:pPr>
                                </w:p>
                                <w:p w:rsidR="001A2EB5" w:rsidRPr="007008C0" w:rsidRDefault="001A2EB5" w:rsidP="005C7C25">
                                  <w:pPr>
                                    <w:pStyle w:val="HStandard"/>
                                    <w:spacing w:after="0"/>
                                    <w:rPr>
                                      <w:rFonts w:cs="Arial"/>
                                      <w:color w:val="373737"/>
                                      <w:sz w:val="18"/>
                                      <w:szCs w:val="18"/>
                                    </w:rPr>
                                  </w:pPr>
                                  <w:r>
                                    <w:rPr>
                                      <w:color w:val="373737"/>
                                      <w:sz w:val="18"/>
                                    </w:rPr>
                                    <w:t>En passende kontrolgruppe oprettes som følger:</w:t>
                                  </w:r>
                                </w:p>
                                <w:p w:rsidR="001A2EB5" w:rsidRPr="00A65F07" w:rsidRDefault="001A2EB5" w:rsidP="00B37209">
                                  <w:pPr>
                                    <w:pStyle w:val="Hlistbullet"/>
                                    <w:rPr>
                                      <w:sz w:val="18"/>
                                      <w:szCs w:val="18"/>
                                    </w:rPr>
                                  </w:pPr>
                                  <w:r w:rsidRPr="00A65F07">
                                    <w:rPr>
                                      <w:b/>
                                      <w:color w:val="F07E31" w:themeColor="accent1"/>
                                      <w:sz w:val="18"/>
                                      <w:szCs w:val="18"/>
                                    </w:rPr>
                                    <w:t>Trin 1:</w:t>
                                  </w:r>
                                  <w:r w:rsidRPr="00A65F07">
                                    <w:rPr>
                                      <w:sz w:val="18"/>
                                      <w:szCs w:val="18"/>
                                    </w:rPr>
                                    <w:t xml:space="preserve"> Udtag en stikprøve af støttemodtagere under landdistriktsudviklingsprogrammet (f.eks. bedrifter/landbrugere/ikke-landbrugsvirksomheder/lokalsamfund/områder/regioner) i en tilgængelig database (f.eks. INLB), og anvend </w:t>
                                  </w:r>
                                  <w:r w:rsidRPr="00A65F07">
                                    <w:rPr>
                                      <w:color w:val="373737"/>
                                      <w:sz w:val="18"/>
                                      <w:szCs w:val="18"/>
                                    </w:rPr>
                                    <w:t xml:space="preserve">landdistriktsudviklingsprogrammets </w:t>
                                  </w:r>
                                  <w:r w:rsidRPr="00A65F07">
                                    <w:rPr>
                                      <w:sz w:val="18"/>
                                      <w:szCs w:val="18"/>
                                    </w:rPr>
                                    <w:t xml:space="preserve">overvågningssystem som referencepunkt (f.eks. betalingsorganets database). </w:t>
                                  </w:r>
                                </w:p>
                                <w:p w:rsidR="001A2EB5" w:rsidRPr="00A65F07" w:rsidRDefault="001A2EB5" w:rsidP="007F7082">
                                  <w:pPr>
                                    <w:pStyle w:val="Hlistbullet"/>
                                    <w:rPr>
                                      <w:sz w:val="18"/>
                                      <w:szCs w:val="18"/>
                                    </w:rPr>
                                  </w:pPr>
                                  <w:r w:rsidRPr="00A65F07">
                                    <w:rPr>
                                      <w:b/>
                                      <w:color w:val="F07E31" w:themeColor="accent1"/>
                                      <w:sz w:val="18"/>
                                      <w:szCs w:val="18"/>
                                    </w:rPr>
                                    <w:t>Trin 2:</w:t>
                                  </w:r>
                                  <w:r w:rsidRPr="00A65F07">
                                    <w:rPr>
                                      <w:sz w:val="18"/>
                                      <w:szCs w:val="18"/>
                                    </w:rPr>
                                    <w:t xml:space="preserve"> Blandt alle relevante enheder, der er registreret i databasen, udvælges de, som i samme periode ikke har modtaget støtte fra foranstaltninger under </w:t>
                                  </w:r>
                                  <w:r w:rsidRPr="00A65F07">
                                    <w:rPr>
                                      <w:color w:val="373737"/>
                                      <w:sz w:val="18"/>
                                      <w:szCs w:val="18"/>
                                    </w:rPr>
                                    <w:t xml:space="preserve">landdistriktsudviklingsprogrammet </w:t>
                                  </w:r>
                                  <w:r w:rsidRPr="00A65F07">
                                    <w:rPr>
                                      <w:sz w:val="18"/>
                                      <w:szCs w:val="18"/>
                                    </w:rPr>
                                    <w:t>("ikke-modtagere").</w:t>
                                  </w:r>
                                </w:p>
                                <w:p w:rsidR="001A2EB5" w:rsidRPr="00AF5661" w:rsidRDefault="001A2EB5" w:rsidP="005C7C25">
                                  <w:pPr>
                                    <w:pStyle w:val="Hlistbullet"/>
                                    <w:spacing w:before="0" w:after="0" w:line="280" w:lineRule="atLeast"/>
                                    <w:ind w:left="604" w:hanging="604"/>
                                    <w:rPr>
                                      <w:color w:val="373737"/>
                                      <w:sz w:val="18"/>
                                      <w:szCs w:val="18"/>
                                    </w:rPr>
                                  </w:pPr>
                                  <w:r>
                                    <w:rPr>
                                      <w:b/>
                                      <w:color w:val="F07E31" w:themeColor="accent1"/>
                                      <w:sz w:val="18"/>
                                    </w:rPr>
                                    <w:t>Trin 3:</w:t>
                                  </w:r>
                                  <w:r>
                                    <w:rPr>
                                      <w:color w:val="373737"/>
                                      <w:sz w:val="18"/>
                                    </w:rPr>
                                    <w:t xml:space="preserve"> Fra gruppen af ikke-modtagere forhåndsudvælges de enheder, som IKKE opfylder programmets betingelser for støtteberettigelse (på grund af høje indtægter, størrelse, placering, osv.), og de fjernes fra analysen. </w:t>
                                  </w:r>
                                </w:p>
                                <w:p w:rsidR="001A2EB5" w:rsidRPr="007008C0" w:rsidRDefault="001A2EB5" w:rsidP="005C7C25">
                                  <w:pPr>
                                    <w:pStyle w:val="Hlistbullet"/>
                                    <w:spacing w:before="0" w:after="0" w:line="280" w:lineRule="atLeast"/>
                                    <w:ind w:left="604" w:hanging="604"/>
                                    <w:rPr>
                                      <w:color w:val="373737"/>
                                      <w:sz w:val="18"/>
                                      <w:szCs w:val="18"/>
                                    </w:rPr>
                                  </w:pPr>
                                  <w:r>
                                    <w:rPr>
                                      <w:b/>
                                      <w:color w:val="F07E31" w:themeColor="accent1"/>
                                      <w:sz w:val="18"/>
                                    </w:rPr>
                                    <w:t>Trin 4:</w:t>
                                  </w:r>
                                  <w:r>
                                    <w:rPr>
                                      <w:color w:val="373737"/>
                                      <w:sz w:val="18"/>
                                    </w:rPr>
                                    <w:t xml:space="preserve"> Indsaml data for alle enheder i begge grupper (støttemodtagere og ikke-støttemodtagere) om deres vigtigste karakteristika (variabler) for 2013 (dvs. forud for programmet). Bemærk, at de variabler, der indgår i analysen, bør påvirke både udvælgelsen af en enhed samt indikatorerne, der beregnes på mikroniveau (fælles indikatorer og yderligere effektindikatorer). En af de foreslåede variabler (der anvendes som en vigtig kontrolvariabel) kan være: i) omfanget af støtte, som en bestemt enhed har modtaget ("støttemodtager" og "ikke-støttemodtager") i løbet af den foregående programmeringsperiode 2007-2013, og/eller ii) omfanget af støtte, en bestemt enhed modtog ("støttemodtager" og "ikke-støttemodtager") fra andre offentlige kilder (f.eks. EU's strukturfonde, søjle I) i den analyserede periode.</w:t>
                                  </w:r>
                                </w:p>
                                <w:p w:rsidR="001A2EB5" w:rsidRPr="00AF5661" w:rsidRDefault="001A2EB5" w:rsidP="005C7C25">
                                  <w:pPr>
                                    <w:pStyle w:val="Hlistbullet"/>
                                    <w:spacing w:before="0" w:after="0" w:line="280" w:lineRule="atLeast"/>
                                    <w:ind w:left="604" w:hanging="604"/>
                                    <w:rPr>
                                      <w:color w:val="373737"/>
                                      <w:sz w:val="18"/>
                                      <w:szCs w:val="18"/>
                                    </w:rPr>
                                  </w:pPr>
                                  <w:r>
                                    <w:rPr>
                                      <w:b/>
                                      <w:color w:val="F07E31" w:themeColor="accent1"/>
                                      <w:sz w:val="18"/>
                                    </w:rPr>
                                    <w:t>Trin 5:</w:t>
                                  </w:r>
                                  <w:r>
                                    <w:rPr>
                                      <w:color w:val="373737"/>
                                      <w:sz w:val="18"/>
                                    </w:rPr>
                                    <w:t xml:space="preserve"> Anvend passende metoder (f.eks. matchning), som gør det muligt ud fra stikprøven af ikke-støttemodtagere (jf.: trin 2-3) at udtage en egnet "kontrolgruppe" (nogle "ikke-støttemodtagere" og/eller "støttemodtagere" vil blive fjernet fra analysen på grund af manglende passende kontrolenheder).</w:t>
                                  </w:r>
                                </w:p>
                                <w:p w:rsidR="001A2EB5" w:rsidRPr="0025164E" w:rsidRDefault="001A2EB5" w:rsidP="005C7C25">
                                  <w:pPr>
                                    <w:pStyle w:val="Hlistbullet"/>
                                    <w:spacing w:before="0" w:after="0" w:line="280" w:lineRule="atLeast"/>
                                    <w:ind w:left="604" w:hanging="604"/>
                                  </w:pPr>
                                  <w:r>
                                    <w:rPr>
                                      <w:b/>
                                      <w:color w:val="F07E31" w:themeColor="accent1"/>
                                      <w:sz w:val="18"/>
                                    </w:rPr>
                                    <w:t>Trin 6:</w:t>
                                  </w:r>
                                  <w:r>
                                    <w:rPr>
                                      <w:color w:val="373737"/>
                                      <w:sz w:val="18"/>
                                    </w:rPr>
                                    <w:t xml:space="preserve"> Statistisk kontrol af begge gruppers "sammenlignelighed" før modtagelse af støtte fra programmet, (f.eks. ved at udføre statistiske prøver af kovarianser, der indgår i analysen). Den gennemsnitlige værdi af en enhed i gruppen af "støttemodtagere" bør ikke afvige væsentligt fra den respektive enhed i "kontrolgruppen".</w:t>
                                  </w:r>
                                </w:p>
                                <w:p w:rsidR="001A2EB5" w:rsidRPr="0025164E" w:rsidRDefault="001A2EB5" w:rsidP="00735F08">
                                  <w:pPr>
                                    <w:pStyle w:val="Hlistbullet"/>
                                    <w:numPr>
                                      <w:ilvl w:val="0"/>
                                      <w:numId w:val="0"/>
                                    </w:numPr>
                                    <w:jc w:val="center"/>
                                    <w:rPr>
                                      <w:i/>
                                      <w:color w:val="F07E31" w:themeColor="accent1"/>
                                      <w:sz w:val="18"/>
                                      <w:szCs w:val="18"/>
                                    </w:rPr>
                                  </w:pPr>
                                  <w:r>
                                    <w:rPr>
                                      <w:i/>
                                      <w:color w:val="F07E31" w:themeColor="accent1"/>
                                      <w:sz w:val="18"/>
                                    </w:rPr>
                                    <w:t>Få mere at vide om udformningen af kontrolgrupper, matchning osv. i</w:t>
                                  </w:r>
                                  <w:r>
                                    <w:rPr>
                                      <w:i/>
                                      <w:color w:val="F07E31" w:themeColor="accent1"/>
                                      <w:sz w:val="18"/>
                                      <w:szCs w:val="18"/>
                                    </w:rPr>
                                    <w:br/>
                                  </w:r>
                                  <w:r>
                                    <w:rPr>
                                      <w:i/>
                                      <w:color w:val="F07E31" w:themeColor="accent1"/>
                                      <w:sz w:val="18"/>
                                    </w:rPr>
                                    <w:t xml:space="preserve"> </w:t>
                                  </w:r>
                                  <w:hyperlink r:id="rId41" w:history="1">
                                    <w:r>
                                      <w:rPr>
                                        <w:rStyle w:val="Hyperlink"/>
                                        <w:i/>
                                        <w:color w:val="F07E31" w:themeColor="accent1"/>
                                        <w:sz w:val="18"/>
                                      </w:rPr>
                                      <w:t>Retningslinjer for den efterfølgende evaluering af programmer for udvikling af landdistrikter 2007-2013</w:t>
                                    </w:r>
                                  </w:hyperlink>
                                  <w:r>
                                    <w:rPr>
                                      <w:rStyle w:val="Hyperlink"/>
                                      <w:i/>
                                      <w:color w:val="F07E31" w:themeColor="accent1"/>
                                      <w:sz w:val="18"/>
                                    </w:rPr>
                                    <w:t>, kapitel 4.</w:t>
                                  </w:r>
                                </w:p>
                              </w:txbxContent>
                            </wps:txbx>
                            <wps:bodyPr rot="0" vert="horz" wrap="square" lIns="91440" tIns="45720" rIns="91440" bIns="45720" anchor="ctr" anchorCtr="0" upright="1">
                              <a:noAutofit/>
                            </wps:bodyPr>
                          </wps:wsp>
                        </a:graphicData>
                      </a:graphic>
                    </wp:inline>
                  </w:drawing>
                </mc:Choice>
                <mc:Fallback>
                  <w:pict>
                    <v:shape w14:anchorId="7353A741" id="AutoShape 67" o:spid="_x0000_s1035" style="width:453pt;height:675.85pt;visibility:visible;mso-wrap-style:square;mso-left-percent:-10001;mso-top-percent:-10001;mso-position-horizontal:absolute;mso-position-horizontal-relative:char;mso-position-vertical:absolute;mso-position-vertical-relative:line;mso-left-percent:-10001;mso-top-percent:-10001;v-text-anchor:middle" coordsize="5567045,8401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" adj="-11796480,,5400" path="m276626,l5567045,r,8124424c5567045,8277200,5443195,8401050,5290419,8401050l,8401050,,276626c,123850,123850,,276626,xe" filled="f" strokecolor="#be4a35" strokeweight="2pt">
                      <v:stroke joinstyle="miter"/>
                      <v:formulas/>
                      <v:path arrowok="t" o:connecttype="custom" o:connectlocs="285871,0;5753100,0;5753100,0;5753100,8300756;5467229,8583386;0,8583386;0,8583386;0,282630;285871,0" o:connectangles="0,0,0,0,0,0,0,0,0" textboxrect="0,0,5567045,8401050"/>
                      <v:textbox>
                        <w:txbxContent>
                          <w:p w:rsidR="001A2EB5" w:rsidRPr="00391ECD" w:rsidRDefault="001A2EB5" w:rsidP="005C7C25">
                            <w:pPr>
                              <w:pStyle w:val="HHeading4"/>
                            </w:pPr>
                            <w:r>
                              <w:rPr>
                                <w:noProof/>
                                <w:color w:val="373737"/>
                                <w:lang w:val="en-GB" w:eastAsia="en-GB" w:bidi="ar-SA"/>
                              </w:rPr>
                              <w:drawing>
                                <wp:inline distT="0" distB="0" distL="0" distR="0" wp14:anchorId="6DBEFDB5" wp14:editId="53180AAE">
                                  <wp:extent cx="664845" cy="487680"/>
                                  <wp:effectExtent l="0" t="0" r="0" b="7620"/>
                                  <wp:docPr id="910"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 </w:t>
                            </w:r>
                            <w:r>
                              <w:t>HURTIG VEJLEDNING NR. 2: Hvordan oprettes en kontrolgruppe på mikroniveau? (med hensyn til det andet lag)</w:t>
                            </w:r>
                          </w:p>
                          <w:p w:rsidR="001A2EB5" w:rsidRPr="007008C0" w:rsidRDefault="001A2EB5" w:rsidP="005C7C25">
                            <w:pPr>
                              <w:pStyle w:val="HStandard"/>
                              <w:spacing w:after="0"/>
                              <w:rPr>
                                <w:rFonts w:cs="Arial"/>
                                <w:color w:val="373737"/>
                                <w:sz w:val="18"/>
                                <w:szCs w:val="18"/>
                              </w:rPr>
                            </w:pPr>
                            <w:r>
                              <w:rPr>
                                <w:color w:val="373737"/>
                                <w:sz w:val="18"/>
                              </w:rPr>
                              <w:t>Den kontrafaktiske analyse på mikroniveau bør baseres på en sammenligning mellem kontrolgrupper af programmets støttemodtagere og ikke-støttemodtagere, der ligner så meget som muligt (i observerbare og ikke-observerbare dimensioner). Hvis de to grupper statistisk set er tilstrækkeligt ensartede (dvs. at de har lignende egenskaber), kan det antages, at eventuelle forskelle i resultater skyldes programmet. Kontrafaktisk analyse giver mulighed for at påvise en årsagssammenhæng – tilskrive programmet registrerede ændringer i resultaterne og samtidig fjerne forvirrende faktorer.</w:t>
                            </w:r>
                          </w:p>
                          <w:p w:rsidR="001A2EB5" w:rsidRPr="007008C0" w:rsidRDefault="001A2EB5" w:rsidP="005C7C25">
                            <w:pPr>
                              <w:pStyle w:val="HStandard"/>
                              <w:spacing w:after="0"/>
                              <w:rPr>
                                <w:rFonts w:cs="Arial"/>
                                <w:color w:val="373737"/>
                                <w:sz w:val="18"/>
                                <w:szCs w:val="18"/>
                              </w:rPr>
                            </w:pPr>
                          </w:p>
                          <w:p w:rsidR="001A2EB5" w:rsidRPr="007008C0" w:rsidRDefault="001A2EB5" w:rsidP="005C7C25">
                            <w:pPr>
                              <w:pStyle w:val="HStandard"/>
                              <w:spacing w:after="0"/>
                              <w:rPr>
                                <w:rFonts w:cs="Arial"/>
                                <w:color w:val="373737"/>
                                <w:sz w:val="18"/>
                                <w:szCs w:val="18"/>
                              </w:rPr>
                            </w:pPr>
                            <w:r>
                              <w:rPr>
                                <w:color w:val="373737"/>
                                <w:sz w:val="18"/>
                              </w:rPr>
                              <w:t xml:space="preserve">Oprettelsen af en passende kontrolgruppe kan være en krævende opgave som følge af en stærk naturlig udvælgelse af programmet og strenge støttebetingelser i medfør af programmet. Programmets støttemodtagere i vurderingen, der modtog støtte, kan være vidt forskellige fra ikke-støttemodtagerne, både hvad angår de strukturelle egenskaber og de økonomiske, miljømæssige og samfundsøkonomiske resultater. </w:t>
                            </w:r>
                          </w:p>
                          <w:p w:rsidR="001A2EB5" w:rsidRPr="007008C0" w:rsidRDefault="001A2EB5" w:rsidP="005C7C25">
                            <w:pPr>
                              <w:pStyle w:val="HStandard"/>
                              <w:spacing w:after="0"/>
                              <w:rPr>
                                <w:rFonts w:cs="Arial"/>
                                <w:color w:val="373737"/>
                                <w:sz w:val="18"/>
                                <w:szCs w:val="18"/>
                              </w:rPr>
                            </w:pPr>
                          </w:p>
                          <w:p w:rsidR="001A2EB5" w:rsidRPr="007008C0" w:rsidRDefault="001A2EB5" w:rsidP="005C7C25">
                            <w:pPr>
                              <w:pStyle w:val="HStandard"/>
                              <w:spacing w:after="0"/>
                              <w:rPr>
                                <w:rFonts w:cs="Arial"/>
                                <w:color w:val="373737"/>
                                <w:sz w:val="18"/>
                                <w:szCs w:val="18"/>
                              </w:rPr>
                            </w:pPr>
                            <w:r>
                              <w:rPr>
                                <w:color w:val="373737"/>
                                <w:sz w:val="18"/>
                              </w:rPr>
                              <w:t>En passende kontrolgruppe oprettes som følger:</w:t>
                            </w:r>
                          </w:p>
                          <w:p w:rsidR="001A2EB5" w:rsidRPr="00A65F07" w:rsidRDefault="001A2EB5" w:rsidP="00B37209">
                            <w:pPr>
                              <w:pStyle w:val="Hlistbullet"/>
                              <w:rPr>
                                <w:sz w:val="18"/>
                                <w:szCs w:val="18"/>
                              </w:rPr>
                            </w:pPr>
                            <w:r w:rsidRPr="00A65F07">
                              <w:rPr>
                                <w:b/>
                                <w:color w:val="F07E31" w:themeColor="accent1"/>
                                <w:sz w:val="18"/>
                                <w:szCs w:val="18"/>
                              </w:rPr>
                              <w:t>Trin 1:</w:t>
                            </w:r>
                            <w:r w:rsidRPr="00A65F07">
                              <w:rPr>
                                <w:sz w:val="18"/>
                                <w:szCs w:val="18"/>
                              </w:rPr>
                              <w:t xml:space="preserve"> Udtag en stikprøve af støttemodtagere under landdistriktsudviklingsprogrammet (f.eks. bedrifter/landbrugere/ikke-landbrugsvirksomheder/lokalsamfund/områder/regioner) i en tilgængelig database (f.eks. INLB), og anvend </w:t>
                            </w:r>
                            <w:r w:rsidRPr="00A65F07">
                              <w:rPr>
                                <w:color w:val="373737"/>
                                <w:sz w:val="18"/>
                                <w:szCs w:val="18"/>
                              </w:rPr>
                              <w:t xml:space="preserve">landdistriktsudviklingsprogrammets </w:t>
                            </w:r>
                            <w:r w:rsidRPr="00A65F07">
                              <w:rPr>
                                <w:sz w:val="18"/>
                                <w:szCs w:val="18"/>
                              </w:rPr>
                              <w:t xml:space="preserve">overvågningssystem som referencepunkt (f.eks. betalingsorganets database). </w:t>
                            </w:r>
                          </w:p>
                          <w:p w:rsidR="001A2EB5" w:rsidRPr="00A65F07" w:rsidRDefault="001A2EB5" w:rsidP="007F7082">
                            <w:pPr>
                              <w:pStyle w:val="Hlistbullet"/>
                              <w:rPr>
                                <w:sz w:val="18"/>
                                <w:szCs w:val="18"/>
                              </w:rPr>
                            </w:pPr>
                            <w:r w:rsidRPr="00A65F07">
                              <w:rPr>
                                <w:b/>
                                <w:color w:val="F07E31" w:themeColor="accent1"/>
                                <w:sz w:val="18"/>
                                <w:szCs w:val="18"/>
                              </w:rPr>
                              <w:t>Trin 2:</w:t>
                            </w:r>
                            <w:r w:rsidRPr="00A65F07">
                              <w:rPr>
                                <w:sz w:val="18"/>
                                <w:szCs w:val="18"/>
                              </w:rPr>
                              <w:t xml:space="preserve"> Blandt alle relevante enheder, der er registreret i databasen, udvælges de, som i samme periode ikke har modtaget støtte fra foranstaltninger under </w:t>
                            </w:r>
                            <w:r w:rsidRPr="00A65F07">
                              <w:rPr>
                                <w:color w:val="373737"/>
                                <w:sz w:val="18"/>
                                <w:szCs w:val="18"/>
                              </w:rPr>
                              <w:t xml:space="preserve">landdistriktsudviklingsprogrammet </w:t>
                            </w:r>
                            <w:r w:rsidRPr="00A65F07">
                              <w:rPr>
                                <w:sz w:val="18"/>
                                <w:szCs w:val="18"/>
                              </w:rPr>
                              <w:t>("ikke-modtagere").</w:t>
                            </w:r>
                          </w:p>
                          <w:p w:rsidR="001A2EB5" w:rsidRPr="00AF5661" w:rsidRDefault="001A2EB5" w:rsidP="005C7C25">
                            <w:pPr>
                              <w:pStyle w:val="Hlistbullet"/>
                              <w:spacing w:before="0" w:after="0" w:line="280" w:lineRule="atLeast"/>
                              <w:ind w:left="604" w:hanging="604"/>
                              <w:rPr>
                                <w:color w:val="373737"/>
                                <w:sz w:val="18"/>
                                <w:szCs w:val="18"/>
                              </w:rPr>
                            </w:pPr>
                            <w:r>
                              <w:rPr>
                                <w:b/>
                                <w:color w:val="F07E31" w:themeColor="accent1"/>
                                <w:sz w:val="18"/>
                              </w:rPr>
                              <w:t>Trin 3:</w:t>
                            </w:r>
                            <w:r>
                              <w:rPr>
                                <w:color w:val="373737"/>
                                <w:sz w:val="18"/>
                              </w:rPr>
                              <w:t xml:space="preserve"> Fra gruppen af ikke-modtagere forhåndsudvælges de enheder, som IKKE opfylder programmets betingelser for støtteberettigelse (på grund af høje indtægter, størrelse, placering, osv.), og de fjernes fra analysen. </w:t>
                            </w:r>
                          </w:p>
                          <w:p w:rsidR="001A2EB5" w:rsidRPr="007008C0" w:rsidRDefault="001A2EB5" w:rsidP="005C7C25">
                            <w:pPr>
                              <w:pStyle w:val="Hlistbullet"/>
                              <w:spacing w:before="0" w:after="0" w:line="280" w:lineRule="atLeast"/>
                              <w:ind w:left="604" w:hanging="604"/>
                              <w:rPr>
                                <w:color w:val="373737"/>
                                <w:sz w:val="18"/>
                                <w:szCs w:val="18"/>
                              </w:rPr>
                            </w:pPr>
                            <w:r>
                              <w:rPr>
                                <w:b/>
                                <w:color w:val="F07E31" w:themeColor="accent1"/>
                                <w:sz w:val="18"/>
                              </w:rPr>
                              <w:t>Trin 4:</w:t>
                            </w:r>
                            <w:r>
                              <w:rPr>
                                <w:color w:val="373737"/>
                                <w:sz w:val="18"/>
                              </w:rPr>
                              <w:t xml:space="preserve"> Indsaml data for alle enheder i begge grupper (støttemodtagere og ikke-støttemodtagere) om deres vigtigste karakteristika (variabler) for 2013 (dvs. forud for programmet). Bemærk, at de variabler, der indgår i analysen, bør påvirke både udvælgelsen af en enhed samt indikatorerne, der beregnes på mikroniveau (fælles indikatorer og yderligere effektindikatorer). En af de foreslåede variabler (der anvendes som en vigtig kontrolvariabel) kan være: i) omfanget af støtte, som en bestemt enhed har modtaget ("støttemodtager" og "ikke-støttemodtager") i løbet af den foregående programmeringsperiode 2007-2013, og/eller ii) omfanget af støtte, en bestemt enhed modtog ("støttemodtager" og "ikke-støttemodtager") fra andre offentlige kilder (f.eks. EU's strukturfonde, søjle I) i den analyserede periode.</w:t>
                            </w:r>
                          </w:p>
                          <w:p w:rsidR="001A2EB5" w:rsidRPr="00AF5661" w:rsidRDefault="001A2EB5" w:rsidP="005C7C25">
                            <w:pPr>
                              <w:pStyle w:val="Hlistbullet"/>
                              <w:spacing w:before="0" w:after="0" w:line="280" w:lineRule="atLeast"/>
                              <w:ind w:left="604" w:hanging="604"/>
                              <w:rPr>
                                <w:color w:val="373737"/>
                                <w:sz w:val="18"/>
                                <w:szCs w:val="18"/>
                              </w:rPr>
                            </w:pPr>
                            <w:r>
                              <w:rPr>
                                <w:b/>
                                <w:color w:val="F07E31" w:themeColor="accent1"/>
                                <w:sz w:val="18"/>
                              </w:rPr>
                              <w:t>Trin 5:</w:t>
                            </w:r>
                            <w:r>
                              <w:rPr>
                                <w:color w:val="373737"/>
                                <w:sz w:val="18"/>
                              </w:rPr>
                              <w:t xml:space="preserve"> Anvend passende metoder (f.eks. matchning), som gør det muligt ud fra stikprøven af ikke-støttemodtagere (jf.: trin 2-3) at udtage en egnet "kontrolgruppe" (nogle "ikke-støttemodtagere" og/eller "støttemodtagere" vil blive fjernet fra analysen på grund af manglende passende kontrolenheder).</w:t>
                            </w:r>
                          </w:p>
                          <w:p w:rsidR="001A2EB5" w:rsidRPr="0025164E" w:rsidRDefault="001A2EB5" w:rsidP="005C7C25">
                            <w:pPr>
                              <w:pStyle w:val="Hlistbullet"/>
                              <w:spacing w:before="0" w:after="0" w:line="280" w:lineRule="atLeast"/>
                              <w:ind w:left="604" w:hanging="604"/>
                            </w:pPr>
                            <w:r>
                              <w:rPr>
                                <w:b/>
                                <w:color w:val="F07E31" w:themeColor="accent1"/>
                                <w:sz w:val="18"/>
                              </w:rPr>
                              <w:t>Trin 6:</w:t>
                            </w:r>
                            <w:r>
                              <w:rPr>
                                <w:color w:val="373737"/>
                                <w:sz w:val="18"/>
                              </w:rPr>
                              <w:t xml:space="preserve"> Statistisk kontrol af begge gruppers "sammenlignelighed" før modtagelse af støtte fra programmet, (f.eks. ved at udføre statistiske prøver af kovarianser, der indgår i analysen). Den gennemsnitlige værdi af en enhed i gruppen af "støttemodtagere" bør ikke afvige væsentligt fra den respektive enhed i "kontrolgruppen".</w:t>
                            </w:r>
                          </w:p>
                          <w:p w:rsidR="001A2EB5" w:rsidRPr="0025164E" w:rsidRDefault="001A2EB5" w:rsidP="00735F08">
                            <w:pPr>
                              <w:pStyle w:val="Hlistbullet"/>
                              <w:numPr>
                                <w:ilvl w:val="0"/>
                                <w:numId w:val="0"/>
                              </w:numPr>
                              <w:jc w:val="center"/>
                              <w:rPr>
                                <w:i/>
                                <w:color w:val="F07E31" w:themeColor="accent1"/>
                                <w:sz w:val="18"/>
                                <w:szCs w:val="18"/>
                              </w:rPr>
                            </w:pPr>
                            <w:r>
                              <w:rPr>
                                <w:i/>
                                <w:color w:val="F07E31" w:themeColor="accent1"/>
                                <w:sz w:val="18"/>
                              </w:rPr>
                              <w:t>Få mere at vide om udformningen af kontrolgrupper, matchning osv. i</w:t>
                            </w:r>
                            <w:r>
                              <w:rPr>
                                <w:i/>
                                <w:color w:val="F07E31" w:themeColor="accent1"/>
                                <w:sz w:val="18"/>
                                <w:szCs w:val="18"/>
                              </w:rPr>
                              <w:br/>
                            </w:r>
                            <w:r>
                              <w:rPr>
                                <w:i/>
                                <w:color w:val="F07E31" w:themeColor="accent1"/>
                                <w:sz w:val="18"/>
                              </w:rPr>
                              <w:t xml:space="preserve"> </w:t>
                            </w:r>
                            <w:hyperlink r:id="rId42" w:history="1">
                              <w:r>
                                <w:rPr>
                                  <w:rStyle w:val="Hyperlink"/>
                                  <w:i/>
                                  <w:color w:val="F07E31" w:themeColor="accent1"/>
                                  <w:sz w:val="18"/>
                                </w:rPr>
                                <w:t>Retningslinjer for den efterfølgende evaluering af programmer for udvikling af landdistrikter 2007-2013</w:t>
                              </w:r>
                            </w:hyperlink>
                            <w:r>
                              <w:rPr>
                                <w:rStyle w:val="Hyperlink"/>
                                <w:i/>
                                <w:color w:val="F07E31" w:themeColor="accent1"/>
                                <w:sz w:val="18"/>
                              </w:rPr>
                              <w:t>, kapitel 4.</w:t>
                            </w:r>
                          </w:p>
                        </w:txbxContent>
                      </v:textbox>
                      <w10:anchorlock/>
                    </v:shape>
                  </w:pict>
                </mc:Fallback>
              </mc:AlternateContent>
            </w:r>
          </w:p>
        </w:tc>
      </w:tr>
    </w:tbl>
    <w:p w:rsidR="00560A1E" w:rsidRPr="0062664B" w:rsidRDefault="000B213F" w:rsidP="00560A1E">
      <w:pPr>
        <w:pStyle w:val="HStandard"/>
      </w:pPr>
      <w:r w:rsidRPr="0062664B">
        <w:rPr>
          <w:b/>
          <w:i/>
          <w:noProof/>
          <w:color w:val="F07E31" w:themeColor="accent1"/>
          <w:lang w:eastAsia="en-GB" w:bidi="ar-SA"/>
        </w:rPr>
        <w:lastRenderedPageBreak/>
        <mc:AlternateContent>
          <mc:Choice Requires="wps">
            <w:drawing>
              <wp:inline distT="0" distB="0" distL="0" distR="0" wp14:anchorId="38E37DC7" wp14:editId="0A5D1D3A">
                <wp:extent cx="5731510" cy="8451850"/>
                <wp:effectExtent l="19050" t="19050" r="21590" b="15875"/>
                <wp:docPr id="907"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8451850"/>
                        </a:xfrm>
                        <a:custGeom>
                          <a:avLst/>
                          <a:gdLst>
                            <a:gd name="T0" fmla="*/ 290989 w 5731510"/>
                            <a:gd name="T1" fmla="*/ 0 h 8451850"/>
                            <a:gd name="T2" fmla="*/ 5731510 w 5731510"/>
                            <a:gd name="T3" fmla="*/ 0 h 8451850"/>
                            <a:gd name="T4" fmla="*/ 5731510 w 5731510"/>
                            <a:gd name="T5" fmla="*/ 0 h 8451850"/>
                            <a:gd name="T6" fmla="*/ 5731510 w 5731510"/>
                            <a:gd name="T7" fmla="*/ 8160861 h 8451850"/>
                            <a:gd name="T8" fmla="*/ 5440521 w 5731510"/>
                            <a:gd name="T9" fmla="*/ 8451850 h 8451850"/>
                            <a:gd name="T10" fmla="*/ 0 w 5731510"/>
                            <a:gd name="T11" fmla="*/ 8451850 h 8451850"/>
                            <a:gd name="T12" fmla="*/ 0 w 5731510"/>
                            <a:gd name="T13" fmla="*/ 8451850 h 8451850"/>
                            <a:gd name="T14" fmla="*/ 0 w 5731510"/>
                            <a:gd name="T15" fmla="*/ 290989 h 8451850"/>
                            <a:gd name="T16" fmla="*/ 290989 w 5731510"/>
                            <a:gd name="T17" fmla="*/ 0 h 845185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8451850"/>
                            <a:gd name="T29" fmla="*/ 5731510 w 5731510"/>
                            <a:gd name="T30" fmla="*/ 8451850 h 8451850"/>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8451850">
                              <a:moveTo>
                                <a:pt x="290989" y="0"/>
                              </a:moveTo>
                              <a:lnTo>
                                <a:pt x="5731510" y="0"/>
                              </a:lnTo>
                              <a:lnTo>
                                <a:pt x="5731510" y="8160861"/>
                              </a:lnTo>
                              <a:cubicBezTo>
                                <a:pt x="5731510" y="8321570"/>
                                <a:pt x="5601230" y="8451850"/>
                                <a:pt x="5440521" y="8451850"/>
                              </a:cubicBezTo>
                              <a:lnTo>
                                <a:pt x="0" y="8451850"/>
                              </a:lnTo>
                              <a:lnTo>
                                <a:pt x="0" y="290989"/>
                              </a:lnTo>
                              <a:cubicBezTo>
                                <a:pt x="0" y="130280"/>
                                <a:pt x="130280" y="0"/>
                                <a:pt x="290989"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1A2EB5" w:rsidRPr="00DD36A9" w:rsidRDefault="001A2EB5" w:rsidP="006D4194">
                            <w:pPr>
                              <w:pStyle w:val="HHeading4"/>
                            </w:pPr>
                            <w:r>
                              <w:rPr>
                                <w:noProof/>
                                <w:lang w:val="en-GB" w:eastAsia="en-GB" w:bidi="ar-SA"/>
                              </w:rPr>
                              <w:drawing>
                                <wp:inline distT="0" distB="0" distL="0" distR="0" wp14:anchorId="7670BC81" wp14:editId="5DFCA735">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HURTIG VEJLEDNING NR. 3: Kompromiser i valget af evalueringsmetoder</w:t>
                            </w:r>
                          </w:p>
                          <w:p w:rsidR="001A2EB5" w:rsidRDefault="001A2EB5" w:rsidP="006D4194">
                            <w:pPr>
                              <w:pStyle w:val="HStandard"/>
                              <w:spacing w:after="0"/>
                              <w:rPr>
                                <w:rFonts w:cs="Arial"/>
                                <w:color w:val="373737"/>
                                <w:sz w:val="18"/>
                                <w:szCs w:val="18"/>
                              </w:rPr>
                            </w:pPr>
                            <w:r>
                              <w:rPr>
                                <w:color w:val="373737"/>
                                <w:sz w:val="18"/>
                              </w:rPr>
                              <w:t>I evalueringer anses ikke-tilgængelige data ofte som den vigtigste faktor, der begrænser valget af evalueringsmetoder. Anvendelse af "naive" evalueringsteknikker (uden en kontrafaktisk situation) fører i disse tilfælde imidlertid til betydelige svagheder i metodologisk strenghed, troværdighed, robusthed og gyldighed. Berørte parter opfordres derfor til at overveje kompromiser mellem efterspørgsel på data og de potentielle skævheder i de resultater, der skyldes svagere metoder. Evalueringsmetoder, der sikrer en bedre kvalitet af resultater, er almindeligvis mere krævende med hensyn til data.</w:t>
                            </w:r>
                          </w:p>
                          <w:p w:rsidR="001A2EB5" w:rsidRPr="006D4194" w:rsidRDefault="001A2EB5" w:rsidP="006D4194">
                            <w:pPr>
                              <w:pStyle w:val="HStandard"/>
                              <w:spacing w:after="0"/>
                              <w:rPr>
                                <w:rFonts w:cs="Arial"/>
                                <w:color w:val="373737"/>
                                <w:sz w:val="18"/>
                                <w:szCs w:val="18"/>
                              </w:rPr>
                            </w:pPr>
                          </w:p>
                          <w:p w:rsidR="001A2EB5" w:rsidRPr="009866F7" w:rsidRDefault="001A2EB5" w:rsidP="006D4194">
                            <w:pPr>
                              <w:spacing w:before="0" w:after="0" w:line="240" w:lineRule="auto"/>
                              <w:rPr>
                                <w:rFonts w:cs="Arial"/>
                                <w:color w:val="373737"/>
                                <w:szCs w:val="18"/>
                                <w:highlight w:val="yellow"/>
                              </w:rPr>
                            </w:pPr>
                            <w:r>
                              <w:rPr>
                                <w:b/>
                              </w:rPr>
                              <w:t>S</w:t>
                            </w:r>
                            <w:r>
                              <w:rPr>
                                <w:b/>
                                <w:color w:val="373737"/>
                              </w:rPr>
                              <w:t>ammenligning af metoder</w:t>
                            </w:r>
                            <w:r>
                              <w:rPr>
                                <w:b/>
                              </w:rPr>
                              <w:t xml:space="preserve"> </w:t>
                            </w:r>
                            <w:r>
                              <w:rPr>
                                <w:color w:val="373737"/>
                              </w:rPr>
                              <w:t xml:space="preserve">(forklaring: +++++ = det højeste antal point; + = det laveste antal point):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1A2EB5" w:rsidTr="00F3324C">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1A2EB5" w:rsidRPr="0025164E" w:rsidRDefault="001A2EB5" w:rsidP="009811C2">
                                  <w:pPr>
                                    <w:jc w:val="center"/>
                                    <w:rPr>
                                      <w:rFonts w:cs="Arial"/>
                                      <w:szCs w:val="18"/>
                                    </w:rPr>
                                  </w:pPr>
                                  <w:r>
                                    <w:t>Metode</w:t>
                                  </w:r>
                                </w:p>
                              </w:tc>
                              <w:tc>
                                <w:tcPr>
                                  <w:tcW w:w="1701" w:type="dxa"/>
                                </w:tcPr>
                                <w:p w:rsidR="001A2EB5" w:rsidRPr="0025164E" w:rsidRDefault="001A2EB5"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Troværdighed/strenghed, pålidelighed, osv.</w:t>
                                  </w:r>
                                </w:p>
                              </w:tc>
                              <w:tc>
                                <w:tcPr>
                                  <w:tcW w:w="1701" w:type="dxa"/>
                                </w:tcPr>
                                <w:p w:rsidR="001A2EB5" w:rsidRPr="0025164E" w:rsidRDefault="001A2EB5"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Evne til at reducere udvalg og andre skævheder</w:t>
                                  </w:r>
                                </w:p>
                              </w:tc>
                              <w:tc>
                                <w:tcPr>
                                  <w:tcW w:w="1417" w:type="dxa"/>
                                </w:tcPr>
                                <w:p w:rsidR="001A2EB5" w:rsidRPr="0025164E" w:rsidRDefault="001A2EB5"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Kvaliteten af evalueringen</w:t>
                                  </w:r>
                                </w:p>
                              </w:tc>
                              <w:tc>
                                <w:tcPr>
                                  <w:tcW w:w="1418" w:type="dxa"/>
                                </w:tcPr>
                                <w:p w:rsidR="001A2EB5" w:rsidRPr="0025164E" w:rsidRDefault="001A2EB5"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Dataefterspørgsel</w:t>
                                  </w:r>
                                </w:p>
                              </w:tc>
                            </w:tr>
                            <w:tr w:rsidR="001A2EB5" w:rsidTr="00F3324C">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1A2EB5" w:rsidRPr="009811C2" w:rsidRDefault="001A2EB5" w:rsidP="00365997">
                                  <w:pPr>
                                    <w:jc w:val="left"/>
                                    <w:rPr>
                                      <w:rFonts w:cs="Arial"/>
                                      <w:szCs w:val="18"/>
                                    </w:rPr>
                                  </w:pPr>
                                  <w:r>
                                    <w:t>Eksperimentel metode</w:t>
                                  </w:r>
                                </w:p>
                              </w:tc>
                              <w:tc>
                                <w:tcPr>
                                  <w:tcW w:w="1701"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1A2EB5" w:rsidTr="00F3324C">
                              <w:tc>
                                <w:tcPr>
                                  <w:cnfStyle w:val="001000000000" w:firstRow="0" w:lastRow="0" w:firstColumn="1" w:lastColumn="0" w:oddVBand="0" w:evenVBand="0" w:oddHBand="0" w:evenHBand="0" w:firstRowFirstColumn="0" w:firstRowLastColumn="0" w:lastRowFirstColumn="0" w:lastRowLastColumn="0"/>
                                  <w:tcW w:w="2093" w:type="dxa"/>
                                </w:tcPr>
                                <w:p w:rsidR="001A2EB5" w:rsidRPr="009811C2" w:rsidRDefault="001A2EB5" w:rsidP="00365997">
                                  <w:pPr>
                                    <w:jc w:val="left"/>
                                    <w:rPr>
                                      <w:rFonts w:cs="Arial"/>
                                      <w:szCs w:val="18"/>
                                    </w:rPr>
                                  </w:pPr>
                                  <w:r>
                                    <w:t>Kvasi-eksperimentelle tilgange</w:t>
                                  </w:r>
                                </w:p>
                              </w:tc>
                              <w:tc>
                                <w:tcPr>
                                  <w:tcW w:w="1701"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1A2EB5" w:rsidTr="00F332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A2EB5" w:rsidRPr="009811C2" w:rsidRDefault="001A2EB5" w:rsidP="00365997">
                                  <w:pPr>
                                    <w:jc w:val="left"/>
                                    <w:rPr>
                                      <w:rFonts w:cs="Arial"/>
                                      <w:szCs w:val="18"/>
                                    </w:rPr>
                                  </w:pPr>
                                  <w:r>
                                    <w:t>Matchende tilgange (kombineret med DiD)</w:t>
                                  </w:r>
                                </w:p>
                              </w:tc>
                              <w:tc>
                                <w:tcPr>
                                  <w:tcW w:w="1701"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1A2EB5" w:rsidTr="00F3324C">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1A2EB5" w:rsidRPr="009811C2" w:rsidRDefault="001A2EB5" w:rsidP="00365997">
                                  <w:pPr>
                                    <w:jc w:val="left"/>
                                    <w:rPr>
                                      <w:rFonts w:cs="Arial"/>
                                      <w:szCs w:val="18"/>
                                    </w:rPr>
                                  </w:pPr>
                                  <w:r>
                                    <w:t>RDD</w:t>
                                  </w:r>
                                </w:p>
                              </w:tc>
                              <w:tc>
                                <w:tcPr>
                                  <w:tcW w:w="1701"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1A2EB5" w:rsidTr="00F3324C">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1A2EB5" w:rsidRPr="009811C2" w:rsidRDefault="001A2EB5" w:rsidP="00365997">
                                  <w:pPr>
                                    <w:jc w:val="left"/>
                                    <w:rPr>
                                      <w:rFonts w:cs="Arial"/>
                                      <w:szCs w:val="18"/>
                                    </w:rPr>
                                  </w:pPr>
                                  <w:r>
                                    <w:t>Metode med instrumentale variabler</w:t>
                                  </w:r>
                                </w:p>
                              </w:tc>
                              <w:tc>
                                <w:tcPr>
                                  <w:tcW w:w="1701"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1A2EB5" w:rsidTr="00F3324C">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1A2EB5" w:rsidRPr="009811C2" w:rsidRDefault="001A2EB5" w:rsidP="00365997">
                                  <w:pPr>
                                    <w:jc w:val="left"/>
                                    <w:rPr>
                                      <w:rFonts w:cs="Arial"/>
                                      <w:szCs w:val="18"/>
                                    </w:rPr>
                                  </w:pPr>
                                  <w:r>
                                    <w:t>DiD-metoden</w:t>
                                  </w:r>
                                </w:p>
                              </w:tc>
                              <w:tc>
                                <w:tcPr>
                                  <w:tcW w:w="1701"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1A2EB5" w:rsidTr="00F332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A2EB5" w:rsidRPr="009811C2" w:rsidRDefault="001A2EB5" w:rsidP="00365997">
                                  <w:pPr>
                                    <w:jc w:val="left"/>
                                    <w:rPr>
                                      <w:rFonts w:cs="Arial"/>
                                      <w:szCs w:val="18"/>
                                    </w:rPr>
                                  </w:pPr>
                                  <w:r>
                                    <w:t>Sammenligninger med ikke-støttemodtagere i et givet tidsrum (naiv tilgang)</w:t>
                                  </w:r>
                                </w:p>
                              </w:tc>
                              <w:tc>
                                <w:tcPr>
                                  <w:tcW w:w="1701"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1A2EB5" w:rsidTr="00F3324C">
                              <w:tc>
                                <w:tcPr>
                                  <w:cnfStyle w:val="001000000000" w:firstRow="0" w:lastRow="0" w:firstColumn="1" w:lastColumn="0" w:oddVBand="0" w:evenVBand="0" w:oddHBand="0" w:evenHBand="0" w:firstRowFirstColumn="0" w:firstRowLastColumn="0" w:lastRowFirstColumn="0" w:lastRowLastColumn="0"/>
                                  <w:tcW w:w="2093" w:type="dxa"/>
                                </w:tcPr>
                                <w:p w:rsidR="001A2EB5" w:rsidRPr="009811C2" w:rsidRDefault="001A2EB5" w:rsidP="00365997">
                                  <w:pPr>
                                    <w:jc w:val="left"/>
                                    <w:rPr>
                                      <w:rFonts w:cs="Arial"/>
                                      <w:szCs w:val="18"/>
                                    </w:rPr>
                                  </w:pPr>
                                  <w:r>
                                    <w:t>Før-efter sammenligning af støttemodtagerne (naiv tilgang)</w:t>
                                  </w:r>
                                </w:p>
                              </w:tc>
                              <w:tc>
                                <w:tcPr>
                                  <w:tcW w:w="1701"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1A2EB5" w:rsidTr="00F332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A2EB5" w:rsidRPr="009811C2" w:rsidRDefault="001A2EB5" w:rsidP="00365997">
                                  <w:pPr>
                                    <w:jc w:val="left"/>
                                    <w:rPr>
                                      <w:rFonts w:cs="Arial"/>
                                      <w:szCs w:val="18"/>
                                    </w:rPr>
                                  </w:pPr>
                                  <w:r>
                                    <w:t>Kvalitative metoder, der anvendes til at anslå programmets resultater/virkninger</w:t>
                                  </w:r>
                                </w:p>
                              </w:tc>
                              <w:tc>
                                <w:tcPr>
                                  <w:tcW w:w="1701"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1A2EB5" w:rsidRPr="00742E07" w:rsidRDefault="001A2EB5" w:rsidP="00735F08">
                            <w:pPr>
                              <w:pStyle w:val="HStandard"/>
                              <w:jc w:val="center"/>
                              <w:rPr>
                                <w:i/>
                                <w:color w:val="F07E31" w:themeColor="accent1"/>
                              </w:rPr>
                            </w:pPr>
                            <w:r>
                              <w:rPr>
                                <w:i/>
                                <w:color w:val="F07E31" w:themeColor="accent1"/>
                                <w:sz w:val="18"/>
                              </w:rPr>
                              <w:t xml:space="preserve">Få mere at vide om kriterier for udvælgelse af evalueringsmetoder </w:t>
                            </w:r>
                            <w:r>
                              <w:rPr>
                                <w:i/>
                                <w:color w:val="F07E31" w:themeColor="accent1"/>
                                <w:sz w:val="18"/>
                                <w:szCs w:val="18"/>
                              </w:rPr>
                              <w:br/>
                            </w:r>
                            <w:r>
                              <w:rPr>
                                <w:i/>
                                <w:color w:val="F07E31" w:themeColor="accent1"/>
                                <w:sz w:val="18"/>
                              </w:rPr>
                              <w:t xml:space="preserve">in </w:t>
                            </w:r>
                            <w:hyperlink r:id="rId43">
                              <w:r>
                                <w:rPr>
                                  <w:rStyle w:val="Hyperlink"/>
                                  <w:i/>
                                  <w:color w:val="F07E31" w:themeColor="accent1"/>
                                  <w:sz w:val="18"/>
                                </w:rPr>
                                <w:t>Guidelines for Ex-post evaluation of 2007-2013 RDPs</w:t>
                              </w:r>
                            </w:hyperlink>
                            <w:r>
                              <w:rPr>
                                <w:rStyle w:val="Hyperlink"/>
                                <w:i/>
                                <w:color w:val="F07E31" w:themeColor="accent1"/>
                                <w:sz w:val="18"/>
                              </w:rPr>
                              <w:t xml:space="preserve">, </w:t>
                            </w:r>
                            <w:r>
                              <w:rPr>
                                <w:i/>
                                <w:color w:val="F07E31" w:themeColor="accent1"/>
                                <w:sz w:val="18"/>
                              </w:rPr>
                              <w:t>Kapitel 4.3.4.2.</w:t>
                            </w:r>
                          </w:p>
                        </w:txbxContent>
                      </wps:txbx>
                      <wps:bodyPr rot="0" vert="horz" wrap="square" lIns="91440" tIns="45720" rIns="91440" bIns="45720" anchor="ctr" anchorCtr="0" upright="1">
                        <a:noAutofit/>
                      </wps:bodyPr>
                    </wps:wsp>
                  </a:graphicData>
                </a:graphic>
              </wp:inline>
            </w:drawing>
          </mc:Choice>
          <mc:Fallback>
            <w:pict>
              <v:shape w14:anchorId="38E37DC7" id="AutoShape 66" o:spid="_x0000_s1036" style="width:451.3pt;height:665.5pt;visibility:visible;mso-wrap-style:square;mso-left-percent:-10001;mso-top-percent:-10001;mso-position-horizontal:absolute;mso-position-horizontal-relative:char;mso-position-vertical:absolute;mso-position-vertical-relative:line;mso-left-percent:-10001;mso-top-percent:-10001;v-text-anchor:middle" coordsize="5731510,8451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" adj="-11796480,,5400" path="m290989,l5731510,r,8160861c5731510,8321570,5601230,8451850,5440521,8451850l,8451850,,290989c,130280,130280,,290989,xe" filled="f" strokecolor="#be4a35" strokeweight="2pt">
                <v:stroke joinstyle="miter"/>
                <v:formulas/>
                <v:path arrowok="t" o:connecttype="custom" o:connectlocs="290989,0;5731510,0;5731510,0;5731510,8160861;5440521,8451850;0,8451850;0,8451850;0,290989;290989,0" o:connectangles="0,0,0,0,0,0,0,0,0" textboxrect="0,0,5731510,8451850"/>
                <v:textbox>
                  <w:txbxContent>
                    <w:p w:rsidR="001A2EB5" w:rsidRPr="00DD36A9" w:rsidRDefault="001A2EB5" w:rsidP="006D4194">
                      <w:pPr>
                        <w:pStyle w:val="HHeading4"/>
                      </w:pPr>
                      <w:r>
                        <w:rPr>
                          <w:noProof/>
                          <w:lang w:val="en-GB" w:eastAsia="en-GB" w:bidi="ar-SA"/>
                        </w:rPr>
                        <w:drawing>
                          <wp:inline distT="0" distB="0" distL="0" distR="0" wp14:anchorId="7670BC81" wp14:editId="5DFCA735">
                            <wp:extent cx="664845" cy="487680"/>
                            <wp:effectExtent l="0" t="0" r="0" b="7620"/>
                            <wp:docPr id="911"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HURTIG VEJLEDNING NR. 3: Kompromiser i valget af evalueringsmetoder</w:t>
                      </w:r>
                    </w:p>
                    <w:p w:rsidR="001A2EB5" w:rsidRDefault="001A2EB5" w:rsidP="006D4194">
                      <w:pPr>
                        <w:pStyle w:val="HStandard"/>
                        <w:spacing w:after="0"/>
                        <w:rPr>
                          <w:rFonts w:cs="Arial"/>
                          <w:color w:val="373737"/>
                          <w:sz w:val="18"/>
                          <w:szCs w:val="18"/>
                        </w:rPr>
                      </w:pPr>
                      <w:r>
                        <w:rPr>
                          <w:color w:val="373737"/>
                          <w:sz w:val="18"/>
                        </w:rPr>
                        <w:t>I evalueringer anses ikke-tilgængelige data ofte som den vigtigste faktor, der begrænser valget af evalueringsmetoder. Anvendelse af "naive" evalueringsteknikker (uden en kontrafaktisk situation) fører i disse tilfælde imidlertid til betydelige svagheder i metodologisk strenghed, troværdighed, robusthed og gyldighed. Berørte parter opfordres derfor til at overveje kompromiser mellem efterspørgsel på data og de potentielle skævheder i de resultater, der skyldes svagere metoder. Evalueringsmetoder, der sikrer en bedre kvalitet af resultater, er almindeligvis mere krævende med hensyn til data.</w:t>
                      </w:r>
                    </w:p>
                    <w:p w:rsidR="001A2EB5" w:rsidRPr="006D4194" w:rsidRDefault="001A2EB5" w:rsidP="006D4194">
                      <w:pPr>
                        <w:pStyle w:val="HStandard"/>
                        <w:spacing w:after="0"/>
                        <w:rPr>
                          <w:rFonts w:cs="Arial"/>
                          <w:color w:val="373737"/>
                          <w:sz w:val="18"/>
                          <w:szCs w:val="18"/>
                        </w:rPr>
                      </w:pPr>
                    </w:p>
                    <w:p w:rsidR="001A2EB5" w:rsidRPr="009866F7" w:rsidRDefault="001A2EB5" w:rsidP="006D4194">
                      <w:pPr>
                        <w:spacing w:before="0" w:after="0" w:line="240" w:lineRule="auto"/>
                        <w:rPr>
                          <w:rFonts w:cs="Arial"/>
                          <w:color w:val="373737"/>
                          <w:szCs w:val="18"/>
                          <w:highlight w:val="yellow"/>
                        </w:rPr>
                      </w:pPr>
                      <w:r>
                        <w:rPr>
                          <w:b/>
                        </w:rPr>
                        <w:t>S</w:t>
                      </w:r>
                      <w:r>
                        <w:rPr>
                          <w:b/>
                          <w:color w:val="373737"/>
                        </w:rPr>
                        <w:t>ammenligning af metoder</w:t>
                      </w:r>
                      <w:r>
                        <w:rPr>
                          <w:b/>
                        </w:rPr>
                        <w:t xml:space="preserve"> </w:t>
                      </w:r>
                      <w:r>
                        <w:rPr>
                          <w:color w:val="373737"/>
                        </w:rPr>
                        <w:t xml:space="preserve">(forklaring: +++++ = det højeste antal point; + = det laveste antal point): </w:t>
                      </w:r>
                    </w:p>
                    <w:tbl>
                      <w:tblPr>
                        <w:tblStyle w:val="Tabukasmriekou5tmavzvraznenie11"/>
                        <w:tblW w:w="8330" w:type="dxa"/>
                        <w:tblLayout w:type="fixed"/>
                        <w:tblLook w:val="04A0" w:firstRow="1" w:lastRow="0" w:firstColumn="1" w:lastColumn="0" w:noHBand="0" w:noVBand="1"/>
                      </w:tblPr>
                      <w:tblGrid>
                        <w:gridCol w:w="2093"/>
                        <w:gridCol w:w="1701"/>
                        <w:gridCol w:w="1701"/>
                        <w:gridCol w:w="1417"/>
                        <w:gridCol w:w="1418"/>
                      </w:tblGrid>
                      <w:tr w:rsidR="001A2EB5" w:rsidTr="00F3324C">
                        <w:trPr>
                          <w:cnfStyle w:val="100000000000" w:firstRow="1" w:lastRow="0" w:firstColumn="0" w:lastColumn="0" w:oddVBand="0" w:evenVBand="0" w:oddHBand="0"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2093" w:type="dxa"/>
                          </w:tcPr>
                          <w:p w:rsidR="001A2EB5" w:rsidRPr="0025164E" w:rsidRDefault="001A2EB5" w:rsidP="009811C2">
                            <w:pPr>
                              <w:jc w:val="center"/>
                              <w:rPr>
                                <w:rFonts w:cs="Arial"/>
                                <w:szCs w:val="18"/>
                              </w:rPr>
                            </w:pPr>
                            <w:r>
                              <w:t>Metode</w:t>
                            </w:r>
                          </w:p>
                        </w:tc>
                        <w:tc>
                          <w:tcPr>
                            <w:tcW w:w="1701" w:type="dxa"/>
                          </w:tcPr>
                          <w:p w:rsidR="001A2EB5" w:rsidRPr="0025164E" w:rsidRDefault="001A2EB5" w:rsidP="00365997">
                            <w:pPr>
                              <w:jc w:val="center"/>
                              <w:cnfStyle w:val="100000000000" w:firstRow="1" w:lastRow="0" w:firstColumn="0" w:lastColumn="0" w:oddVBand="0" w:evenVBand="0" w:oddHBand="0" w:evenHBand="0" w:firstRowFirstColumn="0" w:firstRowLastColumn="0" w:lastRowFirstColumn="0" w:lastRowLastColumn="0"/>
                              <w:rPr>
                                <w:rFonts w:cs="Arial"/>
                                <w:szCs w:val="18"/>
                              </w:rPr>
                            </w:pPr>
                            <w:r>
                              <w:t>Troværdighed/strenghed, pålidelighed, osv.</w:t>
                            </w:r>
                          </w:p>
                        </w:tc>
                        <w:tc>
                          <w:tcPr>
                            <w:tcW w:w="1701" w:type="dxa"/>
                          </w:tcPr>
                          <w:p w:rsidR="001A2EB5" w:rsidRPr="0025164E" w:rsidRDefault="001A2EB5"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Evne til at reducere udvalg og andre skævheder</w:t>
                            </w:r>
                          </w:p>
                        </w:tc>
                        <w:tc>
                          <w:tcPr>
                            <w:tcW w:w="1417" w:type="dxa"/>
                          </w:tcPr>
                          <w:p w:rsidR="001A2EB5" w:rsidRPr="0025164E" w:rsidRDefault="001A2EB5"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Kvaliteten af evalueringen</w:t>
                            </w:r>
                          </w:p>
                        </w:tc>
                        <w:tc>
                          <w:tcPr>
                            <w:tcW w:w="1418" w:type="dxa"/>
                          </w:tcPr>
                          <w:p w:rsidR="001A2EB5" w:rsidRPr="0025164E" w:rsidRDefault="001A2EB5" w:rsidP="009811C2">
                            <w:pPr>
                              <w:jc w:val="center"/>
                              <w:cnfStyle w:val="100000000000" w:firstRow="1" w:lastRow="0" w:firstColumn="0" w:lastColumn="0" w:oddVBand="0" w:evenVBand="0" w:oddHBand="0" w:evenHBand="0" w:firstRowFirstColumn="0" w:firstRowLastColumn="0" w:lastRowFirstColumn="0" w:lastRowLastColumn="0"/>
                              <w:rPr>
                                <w:rFonts w:cs="Arial"/>
                                <w:szCs w:val="18"/>
                              </w:rPr>
                            </w:pPr>
                            <w:r>
                              <w:t>Dataefterspørgsel</w:t>
                            </w:r>
                          </w:p>
                        </w:tc>
                      </w:tr>
                      <w:tr w:rsidR="001A2EB5" w:rsidTr="00F3324C">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2093" w:type="dxa"/>
                          </w:tcPr>
                          <w:p w:rsidR="001A2EB5" w:rsidRPr="009811C2" w:rsidRDefault="001A2EB5" w:rsidP="00365997">
                            <w:pPr>
                              <w:jc w:val="left"/>
                              <w:rPr>
                                <w:rFonts w:cs="Arial"/>
                                <w:szCs w:val="18"/>
                              </w:rPr>
                            </w:pPr>
                            <w:r>
                              <w:t>Eksperimentel metode</w:t>
                            </w:r>
                          </w:p>
                        </w:tc>
                        <w:tc>
                          <w:tcPr>
                            <w:tcW w:w="1701"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1A2EB5" w:rsidTr="00F3324C">
                        <w:tc>
                          <w:tcPr>
                            <w:cnfStyle w:val="001000000000" w:firstRow="0" w:lastRow="0" w:firstColumn="1" w:lastColumn="0" w:oddVBand="0" w:evenVBand="0" w:oddHBand="0" w:evenHBand="0" w:firstRowFirstColumn="0" w:firstRowLastColumn="0" w:lastRowFirstColumn="0" w:lastRowLastColumn="0"/>
                            <w:tcW w:w="2093" w:type="dxa"/>
                          </w:tcPr>
                          <w:p w:rsidR="001A2EB5" w:rsidRPr="009811C2" w:rsidRDefault="001A2EB5" w:rsidP="00365997">
                            <w:pPr>
                              <w:jc w:val="left"/>
                              <w:rPr>
                                <w:rFonts w:cs="Arial"/>
                                <w:szCs w:val="18"/>
                              </w:rPr>
                            </w:pPr>
                            <w:r>
                              <w:t>Kvasi-eksperimentelle tilgange</w:t>
                            </w:r>
                          </w:p>
                        </w:tc>
                        <w:tc>
                          <w:tcPr>
                            <w:tcW w:w="1701"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1A2EB5" w:rsidTr="00F332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A2EB5" w:rsidRPr="009811C2" w:rsidRDefault="001A2EB5" w:rsidP="00365997">
                            <w:pPr>
                              <w:jc w:val="left"/>
                              <w:rPr>
                                <w:rFonts w:cs="Arial"/>
                                <w:szCs w:val="18"/>
                              </w:rPr>
                            </w:pPr>
                            <w:r>
                              <w:t>Matchende tilgange (kombineret med DiD)</w:t>
                            </w:r>
                          </w:p>
                        </w:tc>
                        <w:tc>
                          <w:tcPr>
                            <w:tcW w:w="1701"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1A2EB5" w:rsidTr="00F3324C">
                        <w:trPr>
                          <w:trHeight w:val="416"/>
                        </w:trPr>
                        <w:tc>
                          <w:tcPr>
                            <w:cnfStyle w:val="001000000000" w:firstRow="0" w:lastRow="0" w:firstColumn="1" w:lastColumn="0" w:oddVBand="0" w:evenVBand="0" w:oddHBand="0" w:evenHBand="0" w:firstRowFirstColumn="0" w:firstRowLastColumn="0" w:lastRowFirstColumn="0" w:lastRowLastColumn="0"/>
                            <w:tcW w:w="2093" w:type="dxa"/>
                          </w:tcPr>
                          <w:p w:rsidR="001A2EB5" w:rsidRPr="009811C2" w:rsidRDefault="001A2EB5" w:rsidP="00365997">
                            <w:pPr>
                              <w:jc w:val="left"/>
                              <w:rPr>
                                <w:rFonts w:cs="Arial"/>
                                <w:szCs w:val="18"/>
                              </w:rPr>
                            </w:pPr>
                            <w:r>
                              <w:t>RDD</w:t>
                            </w:r>
                          </w:p>
                        </w:tc>
                        <w:tc>
                          <w:tcPr>
                            <w:tcW w:w="1701"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1A2EB5" w:rsidTr="00F3324C">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2093" w:type="dxa"/>
                          </w:tcPr>
                          <w:p w:rsidR="001A2EB5" w:rsidRPr="009811C2" w:rsidRDefault="001A2EB5" w:rsidP="00365997">
                            <w:pPr>
                              <w:jc w:val="left"/>
                              <w:rPr>
                                <w:rFonts w:cs="Arial"/>
                                <w:szCs w:val="18"/>
                              </w:rPr>
                            </w:pPr>
                            <w:r>
                              <w:t>Metode med instrumentale variabler</w:t>
                            </w:r>
                          </w:p>
                        </w:tc>
                        <w:tc>
                          <w:tcPr>
                            <w:tcW w:w="1701"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1A2EB5" w:rsidTr="00F3324C">
                        <w:trPr>
                          <w:trHeight w:val="414"/>
                        </w:trPr>
                        <w:tc>
                          <w:tcPr>
                            <w:cnfStyle w:val="001000000000" w:firstRow="0" w:lastRow="0" w:firstColumn="1" w:lastColumn="0" w:oddVBand="0" w:evenVBand="0" w:oddHBand="0" w:evenHBand="0" w:firstRowFirstColumn="0" w:firstRowLastColumn="0" w:lastRowFirstColumn="0" w:lastRowLastColumn="0"/>
                            <w:tcW w:w="2093" w:type="dxa"/>
                          </w:tcPr>
                          <w:p w:rsidR="001A2EB5" w:rsidRPr="009811C2" w:rsidRDefault="001A2EB5" w:rsidP="00365997">
                            <w:pPr>
                              <w:jc w:val="left"/>
                              <w:rPr>
                                <w:rFonts w:cs="Arial"/>
                                <w:szCs w:val="18"/>
                              </w:rPr>
                            </w:pPr>
                            <w:r>
                              <w:t>DiD-metoden</w:t>
                            </w:r>
                          </w:p>
                        </w:tc>
                        <w:tc>
                          <w:tcPr>
                            <w:tcW w:w="1701"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1A2EB5" w:rsidTr="00F332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A2EB5" w:rsidRPr="009811C2" w:rsidRDefault="001A2EB5" w:rsidP="00365997">
                            <w:pPr>
                              <w:jc w:val="left"/>
                              <w:rPr>
                                <w:rFonts w:cs="Arial"/>
                                <w:szCs w:val="18"/>
                              </w:rPr>
                            </w:pPr>
                            <w:r>
                              <w:t>Sammenligninger med ikke-støttemodtagere i et givet tidsrum (naiv tilgang)</w:t>
                            </w:r>
                          </w:p>
                        </w:tc>
                        <w:tc>
                          <w:tcPr>
                            <w:tcW w:w="1701"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r w:rsidR="001A2EB5" w:rsidTr="00F3324C">
                        <w:tc>
                          <w:tcPr>
                            <w:cnfStyle w:val="001000000000" w:firstRow="0" w:lastRow="0" w:firstColumn="1" w:lastColumn="0" w:oddVBand="0" w:evenVBand="0" w:oddHBand="0" w:evenHBand="0" w:firstRowFirstColumn="0" w:firstRowLastColumn="0" w:lastRowFirstColumn="0" w:lastRowLastColumn="0"/>
                            <w:tcW w:w="2093" w:type="dxa"/>
                          </w:tcPr>
                          <w:p w:rsidR="001A2EB5" w:rsidRPr="009811C2" w:rsidRDefault="001A2EB5" w:rsidP="00365997">
                            <w:pPr>
                              <w:jc w:val="left"/>
                              <w:rPr>
                                <w:rFonts w:cs="Arial"/>
                                <w:szCs w:val="18"/>
                              </w:rPr>
                            </w:pPr>
                            <w:r>
                              <w:t>Før-efter sammenligning af støttemodtagerne (naiv tilgang)</w:t>
                            </w:r>
                          </w:p>
                        </w:tc>
                        <w:tc>
                          <w:tcPr>
                            <w:tcW w:w="1701"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A2EB5" w:rsidRPr="00B9614C" w:rsidRDefault="001A2EB5" w:rsidP="00365997">
                            <w:pPr>
                              <w:jc w:val="center"/>
                              <w:cnfStyle w:val="000000000000" w:firstRow="0" w:lastRow="0" w:firstColumn="0" w:lastColumn="0" w:oddVBand="0" w:evenVBand="0" w:oddHBand="0" w:evenHBand="0" w:firstRowFirstColumn="0" w:firstRowLastColumn="0" w:lastRowFirstColumn="0" w:lastRowLastColumn="0"/>
                              <w:rPr>
                                <w:rFonts w:cs="Arial"/>
                                <w:b/>
                                <w:color w:val="373737" w:themeColor="text1"/>
                                <w:szCs w:val="18"/>
                              </w:rPr>
                            </w:pPr>
                            <w:r>
                              <w:rPr>
                                <w:b/>
                                <w:color w:val="373737" w:themeColor="text1"/>
                              </w:rPr>
                              <w:t>+</w:t>
                            </w:r>
                          </w:p>
                        </w:tc>
                      </w:tr>
                      <w:tr w:rsidR="001A2EB5" w:rsidTr="00F332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1A2EB5" w:rsidRPr="009811C2" w:rsidRDefault="001A2EB5" w:rsidP="00365997">
                            <w:pPr>
                              <w:jc w:val="left"/>
                              <w:rPr>
                                <w:rFonts w:cs="Arial"/>
                                <w:szCs w:val="18"/>
                              </w:rPr>
                            </w:pPr>
                            <w:r>
                              <w:t>Kvalitative metoder, der anvendes til at anslå programmets resultater/virkninger</w:t>
                            </w:r>
                          </w:p>
                        </w:tc>
                        <w:tc>
                          <w:tcPr>
                            <w:tcW w:w="1701"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701"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7"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c>
                          <w:tcPr>
                            <w:tcW w:w="1418" w:type="dxa"/>
                          </w:tcPr>
                          <w:p w:rsidR="001A2EB5" w:rsidRPr="00B9614C" w:rsidRDefault="001A2EB5" w:rsidP="00365997">
                            <w:pPr>
                              <w:jc w:val="center"/>
                              <w:cnfStyle w:val="000000100000" w:firstRow="0" w:lastRow="0" w:firstColumn="0" w:lastColumn="0" w:oddVBand="0" w:evenVBand="0" w:oddHBand="1" w:evenHBand="0" w:firstRowFirstColumn="0" w:firstRowLastColumn="0" w:lastRowFirstColumn="0" w:lastRowLastColumn="0"/>
                              <w:rPr>
                                <w:rFonts w:cs="Arial"/>
                                <w:b/>
                                <w:color w:val="373737" w:themeColor="text1"/>
                                <w:szCs w:val="18"/>
                              </w:rPr>
                            </w:pPr>
                            <w:r>
                              <w:rPr>
                                <w:b/>
                                <w:color w:val="373737" w:themeColor="text1"/>
                              </w:rPr>
                              <w:t>+</w:t>
                            </w:r>
                          </w:p>
                        </w:tc>
                      </w:tr>
                    </w:tbl>
                    <w:p w:rsidR="001A2EB5" w:rsidRPr="00742E07" w:rsidRDefault="001A2EB5" w:rsidP="00735F08">
                      <w:pPr>
                        <w:pStyle w:val="HStandard"/>
                        <w:jc w:val="center"/>
                        <w:rPr>
                          <w:i/>
                          <w:color w:val="F07E31" w:themeColor="accent1"/>
                        </w:rPr>
                      </w:pPr>
                      <w:r>
                        <w:rPr>
                          <w:i/>
                          <w:color w:val="F07E31" w:themeColor="accent1"/>
                          <w:sz w:val="18"/>
                        </w:rPr>
                        <w:t xml:space="preserve">Få mere at vide om kriterier for udvælgelse af evalueringsmetoder </w:t>
                      </w:r>
                      <w:r>
                        <w:rPr>
                          <w:i/>
                          <w:color w:val="F07E31" w:themeColor="accent1"/>
                          <w:sz w:val="18"/>
                          <w:szCs w:val="18"/>
                        </w:rPr>
                        <w:br/>
                      </w:r>
                      <w:r>
                        <w:rPr>
                          <w:i/>
                          <w:color w:val="F07E31" w:themeColor="accent1"/>
                          <w:sz w:val="18"/>
                        </w:rPr>
                        <w:t xml:space="preserve">in </w:t>
                      </w:r>
                      <w:hyperlink r:id="rId44">
                        <w:r>
                          <w:rPr>
                            <w:rStyle w:val="Hyperlink"/>
                            <w:i/>
                            <w:color w:val="F07E31" w:themeColor="accent1"/>
                            <w:sz w:val="18"/>
                          </w:rPr>
                          <w:t>Guidelines for Ex-post evaluation of 2007-2013 RDPs</w:t>
                        </w:r>
                      </w:hyperlink>
                      <w:r>
                        <w:rPr>
                          <w:rStyle w:val="Hyperlink"/>
                          <w:i/>
                          <w:color w:val="F07E31" w:themeColor="accent1"/>
                          <w:sz w:val="18"/>
                        </w:rPr>
                        <w:t xml:space="preserve">, </w:t>
                      </w:r>
                      <w:r>
                        <w:rPr>
                          <w:i/>
                          <w:color w:val="F07E31" w:themeColor="accent1"/>
                          <w:sz w:val="18"/>
                        </w:rPr>
                        <w:t>Kapitel 4.3.4.2.</w:t>
                      </w:r>
                    </w:p>
                  </w:txbxContent>
                </v:textbox>
                <w10:anchorlock/>
              </v:shape>
            </w:pict>
          </mc:Fallback>
        </mc:AlternateContent>
      </w:r>
    </w:p>
    <w:p w:rsidR="00820050" w:rsidRPr="0062664B" w:rsidRDefault="004A3547" w:rsidP="00820050">
      <w:pPr>
        <w:pStyle w:val="HHeading4"/>
      </w:pPr>
      <w:r w:rsidRPr="0062664B">
        <w:br w:type="column"/>
      </w:r>
      <w:r w:rsidRPr="0062664B">
        <w:lastRenderedPageBreak/>
        <w:t>Vurdering på mikro- og makroniveau og udregning af virkninger (tredje lag)</w:t>
      </w:r>
    </w:p>
    <w:p w:rsidR="00820050" w:rsidRPr="0062664B" w:rsidRDefault="00820050" w:rsidP="00820050">
      <w:pPr>
        <w:pStyle w:val="HStandard"/>
        <w:rPr>
          <w:rFonts w:cs="Arial"/>
        </w:rPr>
      </w:pPr>
      <w:r w:rsidRPr="0062664B">
        <w:rPr>
          <w:b/>
        </w:rPr>
        <w:t>Mikro- eller makrolaget</w:t>
      </w:r>
      <w:r w:rsidRPr="0062664B">
        <w:t xml:space="preserve"> følges herefter i den logiske model til at forbedre evalueringsmulighederne. Arbejdsgangen for mikro- og makrolag guider evalueringseksperten til metoder, der bidrager til en ensartet vurdering af </w:t>
      </w:r>
      <w:r w:rsidRPr="0062664B">
        <w:rPr>
          <w:b/>
        </w:rPr>
        <w:t>nettovirkningerne på mikro- og makroniveau.</w:t>
      </w:r>
      <w:r w:rsidRPr="0062664B">
        <w:rPr>
          <w:rStyle w:val="FootnoteReference"/>
          <w:b/>
        </w:rPr>
        <w:footnoteReference w:id="28"/>
      </w:r>
      <w:r w:rsidRPr="0062664B">
        <w:t xml:space="preserve"> For hver af de mulige kontrafaktiske situationer oprettes en individuel logisk model på mikroniveau. I visse evalueringsmetoder er opskalering af resultaterne grundlaget for vurderingen på makroniveau. I andre evalueringsmetoder supplerer vurderinger på mikro- og makroniveau hinanden, hvilket kræver en kontrol af konsistens. </w:t>
      </w:r>
    </w:p>
    <w:p w:rsidR="00C545E7" w:rsidRPr="0062664B" w:rsidRDefault="000B213F" w:rsidP="00820050">
      <w:pPr>
        <w:pStyle w:val="HStandard"/>
        <w:spacing w:after="0"/>
        <w:rPr>
          <w:rFonts w:cs="Arial"/>
        </w:rPr>
      </w:pPr>
      <w:r w:rsidRPr="0062664B">
        <w:rPr>
          <w:b/>
          <w:i/>
          <w:noProof/>
          <w:color w:val="F07E31" w:themeColor="accent1"/>
          <w:lang w:eastAsia="en-GB" w:bidi="ar-SA"/>
        </w:rPr>
        <mc:AlternateContent>
          <mc:Choice Requires="wps">
            <w:drawing>
              <wp:inline distT="0" distB="0" distL="0" distR="0" wp14:anchorId="3136FD0F" wp14:editId="2596EAC3">
                <wp:extent cx="5731510" cy="1377043"/>
                <wp:effectExtent l="0" t="0" r="21590" b="13970"/>
                <wp:docPr id="902"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377043"/>
                        </a:xfrm>
                        <a:custGeom>
                          <a:avLst/>
                          <a:gdLst>
                            <a:gd name="T0" fmla="*/ 126364 w 5731510"/>
                            <a:gd name="T1" fmla="*/ 0 h 1446971"/>
                            <a:gd name="T2" fmla="*/ 5731510 w 5731510"/>
                            <a:gd name="T3" fmla="*/ 0 h 1446971"/>
                            <a:gd name="T4" fmla="*/ 5731510 w 5731510"/>
                            <a:gd name="T5" fmla="*/ 0 h 1446971"/>
                            <a:gd name="T6" fmla="*/ 5731510 w 5731510"/>
                            <a:gd name="T7" fmla="*/ 1320607 h 1446971"/>
                            <a:gd name="T8" fmla="*/ 5605146 w 5731510"/>
                            <a:gd name="T9" fmla="*/ 1446971 h 1446971"/>
                            <a:gd name="T10" fmla="*/ 0 w 5731510"/>
                            <a:gd name="T11" fmla="*/ 1446971 h 1446971"/>
                            <a:gd name="T12" fmla="*/ 0 w 5731510"/>
                            <a:gd name="T13" fmla="*/ 1446971 h 1446971"/>
                            <a:gd name="T14" fmla="*/ 0 w 5731510"/>
                            <a:gd name="T15" fmla="*/ 126364 h 1446971"/>
                            <a:gd name="T16" fmla="*/ 126364 w 5731510"/>
                            <a:gd name="T17" fmla="*/ 0 h 14469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446971"/>
                            <a:gd name="T29" fmla="*/ 5731510 w 5731510"/>
                            <a:gd name="T30" fmla="*/ 1446971 h 1446971"/>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446971">
                              <a:moveTo>
                                <a:pt x="126364" y="0"/>
                              </a:moveTo>
                              <a:lnTo>
                                <a:pt x="5731510" y="0"/>
                              </a:lnTo>
                              <a:lnTo>
                                <a:pt x="5731510" y="1320607"/>
                              </a:lnTo>
                              <a:cubicBezTo>
                                <a:pt x="5731510" y="1390396"/>
                                <a:pt x="5674935" y="1446971"/>
                                <a:pt x="5605146" y="1446971"/>
                              </a:cubicBezTo>
                              <a:lnTo>
                                <a:pt x="0" y="1446971"/>
                              </a:lnTo>
                              <a:lnTo>
                                <a:pt x="0" y="126364"/>
                              </a:lnTo>
                              <a:cubicBezTo>
                                <a:pt x="0" y="56575"/>
                                <a:pt x="56575" y="0"/>
                                <a:pt x="126364"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1A2EB5" w:rsidRPr="00044269" w:rsidRDefault="001A2EB5"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13ACC374" wp14:editId="65D2F11C">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w:t>
                            </w:r>
                            <w:r>
                              <w:rPr>
                                <w:color w:val="373737" w:themeColor="text1"/>
                              </w:rPr>
                              <w:t>De kvantitative beviser bør fortolkes kritisk</w:t>
                            </w:r>
                            <w:r>
                              <w:rPr>
                                <w:rStyle w:val="CommentReference"/>
                                <w:color w:val="373737" w:themeColor="text1"/>
                              </w:rPr>
                              <w:t xml:space="preserve"> </w:t>
                            </w:r>
                            <w:r>
                              <w:rPr>
                                <w:color w:val="373737" w:themeColor="text1"/>
                              </w:rPr>
                              <w:t>med en kvalitativ vurdering.</w:t>
                            </w:r>
                            <w:r>
                              <w:rPr>
                                <w:b w:val="0"/>
                                <w:color w:val="373737" w:themeColor="text1"/>
                              </w:rPr>
                              <w:t xml:space="preserve"> Desuden kan den kvalitative vurdering også bidrage til at fuldstændiggøre den kvantitative vurdering med henblik på: a) vurdering af repræsentativiteten af de tilgængelige data, b) krydsvalidering af resultaterne, c) indsamling af forskellige dimensioner af samme fænomen.</w:t>
                            </w:r>
                          </w:p>
                        </w:txbxContent>
                      </wps:txbx>
                      <wps:bodyPr rot="0" vert="horz" wrap="square" lIns="91440" tIns="45720" rIns="91440" bIns="45720" anchor="ctr" anchorCtr="0" upright="1">
                        <a:noAutofit/>
                      </wps:bodyPr>
                    </wps:wsp>
                  </a:graphicData>
                </a:graphic>
              </wp:inline>
            </w:drawing>
          </mc:Choice>
          <mc:Fallback>
            <w:pict>
              <v:shape w14:anchorId="3136FD0F" id="AutoShape 65" o:spid="_x0000_s1037" style="width:451.3pt;height:108.45pt;visibility:visible;mso-wrap-style:square;mso-left-percent:-10001;mso-top-percent:-10001;mso-position-horizontal:absolute;mso-position-horizontal-relative:char;mso-position-vertical:absolute;mso-position-vertical-relative:line;mso-left-percent:-10001;mso-top-percent:-10001;v-text-anchor:middle" coordsize="5731510,144697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" adj="-11796480,,5400" path="m126364,l5731510,r,1320607c5731510,1390396,5674935,1446971,5605146,1446971l,1446971,,126364c,56575,56575,,126364,xe" filled="f" strokecolor="#be4a35" strokeweight="2pt">
                <v:stroke joinstyle="miter"/>
                <v:formulas/>
                <v:path arrowok="t" o:connecttype="custom" o:connectlocs="126364,0;5731510,0;5731510,0;5731510,1256786;5605146,1377043;0,1377043;0,1377043;0,120257;126364,0" o:connectangles="0,0,0,0,0,0,0,0,0" textboxrect="0,0,5731510,1446971"/>
                <v:textbox>
                  <w:txbxContent>
                    <w:p w:rsidR="001A2EB5" w:rsidRPr="00044269" w:rsidRDefault="001A2EB5"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13ACC374" wp14:editId="65D2F11C">
                            <wp:extent cx="664845" cy="487680"/>
                            <wp:effectExtent l="0" t="0" r="0" b="7620"/>
                            <wp:docPr id="912"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w:t>
                      </w:r>
                      <w:r>
                        <w:rPr>
                          <w:color w:val="373737" w:themeColor="text1"/>
                        </w:rPr>
                        <w:t>De kvantitative beviser bør fortolkes kritisk</w:t>
                      </w:r>
                      <w:r>
                        <w:rPr>
                          <w:rStyle w:val="CommentReference"/>
                          <w:color w:val="373737" w:themeColor="text1"/>
                        </w:rPr>
                        <w:t xml:space="preserve"> </w:t>
                      </w:r>
                      <w:r>
                        <w:rPr>
                          <w:color w:val="373737" w:themeColor="text1"/>
                        </w:rPr>
                        <w:t>med en kvalitativ vurdering.</w:t>
                      </w:r>
                      <w:r>
                        <w:rPr>
                          <w:b w:val="0"/>
                          <w:color w:val="373737" w:themeColor="text1"/>
                        </w:rPr>
                        <w:t xml:space="preserve"> Desuden kan den kvalitative vurdering også bidrage til at fuldstændiggøre den kvantitative vurdering med henblik på: a) vurdering af repræsentativiteten af de tilgængelige data, b) krydsvalidering af resultaterne, c) indsamling af forskellige dimensioner af samme fænomen.</w:t>
                      </w:r>
                    </w:p>
                  </w:txbxContent>
                </v:textbox>
                <w10:anchorlock/>
              </v:shape>
            </w:pict>
          </mc:Fallback>
        </mc:AlternateContent>
      </w:r>
    </w:p>
    <w:p w:rsidR="00820050" w:rsidRPr="0062664B" w:rsidRDefault="00820050" w:rsidP="00820050">
      <w:pPr>
        <w:pStyle w:val="HStandard"/>
        <w:spacing w:after="0"/>
        <w:rPr>
          <w:rFonts w:cs="Arial"/>
        </w:rPr>
      </w:pPr>
      <w:r w:rsidRPr="0062664B">
        <w:t>Anvendelsen af trinene i beslutningstræet på mikro- og makroniveau er en hjælp til besvarelsen af nedenstående spørgsmål ved udformningen af evalueringstilgang:</w:t>
      </w:r>
    </w:p>
    <w:p w:rsidR="00820050" w:rsidRPr="0062664B" w:rsidRDefault="00820050" w:rsidP="00C42303">
      <w:pPr>
        <w:pStyle w:val="Hlistbullet"/>
      </w:pPr>
      <w:r w:rsidRPr="0062664B">
        <w:t>Er der behov for at anvende en bestemt miljømæssig, sektorspecifik (bedrift-økonomisk) eller samfundsøkonomisk metode til kvantificering af ændringer i indikatorværdierne, eller kan indikatorværdierne anvendes direkte samtidig med kontrafaktiske metoder?</w:t>
      </w:r>
    </w:p>
    <w:p w:rsidR="00820050" w:rsidRPr="0062664B" w:rsidRDefault="00820050" w:rsidP="00C42303">
      <w:pPr>
        <w:pStyle w:val="Hlistbullet"/>
      </w:pPr>
      <w:r w:rsidRPr="0062664B">
        <w:t>Hvis en bestemt metode skal anvendes, er dataene relevante med henblik på at gennemføre en af de metoder, der er til rådighed for en miljømæssig, sektorspecifik eller samfundsøkonomisk konsekvensevaluering?</w:t>
      </w:r>
    </w:p>
    <w:p w:rsidR="00820050" w:rsidRPr="0062664B" w:rsidRDefault="00820050" w:rsidP="00C42303">
      <w:pPr>
        <w:pStyle w:val="Hlistbullet"/>
      </w:pPr>
      <w:r w:rsidRPr="0062664B">
        <w:t>Er der behov for at indsamle nye primærdata via statistiske stikprøver, og hvor meget vil dette koste?</w:t>
      </w:r>
    </w:p>
    <w:p w:rsidR="00820050" w:rsidRPr="0062664B" w:rsidRDefault="00820050" w:rsidP="00C42303">
      <w:pPr>
        <w:pStyle w:val="Hlistbullet"/>
      </w:pPr>
      <w:r w:rsidRPr="0062664B">
        <w:t>Er der behov for behandling af specifikke opgaver for at forbedre kvaliteten af undersøgelsen/overvågningsdataene?</w:t>
      </w:r>
    </w:p>
    <w:p w:rsidR="00820050" w:rsidRPr="0062664B" w:rsidRDefault="00820050" w:rsidP="00C42303">
      <w:pPr>
        <w:pStyle w:val="Hlistbullet"/>
      </w:pPr>
      <w:r w:rsidRPr="0062664B">
        <w:t>Hvis det ikke er muligt at kvantificere ændringerne i indikatorværdierne, eller hvis omkostningerne ved at gøre det er meget høje, hvilke alternative (kvalitative) metoder er der for at vurdere ændringer i indikatorværdier?</w:t>
      </w:r>
    </w:p>
    <w:p w:rsidR="00B00451" w:rsidRPr="0062664B" w:rsidRDefault="00B00451" w:rsidP="003708EA">
      <w:pPr>
        <w:pStyle w:val="Hlistbullet"/>
        <w:numPr>
          <w:ilvl w:val="0"/>
          <w:numId w:val="0"/>
        </w:numPr>
      </w:pPr>
    </w:p>
    <w:p w:rsidR="006D6205" w:rsidRPr="0062664B" w:rsidRDefault="006D6205" w:rsidP="003708EA">
      <w:pPr>
        <w:pStyle w:val="Hlistbullet"/>
        <w:numPr>
          <w:ilvl w:val="0"/>
          <w:numId w:val="0"/>
        </w:numPr>
      </w:pPr>
    </w:p>
    <w:p w:rsidR="006D6205" w:rsidRPr="0062664B" w:rsidRDefault="006D6205" w:rsidP="003708EA">
      <w:pPr>
        <w:pStyle w:val="Hlistbullet"/>
        <w:numPr>
          <w:ilvl w:val="0"/>
          <w:numId w:val="0"/>
        </w:numPr>
      </w:pPr>
      <w:r w:rsidRPr="0062664B">
        <w:br w:type="column"/>
      </w:r>
      <w:r w:rsidRPr="0062664B">
        <w:rPr>
          <w:b/>
          <w:i/>
          <w:noProof/>
          <w:color w:val="F07E31" w:themeColor="accent1"/>
          <w:lang w:eastAsia="en-GB" w:bidi="ar-SA"/>
        </w:rPr>
        <w:lastRenderedPageBreak/>
        <mc:AlternateContent>
          <mc:Choice Requires="wps">
            <w:drawing>
              <wp:inline distT="0" distB="0" distL="0" distR="0" wp14:anchorId="29B90B2A" wp14:editId="3AEE194F">
                <wp:extent cx="5931535" cy="8752114"/>
                <wp:effectExtent l="0" t="0" r="12065" b="11430"/>
                <wp:docPr id="901"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1535" cy="8752114"/>
                        </a:xfrm>
                        <a:custGeom>
                          <a:avLst/>
                          <a:gdLst>
                            <a:gd name="T0" fmla="*/ 518013 w 5931673"/>
                            <a:gd name="T1" fmla="*/ 0 h 8670814"/>
                            <a:gd name="T2" fmla="*/ 5931673 w 5931673"/>
                            <a:gd name="T3" fmla="*/ 0 h 8670814"/>
                            <a:gd name="T4" fmla="*/ 5931673 w 5931673"/>
                            <a:gd name="T5" fmla="*/ 0 h 8670814"/>
                            <a:gd name="T6" fmla="*/ 5931673 w 5931673"/>
                            <a:gd name="T7" fmla="*/ 8152801 h 8670814"/>
                            <a:gd name="T8" fmla="*/ 5413660 w 5931673"/>
                            <a:gd name="T9" fmla="*/ 8670814 h 8670814"/>
                            <a:gd name="T10" fmla="*/ 0 w 5931673"/>
                            <a:gd name="T11" fmla="*/ 8670814 h 8670814"/>
                            <a:gd name="T12" fmla="*/ 0 w 5931673"/>
                            <a:gd name="T13" fmla="*/ 8670814 h 8670814"/>
                            <a:gd name="T14" fmla="*/ 0 w 5931673"/>
                            <a:gd name="T15" fmla="*/ 518013 h 8670814"/>
                            <a:gd name="T16" fmla="*/ 518013 w 5931673"/>
                            <a:gd name="T17" fmla="*/ 0 h 867081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931673"/>
                            <a:gd name="T28" fmla="*/ 0 h 8670814"/>
                            <a:gd name="T29" fmla="*/ 5931673 w 5931673"/>
                            <a:gd name="T30" fmla="*/ 8670814 h 8670814"/>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931673" h="8670814">
                              <a:moveTo>
                                <a:pt x="518013" y="0"/>
                              </a:moveTo>
                              <a:lnTo>
                                <a:pt x="5931673" y="0"/>
                              </a:lnTo>
                              <a:lnTo>
                                <a:pt x="5931673" y="8152801"/>
                              </a:lnTo>
                              <a:cubicBezTo>
                                <a:pt x="5931673" y="8438892"/>
                                <a:pt x="5699751" y="8670814"/>
                                <a:pt x="5413660" y="8670814"/>
                              </a:cubicBezTo>
                              <a:lnTo>
                                <a:pt x="0" y="8670814"/>
                              </a:lnTo>
                              <a:lnTo>
                                <a:pt x="0" y="518013"/>
                              </a:lnTo>
                              <a:cubicBezTo>
                                <a:pt x="0" y="231922"/>
                                <a:pt x="231922" y="0"/>
                                <a:pt x="518013"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1A2EB5" w:rsidRPr="00DD36A9" w:rsidRDefault="001A2EB5" w:rsidP="006D6205">
                            <w:pPr>
                              <w:pStyle w:val="HHeading4"/>
                            </w:pPr>
                            <w:r>
                              <w:rPr>
                                <w:noProof/>
                                <w:lang w:val="en-GB" w:eastAsia="en-GB" w:bidi="ar-SA"/>
                              </w:rPr>
                              <w:drawing>
                                <wp:inline distT="0" distB="0" distL="0" distR="0" wp14:anchorId="3D2DD2D9" wp14:editId="21FEAAFF">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HURTIG VEJLEDNING NR. 4: Hvordan kan man vurdere </w:t>
                            </w:r>
                            <w:r w:rsidRPr="00252755">
                              <w:t>landdistriktsudviklingsprogrammet</w:t>
                            </w:r>
                            <w:r>
                              <w:t>s nettovirkninger? (med hensyn til tredje lag)</w:t>
                            </w:r>
                          </w:p>
                          <w:p w:rsidR="001A2EB5" w:rsidRPr="00553149" w:rsidRDefault="001A2EB5" w:rsidP="00AC0E3D">
                            <w:pPr>
                              <w:pStyle w:val="HStandard"/>
                              <w:spacing w:after="0"/>
                              <w:rPr>
                                <w:rFonts w:cs="Arial"/>
                                <w:szCs w:val="16"/>
                              </w:rPr>
                            </w:pPr>
                            <w:r>
                              <w:t xml:space="preserve">Vurderingen af programmets nettovirkninger på </w:t>
                            </w:r>
                            <w:r>
                              <w:rPr>
                                <w:b/>
                              </w:rPr>
                              <w:t>makroniveau eller for programområdet</w:t>
                            </w:r>
                            <w:r>
                              <w:t xml:space="preserve"> ved hjælp af den kontrafaktiske situation kan udføres ved hjælp af to primære metoder: Den </w:t>
                            </w:r>
                            <w:r>
                              <w:rPr>
                                <w:b/>
                              </w:rPr>
                              <w:t>første metode</w:t>
                            </w:r>
                            <w:r>
                              <w:t xml:space="preserve"> er baseret på en mikroanalyse og ekstrapolering af resultaterne til makroniveau (opskalering). I den </w:t>
                            </w:r>
                            <w:r>
                              <w:rPr>
                                <w:b/>
                              </w:rPr>
                              <w:t>anden tilgang</w:t>
                            </w:r>
                            <w:r>
                              <w:t xml:space="preserve"> benyttes analyseredskaber såsom modellerne </w:t>
                            </w:r>
                            <w:hyperlink r:id="rId45">
                              <w:r>
                                <w:rPr>
                                  <w:rStyle w:val="Hyperlink"/>
                                </w:rPr>
                                <w:t>Computable General Equilibrium</w:t>
                              </w:r>
                            </w:hyperlink>
                            <w:r>
                              <w:t xml:space="preserve">, Partial Equilibrium og geografiske økonometriske metoder eller andre modelberegninger, såfremt den tilsvarende model (f.eks. produktivitet eller emissionskoefficienter) økonometrisk anslås på en måde, </w:t>
                            </w:r>
                            <w:r>
                              <w:rPr>
                                <w:b/>
                              </w:rPr>
                              <w:t>der tager hensyn til</w:t>
                            </w:r>
                            <w:r>
                              <w:t xml:space="preserve"> fastlagte årsagssammenhænge, eventuelle skævheder i udvælgelse, endogene aspekter og geografisk afhængighed. Denne tilgang omfatter også kombinationen af en "oppefra og ned"-tilgang på makroniveau (f.eks. modeller med national eller regional dækning) til evaluering af programmets virkninger med en "nedefra og op"-tilgang på mikroniveau, hvor nettovirkningerne af forskellige foranstaltninger eller kombinationer af foranstaltninger vurderes.</w:t>
                            </w:r>
                          </w:p>
                          <w:p w:rsidR="001A2EB5" w:rsidRPr="00553149" w:rsidRDefault="001A2EB5" w:rsidP="00AC0E3D">
                            <w:pPr>
                              <w:pStyle w:val="HStandard"/>
                              <w:spacing w:after="0"/>
                              <w:rPr>
                                <w:rFonts w:cs="Arial"/>
                                <w:szCs w:val="16"/>
                              </w:rPr>
                            </w:pPr>
                          </w:p>
                          <w:p w:rsidR="001A2EB5" w:rsidRPr="00553149" w:rsidRDefault="001A2EB5" w:rsidP="00AC0E3D">
                            <w:pPr>
                              <w:pStyle w:val="HStandard"/>
                              <w:spacing w:after="0"/>
                              <w:rPr>
                                <w:rFonts w:cs="Arial"/>
                                <w:szCs w:val="16"/>
                              </w:rPr>
                            </w:pPr>
                            <w:r>
                              <w:t xml:space="preserve">Det er vigtigt at bemærke, at uanset hvilken tilgang, der vælges, er analyse af nettovirkningerne af </w:t>
                            </w:r>
                            <w:r w:rsidRPr="000F5E43">
                              <w:t xml:space="preserve">landdistriktsudviklingsprogrammet </w:t>
                            </w:r>
                            <w:r>
                              <w:t xml:space="preserve">kun mulig, hvis der foreligger tilstrækkelige kvantitative data, og der anvendes avancerede metodologiske teknikker. Eventuel anvendelse af naive kvantitative evalueringsmuligheder (dvs. før-efter, anvendelse af ikke-relevante kontrolforanstaltninger, osv.) kan i betydelig grad skævvride de opnåede resultater af "nettovirkningerne" i begge retninger (positiv eller negativ). </w:t>
                            </w:r>
                          </w:p>
                          <w:p w:rsidR="001A2EB5" w:rsidRPr="00553149" w:rsidRDefault="001A2EB5" w:rsidP="00AC0E3D">
                            <w:pPr>
                              <w:pStyle w:val="HStandard"/>
                              <w:spacing w:after="0"/>
                              <w:rPr>
                                <w:rFonts w:cs="Arial"/>
                                <w:szCs w:val="16"/>
                              </w:rPr>
                            </w:pPr>
                          </w:p>
                          <w:p w:rsidR="001A2EB5" w:rsidRPr="00502017" w:rsidRDefault="001A2EB5" w:rsidP="00AC0E3D">
                            <w:pPr>
                              <w:pStyle w:val="HStandard"/>
                              <w:spacing w:after="0"/>
                              <w:rPr>
                                <w:rFonts w:cs="Arial"/>
                                <w:szCs w:val="16"/>
                              </w:rPr>
                            </w:pPr>
                            <w:r>
                              <w:t xml:space="preserve">Da den </w:t>
                            </w:r>
                            <w:r>
                              <w:rPr>
                                <w:b/>
                              </w:rPr>
                              <w:t>første tilgang</w:t>
                            </w:r>
                            <w:r>
                              <w:t xml:space="preserve"> (ekstrapolering af mikroanalyse til et programområde på makroniveau) er den nemmeste og mest lovende, beskrives herunder de vigtigste trin. Tilgangen består af fem vigtige trin, der gælder for både sektorspecifikke samt miljømæssige og samfundsøkonomiske effektindikatorer. Den grundlæggende forskel mellem analysen af </w:t>
                            </w:r>
                            <w:r w:rsidRPr="00252755">
                              <w:t>l</w:t>
                            </w:r>
                            <w:r>
                              <w:t>anddistriktsudviklingsprogrammets nettovirkning, der udføres på disse tre områder, er definitionen af de enheder, som analysen er baseret på: f.eks. bedrifter (virksomheder) og administrative regioner (f.eks. NUTS 4, NUTS 5, osv.) for de sektorspecifikke indikatorer; jordlodder eller små geografiske områder (geodata) om miljøindikatorer; og administrative regioner (f.eks. NUTS 3, NUTS 4 eller NUTS 5) for samfundsøkonomiske indikatorer. Trinnene er følgende:</w:t>
                            </w:r>
                          </w:p>
                          <w:p w:rsidR="001A2EB5" w:rsidRPr="00502017" w:rsidRDefault="001A2EB5" w:rsidP="00AC0E3D">
                            <w:pPr>
                              <w:pStyle w:val="HStandard"/>
                              <w:spacing w:after="0"/>
                              <w:rPr>
                                <w:rFonts w:cs="Arial"/>
                                <w:szCs w:val="16"/>
                              </w:rPr>
                            </w:pPr>
                          </w:p>
                          <w:p w:rsidR="001A2EB5" w:rsidRPr="00735F08" w:rsidRDefault="001A2EB5" w:rsidP="00AC0E3D">
                            <w:pPr>
                              <w:pStyle w:val="Hlistbullet"/>
                              <w:numPr>
                                <w:ilvl w:val="0"/>
                                <w:numId w:val="0"/>
                              </w:numPr>
                              <w:jc w:val="left"/>
                              <w:rPr>
                                <w:szCs w:val="16"/>
                              </w:rPr>
                            </w:pPr>
                            <w:r>
                              <w:rPr>
                                <w:b/>
                                <w:color w:val="F07E31" w:themeColor="accent1"/>
                              </w:rPr>
                              <w:t>Trin 1:</w:t>
                            </w:r>
                            <w:r>
                              <w:t xml:space="preserve"> Udarbejd et skøn over de </w:t>
                            </w:r>
                            <w:r>
                              <w:rPr>
                                <w:b/>
                              </w:rPr>
                              <w:t>direkte virkninger</w:t>
                            </w:r>
                            <w:r>
                              <w:t xml:space="preserve"> af </w:t>
                            </w:r>
                            <w:r w:rsidRPr="007F7082">
                              <w:t xml:space="preserve">landdistriktsudviklingsprogrammet </w:t>
                            </w:r>
                            <w:r>
                              <w:rPr>
                                <w:b/>
                              </w:rPr>
                              <w:t>for støttemodtagerne på mikroniveau</w:t>
                            </w:r>
                            <w:r>
                              <w:t>:</w:t>
                            </w:r>
                          </w:p>
                          <w:p w:rsidR="001A2EB5" w:rsidRPr="00553149" w:rsidRDefault="001A2EB5" w:rsidP="00EC01C3">
                            <w:pPr>
                              <w:pStyle w:val="HStandard"/>
                              <w:numPr>
                                <w:ilvl w:val="1"/>
                                <w:numId w:val="13"/>
                              </w:numPr>
                              <w:spacing w:after="0"/>
                              <w:ind w:left="924" w:hanging="357"/>
                              <w:rPr>
                                <w:rFonts w:cs="Arial"/>
                                <w:szCs w:val="16"/>
                              </w:rPr>
                            </w:pPr>
                            <w:r>
                              <w:t>Beregn på mikroniveauet for gruppen af støttemodtagere og kontrolgruppen den gennemsnitlige værdi af de fælles eller yderligere effektindikatorer før støtten (f.eks. i 2013) og efter støtten (f.eks. i 2018 eller 2019).</w:t>
                            </w:r>
                          </w:p>
                          <w:p w:rsidR="001A2EB5" w:rsidRPr="00553149" w:rsidRDefault="001A2EB5" w:rsidP="00EC01C3">
                            <w:pPr>
                              <w:pStyle w:val="HStandard"/>
                              <w:numPr>
                                <w:ilvl w:val="1"/>
                                <w:numId w:val="13"/>
                              </w:numPr>
                              <w:spacing w:after="0"/>
                              <w:ind w:left="924" w:hanging="357"/>
                              <w:rPr>
                                <w:rFonts w:cs="Arial"/>
                                <w:szCs w:val="16"/>
                              </w:rPr>
                            </w:pPr>
                            <w:r>
                              <w:t xml:space="preserve">Beregn specifikke politiske indikatorer (f.eks. gennemsnitlige behandlingseffekter på behandlede (ATT)), der som resultat anvender de relevante fælles eller yderligere effektindikatorer. Beregn </w:t>
                            </w:r>
                            <w:r>
                              <w:rPr>
                                <w:b/>
                              </w:rPr>
                              <w:t>direkte nettovirkninger på ovennævnte indikatorer</w:t>
                            </w:r>
                            <w:r>
                              <w:t xml:space="preserve"> for </w:t>
                            </w:r>
                            <w:r w:rsidRPr="00252755">
                              <w:t>landdistriktsudviklingsprogrammet</w:t>
                            </w:r>
                            <w:r>
                              <w:t xml:space="preserve"> ved at kombinere de beregnede gennemsnitlige behandlingseffekter på behandlede med Difference in Differences-metoden.</w:t>
                            </w:r>
                          </w:p>
                          <w:p w:rsidR="001A2EB5" w:rsidRPr="00402862" w:rsidRDefault="001A2EB5" w:rsidP="00EC01C3">
                            <w:pPr>
                              <w:pStyle w:val="HStandard"/>
                              <w:numPr>
                                <w:ilvl w:val="1"/>
                                <w:numId w:val="13"/>
                              </w:numPr>
                              <w:spacing w:after="0"/>
                              <w:ind w:left="924" w:hanging="357"/>
                              <w:rPr>
                                <w:rFonts w:cs="Arial"/>
                                <w:szCs w:val="16"/>
                              </w:rPr>
                            </w:pPr>
                            <w:r>
                              <w:t xml:space="preserve">Udfør en følsomhedsanalyse </w:t>
                            </w:r>
                            <w:r>
                              <w:t>af de opnåede resultater.</w:t>
                            </w:r>
                          </w:p>
                          <w:p w:rsidR="00402862" w:rsidRPr="00553149" w:rsidRDefault="00402862" w:rsidP="00402862">
                            <w:pPr>
                              <w:pStyle w:val="HStandard"/>
                              <w:spacing w:after="0"/>
                              <w:ind w:left="924"/>
                              <w:rPr>
                                <w:rFonts w:cs="Arial"/>
                                <w:szCs w:val="16"/>
                              </w:rPr>
                            </w:pPr>
                          </w:p>
                          <w:p w:rsidR="001A2EB5" w:rsidRPr="00027601" w:rsidRDefault="001A2EB5" w:rsidP="00027601">
                            <w:pPr>
                              <w:pStyle w:val="Hlistbullet"/>
                              <w:numPr>
                                <w:ilvl w:val="0"/>
                                <w:numId w:val="0"/>
                              </w:numPr>
                              <w:spacing w:before="0" w:after="120" w:line="280" w:lineRule="atLeast"/>
                              <w:rPr>
                                <w:i/>
                                <w:color w:val="F07E31" w:themeColor="accent1"/>
                                <w:sz w:val="16"/>
                                <w:szCs w:val="16"/>
                              </w:rPr>
                            </w:pPr>
                          </w:p>
                        </w:txbxContent>
                      </wps:txbx>
                      <wps:bodyPr rot="0" vert="horz" wrap="square" lIns="91440" tIns="45720" rIns="91440" bIns="45720" anchor="ctr" anchorCtr="0" upright="1">
                        <a:noAutofit/>
                      </wps:bodyPr>
                    </wps:wsp>
                  </a:graphicData>
                </a:graphic>
              </wp:inline>
            </w:drawing>
          </mc:Choice>
          <mc:Fallback>
            <w:pict>
              <v:shape w14:anchorId="29B90B2A" id="AutoShape 64" o:spid="_x0000_s1038" style="width:467.05pt;height:689.15pt;visibility:visible;mso-wrap-style:square;mso-left-percent:-10001;mso-top-percent:-10001;mso-position-horizontal:absolute;mso-position-horizontal-relative:char;mso-position-vertical:absolute;mso-position-vertical-relative:line;mso-left-percent:-10001;mso-top-percent:-10001;v-text-anchor:middle" coordsize="5931673,86708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" adj="-11796480,,5400" path="m518013,l5931673,r,8152801c5931673,8438892,5699751,8670814,5413660,8670814l,8670814,,518013c,231922,231922,,518013,xe" filled="f" strokecolor="#be4a35" strokeweight="2pt">
                <v:stroke joinstyle="miter"/>
                <v:formulas/>
                <v:path arrowok="t" o:connecttype="custom" o:connectlocs="518001,0;5931535,0;5931535,0;5931535,8229244;5413534,8752114;0,8752114;0,8752114;0,522870;518001,0" o:connectangles="0,0,0,0,0,0,0,0,0" textboxrect="0,0,5931673,8670814"/>
                <v:textbox>
                  <w:txbxContent>
                    <w:p w:rsidR="001A2EB5" w:rsidRPr="00DD36A9" w:rsidRDefault="001A2EB5" w:rsidP="006D6205">
                      <w:pPr>
                        <w:pStyle w:val="HHeading4"/>
                      </w:pPr>
                      <w:r>
                        <w:rPr>
                          <w:noProof/>
                          <w:lang w:val="en-GB" w:eastAsia="en-GB" w:bidi="ar-SA"/>
                        </w:rPr>
                        <w:drawing>
                          <wp:inline distT="0" distB="0" distL="0" distR="0" wp14:anchorId="3D2DD2D9" wp14:editId="21FEAAFF">
                            <wp:extent cx="664845" cy="487680"/>
                            <wp:effectExtent l="0" t="0" r="0" b="7620"/>
                            <wp:docPr id="91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 xml:space="preserve">HURTIG VEJLEDNING NR. 4: Hvordan kan man vurdere </w:t>
                      </w:r>
                      <w:r w:rsidRPr="00252755">
                        <w:t>landdistriktsudviklingsprogrammet</w:t>
                      </w:r>
                      <w:r>
                        <w:t>s nettovirkninger? (med hensyn til tredje lag)</w:t>
                      </w:r>
                    </w:p>
                    <w:p w:rsidR="001A2EB5" w:rsidRPr="00553149" w:rsidRDefault="001A2EB5" w:rsidP="00AC0E3D">
                      <w:pPr>
                        <w:pStyle w:val="HStandard"/>
                        <w:spacing w:after="0"/>
                        <w:rPr>
                          <w:rFonts w:cs="Arial"/>
                          <w:szCs w:val="16"/>
                        </w:rPr>
                      </w:pPr>
                      <w:r>
                        <w:t xml:space="preserve">Vurderingen af programmets nettovirkninger på </w:t>
                      </w:r>
                      <w:r>
                        <w:rPr>
                          <w:b/>
                        </w:rPr>
                        <w:t>makroniveau eller for programområdet</w:t>
                      </w:r>
                      <w:r>
                        <w:t xml:space="preserve"> ved hjælp af den kontrafaktiske situation kan udføres ved hjælp af to primære metoder: Den </w:t>
                      </w:r>
                      <w:r>
                        <w:rPr>
                          <w:b/>
                        </w:rPr>
                        <w:t>første metode</w:t>
                      </w:r>
                      <w:r>
                        <w:t xml:space="preserve"> er baseret på en mikroanalyse og ekstrapolering af resultaterne til makroniveau (opskalering). I den </w:t>
                      </w:r>
                      <w:r>
                        <w:rPr>
                          <w:b/>
                        </w:rPr>
                        <w:t>anden tilgang</w:t>
                      </w:r>
                      <w:r>
                        <w:t xml:space="preserve"> benyttes analyseredskaber såsom modellerne </w:t>
                      </w:r>
                      <w:hyperlink r:id="rId46">
                        <w:r>
                          <w:rPr>
                            <w:rStyle w:val="Hyperlink"/>
                          </w:rPr>
                          <w:t>Computable General Equilibrium</w:t>
                        </w:r>
                      </w:hyperlink>
                      <w:r>
                        <w:t xml:space="preserve">, Partial Equilibrium og geografiske økonometriske metoder eller andre modelberegninger, såfremt den tilsvarende model (f.eks. produktivitet eller emissionskoefficienter) økonometrisk anslås på en måde, </w:t>
                      </w:r>
                      <w:r>
                        <w:rPr>
                          <w:b/>
                        </w:rPr>
                        <w:t>der tager hensyn til</w:t>
                      </w:r>
                      <w:r>
                        <w:t xml:space="preserve"> fastlagte årsagssammenhænge, eventuelle skævheder i udvælgelse, endogene aspekter og geografisk afhængighed. Denne tilgang omfatter også kombinationen af en "oppefra og ned"-tilgang på makroniveau (f.eks. modeller med national eller regional dækning) til evaluering af programmets virkninger med en "nedefra og op"-tilgang på mikroniveau, hvor nettovirkningerne af forskellige foranstaltninger eller kombinationer af foranstaltninger vurderes.</w:t>
                      </w:r>
                    </w:p>
                    <w:p w:rsidR="001A2EB5" w:rsidRPr="00553149" w:rsidRDefault="001A2EB5" w:rsidP="00AC0E3D">
                      <w:pPr>
                        <w:pStyle w:val="HStandard"/>
                        <w:spacing w:after="0"/>
                        <w:rPr>
                          <w:rFonts w:cs="Arial"/>
                          <w:szCs w:val="16"/>
                        </w:rPr>
                      </w:pPr>
                    </w:p>
                    <w:p w:rsidR="001A2EB5" w:rsidRPr="00553149" w:rsidRDefault="001A2EB5" w:rsidP="00AC0E3D">
                      <w:pPr>
                        <w:pStyle w:val="HStandard"/>
                        <w:spacing w:after="0"/>
                        <w:rPr>
                          <w:rFonts w:cs="Arial"/>
                          <w:szCs w:val="16"/>
                        </w:rPr>
                      </w:pPr>
                      <w:r>
                        <w:t xml:space="preserve">Det er vigtigt at bemærke, at uanset hvilken tilgang, der vælges, er analyse af nettovirkningerne af </w:t>
                      </w:r>
                      <w:r w:rsidRPr="000F5E43">
                        <w:t xml:space="preserve">landdistriktsudviklingsprogrammet </w:t>
                      </w:r>
                      <w:r>
                        <w:t xml:space="preserve">kun mulig, hvis der foreligger tilstrækkelige kvantitative data, og der anvendes avancerede metodologiske teknikker. Eventuel anvendelse af naive kvantitative evalueringsmuligheder (dvs. før-efter, anvendelse af ikke-relevante kontrolforanstaltninger, osv.) kan i betydelig grad skævvride de opnåede resultater af "nettovirkningerne" i begge retninger (positiv eller negativ). </w:t>
                      </w:r>
                    </w:p>
                    <w:p w:rsidR="001A2EB5" w:rsidRPr="00553149" w:rsidRDefault="001A2EB5" w:rsidP="00AC0E3D">
                      <w:pPr>
                        <w:pStyle w:val="HStandard"/>
                        <w:spacing w:after="0"/>
                        <w:rPr>
                          <w:rFonts w:cs="Arial"/>
                          <w:szCs w:val="16"/>
                        </w:rPr>
                      </w:pPr>
                    </w:p>
                    <w:p w:rsidR="001A2EB5" w:rsidRPr="00502017" w:rsidRDefault="001A2EB5" w:rsidP="00AC0E3D">
                      <w:pPr>
                        <w:pStyle w:val="HStandard"/>
                        <w:spacing w:after="0"/>
                        <w:rPr>
                          <w:rFonts w:cs="Arial"/>
                          <w:szCs w:val="16"/>
                        </w:rPr>
                      </w:pPr>
                      <w:r>
                        <w:t xml:space="preserve">Da den </w:t>
                      </w:r>
                      <w:r>
                        <w:rPr>
                          <w:b/>
                        </w:rPr>
                        <w:t>første tilgang</w:t>
                      </w:r>
                      <w:r>
                        <w:t xml:space="preserve"> (ekstrapolering af mikroanalyse til et programområde på makroniveau) er den nemmeste og mest lovende, beskrives herunder de vigtigste trin. Tilgangen består af fem vigtige trin, der gælder for både sektorspecifikke samt miljømæssige og samfundsøkonomiske effektindikatorer. Den grundlæggende forskel mellem analysen af </w:t>
                      </w:r>
                      <w:r w:rsidRPr="00252755">
                        <w:t>l</w:t>
                      </w:r>
                      <w:r>
                        <w:t>anddistriktsudviklingsprogrammets nettovirkning, der udføres på disse tre områder, er definitionen af de enheder, som analysen er baseret på: f.eks. bedrifter (virksomheder) og administrative regioner (f.eks. NUTS 4, NUTS 5, osv.) for de sektorspecifikke indikatorer; jordlodder eller små geografiske områder (geodata) om miljøindikatorer; og administrative regioner (f.eks. NUTS 3, NUTS 4 eller NUTS 5) for samfundsøkonomiske indikatorer. Trinnene er følgende:</w:t>
                      </w:r>
                    </w:p>
                    <w:p w:rsidR="001A2EB5" w:rsidRPr="00502017" w:rsidRDefault="001A2EB5" w:rsidP="00AC0E3D">
                      <w:pPr>
                        <w:pStyle w:val="HStandard"/>
                        <w:spacing w:after="0"/>
                        <w:rPr>
                          <w:rFonts w:cs="Arial"/>
                          <w:szCs w:val="16"/>
                        </w:rPr>
                      </w:pPr>
                    </w:p>
                    <w:p w:rsidR="001A2EB5" w:rsidRPr="00735F08" w:rsidRDefault="001A2EB5" w:rsidP="00AC0E3D">
                      <w:pPr>
                        <w:pStyle w:val="Hlistbullet"/>
                        <w:numPr>
                          <w:ilvl w:val="0"/>
                          <w:numId w:val="0"/>
                        </w:numPr>
                        <w:jc w:val="left"/>
                        <w:rPr>
                          <w:szCs w:val="16"/>
                        </w:rPr>
                      </w:pPr>
                      <w:r>
                        <w:rPr>
                          <w:b/>
                          <w:color w:val="F07E31" w:themeColor="accent1"/>
                        </w:rPr>
                        <w:t>Trin 1:</w:t>
                      </w:r>
                      <w:r>
                        <w:t xml:space="preserve"> Udarbejd et skøn over de </w:t>
                      </w:r>
                      <w:r>
                        <w:rPr>
                          <w:b/>
                        </w:rPr>
                        <w:t>direkte virkninger</w:t>
                      </w:r>
                      <w:r>
                        <w:t xml:space="preserve"> af </w:t>
                      </w:r>
                      <w:r w:rsidRPr="007F7082">
                        <w:t xml:space="preserve">landdistriktsudviklingsprogrammet </w:t>
                      </w:r>
                      <w:r>
                        <w:rPr>
                          <w:b/>
                        </w:rPr>
                        <w:t>for støttemodtagerne på mikroniveau</w:t>
                      </w:r>
                      <w:r>
                        <w:t>:</w:t>
                      </w:r>
                    </w:p>
                    <w:p w:rsidR="001A2EB5" w:rsidRPr="00553149" w:rsidRDefault="001A2EB5" w:rsidP="00EC01C3">
                      <w:pPr>
                        <w:pStyle w:val="HStandard"/>
                        <w:numPr>
                          <w:ilvl w:val="1"/>
                          <w:numId w:val="13"/>
                        </w:numPr>
                        <w:spacing w:after="0"/>
                        <w:ind w:left="924" w:hanging="357"/>
                        <w:rPr>
                          <w:rFonts w:cs="Arial"/>
                          <w:szCs w:val="16"/>
                        </w:rPr>
                      </w:pPr>
                      <w:r>
                        <w:t>Beregn på mikroniveauet for gruppen af støttemodtagere og kontrolgruppen den gennemsnitlige værdi af de fælles eller yderligere effektindikatorer før støtten (f.eks. i 2013) og efter støtten (f.eks. i 2018 eller 2019).</w:t>
                      </w:r>
                    </w:p>
                    <w:p w:rsidR="001A2EB5" w:rsidRPr="00553149" w:rsidRDefault="001A2EB5" w:rsidP="00EC01C3">
                      <w:pPr>
                        <w:pStyle w:val="HStandard"/>
                        <w:numPr>
                          <w:ilvl w:val="1"/>
                          <w:numId w:val="13"/>
                        </w:numPr>
                        <w:spacing w:after="0"/>
                        <w:ind w:left="924" w:hanging="357"/>
                        <w:rPr>
                          <w:rFonts w:cs="Arial"/>
                          <w:szCs w:val="16"/>
                        </w:rPr>
                      </w:pPr>
                      <w:r>
                        <w:t xml:space="preserve">Beregn specifikke politiske indikatorer (f.eks. gennemsnitlige behandlingseffekter på behandlede (ATT)), der som resultat anvender de relevante fælles eller yderligere effektindikatorer. Beregn </w:t>
                      </w:r>
                      <w:r>
                        <w:rPr>
                          <w:b/>
                        </w:rPr>
                        <w:t>direkte nettovirkninger på ovennævnte indikatorer</w:t>
                      </w:r>
                      <w:r>
                        <w:t xml:space="preserve"> for </w:t>
                      </w:r>
                      <w:r w:rsidRPr="00252755">
                        <w:t>landdistriktsudviklingsprogrammet</w:t>
                      </w:r>
                      <w:r>
                        <w:t xml:space="preserve"> ved at kombinere de beregnede gennemsnitlige behandlingseffekter på behandlede med Difference in Differences-metoden.</w:t>
                      </w:r>
                    </w:p>
                    <w:p w:rsidR="001A2EB5" w:rsidRPr="00402862" w:rsidRDefault="001A2EB5" w:rsidP="00EC01C3">
                      <w:pPr>
                        <w:pStyle w:val="HStandard"/>
                        <w:numPr>
                          <w:ilvl w:val="1"/>
                          <w:numId w:val="13"/>
                        </w:numPr>
                        <w:spacing w:after="0"/>
                        <w:ind w:left="924" w:hanging="357"/>
                        <w:rPr>
                          <w:rFonts w:cs="Arial"/>
                          <w:szCs w:val="16"/>
                        </w:rPr>
                      </w:pPr>
                      <w:r>
                        <w:t xml:space="preserve">Udfør en følsomhedsanalyse </w:t>
                      </w:r>
                      <w:r>
                        <w:t>af de opnåede resultater.</w:t>
                      </w:r>
                    </w:p>
                    <w:p w:rsidR="00402862" w:rsidRPr="00553149" w:rsidRDefault="00402862" w:rsidP="00402862">
                      <w:pPr>
                        <w:pStyle w:val="HStandard"/>
                        <w:spacing w:after="0"/>
                        <w:ind w:left="924"/>
                        <w:rPr>
                          <w:rFonts w:cs="Arial"/>
                          <w:szCs w:val="16"/>
                        </w:rPr>
                      </w:pPr>
                    </w:p>
                    <w:p w:rsidR="001A2EB5" w:rsidRPr="00027601" w:rsidRDefault="001A2EB5" w:rsidP="00027601">
                      <w:pPr>
                        <w:pStyle w:val="Hlistbullet"/>
                        <w:numPr>
                          <w:ilvl w:val="0"/>
                          <w:numId w:val="0"/>
                        </w:numPr>
                        <w:spacing w:before="0" w:after="120" w:line="280" w:lineRule="atLeast"/>
                        <w:rPr>
                          <w:i/>
                          <w:color w:val="F07E31" w:themeColor="accent1"/>
                          <w:sz w:val="16"/>
                          <w:szCs w:val="16"/>
                        </w:rPr>
                      </w:pPr>
                    </w:p>
                  </w:txbxContent>
                </v:textbox>
                <w10:anchorlock/>
              </v:shape>
            </w:pict>
          </mc:Fallback>
        </mc:AlternateContent>
      </w:r>
    </w:p>
    <w:p w:rsidR="00AC0E3D" w:rsidRPr="0062664B" w:rsidRDefault="00AC0E3D" w:rsidP="000B6372">
      <w:pPr>
        <w:pStyle w:val="HStandard"/>
      </w:pPr>
    </w:p>
    <w:p w:rsidR="00FC012D" w:rsidRPr="0062664B" w:rsidRDefault="000B213F" w:rsidP="00FC012D">
      <w:pPr>
        <w:pStyle w:val="HHeading4"/>
      </w:pPr>
      <w:r w:rsidRPr="0062664B">
        <w:rPr>
          <w:b w:val="0"/>
          <w:i/>
          <w:noProof/>
          <w:color w:val="F07E31" w:themeColor="accent1"/>
          <w:lang w:eastAsia="en-GB" w:bidi="ar-SA"/>
        </w:rPr>
        <mc:AlternateContent>
          <mc:Choice Requires="wps">
            <w:drawing>
              <wp:inline distT="0" distB="0" distL="0" distR="0" wp14:anchorId="5B4DB760" wp14:editId="4F80C93F">
                <wp:extent cx="5731510" cy="6553200"/>
                <wp:effectExtent l="0" t="0" r="21590" b="19050"/>
                <wp:docPr id="900"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6553200"/>
                        </a:xfrm>
                        <a:custGeom>
                          <a:avLst/>
                          <a:gdLst>
                            <a:gd name="T0" fmla="*/ 335330 w 5731510"/>
                            <a:gd name="T1" fmla="*/ 0 h 4712335"/>
                            <a:gd name="T2" fmla="*/ 5731510 w 5731510"/>
                            <a:gd name="T3" fmla="*/ 0 h 4712335"/>
                            <a:gd name="T4" fmla="*/ 5731510 w 5731510"/>
                            <a:gd name="T5" fmla="*/ 0 h 4712335"/>
                            <a:gd name="T6" fmla="*/ 5731510 w 5731510"/>
                            <a:gd name="T7" fmla="*/ 4377005 h 4712335"/>
                            <a:gd name="T8" fmla="*/ 5396180 w 5731510"/>
                            <a:gd name="T9" fmla="*/ 4712335 h 4712335"/>
                            <a:gd name="T10" fmla="*/ 0 w 5731510"/>
                            <a:gd name="T11" fmla="*/ 4712335 h 4712335"/>
                            <a:gd name="T12" fmla="*/ 0 w 5731510"/>
                            <a:gd name="T13" fmla="*/ 4712335 h 4712335"/>
                            <a:gd name="T14" fmla="*/ 0 w 5731510"/>
                            <a:gd name="T15" fmla="*/ 335330 h 4712335"/>
                            <a:gd name="T16" fmla="*/ 335330 w 5731510"/>
                            <a:gd name="T17" fmla="*/ 0 h 471233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4712335"/>
                            <a:gd name="T29" fmla="*/ 5731510 w 5731510"/>
                            <a:gd name="T30" fmla="*/ 4712335 h 4712335"/>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4712335">
                              <a:moveTo>
                                <a:pt x="335330" y="0"/>
                              </a:moveTo>
                              <a:lnTo>
                                <a:pt x="5731510" y="0"/>
                              </a:lnTo>
                              <a:lnTo>
                                <a:pt x="5731510" y="4377005"/>
                              </a:lnTo>
                              <a:cubicBezTo>
                                <a:pt x="5731510" y="4562203"/>
                                <a:pt x="5581378" y="4712335"/>
                                <a:pt x="5396180" y="4712335"/>
                              </a:cubicBezTo>
                              <a:lnTo>
                                <a:pt x="0" y="4712335"/>
                              </a:lnTo>
                              <a:lnTo>
                                <a:pt x="0" y="335330"/>
                              </a:lnTo>
                              <a:cubicBezTo>
                                <a:pt x="0" y="150132"/>
                                <a:pt x="150132" y="0"/>
                                <a:pt x="335330"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402862" w:rsidRDefault="00402862" w:rsidP="00AC0E3D">
                            <w:pPr>
                              <w:pStyle w:val="Hlistbullet"/>
                              <w:numPr>
                                <w:ilvl w:val="0"/>
                                <w:numId w:val="0"/>
                              </w:numPr>
                              <w:spacing w:before="0" w:after="120" w:line="280" w:lineRule="atLeast"/>
                              <w:rPr>
                                <w:b/>
                                <w:color w:val="F07E31" w:themeColor="accent1"/>
                              </w:rPr>
                            </w:pPr>
                          </w:p>
                          <w:p w:rsidR="00402862" w:rsidRPr="00402862" w:rsidRDefault="00402862" w:rsidP="00AC0E3D">
                            <w:pPr>
                              <w:pStyle w:val="Hlistbullet"/>
                              <w:numPr>
                                <w:ilvl w:val="0"/>
                                <w:numId w:val="0"/>
                              </w:numPr>
                              <w:spacing w:before="0" w:after="120" w:line="280" w:lineRule="atLeast"/>
                              <w:rPr>
                                <w:rFonts w:cs="Arial"/>
                                <w:szCs w:val="16"/>
                              </w:rPr>
                            </w:pPr>
                            <w:r>
                              <w:rPr>
                                <w:b/>
                                <w:color w:val="F07E31" w:themeColor="accent1"/>
                              </w:rPr>
                              <w:t xml:space="preserve">Trin 2: </w:t>
                            </w:r>
                            <w:r>
                              <w:t xml:space="preserve">Udarbejd et skøn over de </w:t>
                            </w:r>
                            <w:r>
                              <w:rPr>
                                <w:b/>
                              </w:rPr>
                              <w:t>indirekte virkninger</w:t>
                            </w:r>
                            <w:r>
                              <w:t xml:space="preserve"> </w:t>
                            </w:r>
                            <w:r>
                              <w:rPr>
                                <w:b/>
                              </w:rPr>
                              <w:t>på støttemodtagerne</w:t>
                            </w:r>
                            <w:r>
                              <w:t xml:space="preserve"> for </w:t>
                            </w:r>
                            <w:r w:rsidRPr="00252755">
                              <w:t>landdistriktsudviklingsprogrammet</w:t>
                            </w:r>
                            <w:r>
                              <w:t xml:space="preserve"> på</w:t>
                            </w:r>
                            <w:r>
                              <w:rPr>
                                <w:b/>
                              </w:rPr>
                              <w:t xml:space="preserve"> mikroniveau</w:t>
                            </w:r>
                            <w:r>
                              <w:t>. Igen bør den registrerede ændring i værdien af indikatorerne opdeles i ændringer, der skyldes programmet (samlede effekt af primære og sekundære bidrag), og ændringer, der er forårsaget af andre faktorer.</w:t>
                            </w:r>
                            <w:r>
                              <w:rPr>
                                <w:color w:val="auto"/>
                              </w:rPr>
                              <w:t xml:space="preserve"> </w:t>
                            </w:r>
                            <w:r>
                              <w:t xml:space="preserve">Programmets indirekte virkninger (f.eks. substitution, forskydning, multiplikator) af programmet for udvikling af landdistrikterne bør beregnes og vises særskilt. </w:t>
                            </w:r>
                          </w:p>
                          <w:p w:rsidR="001A2EB5" w:rsidRPr="005945BB" w:rsidRDefault="001A2EB5" w:rsidP="00AC0E3D">
                            <w:pPr>
                              <w:pStyle w:val="Hlistbullet"/>
                              <w:numPr>
                                <w:ilvl w:val="0"/>
                                <w:numId w:val="0"/>
                              </w:numPr>
                              <w:spacing w:before="0" w:after="120" w:line="280" w:lineRule="atLeast"/>
                              <w:rPr>
                                <w:rFonts w:cs="Arial"/>
                                <w:szCs w:val="16"/>
                              </w:rPr>
                            </w:pPr>
                            <w:r>
                              <w:rPr>
                                <w:b/>
                                <w:color w:val="F07E31" w:themeColor="accent1"/>
                              </w:rPr>
                              <w:t xml:space="preserve">Trin 3: </w:t>
                            </w:r>
                            <w:r>
                              <w:t xml:space="preserve">Beregn de </w:t>
                            </w:r>
                            <w:r>
                              <w:rPr>
                                <w:b/>
                              </w:rPr>
                              <w:t>indirekte virkninger på ikke-støttemodtagere</w:t>
                            </w:r>
                            <w:r>
                              <w:t xml:space="preserve"> </w:t>
                            </w:r>
                            <w:r>
                              <w:rPr>
                                <w:b/>
                              </w:rPr>
                              <w:t>på mikroniveau</w:t>
                            </w:r>
                            <w:r>
                              <w:t xml:space="preserve">. Her bør den registrerede ændring i værdien af indikatorerne også opdeles i to dele: ændringer, der følger af programmet (samlet effekt af primære og sekundære bidrag), og ændringer, der er forårsaget af andre faktorer. Denne fase vedrører forventningen om, at støtten til støttemodtagere af foranstaltninger under </w:t>
                            </w:r>
                            <w:r w:rsidRPr="00252755">
                              <w:t>landdistriktsudviklingsprogrammet</w:t>
                            </w:r>
                            <w:r>
                              <w:t xml:space="preserve"> kan have "forventede/uventede" generelle virkninger på ligevægten (f.eks. negative virkninger på ikke-støttemodtagere, der er beliggende i nærheden af programmets støttemodtagere). </w:t>
                            </w:r>
                          </w:p>
                          <w:p w:rsidR="001A2EB5" w:rsidRPr="005945BB" w:rsidRDefault="001A2EB5" w:rsidP="00AC0E3D">
                            <w:pPr>
                              <w:pStyle w:val="HStandard"/>
                              <w:rPr>
                                <w:rFonts w:cs="Arial"/>
                                <w:szCs w:val="16"/>
                              </w:rPr>
                            </w:pPr>
                            <w:r>
                              <w:t>I denne fase af evalueringen er en indledende kvalitativ vurdering afgørende, fordi den kan give værdifulde indblik indefra og føre til udarbejdelsen af vigtige programspecifikke evalueringsspørgsmål, der fokuserer på programmets resultater, navnlig hvad angår dets positive, negative, tilsigtede og utilsigtede virkninger på ikke-støttemodtagere. Anvendelsen af programspecifikke evalueringsspørgsmål er frivillig, men hvis et sådant spørgsmål blev formuleret, bør det besvares. For en foreløbig analyse af synergierne eller potentielle negative tværgående virkninger, kan evalueringseksperterne også anvende kvalitative vurderingsværktøjer.</w:t>
                            </w:r>
                          </w:p>
                          <w:p w:rsidR="001A2EB5" w:rsidRPr="005945BB" w:rsidRDefault="00402862" w:rsidP="00AC0E3D">
                            <w:pPr>
                              <w:pStyle w:val="Hlistbullet"/>
                              <w:numPr>
                                <w:ilvl w:val="0"/>
                                <w:numId w:val="0"/>
                              </w:numPr>
                              <w:spacing w:before="0" w:after="120" w:line="280" w:lineRule="atLeast"/>
                              <w:rPr>
                                <w:rFonts w:cs="Arial"/>
                                <w:szCs w:val="16"/>
                              </w:rPr>
                            </w:pPr>
                            <w:r>
                              <w:rPr>
                                <w:b/>
                                <w:color w:val="F07E31" w:themeColor="accent1"/>
                              </w:rPr>
                              <w:t xml:space="preserve">Trin </w:t>
                            </w:r>
                            <w:r w:rsidR="001A2EB5">
                              <w:rPr>
                                <w:b/>
                                <w:color w:val="F07E31" w:themeColor="accent1"/>
                              </w:rPr>
                              <w:t xml:space="preserve">4: </w:t>
                            </w:r>
                            <w:r w:rsidR="001A2EB5">
                              <w:rPr>
                                <w:b/>
                              </w:rPr>
                              <w:t xml:space="preserve">Sammenlæg resultaterne, og beregn virkningerne af </w:t>
                            </w:r>
                            <w:r w:rsidR="001A2EB5" w:rsidRPr="007F7082">
                              <w:rPr>
                                <w:b/>
                              </w:rPr>
                              <w:t>landdistriktsudviklingsprogrammet</w:t>
                            </w:r>
                            <w:r w:rsidR="001A2EB5">
                              <w:rPr>
                                <w:b/>
                              </w:rPr>
                              <w:t xml:space="preserve"> på de analyserede effektindikatorer på makroniveau og for programmeringsområdet.</w:t>
                            </w:r>
                            <w:r w:rsidR="001A2EB5">
                              <w:t xml:space="preserve"> På dette trin bør evalueringseksperten beregne de direkte nettovirkninger af landdistriktsudviklingsprogrammet på effektindikatorerne for programområdet ved at anvende ekstrapoleringsmetoder (dvs. ved at multiplicere gennemsnittet af mikroresultaterne, der er beregnet på mikroniveau med antallet af støttemodtagere/ ikke-støttemodtagere).</w:t>
                            </w:r>
                          </w:p>
                          <w:p w:rsidR="001A2EB5" w:rsidRPr="005945BB" w:rsidRDefault="001A2EB5" w:rsidP="00AC0E3D">
                            <w:pPr>
                              <w:pStyle w:val="HStandard"/>
                              <w:rPr>
                                <w:color w:val="auto"/>
                                <w:szCs w:val="16"/>
                              </w:rPr>
                            </w:pPr>
                            <w:r>
                              <w:rPr>
                                <w:b/>
                                <w:color w:val="F07E31" w:themeColor="accent1"/>
                              </w:rPr>
                              <w:t xml:space="preserve">Trin 5: </w:t>
                            </w:r>
                            <w:r>
                              <w:rPr>
                                <w:b/>
                              </w:rPr>
                              <w:t>Anvend kvalitative metoder</w:t>
                            </w:r>
                            <w:r>
                              <w:t xml:space="preserve"> til at kontrollere og verificere de opnåede resultater (triangulation).</w:t>
                            </w:r>
                          </w:p>
                          <w:p w:rsidR="001A2EB5" w:rsidRPr="005945BB" w:rsidRDefault="001A2EB5" w:rsidP="00735F08">
                            <w:pPr>
                              <w:pStyle w:val="Hlistbullet"/>
                              <w:numPr>
                                <w:ilvl w:val="0"/>
                                <w:numId w:val="0"/>
                              </w:numPr>
                              <w:jc w:val="center"/>
                              <w:rPr>
                                <w:i/>
                                <w:color w:val="F07E31" w:themeColor="accent1"/>
                                <w:szCs w:val="18"/>
                              </w:rPr>
                            </w:pPr>
                            <w:r>
                              <w:rPr>
                                <w:i/>
                                <w:color w:val="F07E31" w:themeColor="accent1"/>
                              </w:rPr>
                              <w:t>Få mere at vide om beregning af virkningerne af programmet i</w:t>
                            </w:r>
                            <w:r>
                              <w:rPr>
                                <w:i/>
                                <w:color w:val="F07E31" w:themeColor="accent1"/>
                                <w:szCs w:val="18"/>
                              </w:rPr>
                              <w:br/>
                            </w:r>
                            <w:r>
                              <w:rPr>
                                <w:i/>
                                <w:color w:val="F07E31" w:themeColor="accent1"/>
                              </w:rPr>
                              <w:t xml:space="preserve"> </w:t>
                            </w:r>
                            <w:hyperlink r:id="rId47" w:history="1">
                              <w:r>
                                <w:rPr>
                                  <w:rStyle w:val="Hyperlink"/>
                                  <w:i/>
                                  <w:color w:val="F07E31" w:themeColor="accent1"/>
                                </w:rPr>
                                <w:t>Guidelines for ex post evaluation of 2007-2013 RDPs</w:t>
                              </w:r>
                            </w:hyperlink>
                            <w:r>
                              <w:rPr>
                                <w:rStyle w:val="Hyperlink"/>
                                <w:i/>
                                <w:color w:val="F07E31" w:themeColor="accent1"/>
                              </w:rPr>
                              <w:t>, kapitel 4.2 og om Recursive-Dynamic Computable General Equilibrium i kapitel 4.3.3</w:t>
                            </w:r>
                          </w:p>
                        </w:txbxContent>
                      </wps:txbx>
                      <wps:bodyPr rot="0" vert="horz" wrap="square" lIns="91440" tIns="45720" rIns="91440" bIns="45720" anchor="t" anchorCtr="0" upright="1">
                        <a:noAutofit/>
                      </wps:bodyPr>
                    </wps:wsp>
                  </a:graphicData>
                </a:graphic>
              </wp:inline>
            </w:drawing>
          </mc:Choice>
          <mc:Fallback>
            <w:pict>
              <v:shape w14:anchorId="5B4DB760" id="AutoShape 63" o:spid="_x0000_s1039" style="width:451.3pt;height:516pt;visibility:visible;mso-wrap-style:square;mso-left-percent:-10001;mso-top-percent:-10001;mso-position-horizontal:absolute;mso-position-horizontal-relative:char;mso-position-vertical:absolute;mso-position-vertical-relative:line;mso-left-percent:-10001;mso-top-percent:-10001;v-text-anchor:top" coordsize="5731510,47123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" adj="-11796480,,5400" path="m335330,l5731510,r,4377005c5731510,4562203,5581378,4712335,5396180,4712335l,4712335,,335330c,150132,150132,,335330,xe" filled="f" strokecolor="#be4a35" strokeweight="2pt">
                <v:stroke joinstyle="miter"/>
                <v:formulas/>
                <v:path arrowok="t" o:connecttype="custom" o:connectlocs="335330,0;5731510,0;5731510,0;5731510,6086874;5396180,6553200;0,6553200;0,6553200;0,466326;335330,0" o:connectangles="0,0,0,0,0,0,0,0,0" textboxrect="0,0,5731510,4712335"/>
                <v:textbox>
                  <w:txbxContent>
                    <w:p w:rsidR="00402862" w:rsidRDefault="00402862" w:rsidP="00AC0E3D">
                      <w:pPr>
                        <w:pStyle w:val="Hlistbullet"/>
                        <w:numPr>
                          <w:ilvl w:val="0"/>
                          <w:numId w:val="0"/>
                        </w:numPr>
                        <w:spacing w:before="0" w:after="120" w:line="280" w:lineRule="atLeast"/>
                        <w:rPr>
                          <w:b/>
                          <w:color w:val="F07E31" w:themeColor="accent1"/>
                        </w:rPr>
                      </w:pPr>
                    </w:p>
                    <w:p w:rsidR="00402862" w:rsidRPr="00402862" w:rsidRDefault="00402862" w:rsidP="00AC0E3D">
                      <w:pPr>
                        <w:pStyle w:val="Hlistbullet"/>
                        <w:numPr>
                          <w:ilvl w:val="0"/>
                          <w:numId w:val="0"/>
                        </w:numPr>
                        <w:spacing w:before="0" w:after="120" w:line="280" w:lineRule="atLeast"/>
                        <w:rPr>
                          <w:rFonts w:cs="Arial"/>
                          <w:szCs w:val="16"/>
                        </w:rPr>
                      </w:pPr>
                      <w:r>
                        <w:rPr>
                          <w:b/>
                          <w:color w:val="F07E31" w:themeColor="accent1"/>
                        </w:rPr>
                        <w:t xml:space="preserve">Trin 2: </w:t>
                      </w:r>
                      <w:r>
                        <w:t xml:space="preserve">Udarbejd et skøn over de </w:t>
                      </w:r>
                      <w:r>
                        <w:rPr>
                          <w:b/>
                        </w:rPr>
                        <w:t>indirekte virkninger</w:t>
                      </w:r>
                      <w:r>
                        <w:t xml:space="preserve"> </w:t>
                      </w:r>
                      <w:r>
                        <w:rPr>
                          <w:b/>
                        </w:rPr>
                        <w:t>på støttemodtagerne</w:t>
                      </w:r>
                      <w:r>
                        <w:t xml:space="preserve"> for </w:t>
                      </w:r>
                      <w:r w:rsidRPr="00252755">
                        <w:t>landdistriktsudviklingsprogrammet</w:t>
                      </w:r>
                      <w:r>
                        <w:t xml:space="preserve"> på</w:t>
                      </w:r>
                      <w:r>
                        <w:rPr>
                          <w:b/>
                        </w:rPr>
                        <w:t xml:space="preserve"> mikroniveau</w:t>
                      </w:r>
                      <w:r>
                        <w:t>. Igen bør den registrerede ændring i værdien af indikatorerne opdeles i ændringer, der skyldes programmet (samlede effekt af primære og sekundære bidrag), og ændringer, der er forårsaget af andre faktorer.</w:t>
                      </w:r>
                      <w:r>
                        <w:rPr>
                          <w:color w:val="auto"/>
                        </w:rPr>
                        <w:t xml:space="preserve"> </w:t>
                      </w:r>
                      <w:r>
                        <w:t xml:space="preserve">Programmets indirekte virkninger (f.eks. substitution, forskydning, multiplikator) af programmet for udvikling af landdistrikterne bør beregnes og vises særskilt. </w:t>
                      </w:r>
                    </w:p>
                    <w:p w:rsidR="001A2EB5" w:rsidRPr="005945BB" w:rsidRDefault="001A2EB5" w:rsidP="00AC0E3D">
                      <w:pPr>
                        <w:pStyle w:val="Hlistbullet"/>
                        <w:numPr>
                          <w:ilvl w:val="0"/>
                          <w:numId w:val="0"/>
                        </w:numPr>
                        <w:spacing w:before="0" w:after="120" w:line="280" w:lineRule="atLeast"/>
                        <w:rPr>
                          <w:rFonts w:cs="Arial"/>
                          <w:szCs w:val="16"/>
                        </w:rPr>
                      </w:pPr>
                      <w:r>
                        <w:rPr>
                          <w:b/>
                          <w:color w:val="F07E31" w:themeColor="accent1"/>
                        </w:rPr>
                        <w:t xml:space="preserve">Trin 3: </w:t>
                      </w:r>
                      <w:r>
                        <w:t xml:space="preserve">Beregn de </w:t>
                      </w:r>
                      <w:r>
                        <w:rPr>
                          <w:b/>
                        </w:rPr>
                        <w:t>indirekte virkninger på ikke-støttemodtagere</w:t>
                      </w:r>
                      <w:r>
                        <w:t xml:space="preserve"> </w:t>
                      </w:r>
                      <w:r>
                        <w:rPr>
                          <w:b/>
                        </w:rPr>
                        <w:t>på mikroniveau</w:t>
                      </w:r>
                      <w:r>
                        <w:t xml:space="preserve">. Her bør den registrerede ændring i værdien af indikatorerne også opdeles i to dele: ændringer, der følger af programmet (samlet effekt af primære og sekundære bidrag), og ændringer, der er forårsaget af andre faktorer. Denne fase vedrører forventningen om, at støtten til støttemodtagere af foranstaltninger under </w:t>
                      </w:r>
                      <w:r w:rsidRPr="00252755">
                        <w:t>landdistriktsudviklingsprogrammet</w:t>
                      </w:r>
                      <w:r>
                        <w:t xml:space="preserve"> kan have "forventede/uventede" generelle virkninger på ligevægten (f.eks. negative virkninger på ikke-støttemodtagere, der er beliggende i nærheden af programmets støttemodtagere). </w:t>
                      </w:r>
                    </w:p>
                    <w:p w:rsidR="001A2EB5" w:rsidRPr="005945BB" w:rsidRDefault="001A2EB5" w:rsidP="00AC0E3D">
                      <w:pPr>
                        <w:pStyle w:val="HStandard"/>
                        <w:rPr>
                          <w:rFonts w:cs="Arial"/>
                          <w:szCs w:val="16"/>
                        </w:rPr>
                      </w:pPr>
                      <w:r>
                        <w:t>I denne fase af evalueringen er en indledende kvalitativ vurdering afgørende, fordi den kan give værdifulde indblik indefra og føre til udarbejdelsen af vigtige programspecifikke evalueringsspørgsmål, der fokuserer på programmets resultater, navnlig hvad angår dets positive, negative, tilsigtede og utilsigtede virkninger på ikke-støttemodtagere. Anvendelsen af programspecifikke evalueringsspørgsmål er frivillig, men hvis et sådant spørgsmål blev formuleret, bør det besvares. For en foreløbig analyse af synergierne eller potentielle negative tværgående virkninger, kan evalueringseksperterne også anvende kvalitative vurderingsværktøjer.</w:t>
                      </w:r>
                    </w:p>
                    <w:p w:rsidR="001A2EB5" w:rsidRPr="005945BB" w:rsidRDefault="00402862" w:rsidP="00AC0E3D">
                      <w:pPr>
                        <w:pStyle w:val="Hlistbullet"/>
                        <w:numPr>
                          <w:ilvl w:val="0"/>
                          <w:numId w:val="0"/>
                        </w:numPr>
                        <w:spacing w:before="0" w:after="120" w:line="280" w:lineRule="atLeast"/>
                        <w:rPr>
                          <w:rFonts w:cs="Arial"/>
                          <w:szCs w:val="16"/>
                        </w:rPr>
                      </w:pPr>
                      <w:r>
                        <w:rPr>
                          <w:b/>
                          <w:color w:val="F07E31" w:themeColor="accent1"/>
                        </w:rPr>
                        <w:t xml:space="preserve">Trin </w:t>
                      </w:r>
                      <w:r w:rsidR="001A2EB5">
                        <w:rPr>
                          <w:b/>
                          <w:color w:val="F07E31" w:themeColor="accent1"/>
                        </w:rPr>
                        <w:t xml:space="preserve">4: </w:t>
                      </w:r>
                      <w:r w:rsidR="001A2EB5">
                        <w:rPr>
                          <w:b/>
                        </w:rPr>
                        <w:t xml:space="preserve">Sammenlæg resultaterne, og beregn virkningerne af </w:t>
                      </w:r>
                      <w:r w:rsidR="001A2EB5" w:rsidRPr="007F7082">
                        <w:rPr>
                          <w:b/>
                        </w:rPr>
                        <w:t>landdistriktsudviklingsprogrammet</w:t>
                      </w:r>
                      <w:r w:rsidR="001A2EB5">
                        <w:rPr>
                          <w:b/>
                        </w:rPr>
                        <w:t xml:space="preserve"> på de analyserede effektindikatorer på makroniveau og for programmeringsområdet.</w:t>
                      </w:r>
                      <w:r w:rsidR="001A2EB5">
                        <w:t xml:space="preserve"> På dette trin bør evalueringseksperten beregne de direkte nettovirkninger af landdistriktsudviklingsprogrammet på effektindikatorerne for programområdet ved at anvende ekstrapoleringsmetoder (dvs. ved at multiplicere gennemsnittet af mikroresultaterne, der er beregnet på mikroniveau med antallet af støttemodtagere/ ikke-støttemodtagere).</w:t>
                      </w:r>
                    </w:p>
                    <w:p w:rsidR="001A2EB5" w:rsidRPr="005945BB" w:rsidRDefault="001A2EB5" w:rsidP="00AC0E3D">
                      <w:pPr>
                        <w:pStyle w:val="HStandard"/>
                        <w:rPr>
                          <w:color w:val="auto"/>
                          <w:szCs w:val="16"/>
                        </w:rPr>
                      </w:pPr>
                      <w:r>
                        <w:rPr>
                          <w:b/>
                          <w:color w:val="F07E31" w:themeColor="accent1"/>
                        </w:rPr>
                        <w:t xml:space="preserve">Trin 5: </w:t>
                      </w:r>
                      <w:r>
                        <w:rPr>
                          <w:b/>
                        </w:rPr>
                        <w:t>Anvend kvalitative metoder</w:t>
                      </w:r>
                      <w:r>
                        <w:t xml:space="preserve"> til at kontrollere og verificere de opnåede resultater (triangulation).</w:t>
                      </w:r>
                    </w:p>
                    <w:p w:rsidR="001A2EB5" w:rsidRPr="005945BB" w:rsidRDefault="001A2EB5" w:rsidP="00735F08">
                      <w:pPr>
                        <w:pStyle w:val="Hlistbullet"/>
                        <w:numPr>
                          <w:ilvl w:val="0"/>
                          <w:numId w:val="0"/>
                        </w:numPr>
                        <w:jc w:val="center"/>
                        <w:rPr>
                          <w:i/>
                          <w:color w:val="F07E31" w:themeColor="accent1"/>
                          <w:szCs w:val="18"/>
                        </w:rPr>
                      </w:pPr>
                      <w:r>
                        <w:rPr>
                          <w:i/>
                          <w:color w:val="F07E31" w:themeColor="accent1"/>
                        </w:rPr>
                        <w:t>Få mere at vide om beregning af virkningerne af programmet i</w:t>
                      </w:r>
                      <w:r>
                        <w:rPr>
                          <w:i/>
                          <w:color w:val="F07E31" w:themeColor="accent1"/>
                          <w:szCs w:val="18"/>
                        </w:rPr>
                        <w:br/>
                      </w:r>
                      <w:r>
                        <w:rPr>
                          <w:i/>
                          <w:color w:val="F07E31" w:themeColor="accent1"/>
                        </w:rPr>
                        <w:t xml:space="preserve"> </w:t>
                      </w:r>
                      <w:hyperlink r:id="rId48" w:history="1">
                        <w:r>
                          <w:rPr>
                            <w:rStyle w:val="Hyperlink"/>
                            <w:i/>
                            <w:color w:val="F07E31" w:themeColor="accent1"/>
                          </w:rPr>
                          <w:t>Guidelines for ex post evaluation of 2007-2013 RDPs</w:t>
                        </w:r>
                      </w:hyperlink>
                      <w:r>
                        <w:rPr>
                          <w:rStyle w:val="Hyperlink"/>
                          <w:i/>
                          <w:color w:val="F07E31" w:themeColor="accent1"/>
                        </w:rPr>
                        <w:t>, kapitel 4.2 og om Recursive-Dynamic Computable General Equilibrium i kapitel 4.3.3</w:t>
                      </w:r>
                    </w:p>
                  </w:txbxContent>
                </v:textbox>
                <w10:anchorlock/>
              </v:shape>
            </w:pict>
          </mc:Fallback>
        </mc:AlternateContent>
      </w:r>
      <w:r w:rsidRPr="0062664B">
        <w:br w:type="column"/>
      </w:r>
      <w:r w:rsidRPr="0062664B">
        <w:lastRenderedPageBreak/>
        <w:t>Kontrol af konsistens og validering på mikro-makroniveau (fjerde lag)</w:t>
      </w:r>
    </w:p>
    <w:p w:rsidR="00FC012D" w:rsidRPr="0062664B" w:rsidRDefault="000B213F" w:rsidP="00FC012D">
      <w:pPr>
        <w:pStyle w:val="HStandard"/>
        <w:rPr>
          <w:rFonts w:cs="Arial"/>
        </w:rPr>
      </w:pPr>
      <w:r w:rsidRPr="0062664B">
        <w:rPr>
          <w:b/>
          <w:i/>
          <w:noProof/>
          <w:color w:val="F07E31" w:themeColor="accent1"/>
          <w:lang w:eastAsia="en-GB" w:bidi="ar-SA"/>
        </w:rPr>
        <mc:AlternateContent>
          <mc:Choice Requires="wps">
            <w:drawing>
              <wp:inline distT="0" distB="0" distL="0" distR="0" wp14:anchorId="1AB55AE5" wp14:editId="3A6CB0F9">
                <wp:extent cx="5731510" cy="1257300"/>
                <wp:effectExtent l="0" t="0" r="21590" b="19050"/>
                <wp:docPr id="899"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1257300"/>
                        </a:xfrm>
                        <a:custGeom>
                          <a:avLst/>
                          <a:gdLst>
                            <a:gd name="T0" fmla="*/ 106671 w 5731510"/>
                            <a:gd name="T1" fmla="*/ 0 h 1221469"/>
                            <a:gd name="T2" fmla="*/ 5731510 w 5731510"/>
                            <a:gd name="T3" fmla="*/ 0 h 1221469"/>
                            <a:gd name="T4" fmla="*/ 5731510 w 5731510"/>
                            <a:gd name="T5" fmla="*/ 0 h 1221469"/>
                            <a:gd name="T6" fmla="*/ 5731510 w 5731510"/>
                            <a:gd name="T7" fmla="*/ 1114798 h 1221469"/>
                            <a:gd name="T8" fmla="*/ 5624839 w 5731510"/>
                            <a:gd name="T9" fmla="*/ 1221469 h 1221469"/>
                            <a:gd name="T10" fmla="*/ 0 w 5731510"/>
                            <a:gd name="T11" fmla="*/ 1221469 h 1221469"/>
                            <a:gd name="T12" fmla="*/ 0 w 5731510"/>
                            <a:gd name="T13" fmla="*/ 1221469 h 1221469"/>
                            <a:gd name="T14" fmla="*/ 0 w 5731510"/>
                            <a:gd name="T15" fmla="*/ 106671 h 1221469"/>
                            <a:gd name="T16" fmla="*/ 106671 w 5731510"/>
                            <a:gd name="T17" fmla="*/ 0 h 122146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731510"/>
                            <a:gd name="T28" fmla="*/ 0 h 1221469"/>
                            <a:gd name="T29" fmla="*/ 5731510 w 5731510"/>
                            <a:gd name="T30" fmla="*/ 1221469 h 1221469"/>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731510" h="1221469">
                              <a:moveTo>
                                <a:pt x="106671" y="0"/>
                              </a:moveTo>
                              <a:lnTo>
                                <a:pt x="5731510" y="0"/>
                              </a:lnTo>
                              <a:lnTo>
                                <a:pt x="5731510" y="1114798"/>
                              </a:lnTo>
                              <a:cubicBezTo>
                                <a:pt x="5731510" y="1173711"/>
                                <a:pt x="5683752" y="1221469"/>
                                <a:pt x="5624839" y="1221469"/>
                              </a:cubicBezTo>
                              <a:lnTo>
                                <a:pt x="0" y="1221469"/>
                              </a:lnTo>
                              <a:lnTo>
                                <a:pt x="0" y="106671"/>
                              </a:lnTo>
                              <a:cubicBezTo>
                                <a:pt x="0" y="47758"/>
                                <a:pt x="47758" y="0"/>
                                <a:pt x="106671"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1A2EB5" w:rsidRPr="00044269" w:rsidRDefault="001A2EB5"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5FA17344" wp14:editId="4FCFEE77">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w:t>
                            </w:r>
                            <w:r>
                              <w:rPr>
                                <w:color w:val="373737" w:themeColor="text1"/>
                              </w:rPr>
                              <w:t>I forbindelse med vurderingen af nettovirkninger</w:t>
                            </w:r>
                            <w:r>
                              <w:rPr>
                                <w:b w:val="0"/>
                                <w:color w:val="373737" w:themeColor="text1"/>
                              </w:rPr>
                              <w:t xml:space="preserve"> er det vigtigt at kontrollere konsistensen mellem resultaterne af vurderingen på mikro- og makroniveau for at kunne validere dem. Der opnås konsistens, når resultaterne på begge niveauer ikke er modstridende.</w:t>
                            </w:r>
                          </w:p>
                        </w:txbxContent>
                      </wps:txbx>
                      <wps:bodyPr rot="0" vert="horz" wrap="square" lIns="91440" tIns="45720" rIns="91440" bIns="45720" anchor="ctr" anchorCtr="0" upright="1">
                        <a:noAutofit/>
                      </wps:bodyPr>
                    </wps:wsp>
                  </a:graphicData>
                </a:graphic>
              </wp:inline>
            </w:drawing>
          </mc:Choice>
          <mc:Fallback>
            <w:pict>
              <v:shape w14:anchorId="1AB55AE5" id="AutoShape 62" o:spid="_x0000_s1040" style="width:451.3pt;height:99pt;visibility:visible;mso-wrap-style:square;mso-left-percent:-10001;mso-top-percent:-10001;mso-position-horizontal:absolute;mso-position-horizontal-relative:char;mso-position-vertical:absolute;mso-position-vertical-relative:line;mso-left-percent:-10001;mso-top-percent:-10001;v-text-anchor:middle" coordsize="5731510,122146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" adj="-11796480,,5400" path="m106671,l5731510,r,1114798c5731510,1173711,5683752,1221469,5624839,1221469l,1221469,,106671c,47758,47758,,106671,xe" filled="f" strokecolor="#be4a35" strokeweight="2pt">
                <v:stroke joinstyle="miter"/>
                <v:formulas/>
                <v:path arrowok="t" o:connecttype="custom" o:connectlocs="106671,0;5731510,0;5731510,0;5731510,1147500;5624839,1257300;0,1257300;0,1257300;0,109800;106671,0" o:connectangles="0,0,0,0,0,0,0,0,0" textboxrect="0,0,5731510,1221469"/>
                <v:textbox>
                  <w:txbxContent>
                    <w:p w:rsidR="001A2EB5" w:rsidRPr="00044269" w:rsidRDefault="001A2EB5" w:rsidP="00EC01C3">
                      <w:pPr>
                        <w:pStyle w:val="HHeading4"/>
                        <w:spacing w:before="0"/>
                        <w:jc w:val="both"/>
                        <w:rPr>
                          <w:b w:val="0"/>
                          <w:i/>
                          <w:color w:val="373737" w:themeColor="text1"/>
                          <w:sz w:val="18"/>
                        </w:rPr>
                      </w:pPr>
                      <w:r>
                        <w:rPr>
                          <w:noProof/>
                          <w:color w:val="373737" w:themeColor="text1"/>
                          <w:lang w:val="en-GB" w:eastAsia="en-GB" w:bidi="ar-SA"/>
                        </w:rPr>
                        <w:drawing>
                          <wp:inline distT="0" distB="0" distL="0" distR="0" wp14:anchorId="5FA17344" wp14:editId="4FCFEE77">
                            <wp:extent cx="664845" cy="487680"/>
                            <wp:effectExtent l="0" t="0" r="0" b="7620"/>
                            <wp:docPr id="914"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373737" w:themeColor="text1"/>
                        </w:rPr>
                        <w:t xml:space="preserve"> </w:t>
                      </w:r>
                      <w:r>
                        <w:rPr>
                          <w:color w:val="373737" w:themeColor="text1"/>
                        </w:rPr>
                        <w:t>I forbindelse med vurderingen af nettovirkninger</w:t>
                      </w:r>
                      <w:r>
                        <w:rPr>
                          <w:b w:val="0"/>
                          <w:color w:val="373737" w:themeColor="text1"/>
                        </w:rPr>
                        <w:t xml:space="preserve"> er det vigtigt at kontrollere konsistensen mellem resultaterne af vurderingen på mikro- og makroniveau for at kunne validere dem. Der opnås konsistens, når resultaterne på begge niveauer ikke er modstridende.</w:t>
                      </w:r>
                    </w:p>
                  </w:txbxContent>
                </v:textbox>
                <w10:anchorlock/>
              </v:shape>
            </w:pict>
          </mc:Fallback>
        </mc:AlternateContent>
      </w:r>
      <w:r w:rsidRPr="0062664B">
        <w:t xml:space="preserve">Hvis en kvantitativ nedefra og op-evaluering af konsekvensen er påkrævet på grund af opskalering af data fra mikro- til makroniveau. </w:t>
      </w:r>
    </w:p>
    <w:p w:rsidR="00FC012D" w:rsidRPr="0062664B" w:rsidRDefault="00FC012D" w:rsidP="001E5FC4">
      <w:pPr>
        <w:spacing w:after="120" w:line="280" w:lineRule="atLeast"/>
        <w:rPr>
          <w:rFonts w:cs="Arial"/>
          <w:color w:val="373737"/>
          <w:sz w:val="20"/>
          <w:szCs w:val="20"/>
        </w:rPr>
      </w:pPr>
      <w:r w:rsidRPr="0062664B">
        <w:rPr>
          <w:color w:val="373737" w:themeColor="text1"/>
          <w:sz w:val="20"/>
        </w:rPr>
        <w:t xml:space="preserve">Med hensyn til programmets </w:t>
      </w:r>
      <w:r w:rsidRPr="0062664B">
        <w:rPr>
          <w:i/>
          <w:color w:val="373737" w:themeColor="text1"/>
          <w:sz w:val="20"/>
        </w:rPr>
        <w:t>direkte</w:t>
      </w:r>
      <w:r w:rsidRPr="0062664B">
        <w:rPr>
          <w:color w:val="373737" w:themeColor="text1"/>
          <w:sz w:val="20"/>
        </w:rPr>
        <w:t xml:space="preserve"> virkninger på støttede enheder bør programmets direkte nettovirkninger, der er beregnet ved hjælp af </w:t>
      </w:r>
      <w:r w:rsidRPr="0062664B">
        <w:rPr>
          <w:b/>
          <w:color w:val="373737" w:themeColor="text1"/>
          <w:sz w:val="20"/>
        </w:rPr>
        <w:t>resultatindikatorer</w:t>
      </w:r>
      <w:r w:rsidRPr="0062664B">
        <w:rPr>
          <w:color w:val="373737" w:themeColor="text1"/>
          <w:sz w:val="20"/>
        </w:rPr>
        <w:t xml:space="preserve">, i princippet være konsistente og vise samme tendens som programmets nettovirkninger, som beregnes ved hjælp af </w:t>
      </w:r>
      <w:r w:rsidRPr="0062664B">
        <w:rPr>
          <w:b/>
          <w:color w:val="373737" w:themeColor="text1"/>
          <w:sz w:val="20"/>
        </w:rPr>
        <w:t>effektindikatorer</w:t>
      </w:r>
      <w:r w:rsidRPr="0062664B">
        <w:rPr>
          <w:color w:val="373737" w:themeColor="text1"/>
          <w:sz w:val="20"/>
        </w:rPr>
        <w:t>. Afhængigt af størrelsen og retningen af indirekte virkninger, kan resultater på makroniveau dog i princippet også vise virkninger i modsat retning i forhold til virkninger på mikroniveau. Men i begge tilfælde skal virkningernes modsatte retninger dog forklares gennem årsager og/eller kvantitativ dokumentation for de indirekte virkninger. En kontrol af konsistens af resultaterne på mikro- og makroniveau forudsætter en god forståelse af de vigtigste faktorer, der påvirker de enkelte indikatorer.</w:t>
      </w:r>
    </w:p>
    <w:p w:rsidR="00FC012D" w:rsidRPr="0062664B" w:rsidRDefault="00FC012D" w:rsidP="00FC012D">
      <w:pPr>
        <w:pStyle w:val="HStandard"/>
        <w:rPr>
          <w:rFonts w:cs="Arial"/>
        </w:rPr>
      </w:pPr>
      <w:r w:rsidRPr="0062664B">
        <w:t xml:space="preserve">Med hensyn til programmets </w:t>
      </w:r>
      <w:r w:rsidRPr="0062664B">
        <w:rPr>
          <w:i/>
        </w:rPr>
        <w:t>indirekte virkninger</w:t>
      </w:r>
      <w:r w:rsidRPr="0062664B">
        <w:t xml:space="preserve"> på bedrifter, der modtager støtte, og de, som ikke modtager støtte, kan mikroøkonomiske resultater efter sammenlægningen kun angive en omtrentlig opskalering af alle mulige indirekte virkninger af landdistriktsudviklingsprogrammet (herunder virkninger beregnet ud fra sektorbestemte modeller). Hovedårsagen til denne tilnærmelse skyldes, at det er vanskeligt at modellere </w:t>
      </w:r>
      <w:r w:rsidRPr="0062664B">
        <w:rPr>
          <w:b/>
        </w:rPr>
        <w:t xml:space="preserve">alle </w:t>
      </w:r>
      <w:r w:rsidRPr="0062664B">
        <w:t xml:space="preserve">potentielle indirekte virkninger, som støttede og ikke-støttede enheder "i det mindste teoretisk" kan stå overfor. </w:t>
      </w:r>
    </w:p>
    <w:p w:rsidR="00FC012D" w:rsidRPr="0062664B" w:rsidRDefault="00FC012D" w:rsidP="00FC012D">
      <w:pPr>
        <w:pStyle w:val="HStandard"/>
        <w:rPr>
          <w:rFonts w:cs="Arial"/>
        </w:rPr>
      </w:pPr>
      <w:r w:rsidRPr="0062664B">
        <w:t>Nedefra og op-evalueringen, der er baseret på aggregering af forskellige datakilder med forskellige metoder og forskellig terminologi kan medføre uklarhed. En af de største udfordringer i forbindelse med kontrol af konsistens på makro- og mikroniveau er fastsættelsen af årsagssammenhæng mellem ændringer og virkninger målt for en bedrift eller mark og ændringer og virkninger ud over bedriften (f.eks. for NUTS 3 eller på programniveau).</w:t>
      </w:r>
      <w:r w:rsidRPr="0062664B">
        <w:rPr>
          <w:color w:val="373737"/>
        </w:rPr>
        <w:t xml:space="preserve"> I denne forbindelse er det vigtigt, at de anvendte analyseenheder og vægte tager hensyn til, i hvilket omfang og på hvilket niveau virkningerne må forventes at forekomme. Hvis der blot anvendes faste administrative grænser, kan resultaterne blive fordrejet. </w:t>
      </w:r>
      <w:r w:rsidRPr="0062664B">
        <w:t>Der kan gøres en vis indsats for at anvende stikprøvemetoder på en ensartet måde for marker, bedrifter og landskaber for at tage hensyn til de forskellige typer taksonomi, der undersøges, og samspillet mellem variabler, der beskriver klima, topografi, arealanvendelse, samfundsøkonomi og jordbundsforhold.</w:t>
      </w:r>
      <w:r w:rsidRPr="0062664B">
        <w:rPr>
          <w:rStyle w:val="FootnoteReference"/>
        </w:rPr>
        <w:footnoteReference w:id="29"/>
      </w:r>
      <w:r w:rsidRPr="0062664B">
        <w:t xml:space="preserve"> "Nedefra og op-tilgangen" giver med et undersøgelsesområde på jordstykke- eller markniveau mulighed for at indhente resultater gennem indsamling af data fra områdespeci</w:t>
      </w:r>
      <w:r w:rsidR="0062664B" w:rsidRPr="0062664B">
        <w:t>fi</w:t>
      </w:r>
      <w:r w:rsidRPr="0062664B">
        <w:t>kke undersøgelser, der følger eksperimentelle protokoller og ekstrapolere dem fra mikro- til makroniveau ved hjælp af geografiske informationssystemer (GIS), satellitbilleder eller geografiske analyser.</w:t>
      </w:r>
      <w:r w:rsidRPr="0062664B">
        <w:rPr>
          <w:rStyle w:val="FootnoteReference"/>
        </w:rPr>
        <w:footnoteReference w:id="30"/>
      </w:r>
    </w:p>
    <w:p w:rsidR="00FC012D" w:rsidRPr="0062664B" w:rsidRDefault="00535279" w:rsidP="00FC012D">
      <w:pPr>
        <w:pStyle w:val="HStandard"/>
        <w:rPr>
          <w:rFonts w:cs="Arial"/>
        </w:rPr>
      </w:pPr>
      <w:r w:rsidRPr="0062664B">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C012D" w:rsidRPr="0062664B" w:rsidTr="00FC012D">
        <w:tc>
          <w:tcPr>
            <w:tcW w:w="9016" w:type="dxa"/>
          </w:tcPr>
          <w:p w:rsidR="00FC012D" w:rsidRPr="0062664B" w:rsidRDefault="00FF2B1F" w:rsidP="00EC01C3">
            <w:pPr>
              <w:pStyle w:val="HHeading4"/>
              <w:jc w:val="both"/>
              <w:rPr>
                <w:rFonts w:cs="Arial"/>
              </w:rPr>
            </w:pPr>
            <w:r w:rsidRPr="0062664B">
              <w:rPr>
                <w:noProof/>
                <w:lang w:eastAsia="en-GB" w:bidi="ar-SA"/>
              </w:rPr>
              <mc:AlternateContent>
                <mc:Choice Requires="wps">
                  <w:drawing>
                    <wp:anchor distT="0" distB="0" distL="114300" distR="114300" simplePos="0" relativeHeight="251673088" behindDoc="0" locked="0" layoutInCell="1" allowOverlap="1" wp14:anchorId="76CE199E" wp14:editId="5BB9C872">
                      <wp:simplePos x="0" y="0"/>
                      <wp:positionH relativeFrom="column">
                        <wp:posOffset>-119743</wp:posOffset>
                      </wp:positionH>
                      <wp:positionV relativeFrom="paragraph">
                        <wp:posOffset>-52614</wp:posOffset>
                      </wp:positionV>
                      <wp:extent cx="6038850" cy="4876800"/>
                      <wp:effectExtent l="0" t="0" r="19050" b="19050"/>
                      <wp:wrapNone/>
                      <wp:docPr id="898" name="Rectangle: Diagonal Corners Rounded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876800"/>
                              </a:xfrm>
                              <a:prstGeom prst="round2DiagRect">
                                <a:avLst>
                                  <a:gd name="adj1" fmla="val 820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564B4" id="Rectangle: Diagonal Corners Rounded 15" o:spid="_x0000_s1026" style="position:absolute;margin-left:-9.45pt;margin-top:-4.15pt;width:475.5pt;height:38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38850,487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" path="m400044,l6038850,r,l6038850,4476756v,220938,-179106,400044,-400044,400044l,4876800r,l,400044c,179106,179106,,400044,xe" filled="f" strokecolor="#be4a35 [3205]" strokeweight="2pt">
                      <v:path arrowok="t" o:connecttype="custom" o:connectlocs="400044,0;6038850,0;6038850,0;6038850,4476756;5638806,4876800;0,4876800;0,4876800;0,400044;400044,0" o:connectangles="0,0,0,0,0,0,0,0,0"/>
                    </v:shape>
                  </w:pict>
                </mc:Fallback>
              </mc:AlternateContent>
            </w:r>
            <w:r w:rsidR="00FC012D" w:rsidRPr="0062664B">
              <w:rPr>
                <w:noProof/>
                <w:color w:val="373737"/>
                <w:lang w:eastAsia="en-GB" w:bidi="ar-SA"/>
              </w:rPr>
              <w:drawing>
                <wp:inline distT="0" distB="0" distL="0" distR="0" wp14:anchorId="014B959C" wp14:editId="4BB72D21">
                  <wp:extent cx="664845" cy="487680"/>
                  <wp:effectExtent l="0" t="0" r="0" b="7620"/>
                  <wp:docPr id="16"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sidR="00FC012D" w:rsidRPr="0062664B">
              <w:t xml:space="preserve"> HURTIG VEJLEDNING NR. 5: Hvordan får man mest ud af de kvalitative tilgange?</w:t>
            </w:r>
          </w:p>
        </w:tc>
      </w:tr>
    </w:tbl>
    <w:p w:rsidR="00696B10" w:rsidRPr="0062664B" w:rsidRDefault="00696B10" w:rsidP="00EC01C3">
      <w:pPr>
        <w:pStyle w:val="HStandard"/>
        <w:spacing w:after="0"/>
        <w:ind w:left="709" w:hanging="709"/>
        <w:rPr>
          <w:rFonts w:cs="Arial"/>
          <w:sz w:val="18"/>
          <w:szCs w:val="18"/>
        </w:rPr>
      </w:pPr>
      <w:r w:rsidRPr="0062664B">
        <w:rPr>
          <w:b/>
          <w:sz w:val="18"/>
        </w:rPr>
        <w:t>Kvalitative tilgange</w:t>
      </w:r>
      <w:r w:rsidRPr="0062664B">
        <w:rPr>
          <w:sz w:val="18"/>
        </w:rPr>
        <w:t xml:space="preserve"> kan anvendes med et tredobbelt formål:</w:t>
      </w:r>
    </w:p>
    <w:p w:rsidR="00310B39" w:rsidRPr="0062664B" w:rsidRDefault="00310B39" w:rsidP="00EC01C3">
      <w:pPr>
        <w:pStyle w:val="HStandard"/>
        <w:spacing w:after="0"/>
        <w:ind w:left="709" w:hanging="709"/>
        <w:rPr>
          <w:rFonts w:cs="Arial"/>
          <w:sz w:val="18"/>
          <w:szCs w:val="18"/>
        </w:rPr>
      </w:pPr>
    </w:p>
    <w:p w:rsidR="00696B10" w:rsidRPr="0062664B"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sidRPr="0062664B">
        <w:rPr>
          <w:rFonts w:ascii="Arial" w:hAnsi="Arial"/>
          <w:b/>
          <w:color w:val="373737" w:themeColor="text1"/>
          <w:sz w:val="18"/>
        </w:rPr>
        <w:t>Som alternativ</w:t>
      </w:r>
      <w:r w:rsidRPr="0062664B">
        <w:rPr>
          <w:rFonts w:ascii="Arial" w:hAnsi="Arial"/>
          <w:color w:val="373737" w:themeColor="text1"/>
          <w:sz w:val="18"/>
        </w:rPr>
        <w:t xml:space="preserve"> </w:t>
      </w:r>
      <w:r w:rsidRPr="0062664B">
        <w:rPr>
          <w:rFonts w:ascii="Arial" w:hAnsi="Arial"/>
          <w:b/>
          <w:color w:val="373737" w:themeColor="text1"/>
          <w:sz w:val="18"/>
        </w:rPr>
        <w:t>til kvantitative tilgange</w:t>
      </w:r>
      <w:r w:rsidRPr="0062664B">
        <w:rPr>
          <w:rFonts w:ascii="Arial" w:hAnsi="Arial"/>
          <w:color w:val="373737" w:themeColor="text1"/>
          <w:sz w:val="18"/>
        </w:rPr>
        <w:t xml:space="preserve">, hvis der mangler data. Kvalitativ teoribaseret evaluering kan anvendes til at vise, hvordan og hvorfor programmet vil fungere, og hvordan det forventes at føre til det ønskede resultat. Teoribaseret evaluering følger hvert trin i programmets interventionslogik og kortlægger årsagssammenhænge og ændringsmekanismer for at identificere ændringer, hvilket fører til resultater og virkninger. De forskellige sammenhænge i interventionslogikken kan analyseres ved hjælp af en række forskellige metoder. I disse retningslinjer foreslår vi fokusgrupper (især MAPP-metoden) eller interviews med interessenter/eksperter. </w:t>
      </w:r>
    </w:p>
    <w:p w:rsidR="00310B39" w:rsidRPr="0062664B" w:rsidRDefault="00310B39" w:rsidP="00EC01C3">
      <w:pPr>
        <w:pStyle w:val="ListParagraph"/>
        <w:autoSpaceDE w:val="0"/>
        <w:autoSpaceDN w:val="0"/>
        <w:adjustRightInd w:val="0"/>
        <w:spacing w:after="0" w:line="280" w:lineRule="atLeast"/>
        <w:ind w:left="426"/>
        <w:jc w:val="both"/>
        <w:rPr>
          <w:rFonts w:ascii="Arial" w:hAnsi="Arial" w:cs="Arial"/>
          <w:color w:val="373737" w:themeColor="text1"/>
          <w:sz w:val="18"/>
          <w:szCs w:val="18"/>
        </w:rPr>
      </w:pPr>
    </w:p>
    <w:p w:rsidR="00310B39" w:rsidRPr="0062664B"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sidRPr="0062664B">
        <w:rPr>
          <w:rFonts w:ascii="Arial" w:hAnsi="Arial"/>
          <w:b/>
          <w:color w:val="373737" w:themeColor="text1"/>
          <w:sz w:val="18"/>
        </w:rPr>
        <w:t>Som supplement til den kvantitative kontrafaktiske vurdering</w:t>
      </w:r>
      <w:r w:rsidRPr="0062664B">
        <w:rPr>
          <w:rFonts w:ascii="Arial" w:hAnsi="Arial"/>
          <w:color w:val="373737" w:themeColor="text1"/>
          <w:sz w:val="18"/>
        </w:rPr>
        <w:t xml:space="preserve"> for bedre at afdække, hvordan virkningerne opstår og hvorfor. Det skal bemærkes, at teoribaseret evaluering hverken kan</w:t>
      </w:r>
      <w:r w:rsidRPr="0062664B">
        <w:t xml:space="preserve"> anvendes til at undersøge "nettovirkninger" (dvs. i hvilket omfang den registrerede ændring i programområdet kan tilskrives programmet) eller til at adskille virkningerne af programmet fra bidrag fra andre faktorer.</w:t>
      </w:r>
    </w:p>
    <w:p w:rsidR="00310B39" w:rsidRPr="0062664B" w:rsidRDefault="00310B39" w:rsidP="00EC01C3">
      <w:pPr>
        <w:pStyle w:val="ListParagraph"/>
        <w:jc w:val="both"/>
        <w:rPr>
          <w:rFonts w:ascii="Arial" w:hAnsi="Arial" w:cs="Arial"/>
          <w:color w:val="373737" w:themeColor="text1"/>
          <w:sz w:val="18"/>
          <w:szCs w:val="18"/>
        </w:rPr>
      </w:pPr>
    </w:p>
    <w:p w:rsidR="00696B10" w:rsidRPr="0062664B" w:rsidRDefault="00696B10" w:rsidP="00EC01C3">
      <w:pPr>
        <w:pStyle w:val="ListParagraph"/>
        <w:numPr>
          <w:ilvl w:val="2"/>
          <w:numId w:val="13"/>
        </w:numPr>
        <w:autoSpaceDE w:val="0"/>
        <w:autoSpaceDN w:val="0"/>
        <w:adjustRightInd w:val="0"/>
        <w:spacing w:after="0" w:line="280" w:lineRule="atLeast"/>
        <w:ind w:left="426"/>
        <w:jc w:val="both"/>
        <w:rPr>
          <w:rFonts w:ascii="Arial" w:hAnsi="Arial" w:cs="Arial"/>
          <w:color w:val="373737" w:themeColor="text1"/>
          <w:sz w:val="18"/>
          <w:szCs w:val="18"/>
        </w:rPr>
      </w:pPr>
      <w:r w:rsidRPr="0062664B">
        <w:rPr>
          <w:rFonts w:ascii="Arial" w:hAnsi="Arial"/>
          <w:b/>
          <w:color w:val="373737" w:themeColor="text1"/>
          <w:sz w:val="18"/>
        </w:rPr>
        <w:t>Som led triangulation</w:t>
      </w:r>
      <w:r w:rsidRPr="0062664B">
        <w:rPr>
          <w:rFonts w:ascii="Arial" w:hAnsi="Arial"/>
          <w:color w:val="373737" w:themeColor="text1"/>
          <w:sz w:val="18"/>
        </w:rPr>
        <w:t xml:space="preserve"> til validering af resultaterne af kvantitative metoder.</w:t>
      </w:r>
    </w:p>
    <w:p w:rsidR="00310B39" w:rsidRPr="0062664B" w:rsidRDefault="00310B39" w:rsidP="00310B39">
      <w:pPr>
        <w:pStyle w:val="ListParagraph"/>
        <w:autoSpaceDE w:val="0"/>
        <w:autoSpaceDN w:val="0"/>
        <w:adjustRightInd w:val="0"/>
        <w:spacing w:after="0" w:line="280" w:lineRule="atLeast"/>
        <w:ind w:left="426"/>
        <w:rPr>
          <w:rFonts w:ascii="Arial" w:hAnsi="Arial" w:cs="Arial"/>
          <w:color w:val="373737" w:themeColor="text1"/>
          <w:sz w:val="18"/>
          <w:szCs w:val="18"/>
        </w:rPr>
      </w:pPr>
    </w:p>
    <w:p w:rsidR="0050142E" w:rsidRPr="0062664B" w:rsidRDefault="0050142E" w:rsidP="006A6A61">
      <w:pPr>
        <w:pStyle w:val="HStandard"/>
        <w:jc w:val="center"/>
        <w:rPr>
          <w:i/>
          <w:color w:val="F07E31" w:themeColor="accent1"/>
          <w:sz w:val="18"/>
        </w:rPr>
      </w:pPr>
      <w:r w:rsidRPr="0062664B">
        <w:rPr>
          <w:i/>
          <w:color w:val="F07E31" w:themeColor="accent1"/>
          <w:sz w:val="18"/>
        </w:rPr>
        <w:t>Få mere at vide om teoribaseret evaluering i "</w:t>
      </w:r>
      <w:hyperlink r:id="rId49">
        <w:r w:rsidRPr="0062664B">
          <w:rPr>
            <w:rStyle w:val="Hyperlink"/>
            <w:i/>
            <w:sz w:val="18"/>
          </w:rPr>
          <w:t>Investment Support under Rural Development Policy"</w:t>
        </w:r>
      </w:hyperlink>
      <w:r w:rsidRPr="0062664B">
        <w:rPr>
          <w:i/>
          <w:color w:val="F07E31" w:themeColor="accent1"/>
          <w:sz w:val="18"/>
        </w:rPr>
        <w:t xml:space="preserve">, kapitel 3.3.4 (Europa-Kommissionen, 2014) og om, hvordan kvalitative metoder kan anvendes til at indsamle kvantitative data i </w:t>
      </w:r>
      <w:hyperlink r:id="rId50" w:anchor="v=onepage&amp;amp;q=distinguishing%20between%20types%20of%20data%20and%20methods%20of%20collecting%20them%2C&amp;amp;f=false">
        <w:r w:rsidRPr="0062664B">
          <w:rPr>
            <w:rStyle w:val="Hyperlink"/>
            <w:i/>
            <w:sz w:val="18"/>
          </w:rPr>
          <w:t>"Distinguishing Between Types of Data and Methods of Collecting Them</w:t>
        </w:r>
      </w:hyperlink>
      <w:r w:rsidRPr="0062664B">
        <w:rPr>
          <w:i/>
          <w:color w:val="F07E31" w:themeColor="accent1"/>
          <w:sz w:val="18"/>
        </w:rPr>
        <w:t xml:space="preserve">"(Hentschel, 1998). </w:t>
      </w:r>
    </w:p>
    <w:p w:rsidR="006D4194" w:rsidRPr="0062664B" w:rsidRDefault="006D4194" w:rsidP="006D4194">
      <w:pPr>
        <w:pStyle w:val="HStandard"/>
        <w:rPr>
          <w:sz w:val="22"/>
        </w:rPr>
      </w:pPr>
    </w:p>
    <w:p w:rsidR="00A24D39" w:rsidRPr="0062664B" w:rsidRDefault="0095652F" w:rsidP="00B63445">
      <w:pPr>
        <w:pStyle w:val="HHeading3"/>
      </w:pPr>
      <w:r w:rsidRPr="0062664B">
        <w:t>Oversigt over anbefalede evalueringstilgange til vurdering af effektindikatorer for den fælles landbrugspolitik</w:t>
      </w:r>
    </w:p>
    <w:p w:rsidR="00186FCF" w:rsidRPr="0062664B" w:rsidRDefault="00186FCF" w:rsidP="00186FCF">
      <w:pPr>
        <w:pStyle w:val="HStandard"/>
        <w:rPr>
          <w:rFonts w:cs="Arial"/>
        </w:rPr>
      </w:pPr>
      <w:r w:rsidRPr="0062664B">
        <w:t xml:space="preserve">I programmeringsperioden 2014-2020 vil vurderingen af virkningerne af landdistriktsudviklingsprogrammerne blive gennemført for første gang i 2019, på et tidspunkt hvor der stadig kan forekomme manglende data for forskellige programmer for udvikling af landdistrikter, hvilket skyldes få/sen iværksættelse af visse foranstaltninger eller manglende statistiske data til evaluering. Eftersom det er yderst vanskeligt at observere virkninger af </w:t>
      </w:r>
      <w:r w:rsidR="00C94A94" w:rsidRPr="0062664B">
        <w:t>landdistriktsudviklingsprogrammet</w:t>
      </w:r>
      <w:r w:rsidRPr="0062664B">
        <w:t>, hvis der mangler data, foreslår nærværende retningslinjer mindst to forskellige tilgange til beregning af hver af de fælles effektindikatorer under den fælles landbrugspolitik i søjle II:</w:t>
      </w:r>
    </w:p>
    <w:p w:rsidR="00186FCF" w:rsidRPr="0062664B" w:rsidRDefault="00186FCF" w:rsidP="00C42303">
      <w:pPr>
        <w:pStyle w:val="Hlistbullet"/>
      </w:pPr>
      <w:r w:rsidRPr="0062664B">
        <w:rPr>
          <w:b/>
        </w:rPr>
        <w:t xml:space="preserve">Tilgang A </w:t>
      </w:r>
      <w:r w:rsidRPr="0062664B">
        <w:t xml:space="preserve">er et eksempel på en </w:t>
      </w:r>
      <w:r w:rsidRPr="0062664B">
        <w:rPr>
          <w:b/>
        </w:rPr>
        <w:t xml:space="preserve">evalueringstilgang i en optimal datasituation. </w:t>
      </w:r>
      <w:r w:rsidRPr="0062664B">
        <w:t xml:space="preserve">Den kan bruges i 2019, og/eller den kan tilstræbes i den efterfølgende evaluering. Tilgang A er mere avanceret end tilgang B, og den er også mere stringent. </w:t>
      </w:r>
    </w:p>
    <w:p w:rsidR="00186FCF" w:rsidRPr="0062664B" w:rsidRDefault="00186FCF" w:rsidP="00C42303">
      <w:pPr>
        <w:pStyle w:val="Hlistbullet"/>
      </w:pPr>
      <w:r w:rsidRPr="0062664B">
        <w:rPr>
          <w:b/>
        </w:rPr>
        <w:t xml:space="preserve">Tilgang B </w:t>
      </w:r>
      <w:r w:rsidRPr="0062664B">
        <w:t>er et eksempel på en</w:t>
      </w:r>
      <w:r w:rsidRPr="0062664B">
        <w:rPr>
          <w:b/>
        </w:rPr>
        <w:t xml:space="preserve"> alternativ evalueringstilgang i tilfælde af manglende data, </w:t>
      </w:r>
      <w:r w:rsidRPr="0062664B">
        <w:t xml:space="preserve">(f.eks. som følge af langsom iværksættelse af programmet, hvilket ikke gør det muligt at observere virkningerne af landdistriktsudviklingsprogrammet), eller hvis andre faktorer (ressourcer, tid, færdigheder) er til hinder for at anvende en mere avanceret metode. Tilgang B omfatter i flere tilfælde en kvalitativ del. </w:t>
      </w:r>
    </w:p>
    <w:p w:rsidR="00186FCF" w:rsidRPr="0062664B" w:rsidRDefault="00CB3881" w:rsidP="00186FCF">
      <w:pPr>
        <w:pStyle w:val="HStandard"/>
        <w:rPr>
          <w:rFonts w:cs="Arial"/>
        </w:rPr>
      </w:pPr>
      <w:r w:rsidRPr="0062664B">
        <w:rPr>
          <w:b/>
        </w:rPr>
        <w:t>Både tilgang A og B er i overensstemmelse med evalueringsstandarderne</w:t>
      </w:r>
      <w:r w:rsidRPr="0062664B">
        <w:t xml:space="preserve">. Tilgang A er defineret som den tilgang, der giver de mest solide evalueringsresultater i en ideel datasituation. I </w:t>
      </w:r>
      <w:r w:rsidRPr="0062664B">
        <w:lastRenderedPageBreak/>
        <w:t xml:space="preserve">betragtning af datasituationen i 2019 er der enighed om, at tilgang A for mange landdistriktsudviklingsprogrammer endnu ikke er den mest praktiske tilgang (se: tabeller om den foreslåede evalueringstilgangs hensigtsmæssighed i kapitel 4.1 – 4.7 i det tekniske bilag). I de respektive figurer for den logiske model for hver effektindikator er der anført yderligere eksempler. </w:t>
      </w:r>
    </w:p>
    <w:p w:rsidR="0095652F" w:rsidRPr="0062664B" w:rsidRDefault="008F39E9" w:rsidP="00E35440">
      <w:pPr>
        <w:pStyle w:val="HHeadingtables"/>
      </w:pPr>
      <w:r w:rsidRPr="0062664B">
        <w:br w:type="column"/>
      </w:r>
      <w:r w:rsidRPr="0062664B">
        <w:lastRenderedPageBreak/>
        <w:t xml:space="preserve">Eksempler på anbefalede evalueringstilgange til vurdering af effektindikatorer for den fælles landbrugspolitik </w:t>
      </w:r>
    </w:p>
    <w:tbl>
      <w:tblPr>
        <w:tblStyle w:val="TableGrid"/>
        <w:tblW w:w="946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988"/>
        <w:gridCol w:w="1417"/>
        <w:gridCol w:w="1701"/>
        <w:gridCol w:w="1701"/>
        <w:gridCol w:w="1701"/>
        <w:gridCol w:w="1956"/>
      </w:tblGrid>
      <w:tr w:rsidR="00515FD4" w:rsidRPr="0062664B" w:rsidTr="00E6677E">
        <w:trPr>
          <w:trHeight w:val="289"/>
          <w:tblHeader/>
        </w:trPr>
        <w:tc>
          <w:tcPr>
            <w:tcW w:w="98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62664B" w:rsidRDefault="00647A13" w:rsidP="00C202D0">
            <w:pPr>
              <w:pStyle w:val="HStandard"/>
              <w:jc w:val="center"/>
              <w:rPr>
                <w:b/>
                <w:bCs/>
                <w:color w:val="FFFFFF" w:themeColor="background1"/>
              </w:rPr>
            </w:pPr>
            <w:r w:rsidRPr="0062664B">
              <w:rPr>
                <w:b/>
                <w:color w:val="FFFFFF" w:themeColor="background1"/>
                <w:sz w:val="16"/>
              </w:rPr>
              <w:t>Kode</w:t>
            </w:r>
          </w:p>
        </w:tc>
        <w:tc>
          <w:tcPr>
            <w:tcW w:w="1417"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62664B" w:rsidRDefault="00647A13" w:rsidP="00C202D0">
            <w:pPr>
              <w:pStyle w:val="HStandard"/>
              <w:jc w:val="center"/>
              <w:rPr>
                <w:b/>
                <w:bCs/>
                <w:color w:val="FFFFFF" w:themeColor="background1"/>
                <w:sz w:val="16"/>
              </w:rPr>
            </w:pPr>
            <w:r w:rsidRPr="0062664B">
              <w:rPr>
                <w:b/>
                <w:color w:val="FFFFFF" w:themeColor="background1"/>
                <w:sz w:val="16"/>
              </w:rPr>
              <w:t>Indikator</w:t>
            </w:r>
          </w:p>
        </w:tc>
        <w:tc>
          <w:tcPr>
            <w:tcW w:w="340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62664B" w:rsidRDefault="002D74F7" w:rsidP="008D4934">
            <w:pPr>
              <w:pStyle w:val="HStandard"/>
              <w:spacing w:line="240" w:lineRule="atLeast"/>
              <w:jc w:val="center"/>
              <w:rPr>
                <w:color w:val="FFFFFF" w:themeColor="background1"/>
                <w:sz w:val="16"/>
              </w:rPr>
            </w:pPr>
            <w:r w:rsidRPr="0062664B">
              <w:rPr>
                <w:b/>
                <w:color w:val="FFFFFF" w:themeColor="background1"/>
              </w:rPr>
              <w:t>Tilgang A</w:t>
            </w:r>
            <w:r w:rsidRPr="0062664B">
              <w:rPr>
                <w:color w:val="FFFFFF" w:themeColor="background1"/>
              </w:rPr>
              <w:t xml:space="preserve"> </w:t>
            </w:r>
            <w:r w:rsidRPr="0062664B">
              <w:rPr>
                <w:color w:val="FFFFFF" w:themeColor="background1"/>
                <w:sz w:val="16"/>
              </w:rPr>
              <w:br/>
              <w:t>Eksempel på tilgang i en optimal datasituation</w:t>
            </w:r>
          </w:p>
        </w:tc>
        <w:tc>
          <w:tcPr>
            <w:tcW w:w="365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62664B" w:rsidRDefault="002D74F7" w:rsidP="0089010B">
            <w:pPr>
              <w:pStyle w:val="HStandard"/>
              <w:spacing w:line="240" w:lineRule="atLeast"/>
              <w:jc w:val="center"/>
              <w:rPr>
                <w:color w:val="FFFFFF" w:themeColor="background1"/>
                <w:sz w:val="16"/>
              </w:rPr>
            </w:pPr>
            <w:r w:rsidRPr="0062664B">
              <w:rPr>
                <w:b/>
                <w:color w:val="FFFFFF" w:themeColor="background1"/>
              </w:rPr>
              <w:t>Tilgang B</w:t>
            </w:r>
            <w:r w:rsidRPr="0062664B">
              <w:rPr>
                <w:color w:val="FFFFFF" w:themeColor="background1"/>
              </w:rPr>
              <w:t xml:space="preserve"> </w:t>
            </w:r>
            <w:r w:rsidRPr="0062664B">
              <w:rPr>
                <w:color w:val="FFFFFF" w:themeColor="background1"/>
              </w:rPr>
              <w:br/>
            </w:r>
            <w:r w:rsidRPr="0062664B">
              <w:rPr>
                <w:color w:val="FFFFFF" w:themeColor="background1"/>
                <w:sz w:val="16"/>
              </w:rPr>
              <w:t>Eksempel på en alternativ tilgang i tilfælde af manglende data</w:t>
            </w:r>
          </w:p>
        </w:tc>
      </w:tr>
      <w:tr w:rsidR="00515FD4" w:rsidRPr="0062664B" w:rsidTr="00E6677E">
        <w:trPr>
          <w:trHeight w:val="289"/>
          <w:tblHeader/>
        </w:trPr>
        <w:tc>
          <w:tcPr>
            <w:tcW w:w="98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62664B" w:rsidRDefault="00515FD4" w:rsidP="00C202D0">
            <w:pPr>
              <w:pStyle w:val="HStandard"/>
              <w:jc w:val="center"/>
              <w:rPr>
                <w:b/>
                <w:bCs/>
                <w:color w:val="FFFFFF" w:themeColor="background1"/>
              </w:rPr>
            </w:pPr>
          </w:p>
        </w:tc>
        <w:tc>
          <w:tcPr>
            <w:tcW w:w="1417"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hideMark/>
          </w:tcPr>
          <w:p w:rsidR="00515FD4" w:rsidRPr="0062664B" w:rsidRDefault="00515FD4" w:rsidP="00C202D0">
            <w:pPr>
              <w:pStyle w:val="HStandard"/>
              <w:jc w:val="center"/>
              <w:rPr>
                <w:b/>
                <w:bCs/>
                <w:color w:val="FFFFFF" w:themeColor="background1"/>
                <w:sz w:val="16"/>
              </w:rPr>
            </w:pP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62664B" w:rsidRDefault="00515FD4" w:rsidP="008D4934">
            <w:pPr>
              <w:pStyle w:val="HStandard"/>
              <w:spacing w:line="240" w:lineRule="atLeast"/>
              <w:jc w:val="center"/>
              <w:rPr>
                <w:i/>
                <w:iCs/>
                <w:color w:val="FFFFFF" w:themeColor="background1"/>
                <w:sz w:val="16"/>
              </w:rPr>
            </w:pPr>
            <w:r w:rsidRPr="0062664B">
              <w:rPr>
                <w:i/>
                <w:color w:val="FFFFFF" w:themeColor="background1"/>
                <w:sz w:val="16"/>
              </w:rPr>
              <w:t>Mikroniveau</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62664B" w:rsidRDefault="00515FD4" w:rsidP="008D4934">
            <w:pPr>
              <w:pStyle w:val="HStandard"/>
              <w:spacing w:line="240" w:lineRule="atLeast"/>
              <w:jc w:val="center"/>
              <w:rPr>
                <w:i/>
                <w:iCs/>
                <w:color w:val="FFFFFF" w:themeColor="background1"/>
                <w:sz w:val="16"/>
              </w:rPr>
            </w:pPr>
            <w:r w:rsidRPr="0062664B">
              <w:rPr>
                <w:i/>
                <w:color w:val="FFFFFF" w:themeColor="background1"/>
                <w:sz w:val="16"/>
              </w:rPr>
              <w:t>Makroniveau</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62664B" w:rsidRDefault="00515FD4" w:rsidP="008D4934">
            <w:pPr>
              <w:pStyle w:val="HStandard"/>
              <w:spacing w:line="240" w:lineRule="atLeast"/>
              <w:jc w:val="center"/>
              <w:rPr>
                <w:i/>
                <w:iCs/>
                <w:color w:val="FFFFFF" w:themeColor="background1"/>
                <w:sz w:val="16"/>
              </w:rPr>
            </w:pPr>
            <w:r w:rsidRPr="0062664B">
              <w:rPr>
                <w:i/>
                <w:color w:val="FFFFFF" w:themeColor="background1"/>
                <w:sz w:val="16"/>
              </w:rPr>
              <w:t>Mikroniveau</w:t>
            </w:r>
          </w:p>
        </w:tc>
        <w:tc>
          <w:tcPr>
            <w:tcW w:w="19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07E31" w:themeFill="accent1"/>
            <w:noWrap/>
            <w:hideMark/>
          </w:tcPr>
          <w:p w:rsidR="00515FD4" w:rsidRPr="0062664B" w:rsidRDefault="00515FD4" w:rsidP="008D4934">
            <w:pPr>
              <w:pStyle w:val="HStandard"/>
              <w:spacing w:line="240" w:lineRule="atLeast"/>
              <w:jc w:val="center"/>
              <w:rPr>
                <w:i/>
                <w:iCs/>
                <w:color w:val="FFFFFF" w:themeColor="background1"/>
                <w:sz w:val="16"/>
              </w:rPr>
            </w:pPr>
            <w:r w:rsidRPr="0062664B">
              <w:rPr>
                <w:i/>
                <w:color w:val="FFFFFF" w:themeColor="background1"/>
                <w:sz w:val="16"/>
              </w:rPr>
              <w:t>Makroniveau</w:t>
            </w:r>
          </w:p>
        </w:tc>
      </w:tr>
      <w:tr w:rsidR="00515FD4" w:rsidRPr="0062664B" w:rsidTr="00E6677E">
        <w:trPr>
          <w:trHeight w:val="255"/>
        </w:trPr>
        <w:tc>
          <w:tcPr>
            <w:tcW w:w="9464" w:type="dxa"/>
            <w:gridSpan w:val="6"/>
            <w:tcBorders>
              <w:top w:val="single" w:sz="4" w:space="0" w:color="FFFFFF" w:themeColor="background1"/>
            </w:tcBorders>
            <w:shd w:val="clear" w:color="auto" w:fill="BE4A35" w:themeFill="accent2"/>
            <w:hideMark/>
          </w:tcPr>
          <w:p w:rsidR="00515FD4" w:rsidRPr="0062664B" w:rsidRDefault="00515FD4" w:rsidP="008D4934">
            <w:pPr>
              <w:pStyle w:val="HStandard"/>
              <w:spacing w:line="240" w:lineRule="atLeast"/>
              <w:rPr>
                <w:b/>
                <w:bCs/>
                <w:color w:val="FFFFFF" w:themeColor="background1"/>
                <w:sz w:val="16"/>
              </w:rPr>
            </w:pPr>
            <w:r w:rsidRPr="0062664B">
              <w:rPr>
                <w:b/>
                <w:color w:val="FFFFFF" w:themeColor="background1"/>
                <w:sz w:val="16"/>
              </w:rPr>
              <w:t>Sektorrelaterede virkninger</w:t>
            </w:r>
          </w:p>
        </w:tc>
      </w:tr>
      <w:tr w:rsidR="00515FD4" w:rsidRPr="0062664B" w:rsidTr="00E6677E">
        <w:trPr>
          <w:trHeight w:val="1193"/>
        </w:trPr>
        <w:tc>
          <w:tcPr>
            <w:tcW w:w="988" w:type="dxa"/>
            <w:tcBorders>
              <w:bottom w:val="single" w:sz="4" w:space="0" w:color="808080" w:themeColor="background1" w:themeShade="80"/>
              <w:right w:val="nil"/>
            </w:tcBorders>
            <w:hideMark/>
          </w:tcPr>
          <w:p w:rsidR="00515FD4" w:rsidRPr="0062664B" w:rsidRDefault="00515FD4" w:rsidP="00887886">
            <w:pPr>
              <w:pStyle w:val="HStandard"/>
              <w:jc w:val="center"/>
              <w:rPr>
                <w:b/>
                <w:bCs/>
                <w:color w:val="BE4A35" w:themeColor="accent2"/>
              </w:rPr>
            </w:pPr>
            <w:r w:rsidRPr="0062664B">
              <w:rPr>
                <w:b/>
                <w:bCs/>
                <w:noProof/>
                <w:color w:val="BE4A35" w:themeColor="accent2"/>
                <w:lang w:eastAsia="en-GB" w:bidi="ar-SA"/>
              </w:rPr>
              <w:drawing>
                <wp:anchor distT="0" distB="0" distL="114300" distR="114300" simplePos="0" relativeHeight="251713024" behindDoc="1" locked="0" layoutInCell="1" allowOverlap="1" wp14:anchorId="4D4B3251" wp14:editId="58D61EDF">
                  <wp:simplePos x="0" y="0"/>
                  <wp:positionH relativeFrom="column">
                    <wp:posOffset>-233</wp:posOffset>
                  </wp:positionH>
                  <wp:positionV relativeFrom="paragraph">
                    <wp:posOffset>185115</wp:posOffset>
                  </wp:positionV>
                  <wp:extent cx="489585" cy="489585"/>
                  <wp:effectExtent l="0" t="0" r="0" b="5715"/>
                  <wp:wrapTight wrapText="bothSides">
                    <wp:wrapPolygon edited="0">
                      <wp:start x="5043" y="0"/>
                      <wp:lineTo x="2521" y="2521"/>
                      <wp:lineTo x="840" y="8405"/>
                      <wp:lineTo x="1681" y="15969"/>
                      <wp:lineTo x="5883" y="21012"/>
                      <wp:lineTo x="8405" y="21012"/>
                      <wp:lineTo x="14288" y="21012"/>
                      <wp:lineTo x="15128" y="21012"/>
                      <wp:lineTo x="18490" y="13447"/>
                      <wp:lineTo x="19331" y="10926"/>
                      <wp:lineTo x="17650" y="3362"/>
                      <wp:lineTo x="14288" y="0"/>
                      <wp:lineTo x="504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01.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62664B">
              <w:rPr>
                <w:b/>
                <w:color w:val="BE4A35" w:themeColor="accent2"/>
              </w:rPr>
              <w:t>I. 01</w:t>
            </w:r>
          </w:p>
        </w:tc>
        <w:tc>
          <w:tcPr>
            <w:tcW w:w="1417" w:type="dxa"/>
            <w:tcBorders>
              <w:left w:val="nil"/>
              <w:bottom w:val="single" w:sz="4" w:space="0" w:color="808080" w:themeColor="background1" w:themeShade="80"/>
            </w:tcBorders>
            <w:vAlign w:val="center"/>
            <w:hideMark/>
          </w:tcPr>
          <w:p w:rsidR="00515FD4" w:rsidRPr="0062664B" w:rsidRDefault="00515FD4" w:rsidP="007B323D">
            <w:pPr>
              <w:pStyle w:val="HStandard"/>
              <w:spacing w:after="0"/>
              <w:jc w:val="left"/>
              <w:rPr>
                <w:b/>
                <w:color w:val="BE4A35" w:themeColor="accent2"/>
                <w:sz w:val="16"/>
                <w:szCs w:val="18"/>
              </w:rPr>
            </w:pPr>
            <w:r w:rsidRPr="0062664B">
              <w:rPr>
                <w:b/>
                <w:color w:val="BE4A35" w:themeColor="accent2"/>
                <w:sz w:val="16"/>
              </w:rPr>
              <w:t>Landbrugets virksomhedsindkomst</w:t>
            </w:r>
          </w:p>
        </w:tc>
        <w:tc>
          <w:tcPr>
            <w:tcW w:w="1701" w:type="dxa"/>
            <w:vMerge w:val="restart"/>
            <w:vAlign w:val="center"/>
            <w:hideMark/>
          </w:tcPr>
          <w:p w:rsidR="00515FD4" w:rsidRPr="0062664B" w:rsidRDefault="00515FD4" w:rsidP="007008C0">
            <w:pPr>
              <w:pStyle w:val="HStandard"/>
              <w:spacing w:after="0" w:line="240" w:lineRule="auto"/>
              <w:jc w:val="center"/>
              <w:rPr>
                <w:sz w:val="16"/>
                <w:szCs w:val="18"/>
              </w:rPr>
            </w:pPr>
            <w:r w:rsidRPr="0062664B">
              <w:rPr>
                <w:sz w:val="16"/>
              </w:rPr>
              <w:t>Kombination af Propensity Score Matching-metoden og Difference in Differences-metoden</w:t>
            </w:r>
          </w:p>
        </w:tc>
        <w:tc>
          <w:tcPr>
            <w:tcW w:w="1701" w:type="dxa"/>
            <w:vMerge w:val="restart"/>
            <w:vAlign w:val="center"/>
            <w:hideMark/>
          </w:tcPr>
          <w:p w:rsidR="00515FD4" w:rsidRPr="0062664B" w:rsidRDefault="00515FD4" w:rsidP="007008C0">
            <w:pPr>
              <w:pStyle w:val="HStandard"/>
              <w:spacing w:after="0" w:line="240" w:lineRule="auto"/>
              <w:jc w:val="center"/>
              <w:rPr>
                <w:sz w:val="16"/>
                <w:szCs w:val="18"/>
              </w:rPr>
            </w:pPr>
            <w:r w:rsidRPr="0062664B">
              <w:rPr>
                <w:sz w:val="16"/>
              </w:rPr>
              <w:t xml:space="preserve">Nedefra og op-tilgange til opskalering af resultater på mikroniveau </w:t>
            </w:r>
            <w:r w:rsidRPr="0062664B">
              <w:rPr>
                <w:sz w:val="16"/>
                <w:szCs w:val="18"/>
              </w:rPr>
              <w:br/>
            </w:r>
            <w:r w:rsidRPr="0062664B">
              <w:rPr>
                <w:sz w:val="16"/>
                <w:szCs w:val="18"/>
              </w:rPr>
              <w:br/>
            </w:r>
            <w:r w:rsidRPr="0062664B">
              <w:rPr>
                <w:sz w:val="16"/>
              </w:rPr>
              <w:t>Anvendelse af en sektorspecifik model</w:t>
            </w:r>
          </w:p>
        </w:tc>
        <w:tc>
          <w:tcPr>
            <w:tcW w:w="1701" w:type="dxa"/>
            <w:vMerge w:val="restart"/>
            <w:vAlign w:val="center"/>
            <w:hideMark/>
          </w:tcPr>
          <w:p w:rsidR="00515FD4" w:rsidRPr="0062664B" w:rsidRDefault="00515FD4" w:rsidP="007008C0">
            <w:pPr>
              <w:pStyle w:val="HStandard"/>
              <w:spacing w:after="0" w:line="240" w:lineRule="auto"/>
              <w:jc w:val="center"/>
              <w:rPr>
                <w:sz w:val="16"/>
                <w:szCs w:val="18"/>
              </w:rPr>
            </w:pPr>
            <w:r w:rsidRPr="0062664B">
              <w:rPr>
                <w:sz w:val="16"/>
              </w:rPr>
              <w:t>Regressionsanalyse vedrørende diskontinuitet</w:t>
            </w:r>
          </w:p>
        </w:tc>
        <w:tc>
          <w:tcPr>
            <w:tcW w:w="1956" w:type="dxa"/>
            <w:vMerge w:val="restart"/>
            <w:vAlign w:val="center"/>
            <w:hideMark/>
          </w:tcPr>
          <w:p w:rsidR="00515FD4" w:rsidRPr="0062664B" w:rsidRDefault="00515FD4" w:rsidP="007008C0">
            <w:pPr>
              <w:pStyle w:val="HStandard"/>
              <w:spacing w:after="0" w:line="240" w:lineRule="auto"/>
              <w:jc w:val="center"/>
              <w:rPr>
                <w:sz w:val="16"/>
                <w:szCs w:val="18"/>
              </w:rPr>
            </w:pPr>
            <w:r w:rsidRPr="0062664B">
              <w:rPr>
                <w:sz w:val="16"/>
              </w:rPr>
              <w:t>Nedefra og op-tilgange til opskalering af resultater på mikroniveau</w:t>
            </w:r>
          </w:p>
        </w:tc>
      </w:tr>
      <w:tr w:rsidR="00515FD4" w:rsidRPr="0062664B" w:rsidTr="00E6677E">
        <w:trPr>
          <w:trHeight w:val="1167"/>
        </w:trPr>
        <w:tc>
          <w:tcPr>
            <w:tcW w:w="988" w:type="dxa"/>
            <w:tcBorders>
              <w:right w:val="nil"/>
            </w:tcBorders>
            <w:hideMark/>
          </w:tcPr>
          <w:p w:rsidR="00515FD4" w:rsidRPr="0062664B" w:rsidRDefault="008D4934" w:rsidP="008D4934">
            <w:pPr>
              <w:pStyle w:val="HStandard"/>
              <w:jc w:val="center"/>
              <w:rPr>
                <w:b/>
                <w:bCs/>
                <w:color w:val="BE4A35" w:themeColor="accent2"/>
              </w:rPr>
            </w:pPr>
            <w:r w:rsidRPr="0062664B">
              <w:rPr>
                <w:b/>
                <w:bCs/>
                <w:noProof/>
                <w:color w:val="BE4A35" w:themeColor="accent2"/>
                <w:lang w:eastAsia="en-GB" w:bidi="ar-SA"/>
              </w:rPr>
              <w:drawing>
                <wp:anchor distT="0" distB="0" distL="114300" distR="114300" simplePos="0" relativeHeight="251727360" behindDoc="0" locked="0" layoutInCell="1" allowOverlap="1" wp14:anchorId="296B3BDC" wp14:editId="11E44183">
                  <wp:simplePos x="0" y="0"/>
                  <wp:positionH relativeFrom="column">
                    <wp:posOffset>31750</wp:posOffset>
                  </wp:positionH>
                  <wp:positionV relativeFrom="paragraph">
                    <wp:posOffset>215394</wp:posOffset>
                  </wp:positionV>
                  <wp:extent cx="489600" cy="489600"/>
                  <wp:effectExtent l="0" t="0" r="5715" b="571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02.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sidRPr="0062664B">
              <w:rPr>
                <w:b/>
                <w:color w:val="BE4A35" w:themeColor="accent2"/>
              </w:rPr>
              <w:t>I.02</w:t>
            </w:r>
          </w:p>
        </w:tc>
        <w:tc>
          <w:tcPr>
            <w:tcW w:w="1417" w:type="dxa"/>
            <w:tcBorders>
              <w:left w:val="nil"/>
            </w:tcBorders>
            <w:vAlign w:val="center"/>
            <w:hideMark/>
          </w:tcPr>
          <w:p w:rsidR="00515FD4" w:rsidRPr="0062664B" w:rsidRDefault="00515FD4" w:rsidP="00670F92">
            <w:pPr>
              <w:pStyle w:val="HStandard"/>
              <w:spacing w:after="0"/>
              <w:jc w:val="left"/>
              <w:rPr>
                <w:b/>
                <w:color w:val="BE4A35" w:themeColor="accent2"/>
                <w:sz w:val="16"/>
                <w:szCs w:val="18"/>
              </w:rPr>
            </w:pPr>
            <w:r w:rsidRPr="0062664B">
              <w:rPr>
                <w:b/>
                <w:color w:val="BE4A35" w:themeColor="accent2"/>
                <w:sz w:val="16"/>
              </w:rPr>
              <w:t>Landbrugets faktorindkomst</w:t>
            </w:r>
          </w:p>
        </w:tc>
        <w:tc>
          <w:tcPr>
            <w:tcW w:w="1701" w:type="dxa"/>
            <w:vMerge/>
            <w:hideMark/>
          </w:tcPr>
          <w:p w:rsidR="00515FD4" w:rsidRPr="0062664B" w:rsidRDefault="00515FD4" w:rsidP="007008C0">
            <w:pPr>
              <w:pStyle w:val="HStandard"/>
              <w:spacing w:line="240" w:lineRule="auto"/>
              <w:rPr>
                <w:sz w:val="16"/>
              </w:rPr>
            </w:pPr>
          </w:p>
        </w:tc>
        <w:tc>
          <w:tcPr>
            <w:tcW w:w="1701" w:type="dxa"/>
            <w:vMerge/>
            <w:hideMark/>
          </w:tcPr>
          <w:p w:rsidR="00515FD4" w:rsidRPr="0062664B" w:rsidRDefault="00515FD4" w:rsidP="007008C0">
            <w:pPr>
              <w:pStyle w:val="HStandard"/>
              <w:spacing w:line="240" w:lineRule="auto"/>
              <w:rPr>
                <w:sz w:val="16"/>
              </w:rPr>
            </w:pPr>
          </w:p>
        </w:tc>
        <w:tc>
          <w:tcPr>
            <w:tcW w:w="1701" w:type="dxa"/>
            <w:vMerge/>
            <w:hideMark/>
          </w:tcPr>
          <w:p w:rsidR="00515FD4" w:rsidRPr="0062664B" w:rsidRDefault="00515FD4" w:rsidP="007008C0">
            <w:pPr>
              <w:pStyle w:val="HStandard"/>
              <w:spacing w:line="240" w:lineRule="auto"/>
              <w:rPr>
                <w:sz w:val="16"/>
              </w:rPr>
            </w:pPr>
          </w:p>
        </w:tc>
        <w:tc>
          <w:tcPr>
            <w:tcW w:w="1956" w:type="dxa"/>
            <w:vMerge/>
            <w:hideMark/>
          </w:tcPr>
          <w:p w:rsidR="00515FD4" w:rsidRPr="0062664B" w:rsidRDefault="00515FD4" w:rsidP="007008C0">
            <w:pPr>
              <w:pStyle w:val="HStandard"/>
              <w:spacing w:line="240" w:lineRule="auto"/>
              <w:rPr>
                <w:sz w:val="16"/>
              </w:rPr>
            </w:pPr>
          </w:p>
        </w:tc>
      </w:tr>
      <w:tr w:rsidR="00515FD4" w:rsidRPr="0062664B" w:rsidTr="00E6677E">
        <w:trPr>
          <w:trHeight w:val="1163"/>
        </w:trPr>
        <w:tc>
          <w:tcPr>
            <w:tcW w:w="988" w:type="dxa"/>
            <w:tcBorders>
              <w:right w:val="nil"/>
            </w:tcBorders>
            <w:hideMark/>
          </w:tcPr>
          <w:p w:rsidR="00515FD4" w:rsidRPr="0062664B" w:rsidRDefault="00515FD4" w:rsidP="004A2D39">
            <w:pPr>
              <w:pStyle w:val="HStandard"/>
              <w:jc w:val="center"/>
              <w:rPr>
                <w:b/>
                <w:bCs/>
                <w:color w:val="BE4A35" w:themeColor="accent2"/>
              </w:rPr>
            </w:pPr>
            <w:r w:rsidRPr="0062664B">
              <w:rPr>
                <w:b/>
                <w:bCs/>
                <w:noProof/>
                <w:color w:val="BE4A35" w:themeColor="accent2"/>
                <w:lang w:eastAsia="en-GB" w:bidi="ar-SA"/>
              </w:rPr>
              <w:drawing>
                <wp:anchor distT="0" distB="0" distL="114300" distR="114300" simplePos="0" relativeHeight="251712000" behindDoc="1" locked="0" layoutInCell="1" allowOverlap="1" wp14:anchorId="7CB20937" wp14:editId="55187FE3">
                  <wp:simplePos x="0" y="0"/>
                  <wp:positionH relativeFrom="column">
                    <wp:posOffset>63428</wp:posOffset>
                  </wp:positionH>
                  <wp:positionV relativeFrom="paragraph">
                    <wp:posOffset>215900</wp:posOffset>
                  </wp:positionV>
                  <wp:extent cx="489585" cy="489585"/>
                  <wp:effectExtent l="0" t="0" r="0" b="5715"/>
                  <wp:wrapTight wrapText="bothSides">
                    <wp:wrapPolygon edited="0">
                      <wp:start x="6724" y="0"/>
                      <wp:lineTo x="5043" y="2521"/>
                      <wp:lineTo x="2521" y="14288"/>
                      <wp:lineTo x="5883" y="21012"/>
                      <wp:lineTo x="15128" y="21012"/>
                      <wp:lineTo x="18490" y="12607"/>
                      <wp:lineTo x="15969" y="2521"/>
                      <wp:lineTo x="14288" y="0"/>
                      <wp:lineTo x="672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03.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62664B">
              <w:rPr>
                <w:b/>
                <w:color w:val="BE4A35" w:themeColor="accent2"/>
              </w:rPr>
              <w:t>I.03</w:t>
            </w:r>
          </w:p>
        </w:tc>
        <w:tc>
          <w:tcPr>
            <w:tcW w:w="1417" w:type="dxa"/>
            <w:tcBorders>
              <w:left w:val="nil"/>
            </w:tcBorders>
            <w:vAlign w:val="center"/>
            <w:hideMark/>
          </w:tcPr>
          <w:p w:rsidR="00515FD4" w:rsidRPr="0062664B" w:rsidRDefault="00515FD4" w:rsidP="00670F92">
            <w:pPr>
              <w:pStyle w:val="HStandard"/>
              <w:spacing w:after="0"/>
              <w:jc w:val="left"/>
              <w:rPr>
                <w:b/>
                <w:color w:val="BE4A35" w:themeColor="accent2"/>
                <w:sz w:val="16"/>
                <w:szCs w:val="18"/>
              </w:rPr>
            </w:pPr>
            <w:r w:rsidRPr="0062664B">
              <w:rPr>
                <w:b/>
                <w:color w:val="BE4A35" w:themeColor="accent2"/>
                <w:sz w:val="16"/>
              </w:rPr>
              <w:t>Samlet faktorproduktivitet i landbruget</w:t>
            </w:r>
          </w:p>
        </w:tc>
        <w:tc>
          <w:tcPr>
            <w:tcW w:w="1701" w:type="dxa"/>
            <w:vMerge/>
            <w:hideMark/>
          </w:tcPr>
          <w:p w:rsidR="00515FD4" w:rsidRPr="0062664B" w:rsidRDefault="00515FD4" w:rsidP="007008C0">
            <w:pPr>
              <w:pStyle w:val="HStandard"/>
              <w:spacing w:line="240" w:lineRule="auto"/>
              <w:rPr>
                <w:sz w:val="16"/>
              </w:rPr>
            </w:pPr>
          </w:p>
        </w:tc>
        <w:tc>
          <w:tcPr>
            <w:tcW w:w="1701" w:type="dxa"/>
            <w:vMerge/>
            <w:hideMark/>
          </w:tcPr>
          <w:p w:rsidR="00515FD4" w:rsidRPr="0062664B" w:rsidRDefault="00515FD4" w:rsidP="007008C0">
            <w:pPr>
              <w:pStyle w:val="HStandard"/>
              <w:spacing w:line="240" w:lineRule="auto"/>
              <w:rPr>
                <w:sz w:val="16"/>
              </w:rPr>
            </w:pPr>
          </w:p>
        </w:tc>
        <w:tc>
          <w:tcPr>
            <w:tcW w:w="1701" w:type="dxa"/>
            <w:vMerge/>
            <w:hideMark/>
          </w:tcPr>
          <w:p w:rsidR="00515FD4" w:rsidRPr="0062664B" w:rsidRDefault="00515FD4" w:rsidP="007008C0">
            <w:pPr>
              <w:pStyle w:val="HStandard"/>
              <w:spacing w:line="240" w:lineRule="auto"/>
              <w:rPr>
                <w:sz w:val="16"/>
              </w:rPr>
            </w:pPr>
          </w:p>
        </w:tc>
        <w:tc>
          <w:tcPr>
            <w:tcW w:w="1956" w:type="dxa"/>
            <w:vMerge/>
            <w:hideMark/>
          </w:tcPr>
          <w:p w:rsidR="00515FD4" w:rsidRPr="0062664B" w:rsidRDefault="00515FD4" w:rsidP="007008C0">
            <w:pPr>
              <w:pStyle w:val="HStandard"/>
              <w:spacing w:line="240" w:lineRule="auto"/>
              <w:rPr>
                <w:sz w:val="16"/>
              </w:rPr>
            </w:pPr>
          </w:p>
        </w:tc>
      </w:tr>
      <w:tr w:rsidR="00515FD4" w:rsidRPr="0062664B" w:rsidTr="00E6677E">
        <w:trPr>
          <w:trHeight w:val="255"/>
        </w:trPr>
        <w:tc>
          <w:tcPr>
            <w:tcW w:w="9464" w:type="dxa"/>
            <w:gridSpan w:val="6"/>
            <w:shd w:val="clear" w:color="auto" w:fill="57825E" w:themeFill="accent4"/>
            <w:hideMark/>
          </w:tcPr>
          <w:p w:rsidR="00515FD4" w:rsidRPr="0062664B" w:rsidRDefault="00515FD4" w:rsidP="007008C0">
            <w:pPr>
              <w:pStyle w:val="HStandard"/>
              <w:spacing w:line="240" w:lineRule="auto"/>
              <w:rPr>
                <w:bCs/>
                <w:color w:val="FFFFFF" w:themeColor="background1"/>
                <w:sz w:val="16"/>
              </w:rPr>
            </w:pPr>
            <w:r w:rsidRPr="0062664B">
              <w:rPr>
                <w:color w:val="FFFFFF" w:themeColor="background1"/>
                <w:sz w:val="16"/>
              </w:rPr>
              <w:t>Miljøvirkninger</w:t>
            </w:r>
          </w:p>
        </w:tc>
      </w:tr>
      <w:tr w:rsidR="00515FD4" w:rsidRPr="0062664B" w:rsidTr="00E6677E">
        <w:trPr>
          <w:trHeight w:val="1068"/>
        </w:trPr>
        <w:tc>
          <w:tcPr>
            <w:tcW w:w="988" w:type="dxa"/>
            <w:tcBorders>
              <w:right w:val="nil"/>
            </w:tcBorders>
            <w:hideMark/>
          </w:tcPr>
          <w:p w:rsidR="00515FD4" w:rsidRPr="0062664B" w:rsidRDefault="00515FD4" w:rsidP="000F570B">
            <w:pPr>
              <w:pStyle w:val="HStandard"/>
              <w:jc w:val="center"/>
              <w:rPr>
                <w:b/>
                <w:bCs/>
                <w:color w:val="57825E" w:themeColor="accent4"/>
              </w:rPr>
            </w:pPr>
            <w:r w:rsidRPr="0062664B">
              <w:rPr>
                <w:b/>
                <w:bCs/>
                <w:noProof/>
                <w:color w:val="57825E" w:themeColor="accent4"/>
                <w:lang w:eastAsia="en-GB" w:bidi="ar-SA"/>
              </w:rPr>
              <w:drawing>
                <wp:anchor distT="0" distB="0" distL="114300" distR="114300" simplePos="0" relativeHeight="251714048" behindDoc="1" locked="0" layoutInCell="1" allowOverlap="1" wp14:anchorId="27EEF983" wp14:editId="15E6EC76">
                  <wp:simplePos x="0" y="0"/>
                  <wp:positionH relativeFrom="column">
                    <wp:posOffset>63572</wp:posOffset>
                  </wp:positionH>
                  <wp:positionV relativeFrom="paragraph">
                    <wp:posOffset>202983</wp:posOffset>
                  </wp:positionV>
                  <wp:extent cx="489585" cy="489585"/>
                  <wp:effectExtent l="0" t="0" r="5715" b="0"/>
                  <wp:wrapTight wrapText="bothSides">
                    <wp:wrapPolygon edited="0">
                      <wp:start x="10086" y="1681"/>
                      <wp:lineTo x="0" y="10926"/>
                      <wp:lineTo x="0" y="19331"/>
                      <wp:lineTo x="21012" y="19331"/>
                      <wp:lineTo x="21012" y="9245"/>
                      <wp:lineTo x="17650" y="1681"/>
                      <wp:lineTo x="10086" y="1681"/>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07.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62664B">
              <w:rPr>
                <w:b/>
                <w:color w:val="57825E" w:themeColor="accent4"/>
              </w:rPr>
              <w:t>I.07</w:t>
            </w:r>
          </w:p>
        </w:tc>
        <w:tc>
          <w:tcPr>
            <w:tcW w:w="1417" w:type="dxa"/>
            <w:tcBorders>
              <w:left w:val="nil"/>
            </w:tcBorders>
            <w:vAlign w:val="center"/>
            <w:hideMark/>
          </w:tcPr>
          <w:p w:rsidR="00515FD4" w:rsidRPr="0062664B" w:rsidRDefault="00515FD4" w:rsidP="00670F92">
            <w:pPr>
              <w:pStyle w:val="HStandard"/>
              <w:jc w:val="left"/>
              <w:rPr>
                <w:rFonts w:cs="Arial"/>
                <w:b/>
                <w:color w:val="57825E" w:themeColor="accent4"/>
                <w:sz w:val="16"/>
                <w:szCs w:val="18"/>
              </w:rPr>
            </w:pPr>
            <w:r w:rsidRPr="0062664B">
              <w:rPr>
                <w:b/>
                <w:color w:val="57825E" w:themeColor="accent4"/>
                <w:sz w:val="16"/>
              </w:rPr>
              <w:t xml:space="preserve">Emissioner fra landbruget </w:t>
            </w:r>
          </w:p>
        </w:tc>
        <w:tc>
          <w:tcPr>
            <w:tcW w:w="1701" w:type="dxa"/>
            <w:vAlign w:val="center"/>
            <w:hideMark/>
          </w:tcPr>
          <w:p w:rsidR="00515FD4" w:rsidRPr="0062664B" w:rsidRDefault="00BB68D4" w:rsidP="007008C0">
            <w:pPr>
              <w:pStyle w:val="HStandard"/>
              <w:spacing w:line="240" w:lineRule="auto"/>
              <w:jc w:val="center"/>
              <w:rPr>
                <w:rFonts w:cs="Arial"/>
                <w:sz w:val="16"/>
                <w:szCs w:val="18"/>
              </w:rPr>
            </w:pPr>
            <w:r w:rsidRPr="0062664B">
              <w:rPr>
                <w:sz w:val="16"/>
              </w:rPr>
              <w:t>Regressions- og matchningsteknikker</w:t>
            </w:r>
          </w:p>
        </w:tc>
        <w:tc>
          <w:tcPr>
            <w:tcW w:w="1701" w:type="dxa"/>
            <w:vAlign w:val="center"/>
            <w:hideMark/>
          </w:tcPr>
          <w:p w:rsidR="00515FD4" w:rsidRPr="0062664B" w:rsidRDefault="00515FD4" w:rsidP="007008C0">
            <w:pPr>
              <w:pStyle w:val="HStandard"/>
              <w:spacing w:line="240" w:lineRule="auto"/>
              <w:jc w:val="center"/>
              <w:rPr>
                <w:rFonts w:cs="Arial"/>
                <w:sz w:val="16"/>
                <w:szCs w:val="18"/>
              </w:rPr>
            </w:pPr>
            <w:r w:rsidRPr="0062664B">
              <w:rPr>
                <w:sz w:val="16"/>
              </w:rPr>
              <w:t>General Propensity Score Matching (GPSM) i NUTS 3 eller andre geografiske data</w:t>
            </w:r>
          </w:p>
        </w:tc>
        <w:tc>
          <w:tcPr>
            <w:tcW w:w="1701" w:type="dxa"/>
            <w:vAlign w:val="center"/>
            <w:hideMark/>
          </w:tcPr>
          <w:p w:rsidR="00515FD4" w:rsidRPr="0062664B" w:rsidRDefault="00515FD4" w:rsidP="007008C0">
            <w:pPr>
              <w:pStyle w:val="HStandard"/>
              <w:spacing w:line="240" w:lineRule="auto"/>
              <w:jc w:val="center"/>
              <w:rPr>
                <w:rFonts w:cs="Arial"/>
                <w:sz w:val="16"/>
                <w:szCs w:val="18"/>
              </w:rPr>
            </w:pPr>
            <w:r w:rsidRPr="0062664B">
              <w:rPr>
                <w:sz w:val="16"/>
              </w:rPr>
              <w:t>Ingen</w:t>
            </w:r>
          </w:p>
        </w:tc>
        <w:tc>
          <w:tcPr>
            <w:tcW w:w="1956" w:type="dxa"/>
            <w:vAlign w:val="center"/>
            <w:hideMark/>
          </w:tcPr>
          <w:p w:rsidR="00515FD4" w:rsidRPr="0062664B" w:rsidRDefault="00515FD4" w:rsidP="007008C0">
            <w:pPr>
              <w:pStyle w:val="HStandard"/>
              <w:spacing w:line="240" w:lineRule="auto"/>
              <w:jc w:val="center"/>
              <w:rPr>
                <w:rFonts w:cs="Arial"/>
                <w:sz w:val="16"/>
                <w:szCs w:val="18"/>
              </w:rPr>
            </w:pPr>
            <w:r w:rsidRPr="0062664B">
              <w:rPr>
                <w:sz w:val="16"/>
              </w:rPr>
              <w:t xml:space="preserve">Naiv referenceværdi </w:t>
            </w:r>
            <w:r w:rsidRPr="0062664B">
              <w:rPr>
                <w:rFonts w:cs="Arial"/>
                <w:sz w:val="16"/>
                <w:szCs w:val="18"/>
              </w:rPr>
              <w:br/>
            </w:r>
            <w:r w:rsidRPr="0062664B">
              <w:rPr>
                <w:sz w:val="16"/>
              </w:rPr>
              <w:t>Sammenligninger (herunder kvalitative metoder)</w:t>
            </w:r>
          </w:p>
        </w:tc>
      </w:tr>
      <w:tr w:rsidR="00515FD4" w:rsidRPr="0062664B" w:rsidTr="00E6677E">
        <w:trPr>
          <w:trHeight w:val="630"/>
        </w:trPr>
        <w:tc>
          <w:tcPr>
            <w:tcW w:w="988" w:type="dxa"/>
            <w:tcBorders>
              <w:right w:val="nil"/>
            </w:tcBorders>
            <w:hideMark/>
          </w:tcPr>
          <w:p w:rsidR="00515FD4" w:rsidRPr="0062664B" w:rsidRDefault="008D4934" w:rsidP="000F570B">
            <w:pPr>
              <w:pStyle w:val="HStandard"/>
              <w:jc w:val="center"/>
              <w:rPr>
                <w:b/>
                <w:bCs/>
                <w:color w:val="57825E" w:themeColor="accent4"/>
              </w:rPr>
            </w:pPr>
            <w:r w:rsidRPr="0062664B">
              <w:rPr>
                <w:b/>
                <w:bCs/>
                <w:noProof/>
                <w:color w:val="57825E" w:themeColor="accent4"/>
                <w:lang w:eastAsia="en-GB" w:bidi="ar-SA"/>
              </w:rPr>
              <w:drawing>
                <wp:anchor distT="0" distB="0" distL="114300" distR="114300" simplePos="0" relativeHeight="251710976" behindDoc="1" locked="0" layoutInCell="1" allowOverlap="1" wp14:anchorId="570A247C" wp14:editId="3B269D09">
                  <wp:simplePos x="0" y="0"/>
                  <wp:positionH relativeFrom="column">
                    <wp:posOffset>34290</wp:posOffset>
                  </wp:positionH>
                  <wp:positionV relativeFrom="paragraph">
                    <wp:posOffset>215136</wp:posOffset>
                  </wp:positionV>
                  <wp:extent cx="489585" cy="489585"/>
                  <wp:effectExtent l="0" t="0" r="5715" b="5715"/>
                  <wp:wrapTight wrapText="bothSides">
                    <wp:wrapPolygon edited="0">
                      <wp:start x="14288" y="0"/>
                      <wp:lineTo x="0" y="5883"/>
                      <wp:lineTo x="0" y="8405"/>
                      <wp:lineTo x="8405" y="13447"/>
                      <wp:lineTo x="13447" y="21012"/>
                      <wp:lineTo x="14288" y="21012"/>
                      <wp:lineTo x="18490" y="21012"/>
                      <wp:lineTo x="15969" y="13447"/>
                      <wp:lineTo x="21012" y="3362"/>
                      <wp:lineTo x="21012" y="0"/>
                      <wp:lineTo x="18490" y="0"/>
                      <wp:lineTo x="14288"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08.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62664B">
              <w:rPr>
                <w:b/>
                <w:color w:val="57825E" w:themeColor="accent4"/>
              </w:rPr>
              <w:t>I.08</w:t>
            </w:r>
          </w:p>
        </w:tc>
        <w:tc>
          <w:tcPr>
            <w:tcW w:w="1417" w:type="dxa"/>
            <w:tcBorders>
              <w:left w:val="nil"/>
            </w:tcBorders>
            <w:vAlign w:val="center"/>
            <w:hideMark/>
          </w:tcPr>
          <w:p w:rsidR="00515FD4" w:rsidRPr="0062664B" w:rsidRDefault="00515FD4" w:rsidP="00670F92">
            <w:pPr>
              <w:pStyle w:val="HStandard"/>
              <w:jc w:val="left"/>
              <w:rPr>
                <w:rFonts w:cs="Arial"/>
                <w:b/>
                <w:color w:val="57825E" w:themeColor="accent4"/>
                <w:sz w:val="16"/>
                <w:szCs w:val="18"/>
              </w:rPr>
            </w:pPr>
            <w:r w:rsidRPr="0062664B">
              <w:rPr>
                <w:b/>
                <w:color w:val="57825E" w:themeColor="accent4"/>
                <w:sz w:val="16"/>
              </w:rPr>
              <w:t>Indeks for agerlandsfugle</w:t>
            </w:r>
          </w:p>
        </w:tc>
        <w:tc>
          <w:tcPr>
            <w:tcW w:w="1701" w:type="dxa"/>
            <w:vMerge w:val="restart"/>
            <w:vAlign w:val="center"/>
            <w:hideMark/>
          </w:tcPr>
          <w:p w:rsidR="00515FD4" w:rsidRPr="0062664B" w:rsidRDefault="00515FD4" w:rsidP="007008C0">
            <w:pPr>
              <w:pStyle w:val="HStandard"/>
              <w:spacing w:line="240" w:lineRule="auto"/>
              <w:jc w:val="center"/>
              <w:rPr>
                <w:rFonts w:cs="Arial"/>
                <w:sz w:val="16"/>
                <w:szCs w:val="18"/>
              </w:rPr>
            </w:pPr>
            <w:r w:rsidRPr="0062664B">
              <w:rPr>
                <w:sz w:val="16"/>
              </w:rPr>
              <w:t>Propensity Score Matching (PSM) og Difference in Differences (DiD)</w:t>
            </w:r>
          </w:p>
        </w:tc>
        <w:tc>
          <w:tcPr>
            <w:tcW w:w="1701" w:type="dxa"/>
            <w:vMerge w:val="restart"/>
            <w:vAlign w:val="center"/>
            <w:hideMark/>
          </w:tcPr>
          <w:p w:rsidR="00515FD4" w:rsidRPr="0062664B" w:rsidRDefault="00515FD4" w:rsidP="007008C0">
            <w:pPr>
              <w:pStyle w:val="HStandard"/>
              <w:spacing w:line="240" w:lineRule="auto"/>
              <w:jc w:val="center"/>
              <w:rPr>
                <w:rFonts w:cs="Arial"/>
                <w:sz w:val="16"/>
                <w:szCs w:val="18"/>
              </w:rPr>
            </w:pPr>
            <w:r w:rsidRPr="0062664B">
              <w:rPr>
                <w:sz w:val="16"/>
              </w:rPr>
              <w:t>Propensity Score Matching (PSM) og Difference in Differences (DiD)</w:t>
            </w:r>
          </w:p>
          <w:p w:rsidR="00515FD4" w:rsidRPr="0062664B" w:rsidRDefault="00515FD4" w:rsidP="007008C0">
            <w:pPr>
              <w:pStyle w:val="HStandard"/>
              <w:spacing w:line="240" w:lineRule="auto"/>
              <w:jc w:val="center"/>
              <w:rPr>
                <w:rFonts w:cs="Arial"/>
                <w:sz w:val="16"/>
                <w:szCs w:val="18"/>
              </w:rPr>
            </w:pPr>
            <w:r w:rsidRPr="0062664B">
              <w:rPr>
                <w:sz w:val="16"/>
              </w:rPr>
              <w:t>Geografiske økonometriske modeller på biogeografiske områder</w:t>
            </w:r>
          </w:p>
        </w:tc>
        <w:tc>
          <w:tcPr>
            <w:tcW w:w="1701" w:type="dxa"/>
            <w:vMerge w:val="restart"/>
            <w:vAlign w:val="center"/>
            <w:hideMark/>
          </w:tcPr>
          <w:p w:rsidR="00515FD4" w:rsidRPr="0062664B" w:rsidRDefault="00515FD4" w:rsidP="007008C0">
            <w:pPr>
              <w:pStyle w:val="HStandard"/>
              <w:spacing w:line="240" w:lineRule="auto"/>
              <w:jc w:val="center"/>
              <w:rPr>
                <w:rFonts w:cs="Arial"/>
                <w:sz w:val="16"/>
                <w:szCs w:val="18"/>
              </w:rPr>
            </w:pPr>
            <w:r w:rsidRPr="0062664B">
              <w:rPr>
                <w:sz w:val="16"/>
              </w:rPr>
              <w:t>Statistisk analyse af lejlighedsvise sammenligninger i par eller flere sammenligningsgrupper ved hjælp af DiD</w:t>
            </w:r>
            <w:r w:rsidRPr="0062664B">
              <w:rPr>
                <w:color w:val="373737"/>
                <w:sz w:val="16"/>
              </w:rPr>
              <w:t xml:space="preserve"> ledsaget af de kvalitative vurderinger</w:t>
            </w:r>
          </w:p>
        </w:tc>
        <w:tc>
          <w:tcPr>
            <w:tcW w:w="1956" w:type="dxa"/>
            <w:vMerge w:val="restart"/>
            <w:vAlign w:val="center"/>
            <w:hideMark/>
          </w:tcPr>
          <w:p w:rsidR="00515FD4" w:rsidRPr="0062664B" w:rsidRDefault="00515FD4" w:rsidP="007008C0">
            <w:pPr>
              <w:pStyle w:val="HStandard"/>
              <w:spacing w:line="240" w:lineRule="auto"/>
              <w:jc w:val="center"/>
              <w:rPr>
                <w:rFonts w:cs="Arial"/>
                <w:sz w:val="16"/>
                <w:szCs w:val="18"/>
              </w:rPr>
            </w:pPr>
            <w:r w:rsidRPr="0062664B">
              <w:rPr>
                <w:sz w:val="16"/>
              </w:rPr>
              <w:t>Nedefra og op-tilgange til opskalering af resultater på mikroniveau</w:t>
            </w:r>
            <w:r w:rsidRPr="0062664B">
              <w:rPr>
                <w:color w:val="373737"/>
                <w:sz w:val="16"/>
              </w:rPr>
              <w:t xml:space="preserve"> ledsaget af kvalitative vurderinger</w:t>
            </w:r>
          </w:p>
        </w:tc>
      </w:tr>
      <w:tr w:rsidR="00515FD4" w:rsidRPr="0062664B" w:rsidTr="00E6677E">
        <w:trPr>
          <w:trHeight w:val="1083"/>
        </w:trPr>
        <w:tc>
          <w:tcPr>
            <w:tcW w:w="988" w:type="dxa"/>
            <w:tcBorders>
              <w:right w:val="nil"/>
            </w:tcBorders>
            <w:hideMark/>
          </w:tcPr>
          <w:p w:rsidR="00515FD4" w:rsidRPr="0062664B" w:rsidRDefault="00515FD4" w:rsidP="004A2D39">
            <w:pPr>
              <w:pStyle w:val="HStandard"/>
              <w:jc w:val="center"/>
              <w:rPr>
                <w:b/>
                <w:bCs/>
                <w:color w:val="57825E" w:themeColor="accent4"/>
              </w:rPr>
            </w:pPr>
            <w:r w:rsidRPr="0062664B">
              <w:rPr>
                <w:b/>
                <w:bCs/>
                <w:noProof/>
                <w:color w:val="57825E" w:themeColor="accent4"/>
                <w:lang w:eastAsia="en-GB" w:bidi="ar-SA"/>
              </w:rPr>
              <w:drawing>
                <wp:anchor distT="0" distB="0" distL="114300" distR="114300" simplePos="0" relativeHeight="251709952" behindDoc="1" locked="0" layoutInCell="1" allowOverlap="1" wp14:anchorId="53634300" wp14:editId="220E43F3">
                  <wp:simplePos x="0" y="0"/>
                  <wp:positionH relativeFrom="column">
                    <wp:posOffset>63500</wp:posOffset>
                  </wp:positionH>
                  <wp:positionV relativeFrom="paragraph">
                    <wp:posOffset>183627</wp:posOffset>
                  </wp:positionV>
                  <wp:extent cx="489585" cy="489585"/>
                  <wp:effectExtent l="0" t="0" r="5715" b="5715"/>
                  <wp:wrapTight wrapText="bothSides">
                    <wp:wrapPolygon edited="0">
                      <wp:start x="840" y="0"/>
                      <wp:lineTo x="0" y="5043"/>
                      <wp:lineTo x="0" y="18490"/>
                      <wp:lineTo x="14288" y="21012"/>
                      <wp:lineTo x="17650" y="21012"/>
                      <wp:lineTo x="21012" y="15969"/>
                      <wp:lineTo x="21012" y="1681"/>
                      <wp:lineTo x="6724" y="0"/>
                      <wp:lineTo x="84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09.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62664B">
              <w:rPr>
                <w:b/>
                <w:color w:val="57825E" w:themeColor="accent4"/>
              </w:rPr>
              <w:t>I.09</w:t>
            </w:r>
          </w:p>
        </w:tc>
        <w:tc>
          <w:tcPr>
            <w:tcW w:w="1417" w:type="dxa"/>
            <w:tcBorders>
              <w:left w:val="nil"/>
            </w:tcBorders>
            <w:vAlign w:val="center"/>
            <w:hideMark/>
          </w:tcPr>
          <w:p w:rsidR="00515FD4" w:rsidRPr="0062664B" w:rsidRDefault="00515FD4" w:rsidP="00670F92">
            <w:pPr>
              <w:pStyle w:val="HStandard"/>
              <w:jc w:val="left"/>
              <w:rPr>
                <w:rFonts w:cs="Arial"/>
                <w:b/>
                <w:color w:val="57825E" w:themeColor="accent4"/>
                <w:sz w:val="16"/>
                <w:szCs w:val="18"/>
              </w:rPr>
            </w:pPr>
            <w:r w:rsidRPr="0062664B">
              <w:rPr>
                <w:b/>
                <w:color w:val="57825E" w:themeColor="accent4"/>
                <w:sz w:val="16"/>
              </w:rPr>
              <w:t>Landbrug af høj landskabsværdi</w:t>
            </w:r>
          </w:p>
        </w:tc>
        <w:tc>
          <w:tcPr>
            <w:tcW w:w="1701" w:type="dxa"/>
            <w:vMerge/>
            <w:vAlign w:val="center"/>
            <w:hideMark/>
          </w:tcPr>
          <w:p w:rsidR="00515FD4" w:rsidRPr="0062664B" w:rsidRDefault="00515FD4" w:rsidP="007008C0">
            <w:pPr>
              <w:pStyle w:val="HStandard"/>
              <w:spacing w:line="240" w:lineRule="auto"/>
              <w:jc w:val="center"/>
              <w:rPr>
                <w:rFonts w:cs="Arial"/>
                <w:sz w:val="16"/>
                <w:szCs w:val="18"/>
              </w:rPr>
            </w:pPr>
          </w:p>
        </w:tc>
        <w:tc>
          <w:tcPr>
            <w:tcW w:w="1701" w:type="dxa"/>
            <w:vMerge/>
            <w:vAlign w:val="center"/>
            <w:hideMark/>
          </w:tcPr>
          <w:p w:rsidR="00515FD4" w:rsidRPr="0062664B" w:rsidRDefault="00515FD4" w:rsidP="007008C0">
            <w:pPr>
              <w:pStyle w:val="HStandard"/>
              <w:spacing w:line="240" w:lineRule="auto"/>
              <w:jc w:val="center"/>
              <w:rPr>
                <w:rFonts w:cs="Arial"/>
                <w:sz w:val="16"/>
                <w:szCs w:val="18"/>
              </w:rPr>
            </w:pPr>
          </w:p>
        </w:tc>
        <w:tc>
          <w:tcPr>
            <w:tcW w:w="1701" w:type="dxa"/>
            <w:vMerge/>
            <w:vAlign w:val="center"/>
            <w:hideMark/>
          </w:tcPr>
          <w:p w:rsidR="00515FD4" w:rsidRPr="0062664B" w:rsidRDefault="00515FD4" w:rsidP="007008C0">
            <w:pPr>
              <w:pStyle w:val="HStandard"/>
              <w:spacing w:line="240" w:lineRule="auto"/>
              <w:jc w:val="center"/>
              <w:rPr>
                <w:rFonts w:cs="Arial"/>
                <w:sz w:val="16"/>
                <w:szCs w:val="18"/>
              </w:rPr>
            </w:pPr>
          </w:p>
        </w:tc>
        <w:tc>
          <w:tcPr>
            <w:tcW w:w="1956" w:type="dxa"/>
            <w:vMerge/>
            <w:vAlign w:val="center"/>
            <w:hideMark/>
          </w:tcPr>
          <w:p w:rsidR="00515FD4" w:rsidRPr="0062664B" w:rsidRDefault="00515FD4" w:rsidP="007008C0">
            <w:pPr>
              <w:pStyle w:val="HStandard"/>
              <w:spacing w:line="240" w:lineRule="auto"/>
              <w:jc w:val="center"/>
              <w:rPr>
                <w:rFonts w:cs="Arial"/>
                <w:sz w:val="16"/>
                <w:szCs w:val="18"/>
              </w:rPr>
            </w:pPr>
          </w:p>
        </w:tc>
      </w:tr>
      <w:tr w:rsidR="00273775" w:rsidRPr="0062664B" w:rsidTr="00E6677E">
        <w:trPr>
          <w:trHeight w:val="1082"/>
        </w:trPr>
        <w:tc>
          <w:tcPr>
            <w:tcW w:w="988" w:type="dxa"/>
            <w:tcBorders>
              <w:right w:val="nil"/>
            </w:tcBorders>
            <w:hideMark/>
          </w:tcPr>
          <w:p w:rsidR="00273775" w:rsidRPr="0062664B" w:rsidRDefault="00273775" w:rsidP="000F570B">
            <w:pPr>
              <w:pStyle w:val="HStandard"/>
              <w:jc w:val="center"/>
              <w:rPr>
                <w:b/>
                <w:bCs/>
                <w:color w:val="57825E" w:themeColor="accent4"/>
              </w:rPr>
            </w:pPr>
            <w:r w:rsidRPr="0062664B">
              <w:rPr>
                <w:b/>
                <w:bCs/>
                <w:noProof/>
                <w:color w:val="57825E" w:themeColor="accent4"/>
                <w:lang w:eastAsia="en-GB" w:bidi="ar-SA"/>
              </w:rPr>
              <w:drawing>
                <wp:anchor distT="0" distB="0" distL="114300" distR="114300" simplePos="0" relativeHeight="251722240" behindDoc="1" locked="0" layoutInCell="1" allowOverlap="1" wp14:anchorId="185178CD" wp14:editId="08941ACE">
                  <wp:simplePos x="0" y="0"/>
                  <wp:positionH relativeFrom="column">
                    <wp:posOffset>63572</wp:posOffset>
                  </wp:positionH>
                  <wp:positionV relativeFrom="paragraph">
                    <wp:posOffset>208481</wp:posOffset>
                  </wp:positionV>
                  <wp:extent cx="489585" cy="489585"/>
                  <wp:effectExtent l="0" t="0" r="5715" b="5715"/>
                  <wp:wrapTight wrapText="bothSides">
                    <wp:wrapPolygon edited="0">
                      <wp:start x="6724" y="0"/>
                      <wp:lineTo x="0" y="3362"/>
                      <wp:lineTo x="0" y="14288"/>
                      <wp:lineTo x="13447" y="21012"/>
                      <wp:lineTo x="14288" y="21012"/>
                      <wp:lineTo x="21012" y="21012"/>
                      <wp:lineTo x="21012" y="13447"/>
                      <wp:lineTo x="20171" y="7564"/>
                      <wp:lineTo x="15128" y="0"/>
                      <wp:lineTo x="6724" y="0"/>
                    </wp:wrapPolygon>
                  </wp:wrapTight>
                  <wp:docPr id="704"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 name="I.10.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62664B">
              <w:rPr>
                <w:b/>
                <w:color w:val="57825E" w:themeColor="accent4"/>
              </w:rPr>
              <w:t>I.10</w:t>
            </w:r>
          </w:p>
        </w:tc>
        <w:tc>
          <w:tcPr>
            <w:tcW w:w="1417" w:type="dxa"/>
            <w:tcBorders>
              <w:left w:val="nil"/>
            </w:tcBorders>
            <w:vAlign w:val="center"/>
            <w:hideMark/>
          </w:tcPr>
          <w:p w:rsidR="00273775" w:rsidRPr="0062664B" w:rsidRDefault="00273775" w:rsidP="00670F92">
            <w:pPr>
              <w:pStyle w:val="HStandard"/>
              <w:jc w:val="left"/>
              <w:rPr>
                <w:rFonts w:cs="Arial"/>
                <w:b/>
                <w:color w:val="57825E" w:themeColor="accent4"/>
                <w:sz w:val="16"/>
                <w:szCs w:val="18"/>
              </w:rPr>
            </w:pPr>
            <w:r w:rsidRPr="0062664B">
              <w:rPr>
                <w:b/>
                <w:color w:val="57825E" w:themeColor="accent4"/>
                <w:sz w:val="16"/>
              </w:rPr>
              <w:t xml:space="preserve">Vandindvinding i landbruget </w:t>
            </w:r>
          </w:p>
        </w:tc>
        <w:tc>
          <w:tcPr>
            <w:tcW w:w="1701" w:type="dxa"/>
            <w:vMerge w:val="restart"/>
            <w:vAlign w:val="center"/>
            <w:hideMark/>
          </w:tcPr>
          <w:p w:rsidR="00273775" w:rsidRPr="0062664B" w:rsidRDefault="00273775" w:rsidP="007008C0">
            <w:pPr>
              <w:pStyle w:val="HStandard"/>
              <w:spacing w:line="240" w:lineRule="auto"/>
              <w:jc w:val="center"/>
              <w:rPr>
                <w:rFonts w:cs="Arial"/>
                <w:sz w:val="16"/>
                <w:szCs w:val="18"/>
              </w:rPr>
            </w:pPr>
            <w:r w:rsidRPr="0062664B">
              <w:rPr>
                <w:sz w:val="16"/>
              </w:rPr>
              <w:t>Regressions- og matchningsteknikker til I.10, I.11-1 og, afhængigt af datatilgængeligheden, for I.11-2</w:t>
            </w:r>
            <w:r w:rsidRPr="0062664B">
              <w:rPr>
                <w:rFonts w:cs="Arial"/>
                <w:sz w:val="16"/>
                <w:szCs w:val="18"/>
              </w:rPr>
              <w:br/>
            </w:r>
            <w:r w:rsidRPr="0062664B">
              <w:rPr>
                <w:sz w:val="16"/>
              </w:rPr>
              <w:t>Simulering af en "casestudie" vandområdedistrikt eller dets underenhed til I.11-2 alene</w:t>
            </w:r>
          </w:p>
        </w:tc>
        <w:tc>
          <w:tcPr>
            <w:tcW w:w="1701" w:type="dxa"/>
            <w:vMerge w:val="restart"/>
            <w:vAlign w:val="center"/>
            <w:hideMark/>
          </w:tcPr>
          <w:p w:rsidR="00273775" w:rsidRPr="0062664B" w:rsidRDefault="00273775" w:rsidP="007008C0">
            <w:pPr>
              <w:pStyle w:val="HStandard"/>
              <w:spacing w:line="240" w:lineRule="auto"/>
              <w:jc w:val="center"/>
              <w:rPr>
                <w:rFonts w:cs="Arial"/>
                <w:sz w:val="16"/>
                <w:szCs w:val="18"/>
              </w:rPr>
            </w:pPr>
            <w:r w:rsidRPr="0062664B">
              <w:rPr>
                <w:sz w:val="16"/>
              </w:rPr>
              <w:t xml:space="preserve">Generalised Propensity Score Matching (GPSM) </w:t>
            </w:r>
            <w:r w:rsidRPr="0062664B">
              <w:rPr>
                <w:rFonts w:cs="Arial"/>
                <w:sz w:val="16"/>
                <w:szCs w:val="18"/>
              </w:rPr>
              <w:br/>
            </w:r>
            <w:r w:rsidRPr="0062664B">
              <w:rPr>
                <w:rFonts w:cs="Arial"/>
                <w:sz w:val="16"/>
                <w:szCs w:val="18"/>
              </w:rPr>
              <w:br/>
            </w:r>
            <w:r w:rsidRPr="0062664B">
              <w:rPr>
                <w:sz w:val="16"/>
              </w:rPr>
              <w:t>Geografiske økonometriske metoder</w:t>
            </w:r>
          </w:p>
        </w:tc>
        <w:tc>
          <w:tcPr>
            <w:tcW w:w="1701" w:type="dxa"/>
            <w:vMerge w:val="restart"/>
            <w:vAlign w:val="center"/>
            <w:hideMark/>
          </w:tcPr>
          <w:p w:rsidR="00273775" w:rsidRPr="0062664B" w:rsidRDefault="00B9614C" w:rsidP="007008C0">
            <w:pPr>
              <w:pStyle w:val="HStandard"/>
              <w:spacing w:line="240" w:lineRule="auto"/>
              <w:jc w:val="center"/>
              <w:rPr>
                <w:rFonts w:cs="Arial"/>
                <w:sz w:val="16"/>
                <w:szCs w:val="18"/>
              </w:rPr>
            </w:pPr>
            <w:r w:rsidRPr="0062664B">
              <w:rPr>
                <w:sz w:val="16"/>
              </w:rPr>
              <w:t>Kvalitative metoder</w:t>
            </w:r>
          </w:p>
        </w:tc>
        <w:tc>
          <w:tcPr>
            <w:tcW w:w="1956" w:type="dxa"/>
            <w:vMerge w:val="restart"/>
            <w:vAlign w:val="center"/>
          </w:tcPr>
          <w:p w:rsidR="00273775" w:rsidRPr="0062664B" w:rsidRDefault="001043CE" w:rsidP="007008C0">
            <w:pPr>
              <w:pStyle w:val="HStandard"/>
              <w:spacing w:line="240" w:lineRule="auto"/>
              <w:jc w:val="center"/>
              <w:rPr>
                <w:rFonts w:cs="Arial"/>
                <w:sz w:val="16"/>
                <w:szCs w:val="18"/>
              </w:rPr>
            </w:pPr>
            <w:r w:rsidRPr="0062664B">
              <w:rPr>
                <w:sz w:val="16"/>
              </w:rPr>
              <w:t>Naive gruppesammenligninger understøttet af kvalitative metoder</w:t>
            </w:r>
          </w:p>
        </w:tc>
      </w:tr>
      <w:tr w:rsidR="00273775" w:rsidRPr="0062664B" w:rsidTr="00E6677E">
        <w:trPr>
          <w:trHeight w:val="984"/>
        </w:trPr>
        <w:tc>
          <w:tcPr>
            <w:tcW w:w="988" w:type="dxa"/>
            <w:tcBorders>
              <w:right w:val="nil"/>
            </w:tcBorders>
            <w:hideMark/>
          </w:tcPr>
          <w:p w:rsidR="00273775" w:rsidRPr="0062664B" w:rsidRDefault="00273775" w:rsidP="000F570B">
            <w:pPr>
              <w:pStyle w:val="HStandard"/>
              <w:jc w:val="center"/>
              <w:rPr>
                <w:b/>
                <w:bCs/>
                <w:color w:val="57825E" w:themeColor="accent4"/>
              </w:rPr>
            </w:pPr>
            <w:r w:rsidRPr="0062664B">
              <w:rPr>
                <w:b/>
                <w:bCs/>
                <w:noProof/>
                <w:color w:val="57825E" w:themeColor="accent4"/>
                <w:lang w:eastAsia="en-GB" w:bidi="ar-SA"/>
              </w:rPr>
              <w:drawing>
                <wp:anchor distT="0" distB="0" distL="114300" distR="114300" simplePos="0" relativeHeight="251721216" behindDoc="1" locked="0" layoutInCell="1" allowOverlap="1" wp14:anchorId="34D50B81" wp14:editId="6C273651">
                  <wp:simplePos x="0" y="0"/>
                  <wp:positionH relativeFrom="column">
                    <wp:posOffset>60960</wp:posOffset>
                  </wp:positionH>
                  <wp:positionV relativeFrom="paragraph">
                    <wp:posOffset>213360</wp:posOffset>
                  </wp:positionV>
                  <wp:extent cx="489585" cy="489585"/>
                  <wp:effectExtent l="0" t="0" r="5715" b="5715"/>
                  <wp:wrapTight wrapText="bothSides">
                    <wp:wrapPolygon edited="0">
                      <wp:start x="5043" y="0"/>
                      <wp:lineTo x="0" y="3362"/>
                      <wp:lineTo x="0" y="17650"/>
                      <wp:lineTo x="5043" y="21012"/>
                      <wp:lineTo x="15969" y="21012"/>
                      <wp:lineTo x="21012" y="17650"/>
                      <wp:lineTo x="21012" y="3362"/>
                      <wp:lineTo x="15969" y="0"/>
                      <wp:lineTo x="5043" y="0"/>
                    </wp:wrapPolygon>
                  </wp:wrapTight>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11.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62664B">
              <w:rPr>
                <w:b/>
                <w:color w:val="57825E" w:themeColor="accent4"/>
              </w:rPr>
              <w:t>I.11</w:t>
            </w:r>
          </w:p>
        </w:tc>
        <w:tc>
          <w:tcPr>
            <w:tcW w:w="1417" w:type="dxa"/>
            <w:tcBorders>
              <w:left w:val="nil"/>
            </w:tcBorders>
            <w:vAlign w:val="center"/>
            <w:hideMark/>
          </w:tcPr>
          <w:p w:rsidR="00273775" w:rsidRPr="0062664B" w:rsidRDefault="00273775" w:rsidP="00670F92">
            <w:pPr>
              <w:pStyle w:val="HStandard"/>
              <w:jc w:val="left"/>
              <w:rPr>
                <w:rFonts w:cs="Arial"/>
                <w:b/>
                <w:color w:val="57825E" w:themeColor="accent4"/>
                <w:sz w:val="16"/>
                <w:szCs w:val="18"/>
              </w:rPr>
            </w:pPr>
            <w:r w:rsidRPr="0062664B">
              <w:rPr>
                <w:b/>
                <w:color w:val="57825E" w:themeColor="accent4"/>
                <w:sz w:val="16"/>
              </w:rPr>
              <w:t xml:space="preserve">Vandkvalitet </w:t>
            </w:r>
          </w:p>
        </w:tc>
        <w:tc>
          <w:tcPr>
            <w:tcW w:w="1701" w:type="dxa"/>
            <w:vMerge/>
            <w:hideMark/>
          </w:tcPr>
          <w:p w:rsidR="00273775" w:rsidRPr="0062664B" w:rsidRDefault="00273775" w:rsidP="007008C0">
            <w:pPr>
              <w:pStyle w:val="HStandard"/>
              <w:spacing w:line="240" w:lineRule="auto"/>
              <w:jc w:val="center"/>
              <w:rPr>
                <w:rFonts w:cs="Arial"/>
                <w:sz w:val="16"/>
                <w:szCs w:val="18"/>
              </w:rPr>
            </w:pPr>
          </w:p>
        </w:tc>
        <w:tc>
          <w:tcPr>
            <w:tcW w:w="1701" w:type="dxa"/>
            <w:vMerge/>
            <w:hideMark/>
          </w:tcPr>
          <w:p w:rsidR="00273775" w:rsidRPr="0062664B" w:rsidRDefault="00273775" w:rsidP="007008C0">
            <w:pPr>
              <w:pStyle w:val="HStandard"/>
              <w:spacing w:line="240" w:lineRule="auto"/>
              <w:jc w:val="center"/>
              <w:rPr>
                <w:rFonts w:cs="Arial"/>
                <w:sz w:val="16"/>
                <w:szCs w:val="18"/>
              </w:rPr>
            </w:pPr>
          </w:p>
        </w:tc>
        <w:tc>
          <w:tcPr>
            <w:tcW w:w="1701" w:type="dxa"/>
            <w:vMerge/>
            <w:hideMark/>
          </w:tcPr>
          <w:p w:rsidR="00273775" w:rsidRPr="0062664B" w:rsidRDefault="00273775" w:rsidP="007008C0">
            <w:pPr>
              <w:pStyle w:val="HStandard"/>
              <w:spacing w:line="240" w:lineRule="auto"/>
              <w:jc w:val="center"/>
              <w:rPr>
                <w:rFonts w:cs="Arial"/>
                <w:sz w:val="16"/>
                <w:szCs w:val="18"/>
              </w:rPr>
            </w:pPr>
          </w:p>
        </w:tc>
        <w:tc>
          <w:tcPr>
            <w:tcW w:w="1956" w:type="dxa"/>
            <w:vMerge/>
          </w:tcPr>
          <w:p w:rsidR="00273775" w:rsidRPr="0062664B" w:rsidRDefault="00273775" w:rsidP="007008C0">
            <w:pPr>
              <w:pStyle w:val="HStandard"/>
              <w:spacing w:line="240" w:lineRule="auto"/>
              <w:jc w:val="center"/>
              <w:rPr>
                <w:rFonts w:cs="Arial"/>
                <w:sz w:val="16"/>
                <w:szCs w:val="18"/>
              </w:rPr>
            </w:pPr>
          </w:p>
        </w:tc>
      </w:tr>
      <w:tr w:rsidR="00515FD4" w:rsidRPr="0062664B" w:rsidTr="00E6677E">
        <w:trPr>
          <w:trHeight w:val="1214"/>
        </w:trPr>
        <w:tc>
          <w:tcPr>
            <w:tcW w:w="988" w:type="dxa"/>
            <w:tcBorders>
              <w:right w:val="nil"/>
            </w:tcBorders>
            <w:hideMark/>
          </w:tcPr>
          <w:p w:rsidR="00515FD4" w:rsidRPr="0062664B" w:rsidRDefault="00515FD4" w:rsidP="000F570B">
            <w:pPr>
              <w:pStyle w:val="HStandard"/>
              <w:jc w:val="center"/>
              <w:rPr>
                <w:b/>
                <w:bCs/>
                <w:color w:val="57825E" w:themeColor="accent4"/>
              </w:rPr>
            </w:pPr>
            <w:r w:rsidRPr="0062664B">
              <w:rPr>
                <w:b/>
                <w:bCs/>
                <w:noProof/>
                <w:color w:val="57825E" w:themeColor="accent4"/>
                <w:lang w:eastAsia="en-GB" w:bidi="ar-SA"/>
              </w:rPr>
              <w:drawing>
                <wp:anchor distT="0" distB="0" distL="114300" distR="114300" simplePos="0" relativeHeight="251715072" behindDoc="1" locked="0" layoutInCell="1" allowOverlap="1" wp14:anchorId="375BB531" wp14:editId="5442E4B4">
                  <wp:simplePos x="0" y="0"/>
                  <wp:positionH relativeFrom="column">
                    <wp:posOffset>33944</wp:posOffset>
                  </wp:positionH>
                  <wp:positionV relativeFrom="paragraph">
                    <wp:posOffset>247650</wp:posOffset>
                  </wp:positionV>
                  <wp:extent cx="489585" cy="489585"/>
                  <wp:effectExtent l="0" t="0" r="5715" b="5715"/>
                  <wp:wrapTight wrapText="bothSides">
                    <wp:wrapPolygon edited="0">
                      <wp:start x="4202" y="0"/>
                      <wp:lineTo x="0" y="840"/>
                      <wp:lineTo x="0" y="21012"/>
                      <wp:lineTo x="21012" y="21012"/>
                      <wp:lineTo x="21012" y="840"/>
                      <wp:lineTo x="16809" y="0"/>
                      <wp:lineTo x="4202"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12.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62664B">
              <w:rPr>
                <w:b/>
                <w:color w:val="57825E" w:themeColor="accent4"/>
              </w:rPr>
              <w:t>I.12</w:t>
            </w:r>
          </w:p>
        </w:tc>
        <w:tc>
          <w:tcPr>
            <w:tcW w:w="1417" w:type="dxa"/>
            <w:tcBorders>
              <w:left w:val="nil"/>
            </w:tcBorders>
            <w:vAlign w:val="center"/>
            <w:hideMark/>
          </w:tcPr>
          <w:p w:rsidR="00515FD4" w:rsidRPr="0062664B" w:rsidRDefault="00515FD4" w:rsidP="001B04F9">
            <w:pPr>
              <w:pStyle w:val="HStandard"/>
              <w:jc w:val="left"/>
              <w:rPr>
                <w:rFonts w:cs="Arial"/>
                <w:b/>
                <w:color w:val="57825E" w:themeColor="accent4"/>
                <w:sz w:val="16"/>
                <w:szCs w:val="18"/>
              </w:rPr>
            </w:pPr>
            <w:r w:rsidRPr="0062664B">
              <w:rPr>
                <w:b/>
                <w:color w:val="57825E" w:themeColor="accent4"/>
                <w:sz w:val="16"/>
              </w:rPr>
              <w:t xml:space="preserve">Organisk materiale i agerjord </w:t>
            </w:r>
          </w:p>
        </w:tc>
        <w:tc>
          <w:tcPr>
            <w:tcW w:w="1701" w:type="dxa"/>
            <w:vAlign w:val="center"/>
            <w:hideMark/>
          </w:tcPr>
          <w:p w:rsidR="00515FD4" w:rsidRPr="0062664B" w:rsidRDefault="00FF2060" w:rsidP="007008C0">
            <w:pPr>
              <w:pStyle w:val="HStandard"/>
              <w:spacing w:line="240" w:lineRule="auto"/>
              <w:jc w:val="center"/>
              <w:rPr>
                <w:rFonts w:cs="Arial"/>
                <w:sz w:val="16"/>
                <w:szCs w:val="18"/>
              </w:rPr>
            </w:pPr>
            <w:r w:rsidRPr="0062664B">
              <w:rPr>
                <w:sz w:val="16"/>
              </w:rPr>
              <w:t>Vurdering af organisk materiale i jord baseret på en jorddybde på 0-60 cm</w:t>
            </w:r>
          </w:p>
        </w:tc>
        <w:tc>
          <w:tcPr>
            <w:tcW w:w="1701" w:type="dxa"/>
            <w:vAlign w:val="center"/>
            <w:hideMark/>
          </w:tcPr>
          <w:p w:rsidR="00515FD4" w:rsidRPr="0062664B" w:rsidRDefault="00515FD4" w:rsidP="007008C0">
            <w:pPr>
              <w:pStyle w:val="HStandard"/>
              <w:spacing w:line="240" w:lineRule="auto"/>
              <w:jc w:val="center"/>
              <w:rPr>
                <w:rFonts w:cs="Arial"/>
                <w:sz w:val="16"/>
                <w:szCs w:val="18"/>
              </w:rPr>
            </w:pPr>
            <w:r w:rsidRPr="0062664B">
              <w:rPr>
                <w:sz w:val="16"/>
              </w:rPr>
              <w:t>Ingen</w:t>
            </w:r>
          </w:p>
        </w:tc>
        <w:tc>
          <w:tcPr>
            <w:tcW w:w="1701" w:type="dxa"/>
            <w:vAlign w:val="center"/>
            <w:hideMark/>
          </w:tcPr>
          <w:p w:rsidR="00515FD4" w:rsidRPr="0062664B" w:rsidRDefault="00515FD4" w:rsidP="007008C0">
            <w:pPr>
              <w:pStyle w:val="HStandard"/>
              <w:spacing w:line="240" w:lineRule="auto"/>
              <w:jc w:val="center"/>
              <w:rPr>
                <w:rFonts w:cs="Arial"/>
                <w:sz w:val="16"/>
                <w:szCs w:val="18"/>
              </w:rPr>
            </w:pPr>
            <w:r w:rsidRPr="0062664B">
              <w:rPr>
                <w:sz w:val="16"/>
              </w:rPr>
              <w:t xml:space="preserve">Vurdering af organisk materiale i jord </w:t>
            </w:r>
            <w:r w:rsidRPr="0062664B">
              <w:rPr>
                <w:rFonts w:cs="Arial"/>
                <w:sz w:val="16"/>
                <w:szCs w:val="18"/>
              </w:rPr>
              <w:br/>
            </w:r>
            <w:r w:rsidRPr="0062664B">
              <w:rPr>
                <w:sz w:val="16"/>
              </w:rPr>
              <w:t>baseret på forenklede programmer til jordovervågning</w:t>
            </w:r>
          </w:p>
        </w:tc>
        <w:tc>
          <w:tcPr>
            <w:tcW w:w="1956" w:type="dxa"/>
            <w:vAlign w:val="center"/>
            <w:hideMark/>
          </w:tcPr>
          <w:p w:rsidR="00515FD4" w:rsidRPr="0062664B" w:rsidRDefault="00515FD4" w:rsidP="007008C0">
            <w:pPr>
              <w:pStyle w:val="HStandard"/>
              <w:spacing w:line="240" w:lineRule="auto"/>
              <w:jc w:val="center"/>
              <w:rPr>
                <w:rFonts w:cs="Arial"/>
                <w:sz w:val="16"/>
                <w:szCs w:val="18"/>
              </w:rPr>
            </w:pPr>
            <w:r w:rsidRPr="0062664B">
              <w:rPr>
                <w:sz w:val="16"/>
              </w:rPr>
              <w:t xml:space="preserve">Vurdering af organisk materiale i jord baseret </w:t>
            </w:r>
            <w:r w:rsidRPr="0062664B">
              <w:rPr>
                <w:rFonts w:cs="Arial"/>
                <w:sz w:val="16"/>
                <w:szCs w:val="18"/>
              </w:rPr>
              <w:br/>
            </w:r>
            <w:r w:rsidRPr="0062664B">
              <w:rPr>
                <w:sz w:val="16"/>
              </w:rPr>
              <w:t>på LUCAS-databasen</w:t>
            </w:r>
          </w:p>
        </w:tc>
      </w:tr>
      <w:tr w:rsidR="00515FD4" w:rsidRPr="0062664B" w:rsidTr="00E6677E">
        <w:trPr>
          <w:trHeight w:val="43"/>
        </w:trPr>
        <w:tc>
          <w:tcPr>
            <w:tcW w:w="988" w:type="dxa"/>
            <w:tcBorders>
              <w:right w:val="nil"/>
            </w:tcBorders>
            <w:hideMark/>
          </w:tcPr>
          <w:p w:rsidR="00515FD4" w:rsidRPr="0062664B" w:rsidRDefault="00515FD4" w:rsidP="000F570B">
            <w:pPr>
              <w:pStyle w:val="HStandard"/>
              <w:jc w:val="center"/>
              <w:rPr>
                <w:b/>
                <w:bCs/>
                <w:color w:val="57825E" w:themeColor="accent4"/>
              </w:rPr>
            </w:pPr>
            <w:r w:rsidRPr="0062664B">
              <w:rPr>
                <w:b/>
                <w:bCs/>
                <w:noProof/>
                <w:color w:val="57825E" w:themeColor="accent4"/>
                <w:lang w:eastAsia="en-GB" w:bidi="ar-SA"/>
              </w:rPr>
              <w:lastRenderedPageBreak/>
              <w:drawing>
                <wp:anchor distT="0" distB="0" distL="114300" distR="114300" simplePos="0" relativeHeight="251716096" behindDoc="1" locked="0" layoutInCell="1" allowOverlap="1" wp14:anchorId="254CA74E" wp14:editId="08BB33FB">
                  <wp:simplePos x="0" y="0"/>
                  <wp:positionH relativeFrom="column">
                    <wp:posOffset>62881</wp:posOffset>
                  </wp:positionH>
                  <wp:positionV relativeFrom="paragraph">
                    <wp:posOffset>198321</wp:posOffset>
                  </wp:positionV>
                  <wp:extent cx="489585" cy="489585"/>
                  <wp:effectExtent l="0" t="0" r="5715" b="5715"/>
                  <wp:wrapTight wrapText="bothSides">
                    <wp:wrapPolygon edited="0">
                      <wp:start x="4202" y="0"/>
                      <wp:lineTo x="0" y="0"/>
                      <wp:lineTo x="0" y="21012"/>
                      <wp:lineTo x="21012" y="21012"/>
                      <wp:lineTo x="21012" y="12607"/>
                      <wp:lineTo x="15969" y="0"/>
                      <wp:lineTo x="4202"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13.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62664B">
              <w:rPr>
                <w:b/>
                <w:color w:val="57825E" w:themeColor="accent4"/>
              </w:rPr>
              <w:t>I.13</w:t>
            </w:r>
          </w:p>
        </w:tc>
        <w:tc>
          <w:tcPr>
            <w:tcW w:w="1417" w:type="dxa"/>
            <w:tcBorders>
              <w:left w:val="nil"/>
            </w:tcBorders>
            <w:vAlign w:val="center"/>
            <w:hideMark/>
          </w:tcPr>
          <w:p w:rsidR="006E3A77" w:rsidRPr="0062664B" w:rsidRDefault="00515FD4" w:rsidP="001B04F9">
            <w:pPr>
              <w:pStyle w:val="HStandard"/>
              <w:jc w:val="left"/>
              <w:rPr>
                <w:rFonts w:cs="Arial"/>
                <w:b/>
                <w:color w:val="57825E" w:themeColor="accent4"/>
                <w:sz w:val="16"/>
                <w:szCs w:val="18"/>
              </w:rPr>
            </w:pPr>
            <w:r w:rsidRPr="0062664B">
              <w:rPr>
                <w:b/>
                <w:color w:val="57825E" w:themeColor="accent4"/>
                <w:sz w:val="16"/>
              </w:rPr>
              <w:t>Jorderosion forårsaget af vand</w:t>
            </w:r>
          </w:p>
        </w:tc>
        <w:tc>
          <w:tcPr>
            <w:tcW w:w="1701" w:type="dxa"/>
            <w:vAlign w:val="center"/>
            <w:hideMark/>
          </w:tcPr>
          <w:p w:rsidR="00515FD4" w:rsidRPr="0062664B" w:rsidRDefault="00BB68D4" w:rsidP="007008C0">
            <w:pPr>
              <w:pStyle w:val="NormalWeb"/>
              <w:jc w:val="center"/>
              <w:rPr>
                <w:rFonts w:ascii="Arial" w:hAnsi="Arial" w:cs="Arial"/>
                <w:color w:val="373737" w:themeColor="text1"/>
                <w:sz w:val="16"/>
                <w:szCs w:val="18"/>
              </w:rPr>
            </w:pPr>
            <w:r w:rsidRPr="0062664B">
              <w:rPr>
                <w:rFonts w:ascii="Arial" w:hAnsi="Arial"/>
                <w:color w:val="373737" w:themeColor="text1"/>
                <w:sz w:val="16"/>
              </w:rPr>
              <w:t>Statistikbaserede evalueringsteknikker</w:t>
            </w:r>
          </w:p>
        </w:tc>
        <w:tc>
          <w:tcPr>
            <w:tcW w:w="1701" w:type="dxa"/>
            <w:vAlign w:val="center"/>
            <w:hideMark/>
          </w:tcPr>
          <w:p w:rsidR="00515FD4" w:rsidRPr="0062664B" w:rsidRDefault="00515FD4" w:rsidP="007008C0">
            <w:pPr>
              <w:pStyle w:val="HStandard"/>
              <w:spacing w:line="240" w:lineRule="auto"/>
              <w:jc w:val="center"/>
              <w:rPr>
                <w:rFonts w:cs="Arial"/>
                <w:sz w:val="16"/>
                <w:szCs w:val="18"/>
              </w:rPr>
            </w:pPr>
            <w:r w:rsidRPr="0062664B">
              <w:rPr>
                <w:sz w:val="16"/>
              </w:rPr>
              <w:t>Geografisk GPSM-økonometri understøttet af DiD</w:t>
            </w:r>
          </w:p>
        </w:tc>
        <w:tc>
          <w:tcPr>
            <w:tcW w:w="1701" w:type="dxa"/>
            <w:vAlign w:val="center"/>
            <w:hideMark/>
          </w:tcPr>
          <w:p w:rsidR="00515FD4" w:rsidRPr="0062664B" w:rsidRDefault="00515FD4" w:rsidP="007008C0">
            <w:pPr>
              <w:pStyle w:val="HStandard"/>
              <w:spacing w:line="240" w:lineRule="auto"/>
              <w:jc w:val="center"/>
              <w:rPr>
                <w:rFonts w:cs="Arial"/>
                <w:sz w:val="16"/>
                <w:szCs w:val="18"/>
              </w:rPr>
            </w:pPr>
            <w:r w:rsidRPr="0062664B">
              <w:rPr>
                <w:sz w:val="16"/>
              </w:rPr>
              <w:t>Naiv referenceværdi eller dynamiske gruppesammenligninger</w:t>
            </w:r>
          </w:p>
        </w:tc>
        <w:tc>
          <w:tcPr>
            <w:tcW w:w="1956" w:type="dxa"/>
            <w:vAlign w:val="center"/>
            <w:hideMark/>
          </w:tcPr>
          <w:p w:rsidR="00B52E11" w:rsidRPr="0062664B" w:rsidRDefault="00515FD4" w:rsidP="007008C0">
            <w:pPr>
              <w:pStyle w:val="HStandard"/>
              <w:spacing w:line="240" w:lineRule="auto"/>
              <w:jc w:val="center"/>
              <w:rPr>
                <w:rFonts w:cs="Arial"/>
                <w:sz w:val="16"/>
                <w:szCs w:val="18"/>
              </w:rPr>
            </w:pPr>
            <w:r w:rsidRPr="0062664B">
              <w:rPr>
                <w:sz w:val="16"/>
              </w:rPr>
              <w:t>Kvantitativ naiv vurdering af geografiske enheder og nationalt gennemsnit</w:t>
            </w:r>
          </w:p>
          <w:p w:rsidR="00735F08" w:rsidRPr="0062664B" w:rsidRDefault="00735F08" w:rsidP="007008C0">
            <w:pPr>
              <w:pStyle w:val="HStandard"/>
              <w:spacing w:line="240" w:lineRule="auto"/>
              <w:jc w:val="center"/>
              <w:rPr>
                <w:rFonts w:cs="Arial"/>
                <w:sz w:val="16"/>
                <w:szCs w:val="18"/>
              </w:rPr>
            </w:pPr>
          </w:p>
        </w:tc>
      </w:tr>
      <w:tr w:rsidR="00515FD4" w:rsidRPr="0062664B" w:rsidTr="00E6677E">
        <w:trPr>
          <w:trHeight w:val="255"/>
        </w:trPr>
        <w:tc>
          <w:tcPr>
            <w:tcW w:w="9464" w:type="dxa"/>
            <w:gridSpan w:val="6"/>
            <w:tcBorders>
              <w:top w:val="single" w:sz="4" w:space="0" w:color="FFFFFF" w:themeColor="background1"/>
            </w:tcBorders>
            <w:shd w:val="clear" w:color="auto" w:fill="59638E" w:themeFill="accent3"/>
            <w:hideMark/>
          </w:tcPr>
          <w:p w:rsidR="00515FD4" w:rsidRPr="0062664B" w:rsidRDefault="00515FD4" w:rsidP="007008C0">
            <w:pPr>
              <w:pStyle w:val="HStandard"/>
              <w:spacing w:line="240" w:lineRule="auto"/>
              <w:rPr>
                <w:bCs/>
                <w:color w:val="FFFFFF" w:themeColor="background1"/>
                <w:sz w:val="16"/>
              </w:rPr>
            </w:pPr>
            <w:r w:rsidRPr="0062664B">
              <w:rPr>
                <w:color w:val="FFFFFF" w:themeColor="background1"/>
                <w:sz w:val="16"/>
              </w:rPr>
              <w:t>Samfundsøkonomiske virkninger</w:t>
            </w:r>
          </w:p>
        </w:tc>
      </w:tr>
      <w:tr w:rsidR="00515FD4" w:rsidRPr="0062664B" w:rsidTr="00E6677E">
        <w:trPr>
          <w:trHeight w:val="1189"/>
        </w:trPr>
        <w:tc>
          <w:tcPr>
            <w:tcW w:w="988" w:type="dxa"/>
            <w:tcBorders>
              <w:right w:val="nil"/>
            </w:tcBorders>
            <w:hideMark/>
          </w:tcPr>
          <w:p w:rsidR="00515FD4" w:rsidRPr="0062664B" w:rsidRDefault="00515FD4" w:rsidP="00B91C1E">
            <w:pPr>
              <w:pStyle w:val="HStandard"/>
              <w:jc w:val="center"/>
              <w:rPr>
                <w:b/>
                <w:bCs/>
                <w:color w:val="59638E" w:themeColor="accent3"/>
              </w:rPr>
            </w:pPr>
            <w:r w:rsidRPr="0062664B">
              <w:rPr>
                <w:b/>
                <w:bCs/>
                <w:noProof/>
                <w:color w:val="59638E" w:themeColor="accent3"/>
                <w:lang w:eastAsia="en-GB" w:bidi="ar-SA"/>
              </w:rPr>
              <w:drawing>
                <wp:anchor distT="0" distB="0" distL="114300" distR="114300" simplePos="0" relativeHeight="251717120" behindDoc="1" locked="0" layoutInCell="1" allowOverlap="1" wp14:anchorId="10C5D318" wp14:editId="103FE7F5">
                  <wp:simplePos x="0" y="0"/>
                  <wp:positionH relativeFrom="column">
                    <wp:posOffset>11414</wp:posOffset>
                  </wp:positionH>
                  <wp:positionV relativeFrom="paragraph">
                    <wp:posOffset>184351</wp:posOffset>
                  </wp:positionV>
                  <wp:extent cx="489585" cy="489585"/>
                  <wp:effectExtent l="0" t="0" r="5715" b="5715"/>
                  <wp:wrapTight wrapText="bothSides">
                    <wp:wrapPolygon edited="0">
                      <wp:start x="2521" y="0"/>
                      <wp:lineTo x="0" y="7564"/>
                      <wp:lineTo x="0" y="21012"/>
                      <wp:lineTo x="20171" y="21012"/>
                      <wp:lineTo x="21012" y="15969"/>
                      <wp:lineTo x="21012" y="13447"/>
                      <wp:lineTo x="9245" y="0"/>
                      <wp:lineTo x="2521" y="0"/>
                    </wp:wrapPolygon>
                  </wp:wrapTight>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 name="I.14.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89585" cy="489585"/>
                          </a:xfrm>
                          <a:prstGeom prst="rect">
                            <a:avLst/>
                          </a:prstGeom>
                        </pic:spPr>
                      </pic:pic>
                    </a:graphicData>
                  </a:graphic>
                </wp:anchor>
              </w:drawing>
            </w:r>
            <w:r w:rsidRPr="0062664B">
              <w:rPr>
                <w:b/>
                <w:color w:val="59638E" w:themeColor="accent3"/>
              </w:rPr>
              <w:t>I.14</w:t>
            </w:r>
          </w:p>
        </w:tc>
        <w:tc>
          <w:tcPr>
            <w:tcW w:w="1417" w:type="dxa"/>
            <w:tcBorders>
              <w:left w:val="nil"/>
            </w:tcBorders>
            <w:vAlign w:val="center"/>
            <w:hideMark/>
          </w:tcPr>
          <w:p w:rsidR="00515FD4" w:rsidRPr="0062664B" w:rsidRDefault="00515FD4" w:rsidP="001B04F9">
            <w:pPr>
              <w:pStyle w:val="HStandard"/>
              <w:jc w:val="left"/>
              <w:rPr>
                <w:b/>
                <w:color w:val="59638E" w:themeColor="accent3"/>
                <w:sz w:val="16"/>
                <w:szCs w:val="18"/>
              </w:rPr>
            </w:pPr>
            <w:r w:rsidRPr="0062664B">
              <w:rPr>
                <w:b/>
                <w:color w:val="59638E" w:themeColor="accent3"/>
                <w:sz w:val="16"/>
              </w:rPr>
              <w:t xml:space="preserve">Beskæftigelsesfrekvens i landdistrikter </w:t>
            </w:r>
          </w:p>
        </w:tc>
        <w:tc>
          <w:tcPr>
            <w:tcW w:w="1701" w:type="dxa"/>
            <w:vMerge w:val="restart"/>
            <w:vAlign w:val="center"/>
            <w:hideMark/>
          </w:tcPr>
          <w:p w:rsidR="00515FD4" w:rsidRPr="0062664B" w:rsidRDefault="00515FD4" w:rsidP="007008C0">
            <w:pPr>
              <w:pStyle w:val="HStandard"/>
              <w:spacing w:line="240" w:lineRule="auto"/>
              <w:jc w:val="center"/>
              <w:rPr>
                <w:sz w:val="16"/>
                <w:szCs w:val="18"/>
              </w:rPr>
            </w:pPr>
            <w:r w:rsidRPr="0062664B">
              <w:rPr>
                <w:sz w:val="16"/>
              </w:rPr>
              <w:t>Ingen</w:t>
            </w:r>
          </w:p>
        </w:tc>
        <w:tc>
          <w:tcPr>
            <w:tcW w:w="1701" w:type="dxa"/>
            <w:vMerge w:val="restart"/>
            <w:vAlign w:val="center"/>
            <w:hideMark/>
          </w:tcPr>
          <w:p w:rsidR="00515FD4" w:rsidRPr="0062664B" w:rsidRDefault="00515FD4" w:rsidP="007008C0">
            <w:pPr>
              <w:pStyle w:val="HStandard"/>
              <w:spacing w:line="240" w:lineRule="auto"/>
              <w:jc w:val="center"/>
              <w:rPr>
                <w:sz w:val="16"/>
                <w:szCs w:val="18"/>
              </w:rPr>
            </w:pPr>
            <w:r w:rsidRPr="0062664B">
              <w:rPr>
                <w:sz w:val="16"/>
              </w:rPr>
              <w:t xml:space="preserve">Recursive-Dynamic Computable General Equilibrium (CGE)-model </w:t>
            </w:r>
            <w:r w:rsidRPr="0062664B">
              <w:rPr>
                <w:sz w:val="16"/>
                <w:szCs w:val="18"/>
              </w:rPr>
              <w:br/>
            </w:r>
            <w:r w:rsidRPr="0062664B">
              <w:rPr>
                <w:sz w:val="16"/>
                <w:szCs w:val="18"/>
              </w:rPr>
              <w:br/>
            </w:r>
            <w:r w:rsidRPr="0062664B">
              <w:rPr>
                <w:sz w:val="16"/>
              </w:rPr>
              <w:t>Propensity Score Matching (PSM) og Generalised Propensity Score Matching (GPSM)</w:t>
            </w:r>
          </w:p>
        </w:tc>
        <w:tc>
          <w:tcPr>
            <w:tcW w:w="1701" w:type="dxa"/>
            <w:vMerge w:val="restart"/>
            <w:noWrap/>
            <w:vAlign w:val="center"/>
            <w:hideMark/>
          </w:tcPr>
          <w:p w:rsidR="00515FD4" w:rsidRPr="0062664B" w:rsidRDefault="00515FD4" w:rsidP="007008C0">
            <w:pPr>
              <w:pStyle w:val="HStandard"/>
              <w:spacing w:line="240" w:lineRule="auto"/>
              <w:jc w:val="center"/>
              <w:rPr>
                <w:sz w:val="16"/>
                <w:szCs w:val="18"/>
              </w:rPr>
            </w:pPr>
            <w:r w:rsidRPr="0062664B">
              <w:rPr>
                <w:sz w:val="16"/>
              </w:rPr>
              <w:t>Ingen</w:t>
            </w:r>
          </w:p>
        </w:tc>
        <w:tc>
          <w:tcPr>
            <w:tcW w:w="1956" w:type="dxa"/>
            <w:vMerge w:val="restart"/>
            <w:vAlign w:val="center"/>
            <w:hideMark/>
          </w:tcPr>
          <w:p w:rsidR="00515FD4" w:rsidRPr="0062664B" w:rsidRDefault="00515FD4" w:rsidP="007008C0">
            <w:pPr>
              <w:pStyle w:val="HStandard"/>
              <w:spacing w:line="240" w:lineRule="auto"/>
              <w:jc w:val="center"/>
              <w:rPr>
                <w:sz w:val="16"/>
                <w:szCs w:val="18"/>
              </w:rPr>
            </w:pPr>
            <w:r w:rsidRPr="0062664B">
              <w:rPr>
                <w:sz w:val="16"/>
              </w:rPr>
              <w:t>Input-output-analyse</w:t>
            </w:r>
          </w:p>
          <w:p w:rsidR="00186FCF" w:rsidRPr="0062664B" w:rsidRDefault="00186FCF" w:rsidP="007008C0">
            <w:pPr>
              <w:pStyle w:val="HStandard"/>
              <w:spacing w:line="240" w:lineRule="auto"/>
              <w:jc w:val="center"/>
              <w:rPr>
                <w:sz w:val="16"/>
                <w:szCs w:val="18"/>
              </w:rPr>
            </w:pPr>
            <w:r w:rsidRPr="0062664B">
              <w:rPr>
                <w:sz w:val="16"/>
              </w:rPr>
              <w:t>(understøttet af kvalitativ analyse)</w:t>
            </w:r>
          </w:p>
        </w:tc>
      </w:tr>
      <w:tr w:rsidR="00515FD4" w:rsidRPr="0062664B" w:rsidTr="00E6677E">
        <w:trPr>
          <w:trHeight w:val="1405"/>
        </w:trPr>
        <w:tc>
          <w:tcPr>
            <w:tcW w:w="988" w:type="dxa"/>
            <w:tcBorders>
              <w:right w:val="nil"/>
            </w:tcBorders>
            <w:hideMark/>
          </w:tcPr>
          <w:p w:rsidR="00515FD4" w:rsidRPr="0062664B" w:rsidRDefault="00515FD4" w:rsidP="00B91C1E">
            <w:pPr>
              <w:pStyle w:val="HStandard"/>
              <w:jc w:val="center"/>
              <w:rPr>
                <w:b/>
                <w:bCs/>
                <w:color w:val="59638E" w:themeColor="accent3"/>
              </w:rPr>
            </w:pPr>
            <w:r w:rsidRPr="0062664B">
              <w:rPr>
                <w:b/>
                <w:color w:val="59638E" w:themeColor="accent3"/>
              </w:rPr>
              <w:t>I.15</w:t>
            </w:r>
            <w:r w:rsidRPr="0062664B">
              <w:rPr>
                <w:b/>
                <w:bCs/>
                <w:noProof/>
                <w:color w:val="59638E" w:themeColor="accent3"/>
                <w:lang w:eastAsia="en-GB" w:bidi="ar-SA"/>
              </w:rPr>
              <w:drawing>
                <wp:inline distT="0" distB="0" distL="0" distR="0" wp14:anchorId="7EB26A3B" wp14:editId="1DA25D89">
                  <wp:extent cx="490220" cy="490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1-feeding_Blu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0220" cy="490220"/>
                          </a:xfrm>
                          <a:prstGeom prst="rect">
                            <a:avLst/>
                          </a:prstGeom>
                        </pic:spPr>
                      </pic:pic>
                    </a:graphicData>
                  </a:graphic>
                </wp:inline>
              </w:drawing>
            </w:r>
          </w:p>
        </w:tc>
        <w:tc>
          <w:tcPr>
            <w:tcW w:w="1417" w:type="dxa"/>
            <w:tcBorders>
              <w:left w:val="nil"/>
            </w:tcBorders>
            <w:vAlign w:val="center"/>
            <w:hideMark/>
          </w:tcPr>
          <w:p w:rsidR="00515FD4" w:rsidRPr="0062664B" w:rsidRDefault="00515FD4" w:rsidP="001B04F9">
            <w:pPr>
              <w:pStyle w:val="HStandard"/>
              <w:jc w:val="left"/>
              <w:rPr>
                <w:b/>
                <w:color w:val="59638E" w:themeColor="accent3"/>
                <w:sz w:val="16"/>
                <w:szCs w:val="18"/>
              </w:rPr>
            </w:pPr>
            <w:r w:rsidRPr="0062664B">
              <w:rPr>
                <w:b/>
                <w:color w:val="59638E" w:themeColor="accent3"/>
                <w:sz w:val="16"/>
              </w:rPr>
              <w:t>Fattigdom i landdistrikter</w:t>
            </w:r>
          </w:p>
        </w:tc>
        <w:tc>
          <w:tcPr>
            <w:tcW w:w="1701" w:type="dxa"/>
            <w:vMerge/>
            <w:hideMark/>
          </w:tcPr>
          <w:p w:rsidR="00515FD4" w:rsidRPr="0062664B" w:rsidRDefault="00515FD4" w:rsidP="008D4934">
            <w:pPr>
              <w:pStyle w:val="HStandard"/>
              <w:spacing w:line="240" w:lineRule="atLeast"/>
              <w:rPr>
                <w:sz w:val="16"/>
              </w:rPr>
            </w:pPr>
          </w:p>
        </w:tc>
        <w:tc>
          <w:tcPr>
            <w:tcW w:w="1701" w:type="dxa"/>
            <w:vMerge/>
            <w:hideMark/>
          </w:tcPr>
          <w:p w:rsidR="00515FD4" w:rsidRPr="0062664B" w:rsidRDefault="00515FD4" w:rsidP="008D4934">
            <w:pPr>
              <w:pStyle w:val="HStandard"/>
              <w:spacing w:line="240" w:lineRule="atLeast"/>
              <w:rPr>
                <w:sz w:val="16"/>
              </w:rPr>
            </w:pPr>
          </w:p>
        </w:tc>
        <w:tc>
          <w:tcPr>
            <w:tcW w:w="1701" w:type="dxa"/>
            <w:vMerge/>
            <w:hideMark/>
          </w:tcPr>
          <w:p w:rsidR="00515FD4" w:rsidRPr="0062664B" w:rsidRDefault="00515FD4" w:rsidP="008D4934">
            <w:pPr>
              <w:pStyle w:val="HStandard"/>
              <w:spacing w:line="240" w:lineRule="atLeast"/>
              <w:rPr>
                <w:sz w:val="16"/>
              </w:rPr>
            </w:pPr>
          </w:p>
        </w:tc>
        <w:tc>
          <w:tcPr>
            <w:tcW w:w="1956" w:type="dxa"/>
            <w:vMerge/>
            <w:hideMark/>
          </w:tcPr>
          <w:p w:rsidR="00515FD4" w:rsidRPr="0062664B" w:rsidRDefault="00515FD4" w:rsidP="008D4934">
            <w:pPr>
              <w:pStyle w:val="HStandard"/>
              <w:spacing w:line="240" w:lineRule="atLeast"/>
              <w:rPr>
                <w:sz w:val="16"/>
              </w:rPr>
            </w:pPr>
          </w:p>
        </w:tc>
      </w:tr>
      <w:tr w:rsidR="00515FD4" w:rsidRPr="0062664B" w:rsidTr="00E6677E">
        <w:trPr>
          <w:trHeight w:val="1413"/>
        </w:trPr>
        <w:tc>
          <w:tcPr>
            <w:tcW w:w="988" w:type="dxa"/>
            <w:tcBorders>
              <w:right w:val="nil"/>
            </w:tcBorders>
            <w:hideMark/>
          </w:tcPr>
          <w:p w:rsidR="00515FD4" w:rsidRPr="0062664B" w:rsidRDefault="00515FD4" w:rsidP="00B91C1E">
            <w:pPr>
              <w:pStyle w:val="HStandard"/>
              <w:jc w:val="center"/>
              <w:rPr>
                <w:b/>
                <w:bCs/>
                <w:color w:val="59638E" w:themeColor="accent3"/>
              </w:rPr>
            </w:pPr>
            <w:r w:rsidRPr="0062664B">
              <w:rPr>
                <w:b/>
                <w:bCs/>
                <w:noProof/>
                <w:color w:val="59638E" w:themeColor="accent3"/>
                <w:lang w:eastAsia="en-GB" w:bidi="ar-SA"/>
              </w:rPr>
              <w:drawing>
                <wp:anchor distT="0" distB="0" distL="114300" distR="114300" simplePos="0" relativeHeight="251719168" behindDoc="1" locked="0" layoutInCell="1" allowOverlap="1" wp14:anchorId="78EB0D3C" wp14:editId="6C67A709">
                  <wp:simplePos x="0" y="0"/>
                  <wp:positionH relativeFrom="column">
                    <wp:posOffset>63500</wp:posOffset>
                  </wp:positionH>
                  <wp:positionV relativeFrom="paragraph">
                    <wp:posOffset>224139</wp:posOffset>
                  </wp:positionV>
                  <wp:extent cx="489600" cy="489600"/>
                  <wp:effectExtent l="0" t="0" r="5715" b="5715"/>
                  <wp:wrapTight wrapText="bothSides">
                    <wp:wrapPolygon edited="0">
                      <wp:start x="0" y="0"/>
                      <wp:lineTo x="0" y="21012"/>
                      <wp:lineTo x="21012" y="21012"/>
                      <wp:lineTo x="21012" y="0"/>
                      <wp:lineTo x="0" y="0"/>
                    </wp:wrapPolygon>
                  </wp:wrapTight>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007-nai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89600" cy="489600"/>
                          </a:xfrm>
                          <a:prstGeom prst="rect">
                            <a:avLst/>
                          </a:prstGeom>
                        </pic:spPr>
                      </pic:pic>
                    </a:graphicData>
                  </a:graphic>
                </wp:anchor>
              </w:drawing>
            </w:r>
            <w:r w:rsidRPr="0062664B">
              <w:rPr>
                <w:b/>
                <w:color w:val="59638E" w:themeColor="accent3"/>
              </w:rPr>
              <w:t>I.16</w:t>
            </w:r>
          </w:p>
        </w:tc>
        <w:tc>
          <w:tcPr>
            <w:tcW w:w="1417" w:type="dxa"/>
            <w:tcBorders>
              <w:left w:val="nil"/>
            </w:tcBorders>
            <w:vAlign w:val="center"/>
            <w:hideMark/>
          </w:tcPr>
          <w:p w:rsidR="00515FD4" w:rsidRPr="0062664B" w:rsidRDefault="00515FD4" w:rsidP="001B04F9">
            <w:pPr>
              <w:pStyle w:val="HStandard"/>
              <w:jc w:val="left"/>
              <w:rPr>
                <w:b/>
                <w:color w:val="59638E" w:themeColor="accent3"/>
                <w:sz w:val="16"/>
                <w:szCs w:val="18"/>
              </w:rPr>
            </w:pPr>
            <w:r w:rsidRPr="0062664B">
              <w:rPr>
                <w:b/>
                <w:color w:val="59638E" w:themeColor="accent3"/>
                <w:sz w:val="16"/>
              </w:rPr>
              <w:t xml:space="preserve">BNP pr. indbygger i landdistrikter </w:t>
            </w:r>
          </w:p>
        </w:tc>
        <w:tc>
          <w:tcPr>
            <w:tcW w:w="1701" w:type="dxa"/>
            <w:vMerge/>
            <w:hideMark/>
          </w:tcPr>
          <w:p w:rsidR="00515FD4" w:rsidRPr="0062664B" w:rsidRDefault="00515FD4" w:rsidP="008D4934">
            <w:pPr>
              <w:pStyle w:val="HStandard"/>
              <w:spacing w:line="240" w:lineRule="atLeast"/>
              <w:rPr>
                <w:sz w:val="16"/>
              </w:rPr>
            </w:pPr>
          </w:p>
        </w:tc>
        <w:tc>
          <w:tcPr>
            <w:tcW w:w="1701" w:type="dxa"/>
            <w:vMerge/>
            <w:hideMark/>
          </w:tcPr>
          <w:p w:rsidR="00515FD4" w:rsidRPr="0062664B" w:rsidRDefault="00515FD4" w:rsidP="008D4934">
            <w:pPr>
              <w:pStyle w:val="HStandard"/>
              <w:spacing w:line="240" w:lineRule="atLeast"/>
              <w:rPr>
                <w:sz w:val="16"/>
              </w:rPr>
            </w:pPr>
          </w:p>
        </w:tc>
        <w:tc>
          <w:tcPr>
            <w:tcW w:w="1701" w:type="dxa"/>
            <w:vMerge/>
            <w:hideMark/>
          </w:tcPr>
          <w:p w:rsidR="00515FD4" w:rsidRPr="0062664B" w:rsidRDefault="00515FD4" w:rsidP="008D4934">
            <w:pPr>
              <w:pStyle w:val="HStandard"/>
              <w:spacing w:line="240" w:lineRule="atLeast"/>
              <w:rPr>
                <w:sz w:val="16"/>
              </w:rPr>
            </w:pPr>
          </w:p>
        </w:tc>
        <w:tc>
          <w:tcPr>
            <w:tcW w:w="1956" w:type="dxa"/>
            <w:vMerge/>
            <w:hideMark/>
          </w:tcPr>
          <w:p w:rsidR="00515FD4" w:rsidRPr="0062664B" w:rsidRDefault="00515FD4" w:rsidP="008D4934">
            <w:pPr>
              <w:pStyle w:val="HStandard"/>
              <w:spacing w:line="240" w:lineRule="atLeast"/>
              <w:rPr>
                <w:sz w:val="16"/>
              </w:rPr>
            </w:pPr>
          </w:p>
        </w:tc>
      </w:tr>
    </w:tbl>
    <w:p w:rsidR="00186FCF" w:rsidRPr="0062664B" w:rsidRDefault="00186FCF" w:rsidP="00186FCF">
      <w:pPr>
        <w:pStyle w:val="HStandard"/>
        <w:rPr>
          <w:rFonts w:cs="Arial"/>
        </w:rPr>
      </w:pPr>
    </w:p>
    <w:p w:rsidR="00186FCF" w:rsidRPr="0062664B" w:rsidRDefault="00186FCF" w:rsidP="00186FCF">
      <w:pPr>
        <w:pStyle w:val="HStandard"/>
        <w:rPr>
          <w:rFonts w:cs="Arial"/>
        </w:rPr>
      </w:pPr>
      <w:r w:rsidRPr="0062664B">
        <w:t xml:space="preserve">Ovenstående tabel viser for hver effektindikator i søjle II i den fælles landbrugspolitik de anbefalede evalueringstilgange for vurdering på mikro- og makroniveau, der er nærmere beskrevet i kapitel 2.2 – 2.9 i retningslinjerne og i det tekniske bilag. </w:t>
      </w:r>
    </w:p>
    <w:p w:rsidR="00186FCF" w:rsidRPr="0062664B" w:rsidRDefault="00186FCF"/>
    <w:p w:rsidR="008D4934" w:rsidRPr="0062664B" w:rsidRDefault="000B213F" w:rsidP="00B34DDC">
      <w:pPr>
        <w:pStyle w:val="HStandard"/>
        <w:jc w:val="center"/>
      </w:pPr>
      <w:bookmarkStart w:id="0" w:name="_GoBack"/>
      <w:r w:rsidRPr="0062664B">
        <w:rPr>
          <w:b/>
          <w:i/>
          <w:noProof/>
          <w:color w:val="F07E31" w:themeColor="accent1"/>
          <w:lang w:eastAsia="en-GB" w:bidi="ar-SA"/>
        </w:rPr>
        <mc:AlternateContent>
          <mc:Choice Requires="wps">
            <w:drawing>
              <wp:inline distT="0" distB="0" distL="0" distR="0" wp14:anchorId="5F800837" wp14:editId="4DC8213D">
                <wp:extent cx="5819775" cy="3075214"/>
                <wp:effectExtent l="0" t="0" r="28575" b="11430"/>
                <wp:docPr id="897"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19775" cy="3075214"/>
                        </a:xfrm>
                        <a:custGeom>
                          <a:avLst/>
                          <a:gdLst>
                            <a:gd name="T0" fmla="*/ 157545 w 5819775"/>
                            <a:gd name="T1" fmla="*/ 0 h 1804016"/>
                            <a:gd name="T2" fmla="*/ 5819775 w 5819775"/>
                            <a:gd name="T3" fmla="*/ 0 h 1804016"/>
                            <a:gd name="T4" fmla="*/ 5819775 w 5819775"/>
                            <a:gd name="T5" fmla="*/ 0 h 1804016"/>
                            <a:gd name="T6" fmla="*/ 5819775 w 5819775"/>
                            <a:gd name="T7" fmla="*/ 1646471 h 1804016"/>
                            <a:gd name="T8" fmla="*/ 5662230 w 5819775"/>
                            <a:gd name="T9" fmla="*/ 1804016 h 1804016"/>
                            <a:gd name="T10" fmla="*/ 0 w 5819775"/>
                            <a:gd name="T11" fmla="*/ 1804016 h 1804016"/>
                            <a:gd name="T12" fmla="*/ 0 w 5819775"/>
                            <a:gd name="T13" fmla="*/ 1804016 h 1804016"/>
                            <a:gd name="T14" fmla="*/ 0 w 5819775"/>
                            <a:gd name="T15" fmla="*/ 157545 h 1804016"/>
                            <a:gd name="T16" fmla="*/ 157545 w 5819775"/>
                            <a:gd name="T17" fmla="*/ 0 h 18040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5819775"/>
                            <a:gd name="T28" fmla="*/ 0 h 1804016"/>
                            <a:gd name="T29" fmla="*/ 5819775 w 5819775"/>
                            <a:gd name="T30" fmla="*/ 1804016 h 180401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path w="5819775" h="1804016">
                              <a:moveTo>
                                <a:pt x="157545" y="0"/>
                              </a:moveTo>
                              <a:lnTo>
                                <a:pt x="5819775" y="0"/>
                              </a:lnTo>
                              <a:lnTo>
                                <a:pt x="5819775" y="1646471"/>
                              </a:lnTo>
                              <a:cubicBezTo>
                                <a:pt x="5819775" y="1733481"/>
                                <a:pt x="5749240" y="1804016"/>
                                <a:pt x="5662230" y="1804016"/>
                              </a:cubicBezTo>
                              <a:lnTo>
                                <a:pt x="0" y="1804016"/>
                              </a:lnTo>
                              <a:lnTo>
                                <a:pt x="0" y="157545"/>
                              </a:lnTo>
                              <a:cubicBezTo>
                                <a:pt x="0" y="70535"/>
                                <a:pt x="70535" y="0"/>
                                <a:pt x="157545" y="0"/>
                              </a:cubicBezTo>
                              <a:close/>
                            </a:path>
                          </a:pathLst>
                        </a:custGeom>
                        <a:noFill/>
                        <a:ln w="25400">
                          <a:solidFill>
                            <a:srgbClr val="BE4A35"/>
                          </a:solidFill>
                          <a:miter lim="800000"/>
                          <a:headEnd/>
                          <a:tailEnd/>
                        </a:ln>
                        <a:extLst>
                          <a:ext uri="{909E8E84-426E-40DD-AFC4-6F175D3DCCD1}">
                            <a14:hiddenFill xmlns:a14="http://schemas.microsoft.com/office/drawing/2010/main">
                              <a:solidFill>
                                <a:srgbClr val="FFFFFF"/>
                              </a:solidFill>
                            </a14:hiddenFill>
                          </a:ext>
                        </a:extLst>
                      </wps:spPr>
                      <wps:txbx>
                        <w:txbxContent>
                          <w:p w:rsidR="001A2EB5" w:rsidRPr="00D43E45" w:rsidRDefault="001A2EB5"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4469D67F" wp14:editId="2B5695B6">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De evalueringstilgange</w:t>
                            </w:r>
                            <w:r>
                              <w:rPr>
                                <w:color w:val="373737" w:themeColor="text1"/>
                              </w:rPr>
                              <w:t xml:space="preserve">, der er beskrevet i retningslinjerne, er eksempler på mulige tilgange, </w:t>
                            </w:r>
                            <w:r>
                              <w:t xml:space="preserve">men der er også andre muligheder. Evalueringseksperter kan vælge andre tilgange til vurdering af virkningerne af et givent landdistriktsudviklingsprogram under hensyntagen til den bedste løsning med henblik på at indsamle fyldestgørende dokumentation, men også under iagttagelse </w:t>
                            </w:r>
                            <w:r w:rsidRPr="00612E75">
                              <w:t>af den specifikke situation for</w:t>
                            </w:r>
                            <w:r>
                              <w:rPr>
                                <w:b w:val="0"/>
                              </w:rPr>
                              <w:t xml:space="preserve"> </w:t>
                            </w:r>
                            <w:r>
                              <w:t>landdistriktsudviklingsprogrammet</w:t>
                            </w:r>
                            <w:r>
                              <w:rPr>
                                <w:color w:val="373737" w:themeColor="text1"/>
                              </w:rPr>
                              <w:t xml:space="preserve"> med hensyn til:</w:t>
                            </w:r>
                          </w:p>
                          <w:p w:rsidR="001A2EB5" w:rsidRPr="00D43E45" w:rsidRDefault="001A2EB5" w:rsidP="00EC01C3">
                            <w:pPr>
                              <w:pStyle w:val="Hlistbullet"/>
                              <w:rPr>
                                <w:i/>
                                <w:sz w:val="18"/>
                              </w:rPr>
                            </w:pPr>
                            <w:r>
                              <w:t xml:space="preserve">størrelsen af landdistriktsudviklingsprogrammet </w:t>
                            </w:r>
                          </w:p>
                          <w:p w:rsidR="001A2EB5" w:rsidRPr="00D43E45" w:rsidRDefault="001A2EB5" w:rsidP="00EC01C3">
                            <w:pPr>
                              <w:pStyle w:val="Hlistbullet"/>
                              <w:rPr>
                                <w:i/>
                                <w:sz w:val="18"/>
                              </w:rPr>
                            </w:pPr>
                            <w:r>
                              <w:t xml:space="preserve">iværksættelsen af landdistriktsudviklingsprogrammet </w:t>
                            </w:r>
                          </w:p>
                          <w:p w:rsidR="001A2EB5" w:rsidRPr="00D43E45" w:rsidRDefault="001A2EB5" w:rsidP="00EC01C3">
                            <w:pPr>
                              <w:pStyle w:val="Hlistbullet"/>
                              <w:rPr>
                                <w:i/>
                                <w:sz w:val="18"/>
                              </w:rPr>
                            </w:pPr>
                            <w:r>
                              <w:t>tilgængelighed og kvalitet af data til evalueringen.</w:t>
                            </w:r>
                          </w:p>
                          <w:p w:rsidR="001A2EB5" w:rsidRPr="00E53246" w:rsidRDefault="001A2EB5" w:rsidP="00EC01C3">
                            <w:pPr>
                              <w:pStyle w:val="HHeading4"/>
                              <w:spacing w:before="0"/>
                              <w:jc w:val="both"/>
                              <w:rPr>
                                <w:b w:val="0"/>
                                <w:color w:val="373737" w:themeColor="text1"/>
                              </w:rPr>
                            </w:pPr>
                            <w:r>
                              <w:rPr>
                                <w:b w:val="0"/>
                                <w:color w:val="373737" w:themeColor="text1"/>
                              </w:rPr>
                              <w:t xml:space="preserve">De logiske modeller, der præsenteres i disse retningslinjer, skal fungere som nyttige redskaber </w:t>
                            </w:r>
                            <w:r>
                              <w:t>til evalueringseksperterne i forbindelse med udpegelse af de mulige evalueringsmuligheder i en given kontekst.</w:t>
                            </w:r>
                          </w:p>
                        </w:txbxContent>
                      </wps:txbx>
                      <wps:bodyPr rot="0" vert="horz" wrap="square" lIns="91440" tIns="45720" rIns="91440" bIns="45720" anchor="ctr" anchorCtr="0" upright="1">
                        <a:noAutofit/>
                      </wps:bodyPr>
                    </wps:wsp>
                  </a:graphicData>
                </a:graphic>
              </wp:inline>
            </w:drawing>
          </mc:Choice>
          <mc:Fallback>
            <w:pict>
              <v:shape w14:anchorId="5F800837" id="AutoShape 61" o:spid="_x0000_s1041" style="width:458.25pt;height:242.15pt;visibility:visible;mso-wrap-style:square;mso-left-percent:-10001;mso-top-percent:-10001;mso-position-horizontal:absolute;mso-position-horizontal-relative:char;mso-position-vertical:absolute;mso-position-vertical-relative:line;mso-left-percent:-10001;mso-top-percent:-10001;v-text-anchor:middle" coordsize="5819775,18040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" adj="-11796480,,5400" path="m157545,l5819775,r,1646471c5819775,1733481,5749240,1804016,5662230,1804016l,1804016,,157545c,70535,70535,,157545,xe" filled="f" strokecolor="#be4a35" strokeweight="2pt">
                <v:stroke joinstyle="miter"/>
                <v:formulas/>
                <v:path arrowok="t" o:connecttype="custom" o:connectlocs="157545,0;5819775,0;5819775,0;5819775,2806655;5662230,3075214;0,3075214;0,3075214;0,268559;157545,0" o:connectangles="0,0,0,0,0,0,0,0,0" textboxrect="0,0,5819775,1804016"/>
                <v:textbox>
                  <w:txbxContent>
                    <w:p w:rsidR="001A2EB5" w:rsidRPr="00D43E45" w:rsidRDefault="001A2EB5" w:rsidP="00EC01C3">
                      <w:pPr>
                        <w:pStyle w:val="HHeading4"/>
                        <w:spacing w:before="0"/>
                        <w:jc w:val="both"/>
                        <w:rPr>
                          <w:rFonts w:cs="Arial"/>
                          <w:b w:val="0"/>
                          <w:color w:val="373737" w:themeColor="text1"/>
                        </w:rPr>
                      </w:pPr>
                      <w:r>
                        <w:rPr>
                          <w:noProof/>
                          <w:color w:val="373737" w:themeColor="text1"/>
                          <w:lang w:val="en-GB" w:eastAsia="en-GB" w:bidi="ar-SA"/>
                        </w:rPr>
                        <w:drawing>
                          <wp:inline distT="0" distB="0" distL="0" distR="0" wp14:anchorId="4469D67F" wp14:editId="2B5695B6">
                            <wp:extent cx="664845" cy="487680"/>
                            <wp:effectExtent l="0" t="0" r="0" b="7620"/>
                            <wp:docPr id="915"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t>De evalueringstilgange</w:t>
                      </w:r>
                      <w:r>
                        <w:rPr>
                          <w:color w:val="373737" w:themeColor="text1"/>
                        </w:rPr>
                        <w:t xml:space="preserve">, der er beskrevet i retningslinjerne, er eksempler på mulige tilgange, </w:t>
                      </w:r>
                      <w:r>
                        <w:t xml:space="preserve">men der er også andre muligheder. Evalueringseksperter kan vælge andre tilgange til vurdering af virkningerne af et givent landdistriktsudviklingsprogram under hensyntagen til den bedste løsning med henblik på at indsamle fyldestgørende dokumentation, men også under iagttagelse </w:t>
                      </w:r>
                      <w:r w:rsidRPr="00612E75">
                        <w:t>af den specifikke situation for</w:t>
                      </w:r>
                      <w:r>
                        <w:rPr>
                          <w:b w:val="0"/>
                        </w:rPr>
                        <w:t xml:space="preserve"> </w:t>
                      </w:r>
                      <w:r>
                        <w:t>landdistriktsudviklingsprogrammet</w:t>
                      </w:r>
                      <w:r>
                        <w:rPr>
                          <w:color w:val="373737" w:themeColor="text1"/>
                        </w:rPr>
                        <w:t xml:space="preserve"> med hensyn til:</w:t>
                      </w:r>
                    </w:p>
                    <w:p w:rsidR="001A2EB5" w:rsidRPr="00D43E45" w:rsidRDefault="001A2EB5" w:rsidP="00EC01C3">
                      <w:pPr>
                        <w:pStyle w:val="Hlistbullet"/>
                        <w:rPr>
                          <w:i/>
                          <w:sz w:val="18"/>
                        </w:rPr>
                      </w:pPr>
                      <w:r>
                        <w:t xml:space="preserve">størrelsen af landdistriktsudviklingsprogrammet </w:t>
                      </w:r>
                    </w:p>
                    <w:p w:rsidR="001A2EB5" w:rsidRPr="00D43E45" w:rsidRDefault="001A2EB5" w:rsidP="00EC01C3">
                      <w:pPr>
                        <w:pStyle w:val="Hlistbullet"/>
                        <w:rPr>
                          <w:i/>
                          <w:sz w:val="18"/>
                        </w:rPr>
                      </w:pPr>
                      <w:r>
                        <w:t xml:space="preserve">iværksættelsen af landdistriktsudviklingsprogrammet </w:t>
                      </w:r>
                    </w:p>
                    <w:p w:rsidR="001A2EB5" w:rsidRPr="00D43E45" w:rsidRDefault="001A2EB5" w:rsidP="00EC01C3">
                      <w:pPr>
                        <w:pStyle w:val="Hlistbullet"/>
                        <w:rPr>
                          <w:i/>
                          <w:sz w:val="18"/>
                        </w:rPr>
                      </w:pPr>
                      <w:r>
                        <w:t>tilgængelighed og kvalitet af data til evalueringen.</w:t>
                      </w:r>
                    </w:p>
                    <w:p w:rsidR="001A2EB5" w:rsidRPr="00E53246" w:rsidRDefault="001A2EB5" w:rsidP="00EC01C3">
                      <w:pPr>
                        <w:pStyle w:val="HHeading4"/>
                        <w:spacing w:before="0"/>
                        <w:jc w:val="both"/>
                        <w:rPr>
                          <w:b w:val="0"/>
                          <w:color w:val="373737" w:themeColor="text1"/>
                        </w:rPr>
                      </w:pPr>
                      <w:r>
                        <w:rPr>
                          <w:b w:val="0"/>
                          <w:color w:val="373737" w:themeColor="text1"/>
                        </w:rPr>
                        <w:t xml:space="preserve">De logiske modeller, der præsenteres i disse retningslinjer, skal fungere som nyttige redskaber </w:t>
                      </w:r>
                      <w:r>
                        <w:t>til evalueringseksperterne i forbindelse med udpegelse af de mulige evalueringsmuligheder i en given kontekst.</w:t>
                      </w:r>
                    </w:p>
                  </w:txbxContent>
                </v:textbox>
                <w10:anchorlock/>
              </v:shape>
            </w:pict>
          </mc:Fallback>
        </mc:AlternateContent>
      </w:r>
      <w:bookmarkEnd w:id="0"/>
    </w:p>
    <w:p w:rsidR="003F30B5" w:rsidRPr="0062664B" w:rsidRDefault="003F30B5">
      <w:pPr>
        <w:spacing w:before="0" w:after="0" w:line="240" w:lineRule="auto"/>
        <w:jc w:val="left"/>
        <w:rPr>
          <w:color w:val="373737" w:themeColor="text1"/>
          <w:sz w:val="20"/>
          <w:szCs w:val="20"/>
        </w:rPr>
      </w:pPr>
    </w:p>
    <w:sectPr w:rsidR="003F30B5" w:rsidRPr="0062664B" w:rsidSect="005F79DE">
      <w:headerReference w:type="default" r:id="rId64"/>
      <w:pgSz w:w="11906" w:h="16838" w:code="9"/>
      <w:pgMar w:top="1440" w:right="1440" w:bottom="1134" w:left="1440" w:header="567" w:footer="10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1552" w:rsidRDefault="00B31552">
      <w:pPr>
        <w:spacing w:before="0" w:after="0" w:line="240" w:lineRule="auto"/>
      </w:pPr>
      <w:r>
        <w:separator/>
      </w:r>
    </w:p>
  </w:endnote>
  <w:endnote w:type="continuationSeparator" w:id="0">
    <w:p w:rsidR="00B31552" w:rsidRDefault="00B3155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62427707"/>
      <w:docPartObj>
        <w:docPartGallery w:val="Page Numbers (Bottom of Page)"/>
        <w:docPartUnique/>
      </w:docPartObj>
    </w:sdtPr>
    <w:sdtEndPr>
      <w:rPr>
        <w:noProof/>
      </w:rPr>
    </w:sdtEndPr>
    <w:sdtContent>
      <w:p w:rsidR="001A2EB5" w:rsidRDefault="001A2EB5">
        <w:pPr>
          <w:pStyle w:val="Footer"/>
        </w:pPr>
        <w:r>
          <w:fldChar w:fldCharType="begin"/>
        </w:r>
        <w:r>
          <w:instrText xml:space="preserve"> PAGE   \* MERGEFORMAT </w:instrText>
        </w:r>
        <w:r>
          <w:fldChar w:fldCharType="separate"/>
        </w:r>
        <w:r w:rsidR="0062664B">
          <w:rPr>
            <w:noProof/>
          </w:rPr>
          <w:t>1</w:t>
        </w:r>
        <w:r>
          <w:rPr>
            <w:noProof/>
          </w:rPr>
          <w:fldChar w:fldCharType="end"/>
        </w:r>
      </w:p>
    </w:sdtContent>
  </w:sdt>
  <w:p w:rsidR="001A2EB5" w:rsidRDefault="001A2E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2EB5" w:rsidRDefault="001A2EB5">
    <w:pPr>
      <w:pStyle w:val="Footer"/>
    </w:pPr>
  </w:p>
  <w:p w:rsidR="001A2EB5" w:rsidRDefault="001A2EB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3635045"/>
      <w:docPartObj>
        <w:docPartGallery w:val="Page Numbers (Bottom of Page)"/>
        <w:docPartUnique/>
      </w:docPartObj>
    </w:sdtPr>
    <w:sdtEndPr>
      <w:rPr>
        <w:noProof/>
      </w:rPr>
    </w:sdtEndPr>
    <w:sdtContent>
      <w:p w:rsidR="001A2EB5" w:rsidRDefault="001A2EB5">
        <w:pPr>
          <w:pStyle w:val="Footer"/>
        </w:pPr>
        <w:r>
          <w:fldChar w:fldCharType="begin"/>
        </w:r>
        <w:r>
          <w:instrText xml:space="preserve"> PAGE   \* MERGEFORMAT </w:instrText>
        </w:r>
        <w:r>
          <w:fldChar w:fldCharType="separate"/>
        </w:r>
        <w:r w:rsidR="0062664B">
          <w:rPr>
            <w:noProof/>
          </w:rPr>
          <w:t>2</w:t>
        </w:r>
        <w:r w:rsidR="0062664B">
          <w:rPr>
            <w:noProof/>
          </w:rPr>
          <w:t>5</w:t>
        </w:r>
        <w:r>
          <w:rPr>
            <w:noProof/>
          </w:rPr>
          <w:fldChar w:fldCharType="end"/>
        </w:r>
      </w:p>
    </w:sdtContent>
  </w:sdt>
  <w:p w:rsidR="001A2EB5" w:rsidRDefault="001A2E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0787632"/>
      <w:docPartObj>
        <w:docPartGallery w:val="Page Numbers (Bottom of Page)"/>
        <w:docPartUnique/>
      </w:docPartObj>
    </w:sdtPr>
    <w:sdtEndPr>
      <w:rPr>
        <w:noProof/>
      </w:rPr>
    </w:sdtEndPr>
    <w:sdtContent>
      <w:p w:rsidR="001A2EB5" w:rsidRDefault="001A2EB5">
        <w:pPr>
          <w:pStyle w:val="Footer"/>
        </w:pPr>
        <w:r>
          <w:fldChar w:fldCharType="begin"/>
        </w:r>
        <w:r>
          <w:instrText xml:space="preserve"> PAGE   \* MERGEFORMAT </w:instrText>
        </w:r>
        <w:r>
          <w:fldChar w:fldCharType="separate"/>
        </w:r>
        <w:r w:rsidR="0062664B">
          <w:rPr>
            <w:noProof/>
          </w:rPr>
          <w:t>1</w:t>
        </w:r>
        <w:r>
          <w:rPr>
            <w:noProof/>
          </w:rPr>
          <w:fldChar w:fldCharType="end"/>
        </w:r>
      </w:p>
    </w:sdtContent>
  </w:sdt>
  <w:p w:rsidR="001A2EB5" w:rsidRDefault="001A2E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1552" w:rsidRPr="005B2AAC" w:rsidRDefault="00B31552">
      <w:pPr>
        <w:spacing w:before="0" w:after="0" w:line="240" w:lineRule="auto"/>
        <w:rPr>
          <w:color w:val="F07E31" w:themeColor="accent1"/>
        </w:rPr>
      </w:pPr>
      <w:r w:rsidRPr="005B2AAC">
        <w:rPr>
          <w:color w:val="F07E31" w:themeColor="accent1"/>
        </w:rPr>
        <w:separator/>
      </w:r>
    </w:p>
  </w:footnote>
  <w:footnote w:type="continuationSeparator" w:id="0">
    <w:p w:rsidR="00B31552" w:rsidRDefault="00B31552">
      <w:pPr>
        <w:spacing w:before="0" w:after="0" w:line="240" w:lineRule="auto"/>
      </w:pPr>
      <w:r>
        <w:continuationSeparator/>
      </w:r>
    </w:p>
  </w:footnote>
  <w:footnote w:id="1">
    <w:p w:rsidR="001A2EB5" w:rsidRPr="0062664B" w:rsidRDefault="001A2EB5">
      <w:pPr>
        <w:pStyle w:val="FootnoteText"/>
        <w:rPr>
          <w:color w:val="878787" w:themeColor="text2" w:themeTint="99"/>
        </w:rPr>
      </w:pPr>
      <w:r w:rsidRPr="0062664B">
        <w:rPr>
          <w:rStyle w:val="FootnoteReference"/>
          <w:color w:val="878787" w:themeColor="text2" w:themeTint="99"/>
        </w:rPr>
        <w:footnoteRef/>
      </w:r>
      <w:r w:rsidRPr="0062664B">
        <w:rPr>
          <w:color w:val="878787" w:themeColor="text2" w:themeTint="99"/>
        </w:rPr>
        <w:t xml:space="preserve"> Artikel 54 og artikel 56, stk. 3, i forordning (EU) nr. 1303/2013.</w:t>
      </w:r>
    </w:p>
  </w:footnote>
  <w:footnote w:id="2">
    <w:p w:rsidR="001A2EB5" w:rsidRPr="0062664B" w:rsidRDefault="001A2EB5" w:rsidP="00CD63F6">
      <w:pPr>
        <w:pStyle w:val="FootnoteText"/>
      </w:pPr>
      <w:r w:rsidRPr="0062664B">
        <w:rPr>
          <w:rStyle w:val="FootnoteReference"/>
          <w:color w:val="878787" w:themeColor="text2" w:themeTint="99"/>
        </w:rPr>
        <w:footnoteRef/>
      </w:r>
      <w:r w:rsidRPr="0062664B">
        <w:rPr>
          <w:color w:val="878787" w:themeColor="text2" w:themeTint="99"/>
        </w:rPr>
        <w:t xml:space="preserve"> </w:t>
      </w:r>
      <w:r w:rsidRPr="0062664B">
        <w:rPr>
          <w:color w:val="878787" w:themeColor="text2" w:themeTint="99"/>
        </w:rPr>
        <w:t>Bilag VII til forordning (EU) nr. 808/2014.</w:t>
      </w:r>
    </w:p>
  </w:footnote>
  <w:footnote w:id="3">
    <w:p w:rsidR="001A2EB5" w:rsidRPr="0062664B" w:rsidRDefault="001A2EB5" w:rsidP="001C2076">
      <w:pPr>
        <w:pStyle w:val="FootnoteText"/>
        <w:rPr>
          <w:color w:val="878787" w:themeColor="text2" w:themeTint="99"/>
        </w:rPr>
      </w:pPr>
      <w:r w:rsidRPr="0062664B">
        <w:rPr>
          <w:color w:val="878787" w:themeColor="text2" w:themeTint="99"/>
          <w:vertAlign w:val="superscript"/>
        </w:rPr>
        <w:footnoteRef/>
      </w:r>
      <w:r w:rsidRPr="0062664B">
        <w:rPr>
          <w:color w:val="878787" w:themeColor="text2" w:themeTint="99"/>
        </w:rPr>
        <w:t xml:space="preserve"> </w:t>
      </w:r>
      <w:r w:rsidRPr="0062664B">
        <w:rPr>
          <w:color w:val="878787" w:themeColor="text2" w:themeTint="99"/>
        </w:rPr>
        <w:t xml:space="preserve">Artikel 75 i </w:t>
      </w:r>
      <w:hyperlink r:id="rId1">
        <w:r w:rsidRPr="0062664B">
          <w:rPr>
            <w:color w:val="878787" w:themeColor="text2" w:themeTint="99"/>
          </w:rPr>
          <w:t>forordning (EU) nr. 1305/2013</w:t>
        </w:r>
      </w:hyperlink>
      <w:r w:rsidRPr="0062664B">
        <w:rPr>
          <w:color w:val="878787" w:themeColor="text2" w:themeTint="99"/>
        </w:rPr>
        <w:t>.</w:t>
      </w:r>
    </w:p>
  </w:footnote>
  <w:footnote w:id="4">
    <w:p w:rsidR="001A2EB5" w:rsidRPr="0062664B" w:rsidRDefault="001A2EB5" w:rsidP="00BA41C1">
      <w:pPr>
        <w:pStyle w:val="FootnoteText"/>
        <w:rPr>
          <w:color w:val="878787" w:themeColor="text2" w:themeTint="99"/>
        </w:rPr>
      </w:pPr>
      <w:r w:rsidRPr="0062664B">
        <w:rPr>
          <w:color w:val="878787" w:themeColor="text2" w:themeTint="99"/>
          <w:vertAlign w:val="superscript"/>
        </w:rPr>
        <w:footnoteRef/>
      </w:r>
      <w:r w:rsidRPr="0062664B">
        <w:rPr>
          <w:color w:val="878787" w:themeColor="text2" w:themeTint="99"/>
          <w:vertAlign w:val="superscript"/>
        </w:rPr>
        <w:t xml:space="preserve"> </w:t>
      </w:r>
      <w:hyperlink r:id="rId2">
        <w:r w:rsidRPr="0062664B">
          <w:rPr>
            <w:rStyle w:val="Hyperlink"/>
            <w:color w:val="878787" w:themeColor="text2" w:themeTint="99"/>
            <w:sz w:val="16"/>
            <w:u w:val="none"/>
          </w:rPr>
          <w:t xml:space="preserve">Retningslinjerne "Establishing and implementing the Evaluation Plan of 2014- 2020 RDPs". </w:t>
        </w:r>
      </w:hyperlink>
    </w:p>
  </w:footnote>
  <w:footnote w:id="5">
    <w:p w:rsidR="001A2EB5" w:rsidRPr="0062664B" w:rsidRDefault="001A2EB5" w:rsidP="00BA41C1">
      <w:pPr>
        <w:pStyle w:val="FootnoteText"/>
        <w:rPr>
          <w:color w:val="878787" w:themeColor="text2" w:themeTint="99"/>
        </w:rPr>
      </w:pPr>
      <w:r w:rsidRPr="0062664B">
        <w:rPr>
          <w:color w:val="878787" w:themeColor="text2" w:themeTint="99"/>
          <w:vertAlign w:val="superscript"/>
        </w:rPr>
        <w:footnoteRef/>
      </w:r>
      <w:r w:rsidRPr="0062664B">
        <w:rPr>
          <w:color w:val="878787" w:themeColor="text2" w:themeTint="99"/>
        </w:rPr>
        <w:t xml:space="preserve"> </w:t>
      </w:r>
      <w:hyperlink r:id="rId3">
        <w:r w:rsidRPr="0062664B">
          <w:rPr>
            <w:rStyle w:val="Hyperlink"/>
            <w:color w:val="878787" w:themeColor="text2" w:themeTint="99"/>
            <w:sz w:val="16"/>
            <w:u w:val="none"/>
          </w:rPr>
          <w:t>Kommissionens gennemførelsesforordning (EU) nr. 808/2014, bilag I, punkt 9 og bilag VII, punkt 7</w:t>
        </w:r>
      </w:hyperlink>
      <w:r w:rsidRPr="0062664B">
        <w:rPr>
          <w:rStyle w:val="Hyperlink"/>
          <w:color w:val="878787" w:themeColor="text2" w:themeTint="99"/>
          <w:sz w:val="16"/>
          <w:u w:val="none"/>
        </w:rPr>
        <w:t>.</w:t>
      </w:r>
    </w:p>
  </w:footnote>
  <w:footnote w:id="6">
    <w:p w:rsidR="001A2EB5" w:rsidRPr="0062664B" w:rsidRDefault="001A2EB5" w:rsidP="000D3DB8">
      <w:pPr>
        <w:pStyle w:val="FootnoteText"/>
        <w:ind w:left="142" w:hanging="142"/>
        <w:rPr>
          <w:color w:val="878787" w:themeColor="text2" w:themeTint="99"/>
        </w:rPr>
      </w:pPr>
      <w:r w:rsidRPr="0062664B">
        <w:rPr>
          <w:i/>
          <w:color w:val="878787" w:themeColor="text2" w:themeTint="99"/>
          <w:vertAlign w:val="superscript"/>
        </w:rPr>
        <w:footnoteRef/>
      </w:r>
      <w:r w:rsidRPr="0062664B">
        <w:rPr>
          <w:color w:val="878787" w:themeColor="text2" w:themeTint="99"/>
          <w:vertAlign w:val="superscript"/>
        </w:rPr>
        <w:t xml:space="preserve"> </w:t>
      </w:r>
      <w:r w:rsidRPr="0062664B">
        <w:rPr>
          <w:color w:val="878787" w:themeColor="text2" w:themeTint="99"/>
        </w:rPr>
        <w:t xml:space="preserve">Evaluation Helpdesk sammenfattede resultaterne af den årlige gennemførelsesrapport, der blev indsendt i 2017, i </w:t>
      </w:r>
      <w:hyperlink r:id="rId4">
        <w:r w:rsidRPr="0062664B">
          <w:rPr>
            <w:color w:val="878787" w:themeColor="text2" w:themeTint="99"/>
          </w:rPr>
          <w:t>Summary Report Synthesis of the Evaluation Components of the 2017 Enhanced AIR: Chapter 7</w:t>
        </w:r>
      </w:hyperlink>
      <w:r w:rsidRPr="0062664B">
        <w:rPr>
          <w:color w:val="878787" w:themeColor="text2" w:themeTint="99"/>
        </w:rPr>
        <w:t>.</w:t>
      </w:r>
    </w:p>
  </w:footnote>
  <w:footnote w:id="7">
    <w:p w:rsidR="001A2EB5" w:rsidRPr="0062664B" w:rsidRDefault="001A2EB5">
      <w:pPr>
        <w:pStyle w:val="FootnoteText"/>
      </w:pPr>
      <w:r w:rsidRPr="0062664B">
        <w:rPr>
          <w:i/>
          <w:color w:val="878787" w:themeColor="text2" w:themeTint="99"/>
          <w:vertAlign w:val="superscript"/>
        </w:rPr>
        <w:footnoteRef/>
      </w:r>
      <w:r w:rsidRPr="0062664B">
        <w:rPr>
          <w:color w:val="878787" w:themeColor="text2" w:themeTint="99"/>
          <w:vertAlign w:val="superscript"/>
        </w:rPr>
        <w:t xml:space="preserve"> </w:t>
      </w:r>
      <w:r w:rsidRPr="0062664B">
        <w:rPr>
          <w:color w:val="878787" w:themeColor="text2" w:themeTint="99"/>
        </w:rPr>
        <w:t>Bilag VII til forordning (EU) nr. 808/2014.</w:t>
      </w:r>
    </w:p>
  </w:footnote>
  <w:footnote w:id="8">
    <w:p w:rsidR="001A2EB5" w:rsidRPr="0062664B" w:rsidRDefault="001A2EB5" w:rsidP="00BA41C1">
      <w:pPr>
        <w:pStyle w:val="FootnoteText"/>
        <w:rPr>
          <w:color w:val="878787" w:themeColor="text2" w:themeTint="99"/>
        </w:rPr>
      </w:pPr>
      <w:r w:rsidRPr="0062664B">
        <w:rPr>
          <w:rStyle w:val="FootnoteReference"/>
          <w:color w:val="878787" w:themeColor="text2" w:themeTint="99"/>
        </w:rPr>
        <w:footnoteRef/>
      </w:r>
      <w:r w:rsidRPr="0062664B">
        <w:rPr>
          <w:color w:val="878787" w:themeColor="text2" w:themeTint="99"/>
        </w:rPr>
        <w:t xml:space="preserve"> </w:t>
      </w:r>
      <w:hyperlink r:id="rId5">
        <w:r w:rsidRPr="0062664B">
          <w:rPr>
            <w:color w:val="878787" w:themeColor="text2" w:themeTint="99"/>
          </w:rPr>
          <w:t>Artikel 67 – 79 i forordning (EU) nr. 1305/2014</w:t>
        </w:r>
      </w:hyperlink>
      <w:r w:rsidRPr="0062664B">
        <w:rPr>
          <w:color w:val="878787" w:themeColor="text2" w:themeTint="99"/>
        </w:rPr>
        <w:t xml:space="preserve">, </w:t>
      </w:r>
      <w:hyperlink r:id="rId6">
        <w:r w:rsidRPr="0062664B">
          <w:rPr>
            <w:color w:val="878787" w:themeColor="text2" w:themeTint="99"/>
          </w:rPr>
          <w:t>artikel 110 i forordning (EU) nr. 1306/2013,</w:t>
        </w:r>
      </w:hyperlink>
      <w:r w:rsidRPr="0062664B">
        <w:rPr>
          <w:color w:val="878787" w:themeColor="text2" w:themeTint="99"/>
        </w:rPr>
        <w:t xml:space="preserve"> </w:t>
      </w:r>
      <w:hyperlink r:id="rId7">
        <w:r w:rsidRPr="0062664B">
          <w:rPr>
            <w:color w:val="878787" w:themeColor="text2" w:themeTint="99"/>
          </w:rPr>
          <w:t>artikel 1, litra a), og bilag I i forordning (EU) nr. 834/2014</w:t>
        </w:r>
      </w:hyperlink>
      <w:r w:rsidRPr="0062664B">
        <w:rPr>
          <w:color w:val="878787" w:themeColor="text2" w:themeTint="99"/>
        </w:rPr>
        <w:t xml:space="preserve">, </w:t>
      </w:r>
      <w:hyperlink r:id="rId8">
        <w:r w:rsidRPr="0062664B">
          <w:rPr>
            <w:color w:val="878787" w:themeColor="text2" w:themeTint="99"/>
          </w:rPr>
          <w:t>artikel 14 og bilag IV, V, VI og VII, i forordning (EU) nr. 808/2014</w:t>
        </w:r>
      </w:hyperlink>
      <w:r w:rsidRPr="0062664B">
        <w:rPr>
          <w:color w:val="878787" w:themeColor="text2" w:themeTint="99"/>
        </w:rPr>
        <w:t>.</w:t>
      </w:r>
    </w:p>
  </w:footnote>
  <w:footnote w:id="9">
    <w:p w:rsidR="001A2EB5" w:rsidRPr="0062664B" w:rsidRDefault="001A2EB5" w:rsidP="001C2076">
      <w:pPr>
        <w:pStyle w:val="FootnoteText"/>
        <w:rPr>
          <w:color w:val="878787" w:themeColor="text2" w:themeTint="99"/>
        </w:rPr>
      </w:pPr>
      <w:r w:rsidRPr="0062664B">
        <w:rPr>
          <w:rStyle w:val="FootnoteReference"/>
          <w:color w:val="878787" w:themeColor="text2" w:themeTint="99"/>
        </w:rPr>
        <w:footnoteRef/>
      </w:r>
      <w:r w:rsidRPr="0062664B">
        <w:rPr>
          <w:color w:val="878787" w:themeColor="text2" w:themeTint="99"/>
        </w:rPr>
        <w:t xml:space="preserve"> </w:t>
      </w:r>
      <w:r w:rsidRPr="0062664B">
        <w:rPr>
          <w:color w:val="878787" w:themeColor="text2" w:themeTint="99"/>
        </w:rPr>
        <w:t>Artikel 54 i forordning (EU) nr. 1303/2013.</w:t>
      </w:r>
    </w:p>
  </w:footnote>
  <w:footnote w:id="10">
    <w:p w:rsidR="001A2EB5" w:rsidRPr="0062664B" w:rsidRDefault="001A2EB5" w:rsidP="001C2076">
      <w:pPr>
        <w:pStyle w:val="FootnoteText"/>
        <w:rPr>
          <w:color w:val="878787" w:themeColor="text2" w:themeTint="99"/>
        </w:rPr>
      </w:pPr>
      <w:r w:rsidRPr="0062664B">
        <w:rPr>
          <w:rStyle w:val="FootnoteReference"/>
          <w:color w:val="878787" w:themeColor="text2" w:themeTint="99"/>
        </w:rPr>
        <w:footnoteRef/>
      </w:r>
      <w:r w:rsidRPr="0062664B">
        <w:rPr>
          <w:color w:val="878787" w:themeColor="text2" w:themeTint="99"/>
        </w:rPr>
        <w:t xml:space="preserve"> </w:t>
      </w:r>
      <w:r w:rsidRPr="0062664B">
        <w:rPr>
          <w:color w:val="878787" w:themeColor="text2" w:themeTint="99"/>
        </w:rPr>
        <w:t>Artikel 56 i forordning (EU) nr. 1303/2013.</w:t>
      </w:r>
    </w:p>
  </w:footnote>
  <w:footnote w:id="11">
    <w:p w:rsidR="001A2EB5" w:rsidRPr="0062664B" w:rsidRDefault="001A2EB5" w:rsidP="001C2076">
      <w:pPr>
        <w:pStyle w:val="FootnoteText"/>
        <w:rPr>
          <w:color w:val="878787" w:themeColor="text2" w:themeTint="99"/>
        </w:rPr>
      </w:pPr>
      <w:r w:rsidRPr="0062664B">
        <w:rPr>
          <w:rStyle w:val="FootnoteReference"/>
          <w:color w:val="878787" w:themeColor="text2" w:themeTint="99"/>
        </w:rPr>
        <w:footnoteRef/>
      </w:r>
      <w:r w:rsidRPr="0062664B">
        <w:rPr>
          <w:color w:val="878787" w:themeColor="text2" w:themeTint="99"/>
        </w:rPr>
        <w:t xml:space="preserve"> </w:t>
      </w:r>
      <w:r w:rsidRPr="0062664B">
        <w:rPr>
          <w:color w:val="878787" w:themeColor="text2" w:themeTint="99"/>
        </w:rPr>
        <w:t>Artikel 110 i forordning (EU) nr. 1306/2013.</w:t>
      </w:r>
    </w:p>
  </w:footnote>
  <w:footnote w:id="12">
    <w:p w:rsidR="001A2EB5" w:rsidRPr="0062664B" w:rsidRDefault="001A2EB5" w:rsidP="001C2076">
      <w:pPr>
        <w:pStyle w:val="FootnoteText"/>
        <w:rPr>
          <w:color w:val="878787" w:themeColor="text2" w:themeTint="99"/>
        </w:rPr>
      </w:pPr>
      <w:r w:rsidRPr="0062664B">
        <w:rPr>
          <w:rStyle w:val="FootnoteReference"/>
          <w:color w:val="878787" w:themeColor="text2" w:themeTint="99"/>
        </w:rPr>
        <w:footnoteRef/>
      </w:r>
      <w:r w:rsidRPr="0062664B">
        <w:rPr>
          <w:color w:val="878787" w:themeColor="text2" w:themeTint="99"/>
        </w:rPr>
        <w:t xml:space="preserve"> </w:t>
      </w:r>
      <w:r w:rsidRPr="0062664B">
        <w:rPr>
          <w:color w:val="878787" w:themeColor="text2" w:themeTint="99"/>
        </w:rPr>
        <w:t>Artikel 110,3 og 110,4 i forordning (EU) nr. 1306/2013.</w:t>
      </w:r>
    </w:p>
  </w:footnote>
  <w:footnote w:id="13">
    <w:p w:rsidR="001A2EB5" w:rsidRPr="0062664B" w:rsidRDefault="001A2EB5" w:rsidP="001C2076">
      <w:pPr>
        <w:pStyle w:val="FootnoteText"/>
        <w:rPr>
          <w:color w:val="878787" w:themeColor="text2" w:themeTint="99"/>
        </w:rPr>
      </w:pPr>
      <w:r w:rsidRPr="0062664B">
        <w:rPr>
          <w:rStyle w:val="FootnoteReference"/>
          <w:color w:val="878787" w:themeColor="text2" w:themeTint="99"/>
        </w:rPr>
        <w:footnoteRef/>
      </w:r>
      <w:r w:rsidRPr="0062664B">
        <w:rPr>
          <w:color w:val="878787" w:themeColor="text2" w:themeTint="99"/>
        </w:rPr>
        <w:t xml:space="preserve"> </w:t>
      </w:r>
      <w:r w:rsidRPr="0062664B">
        <w:rPr>
          <w:color w:val="878787" w:themeColor="text2" w:themeTint="99"/>
        </w:rPr>
        <w:t>Artikel 67 og 68 i forordning (EU) nr. 1305/2013.</w:t>
      </w:r>
    </w:p>
  </w:footnote>
  <w:footnote w:id="14">
    <w:p w:rsidR="001A2EB5" w:rsidRPr="0062664B" w:rsidRDefault="001A2EB5" w:rsidP="001C2076">
      <w:pPr>
        <w:pStyle w:val="FootnoteText"/>
      </w:pPr>
      <w:r w:rsidRPr="0062664B">
        <w:rPr>
          <w:rStyle w:val="FootnoteReference"/>
          <w:color w:val="878787" w:themeColor="text2" w:themeTint="99"/>
        </w:rPr>
        <w:footnoteRef/>
      </w:r>
      <w:r w:rsidRPr="0062664B">
        <w:rPr>
          <w:color w:val="878787" w:themeColor="text2" w:themeTint="99"/>
        </w:rPr>
        <w:t xml:space="preserve"> </w:t>
      </w:r>
      <w:r w:rsidRPr="0062664B">
        <w:rPr>
          <w:color w:val="878787" w:themeColor="text2" w:themeTint="99"/>
        </w:rPr>
        <w:t>Artikel 69 i forordning (EU) nr. 1305/2013.</w:t>
      </w:r>
    </w:p>
  </w:footnote>
  <w:footnote w:id="15">
    <w:p w:rsidR="001A2EB5" w:rsidRPr="0062664B" w:rsidRDefault="001A2EB5" w:rsidP="00693C0D">
      <w:pPr>
        <w:pStyle w:val="FootnoteText"/>
        <w:rPr>
          <w:color w:val="878787" w:themeColor="text2" w:themeTint="99"/>
        </w:rPr>
      </w:pPr>
      <w:r w:rsidRPr="0062664B">
        <w:rPr>
          <w:rStyle w:val="FootnoteReference"/>
          <w:i w:val="0"/>
          <w:color w:val="878787" w:themeColor="text2" w:themeTint="99"/>
          <w:position w:val="0"/>
        </w:rPr>
        <w:footnoteRef/>
      </w:r>
      <w:r w:rsidRPr="0062664B">
        <w:rPr>
          <w:color w:val="878787" w:themeColor="text2" w:themeTint="99"/>
        </w:rPr>
        <w:t xml:space="preserve"> </w:t>
      </w:r>
      <w:hyperlink r:id="rId9">
        <w:r w:rsidRPr="0062664B">
          <w:rPr>
            <w:color w:val="878787" w:themeColor="text2" w:themeTint="99"/>
          </w:rPr>
          <w:t xml:space="preserve"> </w:t>
        </w:r>
        <w:r w:rsidRPr="0062664B">
          <w:rPr>
            <w:color w:val="878787" w:themeColor="text2" w:themeTint="99"/>
          </w:rPr>
          <w:t>Technical Handbook on the Monitoring and Evaluation of the Common Agriculture Policy 2014-2020, European Commission, June 2017</w:t>
        </w:r>
      </w:hyperlink>
      <w:r w:rsidRPr="0062664B">
        <w:rPr>
          <w:rStyle w:val="Hyperlink"/>
          <w:color w:val="878787" w:themeColor="text2" w:themeTint="99"/>
          <w:sz w:val="16"/>
          <w:u w:val="none"/>
        </w:rPr>
        <w:t>.</w:t>
      </w:r>
    </w:p>
  </w:footnote>
  <w:footnote w:id="16">
    <w:p w:rsidR="001A2EB5" w:rsidRPr="0062664B" w:rsidRDefault="001A2EB5" w:rsidP="001C2076">
      <w:pPr>
        <w:pStyle w:val="FootnoteText"/>
        <w:rPr>
          <w:color w:val="878787" w:themeColor="text2" w:themeTint="99"/>
        </w:rPr>
      </w:pPr>
      <w:r w:rsidRPr="0062664B">
        <w:rPr>
          <w:rStyle w:val="FootnoteReference"/>
          <w:color w:val="878787" w:themeColor="text2" w:themeTint="99"/>
        </w:rPr>
        <w:footnoteRef/>
      </w:r>
      <w:r w:rsidRPr="0062664B">
        <w:rPr>
          <w:color w:val="878787" w:themeColor="text2" w:themeTint="99"/>
        </w:rPr>
        <w:t xml:space="preserve"> </w:t>
      </w:r>
      <w:r w:rsidRPr="0062664B">
        <w:rPr>
          <w:color w:val="878787" w:themeColor="text2" w:themeTint="99"/>
        </w:rPr>
        <w:t>Artikel 14 i forordning (EU) nr. 808/2014.</w:t>
      </w:r>
    </w:p>
  </w:footnote>
  <w:footnote w:id="17">
    <w:p w:rsidR="001A2EB5" w:rsidRPr="0062664B" w:rsidRDefault="001A2EB5" w:rsidP="001C2076">
      <w:pPr>
        <w:pStyle w:val="FootnoteText"/>
        <w:rPr>
          <w:color w:val="878787" w:themeColor="text2" w:themeTint="99"/>
        </w:rPr>
      </w:pPr>
      <w:r w:rsidRPr="0062664B">
        <w:rPr>
          <w:rStyle w:val="FootnoteReference"/>
          <w:color w:val="878787" w:themeColor="text2" w:themeTint="99"/>
        </w:rPr>
        <w:footnoteRef/>
      </w:r>
      <w:r w:rsidRPr="0062664B">
        <w:rPr>
          <w:color w:val="878787" w:themeColor="text2" w:themeTint="99"/>
        </w:rPr>
        <w:t xml:space="preserve"> </w:t>
      </w:r>
      <w:r w:rsidRPr="0062664B">
        <w:rPr>
          <w:color w:val="878787" w:themeColor="text2" w:themeTint="99"/>
        </w:rPr>
        <w:t>Bilag I til forordning (EU) nr. 808/2014.</w:t>
      </w:r>
    </w:p>
  </w:footnote>
  <w:footnote w:id="18">
    <w:p w:rsidR="001A2EB5" w:rsidRPr="0062664B" w:rsidRDefault="001A2EB5" w:rsidP="001C2076">
      <w:pPr>
        <w:pStyle w:val="FootnoteText"/>
        <w:rPr>
          <w:color w:val="878787" w:themeColor="text2" w:themeTint="99"/>
        </w:rPr>
      </w:pPr>
      <w:r w:rsidRPr="0062664B">
        <w:rPr>
          <w:rStyle w:val="FootnoteReference"/>
          <w:color w:val="878787" w:themeColor="text2" w:themeTint="99"/>
        </w:rPr>
        <w:footnoteRef/>
      </w:r>
      <w:r w:rsidRPr="0062664B">
        <w:rPr>
          <w:color w:val="878787" w:themeColor="text2" w:themeTint="99"/>
        </w:rPr>
        <w:t xml:space="preserve"> </w:t>
      </w:r>
      <w:r w:rsidRPr="0062664B">
        <w:rPr>
          <w:color w:val="878787" w:themeColor="text2" w:themeTint="99"/>
        </w:rPr>
        <w:t>Bilag V til forordning (EU) nr. 808/2014.</w:t>
      </w:r>
    </w:p>
  </w:footnote>
  <w:footnote w:id="19">
    <w:p w:rsidR="001A2EB5" w:rsidRPr="0062664B" w:rsidRDefault="001A2EB5" w:rsidP="001C2076">
      <w:pPr>
        <w:pStyle w:val="FootnoteText"/>
        <w:rPr>
          <w:color w:val="878787" w:themeColor="text2" w:themeTint="99"/>
        </w:rPr>
      </w:pPr>
      <w:r w:rsidRPr="0062664B">
        <w:rPr>
          <w:rStyle w:val="FootnoteReference"/>
          <w:color w:val="878787" w:themeColor="text2" w:themeTint="99"/>
        </w:rPr>
        <w:footnoteRef/>
      </w:r>
      <w:r w:rsidRPr="0062664B">
        <w:rPr>
          <w:color w:val="878787" w:themeColor="text2" w:themeTint="99"/>
        </w:rPr>
        <w:t xml:space="preserve"> </w:t>
      </w:r>
      <w:r w:rsidRPr="0062664B">
        <w:rPr>
          <w:color w:val="878787" w:themeColor="text2" w:themeTint="99"/>
        </w:rPr>
        <w:t>Bilag VII, punkt 2, til forordning (EU) nr. 808/2014.</w:t>
      </w:r>
    </w:p>
  </w:footnote>
  <w:footnote w:id="20">
    <w:p w:rsidR="001A2EB5" w:rsidRPr="0062664B" w:rsidRDefault="001A2EB5" w:rsidP="001C2076">
      <w:pPr>
        <w:pStyle w:val="FootnoteText"/>
        <w:rPr>
          <w:color w:val="878787" w:themeColor="text2" w:themeTint="99"/>
        </w:rPr>
      </w:pPr>
      <w:r w:rsidRPr="0062664B">
        <w:rPr>
          <w:rStyle w:val="FootnoteReference"/>
          <w:color w:val="878787" w:themeColor="text2" w:themeTint="99"/>
        </w:rPr>
        <w:footnoteRef/>
      </w:r>
      <w:r w:rsidRPr="0062664B">
        <w:rPr>
          <w:color w:val="878787" w:themeColor="text2" w:themeTint="99"/>
        </w:rPr>
        <w:t xml:space="preserve"> </w:t>
      </w:r>
      <w:r w:rsidRPr="0062664B">
        <w:rPr>
          <w:color w:val="878787" w:themeColor="text2" w:themeTint="99"/>
        </w:rPr>
        <w:t>Bilag I, del I, punkt 9, til forordning (EU) nr. 808/2014.</w:t>
      </w:r>
    </w:p>
  </w:footnote>
  <w:footnote w:id="21">
    <w:p w:rsidR="001A2EB5" w:rsidRPr="0062664B" w:rsidRDefault="001A2EB5" w:rsidP="001C2076">
      <w:pPr>
        <w:pStyle w:val="FootnoteText"/>
        <w:rPr>
          <w:color w:val="878787" w:themeColor="text2" w:themeTint="99"/>
        </w:rPr>
      </w:pPr>
      <w:r w:rsidRPr="0062664B">
        <w:rPr>
          <w:rStyle w:val="FootnoteReference"/>
          <w:color w:val="878787" w:themeColor="text2" w:themeTint="99"/>
        </w:rPr>
        <w:footnoteRef/>
      </w:r>
      <w:r w:rsidRPr="0062664B">
        <w:rPr>
          <w:color w:val="878787" w:themeColor="text2" w:themeTint="99"/>
        </w:rPr>
        <w:t xml:space="preserve"> </w:t>
      </w:r>
      <w:r w:rsidRPr="0062664B">
        <w:rPr>
          <w:color w:val="878787" w:themeColor="text2" w:themeTint="99"/>
        </w:rPr>
        <w:t>Bilag VII, punkt 7, til forordning (EU) nr. 808/2014.</w:t>
      </w:r>
    </w:p>
  </w:footnote>
  <w:footnote w:id="22">
    <w:p w:rsidR="001A2EB5" w:rsidRPr="0062664B" w:rsidRDefault="001A2EB5" w:rsidP="00FC0340">
      <w:pPr>
        <w:pStyle w:val="FootnoteText"/>
      </w:pPr>
      <w:r w:rsidRPr="0062664B">
        <w:rPr>
          <w:rStyle w:val="FootnoteReference"/>
          <w:color w:val="878787" w:themeColor="text2" w:themeTint="99"/>
        </w:rPr>
        <w:footnoteRef/>
      </w:r>
      <w:r w:rsidRPr="0062664B">
        <w:rPr>
          <w:color w:val="878787" w:themeColor="text2" w:themeTint="99"/>
        </w:rPr>
        <w:t xml:space="preserve"> </w:t>
      </w:r>
      <w:r w:rsidRPr="0062664B">
        <w:rPr>
          <w:color w:val="878787" w:themeColor="text2" w:themeTint="99"/>
        </w:rPr>
        <w:t>Bilag I til forordning (EU) nr. 808/2014.</w:t>
      </w:r>
    </w:p>
  </w:footnote>
  <w:footnote w:id="23">
    <w:p w:rsidR="001A2EB5" w:rsidRPr="0062664B" w:rsidRDefault="001A2EB5">
      <w:pPr>
        <w:pStyle w:val="FootnoteText"/>
      </w:pPr>
      <w:r w:rsidRPr="0062664B">
        <w:rPr>
          <w:rStyle w:val="FootnoteReference"/>
          <w:color w:val="878787" w:themeColor="text2" w:themeTint="99"/>
        </w:rPr>
        <w:footnoteRef/>
      </w:r>
      <w:r w:rsidRPr="0062664B">
        <w:rPr>
          <w:color w:val="878787" w:themeColor="text2" w:themeTint="99"/>
        </w:rPr>
        <w:t xml:space="preserve"> </w:t>
      </w:r>
      <w:hyperlink r:id="rId10">
        <w:r w:rsidRPr="0062664B">
          <w:rPr>
            <w:color w:val="878787" w:themeColor="text2" w:themeTint="99"/>
          </w:rPr>
          <w:t xml:space="preserve"> </w:t>
        </w:r>
        <w:r w:rsidRPr="0062664B">
          <w:rPr>
            <w:color w:val="878787" w:themeColor="text2" w:themeTint="99"/>
          </w:rPr>
          <w:t>Technical Handbook on the Monitoring and Evaluation of the Common Agriculture Policy 2014-2020, European Commission, June 2017</w:t>
        </w:r>
      </w:hyperlink>
      <w:r w:rsidRPr="0062664B">
        <w:rPr>
          <w:rStyle w:val="Hyperlink"/>
          <w:color w:val="878787" w:themeColor="text2" w:themeTint="99"/>
          <w:sz w:val="16"/>
          <w:u w:val="none"/>
        </w:rPr>
        <w:t>.</w:t>
      </w:r>
    </w:p>
  </w:footnote>
  <w:footnote w:id="24">
    <w:p w:rsidR="001A2EB5" w:rsidRPr="0062664B" w:rsidRDefault="001A2EB5" w:rsidP="00176032">
      <w:pPr>
        <w:pStyle w:val="FootnoteText"/>
        <w:rPr>
          <w:rStyle w:val="Hyperlink"/>
          <w:sz w:val="16"/>
          <w:szCs w:val="16"/>
        </w:rPr>
      </w:pPr>
      <w:r w:rsidRPr="0062664B">
        <w:rPr>
          <w:rStyle w:val="FootnoteReference"/>
          <w:color w:val="878787" w:themeColor="text2" w:themeTint="99"/>
        </w:rPr>
        <w:footnoteRef/>
      </w:r>
      <w:r w:rsidRPr="0062664B">
        <w:rPr>
          <w:color w:val="878787" w:themeColor="text2" w:themeTint="99"/>
        </w:rPr>
        <w:t xml:space="preserve"> </w:t>
      </w:r>
      <w:r w:rsidRPr="0062664B">
        <w:rPr>
          <w:color w:val="878787" w:themeColor="text2" w:themeTint="99"/>
        </w:rPr>
        <w:t xml:space="preserve">Der er yderligere oplysninger om evalueringscyklussen i retningslinjerne </w:t>
      </w:r>
      <w:hyperlink r:id="rId11">
        <w:r w:rsidRPr="0062664B">
          <w:rPr>
            <w:rStyle w:val="Hyperlink"/>
            <w:sz w:val="16"/>
          </w:rPr>
          <w:t>Assessment of RDP results: how to prepare for reporting on evaluation in 2017</w:t>
        </w:r>
      </w:hyperlink>
      <w:r w:rsidRPr="0062664B">
        <w:rPr>
          <w:rStyle w:val="Hyperlink"/>
          <w:sz w:val="16"/>
        </w:rPr>
        <w:t>.</w:t>
      </w:r>
    </w:p>
  </w:footnote>
  <w:footnote w:id="25">
    <w:p w:rsidR="001A2EB5" w:rsidRPr="0062664B" w:rsidRDefault="001A2EB5" w:rsidP="000D3DB8">
      <w:pPr>
        <w:pStyle w:val="FootnoteText"/>
      </w:pPr>
      <w:r w:rsidRPr="0062664B">
        <w:rPr>
          <w:rStyle w:val="FootnoteReference"/>
          <w:color w:val="878787" w:themeColor="text2" w:themeTint="99"/>
        </w:rPr>
        <w:footnoteRef/>
      </w:r>
      <w:r w:rsidRPr="0062664B">
        <w:t xml:space="preserve"> </w:t>
      </w:r>
      <w:r w:rsidRPr="0062664B">
        <w:t>MA – forvaltningsmyndighed, MC – overvågningsudvalg, PA – betalingsorgan, EvU – evalueringsenhed, ESG – styregruppe for evalueringer, Ev – evalueringseksperter, DP – dataleverandører, O – andre.</w:t>
      </w:r>
    </w:p>
  </w:footnote>
  <w:footnote w:id="26">
    <w:p w:rsidR="001A2EB5" w:rsidRPr="0062664B" w:rsidRDefault="001A2EB5">
      <w:pPr>
        <w:pStyle w:val="FootnoteText"/>
      </w:pPr>
      <w:r w:rsidRPr="0062664B">
        <w:rPr>
          <w:rStyle w:val="FootnoteReference"/>
          <w:color w:val="878787" w:themeColor="text2" w:themeTint="99"/>
        </w:rPr>
        <w:footnoteRef/>
      </w:r>
      <w:r w:rsidRPr="0062664B">
        <w:rPr>
          <w:color w:val="878787" w:themeColor="text2" w:themeTint="99"/>
        </w:rPr>
        <w:t xml:space="preserve"> </w:t>
      </w:r>
      <w:r w:rsidRPr="0062664B">
        <w:rPr>
          <w:color w:val="878787" w:themeColor="text2" w:themeTint="99"/>
        </w:rPr>
        <w:t>ENVIEVAL var et EU-samarbejdsprojekt (tilskudsaftale nr. 312071), der modtog finansiering fra januar 2013 til december 2015 fra EU’s syvende rammeprogram for forskning, teknologisk udvikling og demonstration.</w:t>
      </w:r>
    </w:p>
  </w:footnote>
  <w:footnote w:id="27">
    <w:p w:rsidR="001A2EB5" w:rsidRPr="0062664B" w:rsidRDefault="001A2EB5">
      <w:pPr>
        <w:pStyle w:val="FootnoteText"/>
      </w:pPr>
      <w:r w:rsidRPr="0062664B">
        <w:rPr>
          <w:rStyle w:val="FootnoteReference"/>
          <w:color w:val="878787" w:themeColor="text2" w:themeTint="99"/>
        </w:rPr>
        <w:footnoteRef/>
      </w:r>
      <w:r w:rsidRPr="0062664B">
        <w:t xml:space="preserve"> </w:t>
      </w:r>
      <w:r w:rsidRPr="0062664B">
        <w:t xml:space="preserve">Methodological Handbook for the evaluation of environmental impacts of RDPs: Rapport D9.5, ENVIEVAL-projektet (tilskudsaftale nr. 312071)]. Bruxelles: Europa-Kommissionen, Morkvenas Z, Navickas K, Gulbinas J, Jefanovas A, Schwarz G, Wolff A, Offermann F, Osterburg B, Aalders I, Miller D, Morrice J, Vlahos </w:t>
      </w:r>
      <w:r w:rsidRPr="0062664B">
        <w:t>G, Smyrniotopoulou A, Artell J, Aakkula J, Toikkanen H, Povellato A, Longhitano D, Lasorella V, Balazs K, et al (2015), s. 152.</w:t>
      </w:r>
    </w:p>
  </w:footnote>
  <w:footnote w:id="28">
    <w:p w:rsidR="001A2EB5" w:rsidRPr="0062664B" w:rsidRDefault="001A2EB5" w:rsidP="00820050">
      <w:pPr>
        <w:pStyle w:val="FootnoteText"/>
      </w:pPr>
      <w:r w:rsidRPr="0062664B">
        <w:rPr>
          <w:rStyle w:val="FootnoteReference"/>
          <w:color w:val="878787" w:themeColor="text2" w:themeTint="99"/>
        </w:rPr>
        <w:footnoteRef/>
      </w:r>
      <w:r w:rsidRPr="0062664B">
        <w:rPr>
          <w:color w:val="878787" w:themeColor="text2" w:themeTint="99"/>
        </w:rPr>
        <w:t xml:space="preserve"> </w:t>
      </w:r>
      <w:r w:rsidRPr="0062664B">
        <w:t xml:space="preserve">Trinene i nettovurderingen af landdistriktsudviklingsprogrammernes virkninger er beskrevet mere udførligt i </w:t>
      </w:r>
      <w:hyperlink r:id="rId12">
        <w:r w:rsidRPr="0062664B">
          <w:rPr>
            <w:rStyle w:val="Hyperlink"/>
            <w:sz w:val="16"/>
          </w:rPr>
          <w:t>Guidelines for the ex post evaluation of 2007-2013 RDPs</w:t>
        </w:r>
      </w:hyperlink>
      <w:r w:rsidRPr="0062664B">
        <w:t>, nemlig i kapitel 4.2.3 og 4.2.4.</w:t>
      </w:r>
    </w:p>
  </w:footnote>
  <w:footnote w:id="29">
    <w:p w:rsidR="001A2EB5" w:rsidRPr="0062664B" w:rsidRDefault="001A2EB5" w:rsidP="00B9614C">
      <w:pPr>
        <w:pStyle w:val="FootnoteText"/>
      </w:pPr>
      <w:r w:rsidRPr="0062664B">
        <w:rPr>
          <w:rStyle w:val="FootnoteReference"/>
          <w:color w:val="878787" w:themeColor="text2" w:themeTint="99"/>
        </w:rPr>
        <w:footnoteRef/>
      </w:r>
      <w:r w:rsidRPr="0062664B">
        <w:t xml:space="preserve"> </w:t>
      </w:r>
      <w:r w:rsidRPr="0062664B">
        <w:t xml:space="preserve">For flere </w:t>
      </w:r>
      <w:r w:rsidRPr="0062664B">
        <w:t xml:space="preserve">oplysninger henvises til: "Landscape-moderated biodiversity effects of agri-environmental management: a meta-analysis", Proceedings. Biological sciences/The Royal Society, 278(1713): 1894–1902, Batáry P, Báldi A, Kleijn D, Tscharntke T, (2011). </w:t>
      </w:r>
    </w:p>
  </w:footnote>
  <w:footnote w:id="30">
    <w:p w:rsidR="001A2EB5" w:rsidRPr="0062664B" w:rsidRDefault="001A2EB5" w:rsidP="00FC012D">
      <w:pPr>
        <w:pStyle w:val="FootnoteText"/>
      </w:pPr>
      <w:r w:rsidRPr="0062664B">
        <w:rPr>
          <w:rStyle w:val="FootnoteReference"/>
          <w:color w:val="878787" w:themeColor="text2" w:themeTint="99"/>
        </w:rPr>
        <w:footnoteRef/>
      </w:r>
      <w:r w:rsidRPr="0062664B">
        <w:rPr>
          <w:color w:val="878787" w:themeColor="text2" w:themeTint="99"/>
        </w:rPr>
        <w:t xml:space="preserve"> </w:t>
      </w:r>
      <w:r w:rsidRPr="0062664B">
        <w:t xml:space="preserve">For flere </w:t>
      </w:r>
      <w:r w:rsidRPr="0062664B">
        <w:t xml:space="preserve">oplysninger henvises til: "Organic farming at local and landscape scales benefits plant diversity", Ecography 33(3): 514- 522, Rundlöf M, Edlund M, Smith HG, (2009).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2EB5" w:rsidRPr="00E4509B" w:rsidRDefault="001A2EB5" w:rsidP="008D52EA">
    <w:pPr>
      <w:pStyle w:val="Header"/>
    </w:pPr>
    <w:r>
      <w:tab/>
    </w:r>
    <w:r>
      <w:t>Del I - Hvad skal der indberettes om evaluering i den årlige gennemførelsesrapport i 2019?</w:t>
    </w:r>
  </w:p>
  <w:p w:rsidR="001A2EB5" w:rsidRPr="002C3379" w:rsidRDefault="001A2EB5" w:rsidP="00E450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2EB5" w:rsidRPr="00E6677E" w:rsidRDefault="001A2EB5" w:rsidP="00E667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700E3"/>
    <w:multiLevelType w:val="hybridMultilevel"/>
    <w:tmpl w:val="4C805968"/>
    <w:lvl w:ilvl="0" w:tplc="12F6D094">
      <w:start w:val="3"/>
      <w:numFmt w:val="bullet"/>
      <w:lvlText w:val="-"/>
      <w:lvlJc w:val="left"/>
      <w:pPr>
        <w:ind w:left="720" w:hanging="360"/>
      </w:pPr>
      <w:rPr>
        <w:rFonts w:ascii="Arial" w:eastAsia="Times New Roman" w:hAnsi="Arial" w:cs="Aria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077E1094"/>
    <w:multiLevelType w:val="multilevel"/>
    <w:tmpl w:val="9552195C"/>
    <w:lvl w:ilvl="0">
      <w:start w:val="1"/>
      <w:numFmt w:val="decimal"/>
      <w:pStyle w:val="Subtitle"/>
      <w:lvlText w:val="Table %1"/>
      <w:lvlJc w:val="left"/>
      <w:pPr>
        <w:ind w:left="851" w:hanging="851"/>
      </w:pPr>
      <w:rPr>
        <w:rFonts w:ascii="Arial" w:hAnsi="Arial" w:cs="Times New Roman" w:hint="default"/>
        <w:b/>
        <w:bCs w:val="0"/>
        <w:i w:val="0"/>
        <w:iCs w:val="0"/>
        <w:caps w:val="0"/>
        <w:smallCaps w:val="0"/>
        <w:strike w:val="0"/>
        <w:dstrike w:val="0"/>
        <w:noProof w:val="0"/>
        <w:vanish w:val="0"/>
        <w:color w:val="000000"/>
        <w:spacing w:val="0"/>
        <w:kern w:val="0"/>
        <w:position w:val="0"/>
        <w:sz w:val="16"/>
        <w:szCs w:val="16"/>
        <w:u w:val="none"/>
        <w:effect w:val="none"/>
        <w:vertAlign w:val="baseline"/>
        <w:em w:val="none"/>
        <w:specVanish w:val="0"/>
      </w:rPr>
    </w:lvl>
    <w:lvl w:ilvl="1">
      <w:start w:val="1"/>
      <w:numFmt w:val="lowerLetter"/>
      <w:lvlText w:val="%2."/>
      <w:lvlJc w:val="left"/>
      <w:pPr>
        <w:ind w:left="2073" w:hanging="360"/>
      </w:pPr>
      <w:rPr>
        <w:rFonts w:hint="default"/>
      </w:rPr>
    </w:lvl>
    <w:lvl w:ilvl="2">
      <w:start w:val="1"/>
      <w:numFmt w:val="lowerRoman"/>
      <w:lvlText w:val="%3."/>
      <w:lvlJc w:val="right"/>
      <w:pPr>
        <w:ind w:left="2793" w:hanging="180"/>
      </w:pPr>
      <w:rPr>
        <w:rFonts w:hint="default"/>
      </w:rPr>
    </w:lvl>
    <w:lvl w:ilvl="3">
      <w:start w:val="1"/>
      <w:numFmt w:val="decimal"/>
      <w:lvlText w:val="%4."/>
      <w:lvlJc w:val="left"/>
      <w:pPr>
        <w:ind w:left="3513" w:hanging="360"/>
      </w:pPr>
      <w:rPr>
        <w:rFonts w:hint="default"/>
      </w:rPr>
    </w:lvl>
    <w:lvl w:ilvl="4">
      <w:start w:val="1"/>
      <w:numFmt w:val="lowerLetter"/>
      <w:lvlText w:val="%5."/>
      <w:lvlJc w:val="left"/>
      <w:pPr>
        <w:ind w:left="4233" w:hanging="360"/>
      </w:pPr>
      <w:rPr>
        <w:rFonts w:hint="default"/>
      </w:rPr>
    </w:lvl>
    <w:lvl w:ilvl="5">
      <w:start w:val="1"/>
      <w:numFmt w:val="lowerRoman"/>
      <w:lvlText w:val="%6."/>
      <w:lvlJc w:val="right"/>
      <w:pPr>
        <w:ind w:left="4953" w:hanging="180"/>
      </w:pPr>
      <w:rPr>
        <w:rFonts w:hint="default"/>
      </w:rPr>
    </w:lvl>
    <w:lvl w:ilvl="6">
      <w:start w:val="1"/>
      <w:numFmt w:val="decimal"/>
      <w:lvlText w:val="%7."/>
      <w:lvlJc w:val="left"/>
      <w:pPr>
        <w:ind w:left="5673" w:hanging="360"/>
      </w:pPr>
      <w:rPr>
        <w:rFonts w:hint="default"/>
      </w:rPr>
    </w:lvl>
    <w:lvl w:ilvl="7">
      <w:start w:val="1"/>
      <w:numFmt w:val="lowerLetter"/>
      <w:lvlText w:val="%8."/>
      <w:lvlJc w:val="left"/>
      <w:pPr>
        <w:ind w:left="6393" w:hanging="360"/>
      </w:pPr>
      <w:rPr>
        <w:rFonts w:hint="default"/>
      </w:rPr>
    </w:lvl>
    <w:lvl w:ilvl="8">
      <w:start w:val="1"/>
      <w:numFmt w:val="lowerRoman"/>
      <w:lvlText w:val="%9."/>
      <w:lvlJc w:val="right"/>
      <w:pPr>
        <w:ind w:left="7113" w:hanging="180"/>
      </w:pPr>
      <w:rPr>
        <w:rFonts w:hint="default"/>
      </w:rPr>
    </w:lvl>
  </w:abstractNum>
  <w:abstractNum w:abstractNumId="3"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DF342A9"/>
    <w:multiLevelType w:val="hybridMultilevel"/>
    <w:tmpl w:val="F04C2544"/>
    <w:lvl w:ilvl="0" w:tplc="8C24ADFE">
      <w:start w:val="1"/>
      <w:numFmt w:val="decimal"/>
      <w:lvlText w:val="%1."/>
      <w:lvlJc w:val="left"/>
      <w:pPr>
        <w:ind w:left="720" w:hanging="360"/>
      </w:pPr>
      <w:rPr>
        <w:rFonts w:hint="default"/>
        <w:u w:val="single"/>
      </w:rPr>
    </w:lvl>
    <w:lvl w:ilvl="1" w:tplc="041B0019">
      <w:start w:val="1"/>
      <w:numFmt w:val="lowerLetter"/>
      <w:lvlText w:val="%2."/>
      <w:lvlJc w:val="left"/>
      <w:pPr>
        <w:ind w:left="1440" w:hanging="360"/>
      </w:pPr>
    </w:lvl>
    <w:lvl w:ilvl="2" w:tplc="F7D8BF0E">
      <w:start w:val="1"/>
      <w:numFmt w:val="lowerLetter"/>
      <w:lvlText w:val="%3)"/>
      <w:lvlJc w:val="left"/>
      <w:pPr>
        <w:ind w:left="2340" w:hanging="360"/>
      </w:pPr>
      <w:rPr>
        <w:rFonts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12CB28B3"/>
    <w:multiLevelType w:val="hybridMultilevel"/>
    <w:tmpl w:val="4A3C5D26"/>
    <w:lvl w:ilvl="0" w:tplc="04080017">
      <w:start w:val="1"/>
      <w:numFmt w:val="lowerLetter"/>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5C84A41"/>
    <w:multiLevelType w:val="multilevel"/>
    <w:tmpl w:val="B5F87352"/>
    <w:lvl w:ilvl="0">
      <w:start w:val="1"/>
      <w:numFmt w:val="decimal"/>
      <w:pStyle w:val="Heading1"/>
      <w:lvlText w:val="%1"/>
      <w:lvlJc w:val="left"/>
      <w:pPr>
        <w:tabs>
          <w:tab w:val="num" w:pos="474"/>
        </w:tabs>
        <w:ind w:left="262" w:hanging="148"/>
      </w:pPr>
      <w:rPr>
        <w:rFonts w:hint="default"/>
      </w:rPr>
    </w:lvl>
    <w:lvl w:ilvl="1">
      <w:start w:val="1"/>
      <w:numFmt w:val="decimal"/>
      <w:pStyle w:val="Heading2"/>
      <w:lvlText w:val="%1.%2"/>
      <w:lvlJc w:val="left"/>
      <w:pPr>
        <w:tabs>
          <w:tab w:val="num" w:pos="360"/>
        </w:tabs>
        <w:ind w:left="0" w:firstLine="0"/>
      </w:pPr>
      <w:rPr>
        <w:rFonts w:hint="default"/>
      </w:rPr>
    </w:lvl>
    <w:lvl w:ilvl="2">
      <w:start w:val="1"/>
      <w:numFmt w:val="decimal"/>
      <w:pStyle w:val="Heading3"/>
      <w:lvlText w:val="%1.%2.%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7"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57825E"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373737"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27FC8"/>
    <w:multiLevelType w:val="hybridMultilevel"/>
    <w:tmpl w:val="FA02B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BA4DA5"/>
    <w:multiLevelType w:val="multilevel"/>
    <w:tmpl w:val="0E4CF658"/>
    <w:styleLink w:val="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C113FF8"/>
    <w:multiLevelType w:val="hybridMultilevel"/>
    <w:tmpl w:val="B9964EBC"/>
    <w:lvl w:ilvl="0" w:tplc="041B0001">
      <w:start w:val="1"/>
      <w:numFmt w:val="bullet"/>
      <w:lvlText w:val=""/>
      <w:lvlJc w:val="left"/>
      <w:pPr>
        <w:ind w:left="775" w:hanging="360"/>
      </w:pPr>
      <w:rPr>
        <w:rFonts w:ascii="Symbol" w:hAnsi="Symbol" w:hint="default"/>
      </w:rPr>
    </w:lvl>
    <w:lvl w:ilvl="1" w:tplc="041B0003" w:tentative="1">
      <w:start w:val="1"/>
      <w:numFmt w:val="bullet"/>
      <w:lvlText w:val="o"/>
      <w:lvlJc w:val="left"/>
      <w:pPr>
        <w:ind w:left="1495" w:hanging="360"/>
      </w:pPr>
      <w:rPr>
        <w:rFonts w:ascii="Courier New" w:hAnsi="Courier New" w:cs="Courier New" w:hint="default"/>
      </w:rPr>
    </w:lvl>
    <w:lvl w:ilvl="2" w:tplc="041B0005" w:tentative="1">
      <w:start w:val="1"/>
      <w:numFmt w:val="bullet"/>
      <w:lvlText w:val=""/>
      <w:lvlJc w:val="left"/>
      <w:pPr>
        <w:ind w:left="2215" w:hanging="360"/>
      </w:pPr>
      <w:rPr>
        <w:rFonts w:ascii="Wingdings" w:hAnsi="Wingdings" w:hint="default"/>
      </w:rPr>
    </w:lvl>
    <w:lvl w:ilvl="3" w:tplc="041B0001" w:tentative="1">
      <w:start w:val="1"/>
      <w:numFmt w:val="bullet"/>
      <w:lvlText w:val=""/>
      <w:lvlJc w:val="left"/>
      <w:pPr>
        <w:ind w:left="2935" w:hanging="360"/>
      </w:pPr>
      <w:rPr>
        <w:rFonts w:ascii="Symbol" w:hAnsi="Symbol" w:hint="default"/>
      </w:rPr>
    </w:lvl>
    <w:lvl w:ilvl="4" w:tplc="041B0003" w:tentative="1">
      <w:start w:val="1"/>
      <w:numFmt w:val="bullet"/>
      <w:lvlText w:val="o"/>
      <w:lvlJc w:val="left"/>
      <w:pPr>
        <w:ind w:left="3655" w:hanging="360"/>
      </w:pPr>
      <w:rPr>
        <w:rFonts w:ascii="Courier New" w:hAnsi="Courier New" w:cs="Courier New" w:hint="default"/>
      </w:rPr>
    </w:lvl>
    <w:lvl w:ilvl="5" w:tplc="041B0005" w:tentative="1">
      <w:start w:val="1"/>
      <w:numFmt w:val="bullet"/>
      <w:lvlText w:val=""/>
      <w:lvlJc w:val="left"/>
      <w:pPr>
        <w:ind w:left="4375" w:hanging="360"/>
      </w:pPr>
      <w:rPr>
        <w:rFonts w:ascii="Wingdings" w:hAnsi="Wingdings" w:hint="default"/>
      </w:rPr>
    </w:lvl>
    <w:lvl w:ilvl="6" w:tplc="041B0001" w:tentative="1">
      <w:start w:val="1"/>
      <w:numFmt w:val="bullet"/>
      <w:lvlText w:val=""/>
      <w:lvlJc w:val="left"/>
      <w:pPr>
        <w:ind w:left="5095" w:hanging="360"/>
      </w:pPr>
      <w:rPr>
        <w:rFonts w:ascii="Symbol" w:hAnsi="Symbol" w:hint="default"/>
      </w:rPr>
    </w:lvl>
    <w:lvl w:ilvl="7" w:tplc="041B0003" w:tentative="1">
      <w:start w:val="1"/>
      <w:numFmt w:val="bullet"/>
      <w:lvlText w:val="o"/>
      <w:lvlJc w:val="left"/>
      <w:pPr>
        <w:ind w:left="5815" w:hanging="360"/>
      </w:pPr>
      <w:rPr>
        <w:rFonts w:ascii="Courier New" w:hAnsi="Courier New" w:cs="Courier New" w:hint="default"/>
      </w:rPr>
    </w:lvl>
    <w:lvl w:ilvl="8" w:tplc="041B0005" w:tentative="1">
      <w:start w:val="1"/>
      <w:numFmt w:val="bullet"/>
      <w:lvlText w:val=""/>
      <w:lvlJc w:val="left"/>
      <w:pPr>
        <w:ind w:left="6535" w:hanging="360"/>
      </w:pPr>
      <w:rPr>
        <w:rFonts w:ascii="Wingdings" w:hAnsi="Wingdings" w:hint="default"/>
      </w:rPr>
    </w:lvl>
  </w:abstractNum>
  <w:abstractNum w:abstractNumId="12" w15:restartNumberingAfterBreak="0">
    <w:nsid w:val="310547BD"/>
    <w:multiLevelType w:val="hybridMultilevel"/>
    <w:tmpl w:val="70BAE8C6"/>
    <w:lvl w:ilvl="0" w:tplc="7264BFF4">
      <w:start w:val="1"/>
      <w:numFmt w:val="decimal"/>
      <w:pStyle w:val="HHeadingfigures"/>
      <w:lvlText w:val="Figure %1."/>
      <w:lvlJc w:val="left"/>
      <w:pPr>
        <w:tabs>
          <w:tab w:val="num" w:pos="964"/>
        </w:tabs>
        <w:ind w:left="964" w:hanging="964"/>
      </w:pPr>
      <w:rPr>
        <w:rFonts w:hint="default"/>
        <w:b/>
        <w:bCs w:val="0"/>
        <w:i w:val="0"/>
        <w:iCs w:val="0"/>
        <w:caps w:val="0"/>
        <w:smallCaps w:val="0"/>
        <w:strike w:val="0"/>
        <w:dstrike w:val="0"/>
        <w:noProof w:val="0"/>
        <w:vanish w:val="0"/>
        <w:color w:val="373737" w:themeColor="text1"/>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BBC6932"/>
    <w:multiLevelType w:val="hybridMultilevel"/>
    <w:tmpl w:val="BBBE01C4"/>
    <w:lvl w:ilvl="0" w:tplc="91608FB0">
      <w:start w:val="1"/>
      <w:numFmt w:val="bullet"/>
      <w:pStyle w:val="Hlistbullet"/>
      <w:lvlText w:val=""/>
      <w:lvlJc w:val="left"/>
      <w:pPr>
        <w:ind w:left="928" w:hanging="360"/>
      </w:pPr>
      <w:rPr>
        <w:rFonts w:ascii="Symbol" w:hAnsi="Symbol"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0677474"/>
    <w:multiLevelType w:val="hybridMultilevel"/>
    <w:tmpl w:val="9DC66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53EAC4D6"/>
    <w:lvl w:ilvl="0" w:tplc="E8C0D4C0">
      <w:start w:val="1"/>
      <w:numFmt w:val="decimal"/>
      <w:pStyle w:val="HHeadingtables"/>
      <w:lvlText w:val="Table %1."/>
      <w:lvlJc w:val="left"/>
      <w:pPr>
        <w:ind w:left="360" w:hanging="360"/>
      </w:pPr>
      <w:rPr>
        <w:specVanish w:val="0"/>
      </w:rPr>
    </w:lvl>
    <w:lvl w:ilvl="1" w:tplc="04070019" w:tentative="1">
      <w:start w:val="1"/>
      <w:numFmt w:val="lowerLetter"/>
      <w:lvlText w:val="%2."/>
      <w:lvlJc w:val="left"/>
      <w:pPr>
        <w:ind w:left="-829" w:hanging="360"/>
      </w:pPr>
    </w:lvl>
    <w:lvl w:ilvl="2" w:tplc="0407001B" w:tentative="1">
      <w:start w:val="1"/>
      <w:numFmt w:val="lowerRoman"/>
      <w:lvlText w:val="%3."/>
      <w:lvlJc w:val="right"/>
      <w:pPr>
        <w:ind w:left="-109" w:hanging="180"/>
      </w:pPr>
    </w:lvl>
    <w:lvl w:ilvl="3" w:tplc="0407000F" w:tentative="1">
      <w:start w:val="1"/>
      <w:numFmt w:val="decimal"/>
      <w:lvlText w:val="%4."/>
      <w:lvlJc w:val="left"/>
      <w:pPr>
        <w:ind w:left="611" w:hanging="360"/>
      </w:pPr>
    </w:lvl>
    <w:lvl w:ilvl="4" w:tplc="04070019" w:tentative="1">
      <w:start w:val="1"/>
      <w:numFmt w:val="lowerLetter"/>
      <w:lvlText w:val="%5."/>
      <w:lvlJc w:val="left"/>
      <w:pPr>
        <w:ind w:left="1331" w:hanging="360"/>
      </w:pPr>
    </w:lvl>
    <w:lvl w:ilvl="5" w:tplc="0407001B" w:tentative="1">
      <w:start w:val="1"/>
      <w:numFmt w:val="lowerRoman"/>
      <w:lvlText w:val="%6."/>
      <w:lvlJc w:val="right"/>
      <w:pPr>
        <w:ind w:left="2051" w:hanging="180"/>
      </w:pPr>
    </w:lvl>
    <w:lvl w:ilvl="6" w:tplc="0407000F" w:tentative="1">
      <w:start w:val="1"/>
      <w:numFmt w:val="decimal"/>
      <w:lvlText w:val="%7."/>
      <w:lvlJc w:val="left"/>
      <w:pPr>
        <w:ind w:left="2771" w:hanging="360"/>
      </w:pPr>
    </w:lvl>
    <w:lvl w:ilvl="7" w:tplc="04070019" w:tentative="1">
      <w:start w:val="1"/>
      <w:numFmt w:val="lowerLetter"/>
      <w:lvlText w:val="%8."/>
      <w:lvlJc w:val="left"/>
      <w:pPr>
        <w:ind w:left="3491" w:hanging="360"/>
      </w:pPr>
    </w:lvl>
    <w:lvl w:ilvl="8" w:tplc="0407001B" w:tentative="1">
      <w:start w:val="1"/>
      <w:numFmt w:val="lowerRoman"/>
      <w:lvlText w:val="%9."/>
      <w:lvlJc w:val="right"/>
      <w:pPr>
        <w:ind w:left="4211" w:hanging="180"/>
      </w:pPr>
    </w:lvl>
  </w:abstractNum>
  <w:abstractNum w:abstractNumId="16" w15:restartNumberingAfterBreak="0">
    <w:nsid w:val="446B7352"/>
    <w:multiLevelType w:val="hybridMultilevel"/>
    <w:tmpl w:val="E758C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F8294A"/>
    <w:multiLevelType w:val="hybridMultilevel"/>
    <w:tmpl w:val="A61044DA"/>
    <w:lvl w:ilvl="0" w:tplc="C1BE37B8">
      <w:start w:val="1"/>
      <w:numFmt w:val="lowerLetter"/>
      <w:pStyle w:val="Hlistabc"/>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C663347"/>
    <w:multiLevelType w:val="hybridMultilevel"/>
    <w:tmpl w:val="BEE86F04"/>
    <w:lvl w:ilvl="0" w:tplc="EAF66E3A">
      <w:start w:val="1"/>
      <w:numFmt w:val="bullet"/>
      <w:pStyle w:val="Hlistbullet2"/>
      <w:lvlText w:val="o"/>
      <w:lvlJc w:val="left"/>
      <w:pPr>
        <w:ind w:left="720" w:hanging="360"/>
      </w:pPr>
      <w:rPr>
        <w:rFonts w:ascii="Courier New" w:hAnsi="Courier New" w:hint="default"/>
        <w:color w:val="F07E31"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933F93"/>
    <w:multiLevelType w:val="hybridMultilevel"/>
    <w:tmpl w:val="3EFCB27A"/>
    <w:lvl w:ilvl="0" w:tplc="0809000F">
      <w:start w:val="1"/>
      <w:numFmt w:val="decimal"/>
      <w:lvlText w:val="%1."/>
      <w:lvlJc w:val="left"/>
      <w:pPr>
        <w:ind w:left="928" w:hanging="360"/>
      </w:pPr>
      <w:rPr>
        <w:rFonts w:hint="default"/>
        <w:color w:val="57825E"/>
        <w:sz w:val="18"/>
        <w:szCs w:val="18"/>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E973CF"/>
    <w:multiLevelType w:val="hybridMultilevel"/>
    <w:tmpl w:val="471E9ED8"/>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53FC3597"/>
    <w:multiLevelType w:val="hybridMultilevel"/>
    <w:tmpl w:val="33407086"/>
    <w:lvl w:ilvl="0" w:tplc="041B000F">
      <w:start w:val="1"/>
      <w:numFmt w:val="decimal"/>
      <w:lvlText w:val="%1."/>
      <w:lvlJc w:val="left"/>
      <w:pPr>
        <w:ind w:left="1571" w:hanging="360"/>
      </w:pPr>
    </w:lvl>
    <w:lvl w:ilvl="1" w:tplc="041B0019" w:tentative="1">
      <w:start w:val="1"/>
      <w:numFmt w:val="lowerLetter"/>
      <w:lvlText w:val="%2."/>
      <w:lvlJc w:val="left"/>
      <w:pPr>
        <w:ind w:left="2291" w:hanging="360"/>
      </w:pPr>
    </w:lvl>
    <w:lvl w:ilvl="2" w:tplc="041B001B" w:tentative="1">
      <w:start w:val="1"/>
      <w:numFmt w:val="lowerRoman"/>
      <w:lvlText w:val="%3."/>
      <w:lvlJc w:val="right"/>
      <w:pPr>
        <w:ind w:left="3011" w:hanging="180"/>
      </w:pPr>
    </w:lvl>
    <w:lvl w:ilvl="3" w:tplc="041B000F" w:tentative="1">
      <w:start w:val="1"/>
      <w:numFmt w:val="decimal"/>
      <w:lvlText w:val="%4."/>
      <w:lvlJc w:val="left"/>
      <w:pPr>
        <w:ind w:left="3731" w:hanging="360"/>
      </w:pPr>
    </w:lvl>
    <w:lvl w:ilvl="4" w:tplc="041B0019" w:tentative="1">
      <w:start w:val="1"/>
      <w:numFmt w:val="lowerLetter"/>
      <w:lvlText w:val="%5."/>
      <w:lvlJc w:val="left"/>
      <w:pPr>
        <w:ind w:left="4451" w:hanging="360"/>
      </w:pPr>
    </w:lvl>
    <w:lvl w:ilvl="5" w:tplc="041B001B" w:tentative="1">
      <w:start w:val="1"/>
      <w:numFmt w:val="lowerRoman"/>
      <w:lvlText w:val="%6."/>
      <w:lvlJc w:val="right"/>
      <w:pPr>
        <w:ind w:left="5171" w:hanging="180"/>
      </w:pPr>
    </w:lvl>
    <w:lvl w:ilvl="6" w:tplc="041B000F" w:tentative="1">
      <w:start w:val="1"/>
      <w:numFmt w:val="decimal"/>
      <w:lvlText w:val="%7."/>
      <w:lvlJc w:val="left"/>
      <w:pPr>
        <w:ind w:left="5891" w:hanging="360"/>
      </w:pPr>
    </w:lvl>
    <w:lvl w:ilvl="7" w:tplc="041B0019" w:tentative="1">
      <w:start w:val="1"/>
      <w:numFmt w:val="lowerLetter"/>
      <w:lvlText w:val="%8."/>
      <w:lvlJc w:val="left"/>
      <w:pPr>
        <w:ind w:left="6611" w:hanging="360"/>
      </w:pPr>
    </w:lvl>
    <w:lvl w:ilvl="8" w:tplc="041B001B" w:tentative="1">
      <w:start w:val="1"/>
      <w:numFmt w:val="lowerRoman"/>
      <w:lvlText w:val="%9."/>
      <w:lvlJc w:val="right"/>
      <w:pPr>
        <w:ind w:left="7331" w:hanging="180"/>
      </w:pPr>
    </w:lvl>
  </w:abstractNum>
  <w:abstractNum w:abstractNumId="22" w15:restartNumberingAfterBreak="0">
    <w:nsid w:val="66691E4D"/>
    <w:multiLevelType w:val="hybridMultilevel"/>
    <w:tmpl w:val="4FC82400"/>
    <w:lvl w:ilvl="0" w:tplc="663C7372">
      <w:numFmt w:val="bullet"/>
      <w:lvlText w:val=""/>
      <w:lvlJc w:val="left"/>
      <w:pPr>
        <w:ind w:left="720" w:hanging="360"/>
      </w:pPr>
      <w:rPr>
        <w:rFonts w:ascii="Wingdings 3" w:eastAsia="Times New Roman" w:hAnsi="Wingdings 3" w:cs="Times New Roman" w:hint="default"/>
        <w:color w:val="F07E31"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F14428"/>
    <w:multiLevelType w:val="hybridMultilevel"/>
    <w:tmpl w:val="ED044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C72A78"/>
    <w:multiLevelType w:val="hybridMultilevel"/>
    <w:tmpl w:val="0A804530"/>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5" w15:restartNumberingAfterBreak="0">
    <w:nsid w:val="6C4D270F"/>
    <w:multiLevelType w:val="hybridMultilevel"/>
    <w:tmpl w:val="5B761532"/>
    <w:lvl w:ilvl="0" w:tplc="C0A2A0CC">
      <w:start w:val="3"/>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8090001">
      <w:start w:val="1"/>
      <w:numFmt w:val="bullet"/>
      <w:lvlText w:val=""/>
      <w:lvlJc w:val="left"/>
      <w:pPr>
        <w:ind w:left="1457" w:hanging="180"/>
      </w:pPr>
      <w:rPr>
        <w:rFonts w:ascii="Symbol" w:hAnsi="Symbol" w:hint="default"/>
        <w:color w:val="F07E31" w:themeColor="accent1"/>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C5B3440"/>
    <w:multiLevelType w:val="hybridMultilevel"/>
    <w:tmpl w:val="D624ACF8"/>
    <w:lvl w:ilvl="0" w:tplc="3BC8D076">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0D15F02"/>
    <w:multiLevelType w:val="hybridMultilevel"/>
    <w:tmpl w:val="33743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916E6D"/>
    <w:multiLevelType w:val="hybridMultilevel"/>
    <w:tmpl w:val="19704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5D33D3"/>
    <w:multiLevelType w:val="multilevel"/>
    <w:tmpl w:val="EC66BD28"/>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146"/>
        </w:tabs>
        <w:ind w:left="426"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0" w15:restartNumberingAfterBreak="0">
    <w:nsid w:val="7E752836"/>
    <w:multiLevelType w:val="hybridMultilevel"/>
    <w:tmpl w:val="EA7050F0"/>
    <w:lvl w:ilvl="0" w:tplc="7A1AAC92">
      <w:start w:val="1"/>
      <w:numFmt w:val="bullet"/>
      <w:pStyle w:val="Htablebullet"/>
      <w:lvlText w:val=""/>
      <w:lvlJc w:val="left"/>
      <w:pPr>
        <w:ind w:left="360"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7"/>
  </w:num>
  <w:num w:numId="4">
    <w:abstractNumId w:val="8"/>
  </w:num>
  <w:num w:numId="5">
    <w:abstractNumId w:val="30"/>
  </w:num>
  <w:num w:numId="6">
    <w:abstractNumId w:val="29"/>
  </w:num>
  <w:num w:numId="7">
    <w:abstractNumId w:val="15"/>
  </w:num>
  <w:num w:numId="8">
    <w:abstractNumId w:val="12"/>
  </w:num>
  <w:num w:numId="9">
    <w:abstractNumId w:val="3"/>
  </w:num>
  <w:num w:numId="10">
    <w:abstractNumId w:val="0"/>
  </w:num>
  <w:num w:numId="11">
    <w:abstractNumId w:val="7"/>
  </w:num>
  <w:num w:numId="12">
    <w:abstractNumId w:val="18"/>
  </w:num>
  <w:num w:numId="13">
    <w:abstractNumId w:val="4"/>
  </w:num>
  <w:num w:numId="14">
    <w:abstractNumId w:val="17"/>
    <w:lvlOverride w:ilvl="0">
      <w:startOverride w:val="1"/>
    </w:lvlOverride>
  </w:num>
  <w:num w:numId="15">
    <w:abstractNumId w:val="10"/>
  </w:num>
  <w:num w:numId="16">
    <w:abstractNumId w:val="1"/>
  </w:num>
  <w:num w:numId="17">
    <w:abstractNumId w:val="26"/>
  </w:num>
  <w:num w:numId="18">
    <w:abstractNumId w:val="25"/>
  </w:num>
  <w:num w:numId="19">
    <w:abstractNumId w:val="2"/>
  </w:num>
  <w:num w:numId="20">
    <w:abstractNumId w:val="5"/>
  </w:num>
  <w:num w:numId="21">
    <w:abstractNumId w:val="20"/>
  </w:num>
  <w:num w:numId="22">
    <w:abstractNumId w:val="12"/>
  </w:num>
  <w:num w:numId="23">
    <w:abstractNumId w:val="22"/>
  </w:num>
  <w:num w:numId="24">
    <w:abstractNumId w:val="21"/>
  </w:num>
  <w:num w:numId="25">
    <w:abstractNumId w:val="19"/>
  </w:num>
  <w:num w:numId="26">
    <w:abstractNumId w:val="9"/>
  </w:num>
  <w:num w:numId="27">
    <w:abstractNumId w:val="28"/>
  </w:num>
  <w:num w:numId="28">
    <w:abstractNumId w:val="23"/>
  </w:num>
  <w:num w:numId="29">
    <w:abstractNumId w:val="24"/>
  </w:num>
  <w:num w:numId="30">
    <w:abstractNumId w:val="27"/>
  </w:num>
  <w:num w:numId="31">
    <w:abstractNumId w:val="16"/>
  </w:num>
  <w:num w:numId="32">
    <w:abstractNumId w:val="14"/>
  </w:num>
  <w:num w:numId="33">
    <w:abstractNumId w:val="13"/>
  </w:num>
  <w:num w:numId="34">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284"/>
  <w:doNotHyphenateCap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LW_DocType" w:val="WTEMPLATE_ORANGE_2017"/>
  </w:docVars>
  <w:rsids>
    <w:rsidRoot w:val="00CD63F6"/>
    <w:rsid w:val="0000007B"/>
    <w:rsid w:val="000001D4"/>
    <w:rsid w:val="0000104B"/>
    <w:rsid w:val="00002482"/>
    <w:rsid w:val="000026A3"/>
    <w:rsid w:val="00002A15"/>
    <w:rsid w:val="00002FFD"/>
    <w:rsid w:val="00003C64"/>
    <w:rsid w:val="00004E4F"/>
    <w:rsid w:val="000068EF"/>
    <w:rsid w:val="00006B47"/>
    <w:rsid w:val="00010136"/>
    <w:rsid w:val="00010901"/>
    <w:rsid w:val="00010981"/>
    <w:rsid w:val="00010A66"/>
    <w:rsid w:val="00010B08"/>
    <w:rsid w:val="00011CD6"/>
    <w:rsid w:val="00011DC7"/>
    <w:rsid w:val="0001214D"/>
    <w:rsid w:val="000128D8"/>
    <w:rsid w:val="00012BA4"/>
    <w:rsid w:val="00012F22"/>
    <w:rsid w:val="00013C3D"/>
    <w:rsid w:val="0001428E"/>
    <w:rsid w:val="000142AB"/>
    <w:rsid w:val="00015D95"/>
    <w:rsid w:val="00016061"/>
    <w:rsid w:val="00016C49"/>
    <w:rsid w:val="00017C34"/>
    <w:rsid w:val="000200FC"/>
    <w:rsid w:val="0002085D"/>
    <w:rsid w:val="0002086B"/>
    <w:rsid w:val="00021325"/>
    <w:rsid w:val="0002177B"/>
    <w:rsid w:val="0002182E"/>
    <w:rsid w:val="0002341F"/>
    <w:rsid w:val="00023F16"/>
    <w:rsid w:val="0002477B"/>
    <w:rsid w:val="00025015"/>
    <w:rsid w:val="00025148"/>
    <w:rsid w:val="00025E70"/>
    <w:rsid w:val="000266E6"/>
    <w:rsid w:val="00026F56"/>
    <w:rsid w:val="00026F9F"/>
    <w:rsid w:val="0002704D"/>
    <w:rsid w:val="0002732C"/>
    <w:rsid w:val="00027601"/>
    <w:rsid w:val="00031E67"/>
    <w:rsid w:val="0003232A"/>
    <w:rsid w:val="000325AF"/>
    <w:rsid w:val="00032732"/>
    <w:rsid w:val="000330AD"/>
    <w:rsid w:val="0003333B"/>
    <w:rsid w:val="00033ACC"/>
    <w:rsid w:val="00033B15"/>
    <w:rsid w:val="0003500B"/>
    <w:rsid w:val="0003605E"/>
    <w:rsid w:val="00041200"/>
    <w:rsid w:val="000412E5"/>
    <w:rsid w:val="00041A27"/>
    <w:rsid w:val="000420F9"/>
    <w:rsid w:val="0004231E"/>
    <w:rsid w:val="00043C2A"/>
    <w:rsid w:val="00044397"/>
    <w:rsid w:val="00044CBB"/>
    <w:rsid w:val="00045382"/>
    <w:rsid w:val="000457A0"/>
    <w:rsid w:val="0004609A"/>
    <w:rsid w:val="00047532"/>
    <w:rsid w:val="00047872"/>
    <w:rsid w:val="000506E2"/>
    <w:rsid w:val="00050912"/>
    <w:rsid w:val="00050D72"/>
    <w:rsid w:val="00050EA9"/>
    <w:rsid w:val="00051E23"/>
    <w:rsid w:val="00051EEE"/>
    <w:rsid w:val="0005260E"/>
    <w:rsid w:val="00052870"/>
    <w:rsid w:val="0005382D"/>
    <w:rsid w:val="00054C75"/>
    <w:rsid w:val="00055507"/>
    <w:rsid w:val="000561D6"/>
    <w:rsid w:val="000574E7"/>
    <w:rsid w:val="00057D3C"/>
    <w:rsid w:val="000601FF"/>
    <w:rsid w:val="00060339"/>
    <w:rsid w:val="00060AFC"/>
    <w:rsid w:val="00061150"/>
    <w:rsid w:val="00061838"/>
    <w:rsid w:val="000624B0"/>
    <w:rsid w:val="00062CD2"/>
    <w:rsid w:val="00063251"/>
    <w:rsid w:val="00063276"/>
    <w:rsid w:val="00063B79"/>
    <w:rsid w:val="000650BF"/>
    <w:rsid w:val="000670A3"/>
    <w:rsid w:val="00067C10"/>
    <w:rsid w:val="00070475"/>
    <w:rsid w:val="0007095D"/>
    <w:rsid w:val="00072032"/>
    <w:rsid w:val="0007283B"/>
    <w:rsid w:val="00074916"/>
    <w:rsid w:val="00074F33"/>
    <w:rsid w:val="0007598A"/>
    <w:rsid w:val="00075CA3"/>
    <w:rsid w:val="00076652"/>
    <w:rsid w:val="00076C57"/>
    <w:rsid w:val="000771E1"/>
    <w:rsid w:val="0007726F"/>
    <w:rsid w:val="00077AF9"/>
    <w:rsid w:val="000804B0"/>
    <w:rsid w:val="00081280"/>
    <w:rsid w:val="00081736"/>
    <w:rsid w:val="000833CD"/>
    <w:rsid w:val="000836F2"/>
    <w:rsid w:val="00083705"/>
    <w:rsid w:val="0008418C"/>
    <w:rsid w:val="0008437E"/>
    <w:rsid w:val="00084915"/>
    <w:rsid w:val="00084CD6"/>
    <w:rsid w:val="00084EBA"/>
    <w:rsid w:val="000852E7"/>
    <w:rsid w:val="000856AA"/>
    <w:rsid w:val="00085EAA"/>
    <w:rsid w:val="00087412"/>
    <w:rsid w:val="00087931"/>
    <w:rsid w:val="00087ABB"/>
    <w:rsid w:val="00087F85"/>
    <w:rsid w:val="00090ACF"/>
    <w:rsid w:val="0009119D"/>
    <w:rsid w:val="00092C7D"/>
    <w:rsid w:val="000936B3"/>
    <w:rsid w:val="00093CBB"/>
    <w:rsid w:val="00096C99"/>
    <w:rsid w:val="00096E8E"/>
    <w:rsid w:val="0009736F"/>
    <w:rsid w:val="00097A53"/>
    <w:rsid w:val="00097EBE"/>
    <w:rsid w:val="000A1917"/>
    <w:rsid w:val="000A2A5A"/>
    <w:rsid w:val="000A3F19"/>
    <w:rsid w:val="000A428E"/>
    <w:rsid w:val="000A49DA"/>
    <w:rsid w:val="000A4B75"/>
    <w:rsid w:val="000A6EDF"/>
    <w:rsid w:val="000A72D0"/>
    <w:rsid w:val="000A7970"/>
    <w:rsid w:val="000A7E25"/>
    <w:rsid w:val="000B00DB"/>
    <w:rsid w:val="000B0B8B"/>
    <w:rsid w:val="000B1405"/>
    <w:rsid w:val="000B213F"/>
    <w:rsid w:val="000B2933"/>
    <w:rsid w:val="000B2A17"/>
    <w:rsid w:val="000B30FF"/>
    <w:rsid w:val="000B3BF2"/>
    <w:rsid w:val="000B3D31"/>
    <w:rsid w:val="000B434D"/>
    <w:rsid w:val="000B4920"/>
    <w:rsid w:val="000B4B84"/>
    <w:rsid w:val="000B567F"/>
    <w:rsid w:val="000B5726"/>
    <w:rsid w:val="000B5C67"/>
    <w:rsid w:val="000B5E5F"/>
    <w:rsid w:val="000B62C2"/>
    <w:rsid w:val="000B6372"/>
    <w:rsid w:val="000B7376"/>
    <w:rsid w:val="000C0BB1"/>
    <w:rsid w:val="000C2540"/>
    <w:rsid w:val="000C2567"/>
    <w:rsid w:val="000C3B60"/>
    <w:rsid w:val="000C3D9D"/>
    <w:rsid w:val="000C43F0"/>
    <w:rsid w:val="000C4695"/>
    <w:rsid w:val="000C499A"/>
    <w:rsid w:val="000C49F1"/>
    <w:rsid w:val="000C5796"/>
    <w:rsid w:val="000C5F42"/>
    <w:rsid w:val="000C65CB"/>
    <w:rsid w:val="000C6873"/>
    <w:rsid w:val="000C6FAB"/>
    <w:rsid w:val="000C7C56"/>
    <w:rsid w:val="000D01D5"/>
    <w:rsid w:val="000D07C2"/>
    <w:rsid w:val="000D1414"/>
    <w:rsid w:val="000D1B19"/>
    <w:rsid w:val="000D251E"/>
    <w:rsid w:val="000D3DB8"/>
    <w:rsid w:val="000D476B"/>
    <w:rsid w:val="000D57BD"/>
    <w:rsid w:val="000D5A8C"/>
    <w:rsid w:val="000D6488"/>
    <w:rsid w:val="000D6757"/>
    <w:rsid w:val="000D7A58"/>
    <w:rsid w:val="000D7AB8"/>
    <w:rsid w:val="000D7F4E"/>
    <w:rsid w:val="000E0A0A"/>
    <w:rsid w:val="000E223C"/>
    <w:rsid w:val="000E3057"/>
    <w:rsid w:val="000E31A7"/>
    <w:rsid w:val="000E375A"/>
    <w:rsid w:val="000E420E"/>
    <w:rsid w:val="000E436F"/>
    <w:rsid w:val="000E5513"/>
    <w:rsid w:val="000E6F6F"/>
    <w:rsid w:val="000E787D"/>
    <w:rsid w:val="000E7F1D"/>
    <w:rsid w:val="000F0463"/>
    <w:rsid w:val="000F07C1"/>
    <w:rsid w:val="000F086F"/>
    <w:rsid w:val="000F1DDC"/>
    <w:rsid w:val="000F3028"/>
    <w:rsid w:val="000F4BEA"/>
    <w:rsid w:val="000F4F4F"/>
    <w:rsid w:val="000F5315"/>
    <w:rsid w:val="000F570B"/>
    <w:rsid w:val="000F5CC2"/>
    <w:rsid w:val="000F5E15"/>
    <w:rsid w:val="000F5E43"/>
    <w:rsid w:val="000F77F0"/>
    <w:rsid w:val="000F7876"/>
    <w:rsid w:val="00100A1E"/>
    <w:rsid w:val="00100B02"/>
    <w:rsid w:val="0010132E"/>
    <w:rsid w:val="001018C4"/>
    <w:rsid w:val="001018DD"/>
    <w:rsid w:val="001028FE"/>
    <w:rsid w:val="00102C05"/>
    <w:rsid w:val="00102C6A"/>
    <w:rsid w:val="00103E79"/>
    <w:rsid w:val="001040A8"/>
    <w:rsid w:val="001040F8"/>
    <w:rsid w:val="001043CE"/>
    <w:rsid w:val="001061CD"/>
    <w:rsid w:val="00106C0A"/>
    <w:rsid w:val="00113A37"/>
    <w:rsid w:val="00113F8C"/>
    <w:rsid w:val="00115ED4"/>
    <w:rsid w:val="0011661B"/>
    <w:rsid w:val="00116912"/>
    <w:rsid w:val="00116A79"/>
    <w:rsid w:val="00116CCB"/>
    <w:rsid w:val="001170FF"/>
    <w:rsid w:val="001174CF"/>
    <w:rsid w:val="00117E78"/>
    <w:rsid w:val="00120BAA"/>
    <w:rsid w:val="00120EA9"/>
    <w:rsid w:val="00121696"/>
    <w:rsid w:val="00122285"/>
    <w:rsid w:val="00123367"/>
    <w:rsid w:val="001247FE"/>
    <w:rsid w:val="00125341"/>
    <w:rsid w:val="00126224"/>
    <w:rsid w:val="00131592"/>
    <w:rsid w:val="001315A5"/>
    <w:rsid w:val="001316FD"/>
    <w:rsid w:val="0013249F"/>
    <w:rsid w:val="00132E89"/>
    <w:rsid w:val="0013332D"/>
    <w:rsid w:val="00133C0C"/>
    <w:rsid w:val="00134E3F"/>
    <w:rsid w:val="00134F6F"/>
    <w:rsid w:val="001355C4"/>
    <w:rsid w:val="00135778"/>
    <w:rsid w:val="00135951"/>
    <w:rsid w:val="00135B4A"/>
    <w:rsid w:val="0013678F"/>
    <w:rsid w:val="001367B9"/>
    <w:rsid w:val="00136C15"/>
    <w:rsid w:val="00137201"/>
    <w:rsid w:val="00137828"/>
    <w:rsid w:val="00140380"/>
    <w:rsid w:val="0014085A"/>
    <w:rsid w:val="00140A22"/>
    <w:rsid w:val="00140ABF"/>
    <w:rsid w:val="00140F4E"/>
    <w:rsid w:val="00141199"/>
    <w:rsid w:val="0014235A"/>
    <w:rsid w:val="00143D51"/>
    <w:rsid w:val="00144841"/>
    <w:rsid w:val="00146C75"/>
    <w:rsid w:val="00150D5B"/>
    <w:rsid w:val="00150E9E"/>
    <w:rsid w:val="00151F61"/>
    <w:rsid w:val="0015205D"/>
    <w:rsid w:val="001524F2"/>
    <w:rsid w:val="0015333B"/>
    <w:rsid w:val="00154C43"/>
    <w:rsid w:val="00156B10"/>
    <w:rsid w:val="0015708F"/>
    <w:rsid w:val="00157A50"/>
    <w:rsid w:val="00157DA4"/>
    <w:rsid w:val="00160E60"/>
    <w:rsid w:val="00161851"/>
    <w:rsid w:val="00162193"/>
    <w:rsid w:val="0016310E"/>
    <w:rsid w:val="001631F8"/>
    <w:rsid w:val="00164401"/>
    <w:rsid w:val="00164E60"/>
    <w:rsid w:val="001677D9"/>
    <w:rsid w:val="00170920"/>
    <w:rsid w:val="00171AB2"/>
    <w:rsid w:val="00172554"/>
    <w:rsid w:val="00173923"/>
    <w:rsid w:val="00174DB8"/>
    <w:rsid w:val="00175DAE"/>
    <w:rsid w:val="00176032"/>
    <w:rsid w:val="0017622B"/>
    <w:rsid w:val="00176555"/>
    <w:rsid w:val="001773C8"/>
    <w:rsid w:val="00180B7A"/>
    <w:rsid w:val="001814C1"/>
    <w:rsid w:val="0018197E"/>
    <w:rsid w:val="00182991"/>
    <w:rsid w:val="00183503"/>
    <w:rsid w:val="00183988"/>
    <w:rsid w:val="00183DEC"/>
    <w:rsid w:val="00183FE7"/>
    <w:rsid w:val="00184AD2"/>
    <w:rsid w:val="0018534D"/>
    <w:rsid w:val="001854A1"/>
    <w:rsid w:val="001856B4"/>
    <w:rsid w:val="00185910"/>
    <w:rsid w:val="00185B1D"/>
    <w:rsid w:val="001862E5"/>
    <w:rsid w:val="00186543"/>
    <w:rsid w:val="00186A1A"/>
    <w:rsid w:val="00186FCF"/>
    <w:rsid w:val="00187445"/>
    <w:rsid w:val="00187945"/>
    <w:rsid w:val="00187DD0"/>
    <w:rsid w:val="001900F6"/>
    <w:rsid w:val="00190D63"/>
    <w:rsid w:val="00190F9A"/>
    <w:rsid w:val="00191106"/>
    <w:rsid w:val="00191253"/>
    <w:rsid w:val="00192333"/>
    <w:rsid w:val="00194978"/>
    <w:rsid w:val="00194BE6"/>
    <w:rsid w:val="0019588B"/>
    <w:rsid w:val="0019599B"/>
    <w:rsid w:val="001962E1"/>
    <w:rsid w:val="00196C94"/>
    <w:rsid w:val="00196DF6"/>
    <w:rsid w:val="00197783"/>
    <w:rsid w:val="00197E1C"/>
    <w:rsid w:val="001A088C"/>
    <w:rsid w:val="001A12ED"/>
    <w:rsid w:val="001A1ABF"/>
    <w:rsid w:val="001A2395"/>
    <w:rsid w:val="001A2E63"/>
    <w:rsid w:val="001A2EB5"/>
    <w:rsid w:val="001A2EC3"/>
    <w:rsid w:val="001A3195"/>
    <w:rsid w:val="001A36F4"/>
    <w:rsid w:val="001A3B8C"/>
    <w:rsid w:val="001A424D"/>
    <w:rsid w:val="001A4A92"/>
    <w:rsid w:val="001A51C8"/>
    <w:rsid w:val="001B04F9"/>
    <w:rsid w:val="001B0B03"/>
    <w:rsid w:val="001B0E2D"/>
    <w:rsid w:val="001B1731"/>
    <w:rsid w:val="001B1831"/>
    <w:rsid w:val="001B1DC6"/>
    <w:rsid w:val="001B2DB2"/>
    <w:rsid w:val="001B383F"/>
    <w:rsid w:val="001B42E2"/>
    <w:rsid w:val="001B53E3"/>
    <w:rsid w:val="001B5B15"/>
    <w:rsid w:val="001B5F5A"/>
    <w:rsid w:val="001B62AB"/>
    <w:rsid w:val="001B6888"/>
    <w:rsid w:val="001B6B1D"/>
    <w:rsid w:val="001B70AC"/>
    <w:rsid w:val="001B749E"/>
    <w:rsid w:val="001C10A8"/>
    <w:rsid w:val="001C159A"/>
    <w:rsid w:val="001C2076"/>
    <w:rsid w:val="001C2A72"/>
    <w:rsid w:val="001C31EB"/>
    <w:rsid w:val="001C4CA3"/>
    <w:rsid w:val="001C4D03"/>
    <w:rsid w:val="001C4E09"/>
    <w:rsid w:val="001C4F2E"/>
    <w:rsid w:val="001C6679"/>
    <w:rsid w:val="001C6ACF"/>
    <w:rsid w:val="001C704F"/>
    <w:rsid w:val="001C71BC"/>
    <w:rsid w:val="001C763B"/>
    <w:rsid w:val="001C7730"/>
    <w:rsid w:val="001D0014"/>
    <w:rsid w:val="001D1659"/>
    <w:rsid w:val="001D32F7"/>
    <w:rsid w:val="001D4EDE"/>
    <w:rsid w:val="001D5984"/>
    <w:rsid w:val="001D5A8C"/>
    <w:rsid w:val="001D644A"/>
    <w:rsid w:val="001D6736"/>
    <w:rsid w:val="001D74AA"/>
    <w:rsid w:val="001E0DCE"/>
    <w:rsid w:val="001E17B2"/>
    <w:rsid w:val="001E1E51"/>
    <w:rsid w:val="001E24F4"/>
    <w:rsid w:val="001E36C8"/>
    <w:rsid w:val="001E51CE"/>
    <w:rsid w:val="001E5FC4"/>
    <w:rsid w:val="001F126C"/>
    <w:rsid w:val="001F1A2D"/>
    <w:rsid w:val="001F1DD1"/>
    <w:rsid w:val="001F25E0"/>
    <w:rsid w:val="001F485E"/>
    <w:rsid w:val="001F4DFD"/>
    <w:rsid w:val="001F52E4"/>
    <w:rsid w:val="001F5F53"/>
    <w:rsid w:val="001F6320"/>
    <w:rsid w:val="001F6572"/>
    <w:rsid w:val="001F7942"/>
    <w:rsid w:val="001F7B17"/>
    <w:rsid w:val="002000FD"/>
    <w:rsid w:val="00200679"/>
    <w:rsid w:val="0020196C"/>
    <w:rsid w:val="002047BF"/>
    <w:rsid w:val="0020488A"/>
    <w:rsid w:val="0020546C"/>
    <w:rsid w:val="00206921"/>
    <w:rsid w:val="00207FC1"/>
    <w:rsid w:val="00211573"/>
    <w:rsid w:val="002118E2"/>
    <w:rsid w:val="0021206F"/>
    <w:rsid w:val="00212EFF"/>
    <w:rsid w:val="002132F1"/>
    <w:rsid w:val="00213571"/>
    <w:rsid w:val="00213D26"/>
    <w:rsid w:val="00214324"/>
    <w:rsid w:val="00214FBE"/>
    <w:rsid w:val="00217482"/>
    <w:rsid w:val="0021750E"/>
    <w:rsid w:val="00217A65"/>
    <w:rsid w:val="00217C27"/>
    <w:rsid w:val="002208C7"/>
    <w:rsid w:val="00220B99"/>
    <w:rsid w:val="00220D70"/>
    <w:rsid w:val="00221159"/>
    <w:rsid w:val="002212DB"/>
    <w:rsid w:val="0022256C"/>
    <w:rsid w:val="002227D4"/>
    <w:rsid w:val="00223B64"/>
    <w:rsid w:val="00224BEB"/>
    <w:rsid w:val="0022630A"/>
    <w:rsid w:val="00226826"/>
    <w:rsid w:val="00227C57"/>
    <w:rsid w:val="00231360"/>
    <w:rsid w:val="00231C9C"/>
    <w:rsid w:val="002331B4"/>
    <w:rsid w:val="00233DA6"/>
    <w:rsid w:val="00235026"/>
    <w:rsid w:val="00235402"/>
    <w:rsid w:val="00235C84"/>
    <w:rsid w:val="002419CA"/>
    <w:rsid w:val="002426BA"/>
    <w:rsid w:val="00244620"/>
    <w:rsid w:val="00245F85"/>
    <w:rsid w:val="0024762A"/>
    <w:rsid w:val="002479D6"/>
    <w:rsid w:val="00247F5A"/>
    <w:rsid w:val="002506A5"/>
    <w:rsid w:val="00250C24"/>
    <w:rsid w:val="0025123F"/>
    <w:rsid w:val="0025164E"/>
    <w:rsid w:val="002520A7"/>
    <w:rsid w:val="00252755"/>
    <w:rsid w:val="00252E56"/>
    <w:rsid w:val="002535D9"/>
    <w:rsid w:val="002553C6"/>
    <w:rsid w:val="00255E6A"/>
    <w:rsid w:val="00256636"/>
    <w:rsid w:val="002573E7"/>
    <w:rsid w:val="00260D48"/>
    <w:rsid w:val="00261A45"/>
    <w:rsid w:val="00263267"/>
    <w:rsid w:val="002643D5"/>
    <w:rsid w:val="00264C41"/>
    <w:rsid w:val="0026686F"/>
    <w:rsid w:val="0026726B"/>
    <w:rsid w:val="00267555"/>
    <w:rsid w:val="002709BC"/>
    <w:rsid w:val="0027196C"/>
    <w:rsid w:val="0027225E"/>
    <w:rsid w:val="00272AD5"/>
    <w:rsid w:val="00272E24"/>
    <w:rsid w:val="002730B0"/>
    <w:rsid w:val="00273775"/>
    <w:rsid w:val="0027414F"/>
    <w:rsid w:val="00274AB7"/>
    <w:rsid w:val="00274FF5"/>
    <w:rsid w:val="002751CF"/>
    <w:rsid w:val="00275616"/>
    <w:rsid w:val="00275838"/>
    <w:rsid w:val="002762F1"/>
    <w:rsid w:val="00276DE0"/>
    <w:rsid w:val="00276E62"/>
    <w:rsid w:val="00277A78"/>
    <w:rsid w:val="00280163"/>
    <w:rsid w:val="00280314"/>
    <w:rsid w:val="002807CD"/>
    <w:rsid w:val="002807DC"/>
    <w:rsid w:val="002808E9"/>
    <w:rsid w:val="00281058"/>
    <w:rsid w:val="00281530"/>
    <w:rsid w:val="002826E2"/>
    <w:rsid w:val="002829E5"/>
    <w:rsid w:val="00282BE1"/>
    <w:rsid w:val="00284356"/>
    <w:rsid w:val="00285170"/>
    <w:rsid w:val="0028553B"/>
    <w:rsid w:val="002865CA"/>
    <w:rsid w:val="00287179"/>
    <w:rsid w:val="002904B1"/>
    <w:rsid w:val="002909D3"/>
    <w:rsid w:val="00294410"/>
    <w:rsid w:val="0029590F"/>
    <w:rsid w:val="002963CB"/>
    <w:rsid w:val="00296609"/>
    <w:rsid w:val="002A0062"/>
    <w:rsid w:val="002A09A3"/>
    <w:rsid w:val="002A0D72"/>
    <w:rsid w:val="002A164E"/>
    <w:rsid w:val="002A16B7"/>
    <w:rsid w:val="002A2B60"/>
    <w:rsid w:val="002A2CB4"/>
    <w:rsid w:val="002A326C"/>
    <w:rsid w:val="002A37A1"/>
    <w:rsid w:val="002A42D8"/>
    <w:rsid w:val="002A48A4"/>
    <w:rsid w:val="002A4913"/>
    <w:rsid w:val="002A535A"/>
    <w:rsid w:val="002A6107"/>
    <w:rsid w:val="002A67B2"/>
    <w:rsid w:val="002A72C5"/>
    <w:rsid w:val="002B13CC"/>
    <w:rsid w:val="002B2700"/>
    <w:rsid w:val="002B2AAB"/>
    <w:rsid w:val="002B2E53"/>
    <w:rsid w:val="002B3E82"/>
    <w:rsid w:val="002B4474"/>
    <w:rsid w:val="002B6205"/>
    <w:rsid w:val="002B62FD"/>
    <w:rsid w:val="002B680E"/>
    <w:rsid w:val="002C0CD1"/>
    <w:rsid w:val="002C0D68"/>
    <w:rsid w:val="002C1A6B"/>
    <w:rsid w:val="002C1B75"/>
    <w:rsid w:val="002C1EAB"/>
    <w:rsid w:val="002C3379"/>
    <w:rsid w:val="002C3BA0"/>
    <w:rsid w:val="002C57D4"/>
    <w:rsid w:val="002C5A13"/>
    <w:rsid w:val="002C60AE"/>
    <w:rsid w:val="002C6565"/>
    <w:rsid w:val="002D2801"/>
    <w:rsid w:val="002D2EB0"/>
    <w:rsid w:val="002D4AB7"/>
    <w:rsid w:val="002D4C66"/>
    <w:rsid w:val="002D6124"/>
    <w:rsid w:val="002D6766"/>
    <w:rsid w:val="002D74F7"/>
    <w:rsid w:val="002D778C"/>
    <w:rsid w:val="002E08CE"/>
    <w:rsid w:val="002E0F7E"/>
    <w:rsid w:val="002E13D1"/>
    <w:rsid w:val="002E14FE"/>
    <w:rsid w:val="002E1759"/>
    <w:rsid w:val="002E1E69"/>
    <w:rsid w:val="002E20C6"/>
    <w:rsid w:val="002E27EE"/>
    <w:rsid w:val="002E3569"/>
    <w:rsid w:val="002E46A5"/>
    <w:rsid w:val="002E5877"/>
    <w:rsid w:val="002E5EA6"/>
    <w:rsid w:val="002E6C3C"/>
    <w:rsid w:val="002E709A"/>
    <w:rsid w:val="002E7109"/>
    <w:rsid w:val="002E7348"/>
    <w:rsid w:val="002F172A"/>
    <w:rsid w:val="002F3E31"/>
    <w:rsid w:val="002F4800"/>
    <w:rsid w:val="002F5537"/>
    <w:rsid w:val="002F6F83"/>
    <w:rsid w:val="002F7855"/>
    <w:rsid w:val="003005E4"/>
    <w:rsid w:val="00300A0C"/>
    <w:rsid w:val="00300C4A"/>
    <w:rsid w:val="00301751"/>
    <w:rsid w:val="00301CBD"/>
    <w:rsid w:val="003030C5"/>
    <w:rsid w:val="003039E0"/>
    <w:rsid w:val="00304630"/>
    <w:rsid w:val="003047C9"/>
    <w:rsid w:val="00304E6A"/>
    <w:rsid w:val="0030598E"/>
    <w:rsid w:val="00306F55"/>
    <w:rsid w:val="00307FDF"/>
    <w:rsid w:val="00310961"/>
    <w:rsid w:val="00310B39"/>
    <w:rsid w:val="00310EEB"/>
    <w:rsid w:val="00312415"/>
    <w:rsid w:val="0031268C"/>
    <w:rsid w:val="00313290"/>
    <w:rsid w:val="00313561"/>
    <w:rsid w:val="00314452"/>
    <w:rsid w:val="003146E6"/>
    <w:rsid w:val="0031628C"/>
    <w:rsid w:val="00317BC3"/>
    <w:rsid w:val="00320592"/>
    <w:rsid w:val="00320E03"/>
    <w:rsid w:val="0032154C"/>
    <w:rsid w:val="00321FB3"/>
    <w:rsid w:val="0032242C"/>
    <w:rsid w:val="0032258B"/>
    <w:rsid w:val="003234A8"/>
    <w:rsid w:val="0032386B"/>
    <w:rsid w:val="00325734"/>
    <w:rsid w:val="003262F1"/>
    <w:rsid w:val="00326630"/>
    <w:rsid w:val="003304E5"/>
    <w:rsid w:val="003304F7"/>
    <w:rsid w:val="003308AB"/>
    <w:rsid w:val="003322CE"/>
    <w:rsid w:val="0033248F"/>
    <w:rsid w:val="00332915"/>
    <w:rsid w:val="003334FB"/>
    <w:rsid w:val="00333D04"/>
    <w:rsid w:val="003342D8"/>
    <w:rsid w:val="003360F6"/>
    <w:rsid w:val="00336531"/>
    <w:rsid w:val="00336F23"/>
    <w:rsid w:val="0034132F"/>
    <w:rsid w:val="00341AC1"/>
    <w:rsid w:val="00342A8A"/>
    <w:rsid w:val="00342B5A"/>
    <w:rsid w:val="003433D2"/>
    <w:rsid w:val="003444BB"/>
    <w:rsid w:val="0034673C"/>
    <w:rsid w:val="00346A39"/>
    <w:rsid w:val="00350695"/>
    <w:rsid w:val="003506D4"/>
    <w:rsid w:val="00351B7E"/>
    <w:rsid w:val="003526FE"/>
    <w:rsid w:val="00352B28"/>
    <w:rsid w:val="00354817"/>
    <w:rsid w:val="003563F4"/>
    <w:rsid w:val="00357222"/>
    <w:rsid w:val="003604BB"/>
    <w:rsid w:val="00360775"/>
    <w:rsid w:val="00360800"/>
    <w:rsid w:val="003609A4"/>
    <w:rsid w:val="00362CC6"/>
    <w:rsid w:val="00362D7C"/>
    <w:rsid w:val="00362F04"/>
    <w:rsid w:val="0036326E"/>
    <w:rsid w:val="003646A8"/>
    <w:rsid w:val="0036483B"/>
    <w:rsid w:val="00364BFD"/>
    <w:rsid w:val="00364E0B"/>
    <w:rsid w:val="0036520B"/>
    <w:rsid w:val="00365997"/>
    <w:rsid w:val="003667BE"/>
    <w:rsid w:val="0036731C"/>
    <w:rsid w:val="003708EA"/>
    <w:rsid w:val="0037178D"/>
    <w:rsid w:val="003718F4"/>
    <w:rsid w:val="0037198A"/>
    <w:rsid w:val="00371D33"/>
    <w:rsid w:val="00372358"/>
    <w:rsid w:val="00372C7C"/>
    <w:rsid w:val="00372F8A"/>
    <w:rsid w:val="00373455"/>
    <w:rsid w:val="00373586"/>
    <w:rsid w:val="003742AF"/>
    <w:rsid w:val="003744E0"/>
    <w:rsid w:val="00374906"/>
    <w:rsid w:val="0037516F"/>
    <w:rsid w:val="0037519D"/>
    <w:rsid w:val="003754A1"/>
    <w:rsid w:val="00375DBD"/>
    <w:rsid w:val="00376861"/>
    <w:rsid w:val="003819D9"/>
    <w:rsid w:val="00383CF1"/>
    <w:rsid w:val="00386332"/>
    <w:rsid w:val="003865B0"/>
    <w:rsid w:val="00386750"/>
    <w:rsid w:val="00386E14"/>
    <w:rsid w:val="00386F36"/>
    <w:rsid w:val="0039118F"/>
    <w:rsid w:val="00391ECD"/>
    <w:rsid w:val="0039265F"/>
    <w:rsid w:val="003928D8"/>
    <w:rsid w:val="0039390F"/>
    <w:rsid w:val="00393D5C"/>
    <w:rsid w:val="00393ED7"/>
    <w:rsid w:val="0039432F"/>
    <w:rsid w:val="0039455E"/>
    <w:rsid w:val="00394B3E"/>
    <w:rsid w:val="00395B45"/>
    <w:rsid w:val="00397169"/>
    <w:rsid w:val="003A110E"/>
    <w:rsid w:val="003A1F60"/>
    <w:rsid w:val="003A2E83"/>
    <w:rsid w:val="003A2FDD"/>
    <w:rsid w:val="003A379A"/>
    <w:rsid w:val="003A3B66"/>
    <w:rsid w:val="003A3C55"/>
    <w:rsid w:val="003A49FD"/>
    <w:rsid w:val="003A4B15"/>
    <w:rsid w:val="003A5175"/>
    <w:rsid w:val="003A53D8"/>
    <w:rsid w:val="003A5C74"/>
    <w:rsid w:val="003A6298"/>
    <w:rsid w:val="003A6F22"/>
    <w:rsid w:val="003A6F67"/>
    <w:rsid w:val="003B2309"/>
    <w:rsid w:val="003B25C7"/>
    <w:rsid w:val="003B26C5"/>
    <w:rsid w:val="003B2A7B"/>
    <w:rsid w:val="003B2FA7"/>
    <w:rsid w:val="003B2FE5"/>
    <w:rsid w:val="003B357E"/>
    <w:rsid w:val="003B3CE9"/>
    <w:rsid w:val="003B3F22"/>
    <w:rsid w:val="003B4CB5"/>
    <w:rsid w:val="003B5787"/>
    <w:rsid w:val="003B6354"/>
    <w:rsid w:val="003B6B53"/>
    <w:rsid w:val="003B6E52"/>
    <w:rsid w:val="003B7B0F"/>
    <w:rsid w:val="003B7F5F"/>
    <w:rsid w:val="003C0D75"/>
    <w:rsid w:val="003C0F40"/>
    <w:rsid w:val="003C1C67"/>
    <w:rsid w:val="003C228A"/>
    <w:rsid w:val="003C2430"/>
    <w:rsid w:val="003C28C3"/>
    <w:rsid w:val="003C33F0"/>
    <w:rsid w:val="003C4B2B"/>
    <w:rsid w:val="003C4F13"/>
    <w:rsid w:val="003C5026"/>
    <w:rsid w:val="003C5FCE"/>
    <w:rsid w:val="003C6475"/>
    <w:rsid w:val="003D070A"/>
    <w:rsid w:val="003D1461"/>
    <w:rsid w:val="003D200A"/>
    <w:rsid w:val="003D3565"/>
    <w:rsid w:val="003D40C3"/>
    <w:rsid w:val="003D5AB8"/>
    <w:rsid w:val="003D6A06"/>
    <w:rsid w:val="003D7A70"/>
    <w:rsid w:val="003D7AFB"/>
    <w:rsid w:val="003E2691"/>
    <w:rsid w:val="003E5C3B"/>
    <w:rsid w:val="003F08B4"/>
    <w:rsid w:val="003F106A"/>
    <w:rsid w:val="003F117D"/>
    <w:rsid w:val="003F1454"/>
    <w:rsid w:val="003F1536"/>
    <w:rsid w:val="003F1EA5"/>
    <w:rsid w:val="003F30B5"/>
    <w:rsid w:val="003F3926"/>
    <w:rsid w:val="003F3E89"/>
    <w:rsid w:val="003F40E6"/>
    <w:rsid w:val="003F4AB9"/>
    <w:rsid w:val="003F4B4E"/>
    <w:rsid w:val="003F4E33"/>
    <w:rsid w:val="003F501D"/>
    <w:rsid w:val="003F5C2B"/>
    <w:rsid w:val="003F601B"/>
    <w:rsid w:val="003F61FF"/>
    <w:rsid w:val="003F6950"/>
    <w:rsid w:val="003F7DB2"/>
    <w:rsid w:val="00400A77"/>
    <w:rsid w:val="00402862"/>
    <w:rsid w:val="0040345E"/>
    <w:rsid w:val="00403E15"/>
    <w:rsid w:val="00404040"/>
    <w:rsid w:val="00404FC6"/>
    <w:rsid w:val="00406364"/>
    <w:rsid w:val="004067FF"/>
    <w:rsid w:val="00407ED8"/>
    <w:rsid w:val="0041033D"/>
    <w:rsid w:val="00410580"/>
    <w:rsid w:val="00411F48"/>
    <w:rsid w:val="00413AE5"/>
    <w:rsid w:val="00413BDA"/>
    <w:rsid w:val="00414AD9"/>
    <w:rsid w:val="0041616A"/>
    <w:rsid w:val="00416466"/>
    <w:rsid w:val="004173FB"/>
    <w:rsid w:val="0041795F"/>
    <w:rsid w:val="00421009"/>
    <w:rsid w:val="00421D80"/>
    <w:rsid w:val="00421DB0"/>
    <w:rsid w:val="00422EA8"/>
    <w:rsid w:val="00423424"/>
    <w:rsid w:val="00423A3A"/>
    <w:rsid w:val="00424BAF"/>
    <w:rsid w:val="00425D88"/>
    <w:rsid w:val="00426861"/>
    <w:rsid w:val="00426AED"/>
    <w:rsid w:val="00430AB4"/>
    <w:rsid w:val="00430DE3"/>
    <w:rsid w:val="004323A7"/>
    <w:rsid w:val="00432D50"/>
    <w:rsid w:val="00433112"/>
    <w:rsid w:val="004335B0"/>
    <w:rsid w:val="004345FA"/>
    <w:rsid w:val="00434BEF"/>
    <w:rsid w:val="0043501C"/>
    <w:rsid w:val="00435E8D"/>
    <w:rsid w:val="00435F02"/>
    <w:rsid w:val="00437273"/>
    <w:rsid w:val="00437B5C"/>
    <w:rsid w:val="0044050B"/>
    <w:rsid w:val="00441DEC"/>
    <w:rsid w:val="00443640"/>
    <w:rsid w:val="00443659"/>
    <w:rsid w:val="004439B8"/>
    <w:rsid w:val="004453B3"/>
    <w:rsid w:val="0044617D"/>
    <w:rsid w:val="004461C7"/>
    <w:rsid w:val="00446502"/>
    <w:rsid w:val="00446E89"/>
    <w:rsid w:val="0044721B"/>
    <w:rsid w:val="004473A6"/>
    <w:rsid w:val="004474CE"/>
    <w:rsid w:val="00447D01"/>
    <w:rsid w:val="00447E5C"/>
    <w:rsid w:val="00450EE6"/>
    <w:rsid w:val="00452515"/>
    <w:rsid w:val="004527EE"/>
    <w:rsid w:val="00452E3F"/>
    <w:rsid w:val="00454A07"/>
    <w:rsid w:val="00456C47"/>
    <w:rsid w:val="0046042F"/>
    <w:rsid w:val="00461FB0"/>
    <w:rsid w:val="00462B63"/>
    <w:rsid w:val="00463DC8"/>
    <w:rsid w:val="00463F10"/>
    <w:rsid w:val="0046410C"/>
    <w:rsid w:val="004649DE"/>
    <w:rsid w:val="00465025"/>
    <w:rsid w:val="00465153"/>
    <w:rsid w:val="004651E1"/>
    <w:rsid w:val="00465864"/>
    <w:rsid w:val="00466142"/>
    <w:rsid w:val="00466223"/>
    <w:rsid w:val="0046767D"/>
    <w:rsid w:val="00467BFC"/>
    <w:rsid w:val="004705CC"/>
    <w:rsid w:val="0047118A"/>
    <w:rsid w:val="00471DAE"/>
    <w:rsid w:val="00471F90"/>
    <w:rsid w:val="004755EF"/>
    <w:rsid w:val="00475EC5"/>
    <w:rsid w:val="00476117"/>
    <w:rsid w:val="004773BB"/>
    <w:rsid w:val="00477420"/>
    <w:rsid w:val="004777C4"/>
    <w:rsid w:val="00477FF9"/>
    <w:rsid w:val="004812F7"/>
    <w:rsid w:val="00481C2E"/>
    <w:rsid w:val="00482ABA"/>
    <w:rsid w:val="00483660"/>
    <w:rsid w:val="00483B02"/>
    <w:rsid w:val="00483FCD"/>
    <w:rsid w:val="00484705"/>
    <w:rsid w:val="00484D72"/>
    <w:rsid w:val="004865BD"/>
    <w:rsid w:val="0048695C"/>
    <w:rsid w:val="0048782B"/>
    <w:rsid w:val="00491794"/>
    <w:rsid w:val="00491B60"/>
    <w:rsid w:val="004925DA"/>
    <w:rsid w:val="00492C4D"/>
    <w:rsid w:val="00492FAE"/>
    <w:rsid w:val="004934E9"/>
    <w:rsid w:val="0049483C"/>
    <w:rsid w:val="00495BF0"/>
    <w:rsid w:val="004965AA"/>
    <w:rsid w:val="0049661F"/>
    <w:rsid w:val="00496FDC"/>
    <w:rsid w:val="00497784"/>
    <w:rsid w:val="00497CFD"/>
    <w:rsid w:val="004A0AB3"/>
    <w:rsid w:val="004A132E"/>
    <w:rsid w:val="004A16E0"/>
    <w:rsid w:val="004A24A5"/>
    <w:rsid w:val="004A2960"/>
    <w:rsid w:val="004A2D39"/>
    <w:rsid w:val="004A33E5"/>
    <w:rsid w:val="004A3547"/>
    <w:rsid w:val="004A3955"/>
    <w:rsid w:val="004A4352"/>
    <w:rsid w:val="004A43E8"/>
    <w:rsid w:val="004A5414"/>
    <w:rsid w:val="004A7896"/>
    <w:rsid w:val="004B10DA"/>
    <w:rsid w:val="004B1636"/>
    <w:rsid w:val="004B222D"/>
    <w:rsid w:val="004B2840"/>
    <w:rsid w:val="004B348E"/>
    <w:rsid w:val="004B4061"/>
    <w:rsid w:val="004B42AD"/>
    <w:rsid w:val="004B44AA"/>
    <w:rsid w:val="004B5DE7"/>
    <w:rsid w:val="004B6A60"/>
    <w:rsid w:val="004B77E4"/>
    <w:rsid w:val="004B7A61"/>
    <w:rsid w:val="004C06A1"/>
    <w:rsid w:val="004C08F8"/>
    <w:rsid w:val="004C1E98"/>
    <w:rsid w:val="004C3C30"/>
    <w:rsid w:val="004C44CE"/>
    <w:rsid w:val="004C4A52"/>
    <w:rsid w:val="004C4B4D"/>
    <w:rsid w:val="004C4F4C"/>
    <w:rsid w:val="004C59A4"/>
    <w:rsid w:val="004C5ACF"/>
    <w:rsid w:val="004C6EF8"/>
    <w:rsid w:val="004C6FF6"/>
    <w:rsid w:val="004C7653"/>
    <w:rsid w:val="004D0BAE"/>
    <w:rsid w:val="004D1723"/>
    <w:rsid w:val="004D2906"/>
    <w:rsid w:val="004D2B11"/>
    <w:rsid w:val="004D3447"/>
    <w:rsid w:val="004D4FF6"/>
    <w:rsid w:val="004D5689"/>
    <w:rsid w:val="004D5692"/>
    <w:rsid w:val="004D57FE"/>
    <w:rsid w:val="004D5C1F"/>
    <w:rsid w:val="004D6AC1"/>
    <w:rsid w:val="004D6E73"/>
    <w:rsid w:val="004D7345"/>
    <w:rsid w:val="004D79F3"/>
    <w:rsid w:val="004D7BB6"/>
    <w:rsid w:val="004E0319"/>
    <w:rsid w:val="004E0648"/>
    <w:rsid w:val="004E0724"/>
    <w:rsid w:val="004E0861"/>
    <w:rsid w:val="004E091D"/>
    <w:rsid w:val="004E0985"/>
    <w:rsid w:val="004E19D7"/>
    <w:rsid w:val="004E29DD"/>
    <w:rsid w:val="004E3A6F"/>
    <w:rsid w:val="004E4636"/>
    <w:rsid w:val="004E527B"/>
    <w:rsid w:val="004E664A"/>
    <w:rsid w:val="004E7EDC"/>
    <w:rsid w:val="004F0150"/>
    <w:rsid w:val="004F0929"/>
    <w:rsid w:val="004F0BF4"/>
    <w:rsid w:val="004F10F5"/>
    <w:rsid w:val="004F1819"/>
    <w:rsid w:val="004F1D6E"/>
    <w:rsid w:val="004F2ED8"/>
    <w:rsid w:val="004F314E"/>
    <w:rsid w:val="004F322E"/>
    <w:rsid w:val="004F349E"/>
    <w:rsid w:val="004F365B"/>
    <w:rsid w:val="004F3B5C"/>
    <w:rsid w:val="004F4B67"/>
    <w:rsid w:val="004F4FDD"/>
    <w:rsid w:val="004F51AF"/>
    <w:rsid w:val="004F5BAA"/>
    <w:rsid w:val="004F6370"/>
    <w:rsid w:val="004F69B8"/>
    <w:rsid w:val="004F7020"/>
    <w:rsid w:val="004F7306"/>
    <w:rsid w:val="0050142E"/>
    <w:rsid w:val="0050158A"/>
    <w:rsid w:val="00501D64"/>
    <w:rsid w:val="00502017"/>
    <w:rsid w:val="00502B3F"/>
    <w:rsid w:val="00502C9E"/>
    <w:rsid w:val="00503332"/>
    <w:rsid w:val="00503F73"/>
    <w:rsid w:val="00503F99"/>
    <w:rsid w:val="005104CA"/>
    <w:rsid w:val="00510C28"/>
    <w:rsid w:val="005117EB"/>
    <w:rsid w:val="00512350"/>
    <w:rsid w:val="005138A3"/>
    <w:rsid w:val="00514A9F"/>
    <w:rsid w:val="00514AB5"/>
    <w:rsid w:val="00514D77"/>
    <w:rsid w:val="005158CE"/>
    <w:rsid w:val="00515ED6"/>
    <w:rsid w:val="00515FD4"/>
    <w:rsid w:val="00516483"/>
    <w:rsid w:val="005165F1"/>
    <w:rsid w:val="005166DD"/>
    <w:rsid w:val="005166F3"/>
    <w:rsid w:val="0051724E"/>
    <w:rsid w:val="005173D1"/>
    <w:rsid w:val="00517FEC"/>
    <w:rsid w:val="00520687"/>
    <w:rsid w:val="0052084B"/>
    <w:rsid w:val="00520B9D"/>
    <w:rsid w:val="00521895"/>
    <w:rsid w:val="005223AB"/>
    <w:rsid w:val="00522ECF"/>
    <w:rsid w:val="005239C9"/>
    <w:rsid w:val="005247AD"/>
    <w:rsid w:val="00524CF2"/>
    <w:rsid w:val="005255CD"/>
    <w:rsid w:val="00527888"/>
    <w:rsid w:val="00531500"/>
    <w:rsid w:val="00533757"/>
    <w:rsid w:val="00533777"/>
    <w:rsid w:val="00534340"/>
    <w:rsid w:val="00535279"/>
    <w:rsid w:val="00535481"/>
    <w:rsid w:val="005356E4"/>
    <w:rsid w:val="00536141"/>
    <w:rsid w:val="00536AFE"/>
    <w:rsid w:val="0053733F"/>
    <w:rsid w:val="00537B0D"/>
    <w:rsid w:val="00537EBC"/>
    <w:rsid w:val="00542440"/>
    <w:rsid w:val="00542EEC"/>
    <w:rsid w:val="00543013"/>
    <w:rsid w:val="0054567B"/>
    <w:rsid w:val="00545A56"/>
    <w:rsid w:val="00546E33"/>
    <w:rsid w:val="00547BB4"/>
    <w:rsid w:val="00550332"/>
    <w:rsid w:val="005507A6"/>
    <w:rsid w:val="0055345A"/>
    <w:rsid w:val="00553915"/>
    <w:rsid w:val="005546D1"/>
    <w:rsid w:val="00554A32"/>
    <w:rsid w:val="00555210"/>
    <w:rsid w:val="00555AA1"/>
    <w:rsid w:val="00555DA7"/>
    <w:rsid w:val="00556469"/>
    <w:rsid w:val="0055677E"/>
    <w:rsid w:val="00556A9A"/>
    <w:rsid w:val="00560A1E"/>
    <w:rsid w:val="00560DF5"/>
    <w:rsid w:val="00560ECF"/>
    <w:rsid w:val="0056161A"/>
    <w:rsid w:val="0056232B"/>
    <w:rsid w:val="0056274E"/>
    <w:rsid w:val="00562E1A"/>
    <w:rsid w:val="00562F2A"/>
    <w:rsid w:val="00563906"/>
    <w:rsid w:val="005641D5"/>
    <w:rsid w:val="005645FD"/>
    <w:rsid w:val="00564F7D"/>
    <w:rsid w:val="005650CE"/>
    <w:rsid w:val="00565101"/>
    <w:rsid w:val="005662B6"/>
    <w:rsid w:val="00571A15"/>
    <w:rsid w:val="00571D58"/>
    <w:rsid w:val="00571F7C"/>
    <w:rsid w:val="00572283"/>
    <w:rsid w:val="005733DB"/>
    <w:rsid w:val="00573780"/>
    <w:rsid w:val="00573DB8"/>
    <w:rsid w:val="00574AC5"/>
    <w:rsid w:val="00574BCD"/>
    <w:rsid w:val="00574CEA"/>
    <w:rsid w:val="005759B5"/>
    <w:rsid w:val="00576309"/>
    <w:rsid w:val="005766B3"/>
    <w:rsid w:val="00576C0B"/>
    <w:rsid w:val="00576CDF"/>
    <w:rsid w:val="005774EF"/>
    <w:rsid w:val="0058036D"/>
    <w:rsid w:val="00581384"/>
    <w:rsid w:val="0058178E"/>
    <w:rsid w:val="00581970"/>
    <w:rsid w:val="00583DFB"/>
    <w:rsid w:val="00583F78"/>
    <w:rsid w:val="005840C7"/>
    <w:rsid w:val="00584712"/>
    <w:rsid w:val="00584CA5"/>
    <w:rsid w:val="005851EE"/>
    <w:rsid w:val="00585A51"/>
    <w:rsid w:val="00586808"/>
    <w:rsid w:val="00587E5C"/>
    <w:rsid w:val="0059176B"/>
    <w:rsid w:val="005931FB"/>
    <w:rsid w:val="005934AE"/>
    <w:rsid w:val="00593F3E"/>
    <w:rsid w:val="00594B8F"/>
    <w:rsid w:val="00595217"/>
    <w:rsid w:val="0059799F"/>
    <w:rsid w:val="005A048F"/>
    <w:rsid w:val="005A0806"/>
    <w:rsid w:val="005A0A03"/>
    <w:rsid w:val="005A0E07"/>
    <w:rsid w:val="005A1134"/>
    <w:rsid w:val="005A3078"/>
    <w:rsid w:val="005A45B5"/>
    <w:rsid w:val="005A56B7"/>
    <w:rsid w:val="005A71F2"/>
    <w:rsid w:val="005B08CA"/>
    <w:rsid w:val="005B1955"/>
    <w:rsid w:val="005B1DA4"/>
    <w:rsid w:val="005B24FC"/>
    <w:rsid w:val="005B2AAC"/>
    <w:rsid w:val="005B2BFA"/>
    <w:rsid w:val="005B2C04"/>
    <w:rsid w:val="005B3F06"/>
    <w:rsid w:val="005B450F"/>
    <w:rsid w:val="005B4B85"/>
    <w:rsid w:val="005B5382"/>
    <w:rsid w:val="005B59F7"/>
    <w:rsid w:val="005B6876"/>
    <w:rsid w:val="005B71CC"/>
    <w:rsid w:val="005B75BD"/>
    <w:rsid w:val="005C022E"/>
    <w:rsid w:val="005C053E"/>
    <w:rsid w:val="005C0884"/>
    <w:rsid w:val="005C0B4D"/>
    <w:rsid w:val="005C17CE"/>
    <w:rsid w:val="005C1A92"/>
    <w:rsid w:val="005C3975"/>
    <w:rsid w:val="005C3E53"/>
    <w:rsid w:val="005C69CB"/>
    <w:rsid w:val="005C7C25"/>
    <w:rsid w:val="005D10AC"/>
    <w:rsid w:val="005D1419"/>
    <w:rsid w:val="005D20AA"/>
    <w:rsid w:val="005D2B7D"/>
    <w:rsid w:val="005D2F03"/>
    <w:rsid w:val="005D4437"/>
    <w:rsid w:val="005D50B8"/>
    <w:rsid w:val="005D575A"/>
    <w:rsid w:val="005D6100"/>
    <w:rsid w:val="005D64BE"/>
    <w:rsid w:val="005D68DC"/>
    <w:rsid w:val="005D719C"/>
    <w:rsid w:val="005E020E"/>
    <w:rsid w:val="005E0C8C"/>
    <w:rsid w:val="005E2953"/>
    <w:rsid w:val="005E2E87"/>
    <w:rsid w:val="005E2F7E"/>
    <w:rsid w:val="005E5238"/>
    <w:rsid w:val="005E56B0"/>
    <w:rsid w:val="005E7018"/>
    <w:rsid w:val="005E7C4C"/>
    <w:rsid w:val="005F08B4"/>
    <w:rsid w:val="005F0BBB"/>
    <w:rsid w:val="005F125E"/>
    <w:rsid w:val="005F2572"/>
    <w:rsid w:val="005F296B"/>
    <w:rsid w:val="005F2B24"/>
    <w:rsid w:val="005F3260"/>
    <w:rsid w:val="005F4D75"/>
    <w:rsid w:val="005F600D"/>
    <w:rsid w:val="005F69E8"/>
    <w:rsid w:val="005F79DE"/>
    <w:rsid w:val="005F7E77"/>
    <w:rsid w:val="006007AE"/>
    <w:rsid w:val="00601615"/>
    <w:rsid w:val="00602346"/>
    <w:rsid w:val="00604D86"/>
    <w:rsid w:val="00604FC3"/>
    <w:rsid w:val="00605FBB"/>
    <w:rsid w:val="00606451"/>
    <w:rsid w:val="00606A41"/>
    <w:rsid w:val="00606DCB"/>
    <w:rsid w:val="00610036"/>
    <w:rsid w:val="00610A53"/>
    <w:rsid w:val="00610B5D"/>
    <w:rsid w:val="006111A3"/>
    <w:rsid w:val="00611A8A"/>
    <w:rsid w:val="006121F1"/>
    <w:rsid w:val="006123FE"/>
    <w:rsid w:val="00612E75"/>
    <w:rsid w:val="00613C42"/>
    <w:rsid w:val="0061464F"/>
    <w:rsid w:val="00615E37"/>
    <w:rsid w:val="00620EFB"/>
    <w:rsid w:val="006219F7"/>
    <w:rsid w:val="00623751"/>
    <w:rsid w:val="00623CD7"/>
    <w:rsid w:val="006242C0"/>
    <w:rsid w:val="006242EF"/>
    <w:rsid w:val="00624ACE"/>
    <w:rsid w:val="00625658"/>
    <w:rsid w:val="0062664B"/>
    <w:rsid w:val="00627378"/>
    <w:rsid w:val="00627ED3"/>
    <w:rsid w:val="0063100F"/>
    <w:rsid w:val="0063147F"/>
    <w:rsid w:val="0063201E"/>
    <w:rsid w:val="006335B8"/>
    <w:rsid w:val="006338F0"/>
    <w:rsid w:val="00634E9E"/>
    <w:rsid w:val="006358AC"/>
    <w:rsid w:val="006367A0"/>
    <w:rsid w:val="006379C4"/>
    <w:rsid w:val="0064109D"/>
    <w:rsid w:val="006412F3"/>
    <w:rsid w:val="0064136A"/>
    <w:rsid w:val="006421D1"/>
    <w:rsid w:val="00643528"/>
    <w:rsid w:val="006435F1"/>
    <w:rsid w:val="00643DCA"/>
    <w:rsid w:val="0064454A"/>
    <w:rsid w:val="00644B98"/>
    <w:rsid w:val="00646138"/>
    <w:rsid w:val="00647342"/>
    <w:rsid w:val="00647794"/>
    <w:rsid w:val="00647A13"/>
    <w:rsid w:val="00647EBC"/>
    <w:rsid w:val="006506D3"/>
    <w:rsid w:val="00650B4A"/>
    <w:rsid w:val="0065163C"/>
    <w:rsid w:val="006517A3"/>
    <w:rsid w:val="0065190E"/>
    <w:rsid w:val="00651C71"/>
    <w:rsid w:val="00651F5D"/>
    <w:rsid w:val="006521A8"/>
    <w:rsid w:val="00652E3C"/>
    <w:rsid w:val="00653F28"/>
    <w:rsid w:val="00654012"/>
    <w:rsid w:val="0065437A"/>
    <w:rsid w:val="00654617"/>
    <w:rsid w:val="00654806"/>
    <w:rsid w:val="0065484D"/>
    <w:rsid w:val="00654C8B"/>
    <w:rsid w:val="0065552B"/>
    <w:rsid w:val="00655B49"/>
    <w:rsid w:val="00656704"/>
    <w:rsid w:val="0065744E"/>
    <w:rsid w:val="00657CF0"/>
    <w:rsid w:val="0066121C"/>
    <w:rsid w:val="00662213"/>
    <w:rsid w:val="00662F9C"/>
    <w:rsid w:val="006634F6"/>
    <w:rsid w:val="00664D61"/>
    <w:rsid w:val="00665257"/>
    <w:rsid w:val="0066538B"/>
    <w:rsid w:val="00665508"/>
    <w:rsid w:val="006661B0"/>
    <w:rsid w:val="0066699D"/>
    <w:rsid w:val="00667A91"/>
    <w:rsid w:val="00670115"/>
    <w:rsid w:val="0067064D"/>
    <w:rsid w:val="00670F92"/>
    <w:rsid w:val="00671656"/>
    <w:rsid w:val="00671C08"/>
    <w:rsid w:val="00671EFB"/>
    <w:rsid w:val="00672205"/>
    <w:rsid w:val="006737B0"/>
    <w:rsid w:val="00673B14"/>
    <w:rsid w:val="00673C4B"/>
    <w:rsid w:val="0067602C"/>
    <w:rsid w:val="00676768"/>
    <w:rsid w:val="006768AF"/>
    <w:rsid w:val="00676E1E"/>
    <w:rsid w:val="00676E2A"/>
    <w:rsid w:val="00676ED9"/>
    <w:rsid w:val="0068328E"/>
    <w:rsid w:val="00683ACB"/>
    <w:rsid w:val="00683B09"/>
    <w:rsid w:val="00684343"/>
    <w:rsid w:val="00684545"/>
    <w:rsid w:val="006846E4"/>
    <w:rsid w:val="00684AD4"/>
    <w:rsid w:val="00685C36"/>
    <w:rsid w:val="0068669F"/>
    <w:rsid w:val="00690954"/>
    <w:rsid w:val="00691113"/>
    <w:rsid w:val="006931AA"/>
    <w:rsid w:val="00693C0D"/>
    <w:rsid w:val="00695596"/>
    <w:rsid w:val="00695607"/>
    <w:rsid w:val="0069580E"/>
    <w:rsid w:val="00695BC6"/>
    <w:rsid w:val="00696B10"/>
    <w:rsid w:val="006A01AD"/>
    <w:rsid w:val="006A10A9"/>
    <w:rsid w:val="006A172F"/>
    <w:rsid w:val="006A32A7"/>
    <w:rsid w:val="006A3698"/>
    <w:rsid w:val="006A43C7"/>
    <w:rsid w:val="006A4EF3"/>
    <w:rsid w:val="006A4FC1"/>
    <w:rsid w:val="006A5898"/>
    <w:rsid w:val="006A5F8D"/>
    <w:rsid w:val="006A6A61"/>
    <w:rsid w:val="006A770C"/>
    <w:rsid w:val="006A7EA5"/>
    <w:rsid w:val="006B0613"/>
    <w:rsid w:val="006B1712"/>
    <w:rsid w:val="006B1C2A"/>
    <w:rsid w:val="006B1E90"/>
    <w:rsid w:val="006B2F4C"/>
    <w:rsid w:val="006B2FFD"/>
    <w:rsid w:val="006B34F5"/>
    <w:rsid w:val="006B3651"/>
    <w:rsid w:val="006B4096"/>
    <w:rsid w:val="006B44E5"/>
    <w:rsid w:val="006B57C4"/>
    <w:rsid w:val="006B580F"/>
    <w:rsid w:val="006B5811"/>
    <w:rsid w:val="006B5C40"/>
    <w:rsid w:val="006B5CA2"/>
    <w:rsid w:val="006B61A8"/>
    <w:rsid w:val="006B623D"/>
    <w:rsid w:val="006B670E"/>
    <w:rsid w:val="006C1066"/>
    <w:rsid w:val="006C2E4F"/>
    <w:rsid w:val="006C3DD0"/>
    <w:rsid w:val="006C4F64"/>
    <w:rsid w:val="006C5178"/>
    <w:rsid w:val="006C533E"/>
    <w:rsid w:val="006C55AE"/>
    <w:rsid w:val="006C61B5"/>
    <w:rsid w:val="006C6762"/>
    <w:rsid w:val="006C695D"/>
    <w:rsid w:val="006C6F6B"/>
    <w:rsid w:val="006C7541"/>
    <w:rsid w:val="006C76B1"/>
    <w:rsid w:val="006D095D"/>
    <w:rsid w:val="006D33F1"/>
    <w:rsid w:val="006D4194"/>
    <w:rsid w:val="006D432C"/>
    <w:rsid w:val="006D43D4"/>
    <w:rsid w:val="006D4D90"/>
    <w:rsid w:val="006D5994"/>
    <w:rsid w:val="006D5DBE"/>
    <w:rsid w:val="006D5F02"/>
    <w:rsid w:val="006D6205"/>
    <w:rsid w:val="006D68BE"/>
    <w:rsid w:val="006D69A0"/>
    <w:rsid w:val="006D7ED3"/>
    <w:rsid w:val="006E2C24"/>
    <w:rsid w:val="006E34B1"/>
    <w:rsid w:val="006E3A77"/>
    <w:rsid w:val="006E5419"/>
    <w:rsid w:val="006E58A5"/>
    <w:rsid w:val="006E632E"/>
    <w:rsid w:val="006E651D"/>
    <w:rsid w:val="006E6649"/>
    <w:rsid w:val="006E71C3"/>
    <w:rsid w:val="006F00ED"/>
    <w:rsid w:val="006F01A9"/>
    <w:rsid w:val="006F0275"/>
    <w:rsid w:val="006F2EA7"/>
    <w:rsid w:val="006F3265"/>
    <w:rsid w:val="006F3E0A"/>
    <w:rsid w:val="006F4379"/>
    <w:rsid w:val="006F4A44"/>
    <w:rsid w:val="006F4D07"/>
    <w:rsid w:val="006F53A6"/>
    <w:rsid w:val="006F5D7B"/>
    <w:rsid w:val="006F62E2"/>
    <w:rsid w:val="006F6C7B"/>
    <w:rsid w:val="006F6FED"/>
    <w:rsid w:val="006F725C"/>
    <w:rsid w:val="006F7B85"/>
    <w:rsid w:val="006F7D30"/>
    <w:rsid w:val="006F7D93"/>
    <w:rsid w:val="00700012"/>
    <w:rsid w:val="007008C0"/>
    <w:rsid w:val="007008F8"/>
    <w:rsid w:val="00702686"/>
    <w:rsid w:val="00702AF0"/>
    <w:rsid w:val="00702C11"/>
    <w:rsid w:val="00702CBD"/>
    <w:rsid w:val="0070379D"/>
    <w:rsid w:val="0070385E"/>
    <w:rsid w:val="007038B3"/>
    <w:rsid w:val="00703CC0"/>
    <w:rsid w:val="00703FB7"/>
    <w:rsid w:val="00704161"/>
    <w:rsid w:val="007050D6"/>
    <w:rsid w:val="00705460"/>
    <w:rsid w:val="0070605E"/>
    <w:rsid w:val="00706487"/>
    <w:rsid w:val="00707145"/>
    <w:rsid w:val="0070747B"/>
    <w:rsid w:val="0071094A"/>
    <w:rsid w:val="0071097D"/>
    <w:rsid w:val="00710BFC"/>
    <w:rsid w:val="007110D0"/>
    <w:rsid w:val="00711A15"/>
    <w:rsid w:val="00711CF4"/>
    <w:rsid w:val="00713381"/>
    <w:rsid w:val="0071392E"/>
    <w:rsid w:val="00713AC3"/>
    <w:rsid w:val="007151E9"/>
    <w:rsid w:val="00715344"/>
    <w:rsid w:val="007165A2"/>
    <w:rsid w:val="00721DFD"/>
    <w:rsid w:val="00722FAD"/>
    <w:rsid w:val="00724332"/>
    <w:rsid w:val="00724B11"/>
    <w:rsid w:val="00724F65"/>
    <w:rsid w:val="00726C16"/>
    <w:rsid w:val="00726D43"/>
    <w:rsid w:val="007279B5"/>
    <w:rsid w:val="00727DDF"/>
    <w:rsid w:val="00731055"/>
    <w:rsid w:val="007316DC"/>
    <w:rsid w:val="0073197F"/>
    <w:rsid w:val="007339D3"/>
    <w:rsid w:val="00735F08"/>
    <w:rsid w:val="00735F2E"/>
    <w:rsid w:val="00735FEC"/>
    <w:rsid w:val="00736592"/>
    <w:rsid w:val="007375DC"/>
    <w:rsid w:val="00740973"/>
    <w:rsid w:val="00740E6F"/>
    <w:rsid w:val="0074191D"/>
    <w:rsid w:val="00741BFB"/>
    <w:rsid w:val="007421C8"/>
    <w:rsid w:val="007429E1"/>
    <w:rsid w:val="00742A43"/>
    <w:rsid w:val="00742D7A"/>
    <w:rsid w:val="00742E07"/>
    <w:rsid w:val="00743486"/>
    <w:rsid w:val="007434AB"/>
    <w:rsid w:val="007436A3"/>
    <w:rsid w:val="0074378F"/>
    <w:rsid w:val="007447D6"/>
    <w:rsid w:val="00744BAA"/>
    <w:rsid w:val="007452B3"/>
    <w:rsid w:val="00745B35"/>
    <w:rsid w:val="00747422"/>
    <w:rsid w:val="007477FD"/>
    <w:rsid w:val="007500A0"/>
    <w:rsid w:val="007512DA"/>
    <w:rsid w:val="00751824"/>
    <w:rsid w:val="00752FC6"/>
    <w:rsid w:val="007533F4"/>
    <w:rsid w:val="00753F39"/>
    <w:rsid w:val="0075510D"/>
    <w:rsid w:val="00755399"/>
    <w:rsid w:val="0075632C"/>
    <w:rsid w:val="0075637A"/>
    <w:rsid w:val="00756CDE"/>
    <w:rsid w:val="00756E9C"/>
    <w:rsid w:val="007575BF"/>
    <w:rsid w:val="007622B7"/>
    <w:rsid w:val="007624DE"/>
    <w:rsid w:val="0076284B"/>
    <w:rsid w:val="00762EF8"/>
    <w:rsid w:val="007634F7"/>
    <w:rsid w:val="00763B96"/>
    <w:rsid w:val="007644D1"/>
    <w:rsid w:val="007645B4"/>
    <w:rsid w:val="0076495A"/>
    <w:rsid w:val="0076613C"/>
    <w:rsid w:val="00766FA7"/>
    <w:rsid w:val="00767AF2"/>
    <w:rsid w:val="00770C7B"/>
    <w:rsid w:val="007710CE"/>
    <w:rsid w:val="00771E72"/>
    <w:rsid w:val="007725AF"/>
    <w:rsid w:val="00773056"/>
    <w:rsid w:val="007733E2"/>
    <w:rsid w:val="00773686"/>
    <w:rsid w:val="00774C1B"/>
    <w:rsid w:val="00774D15"/>
    <w:rsid w:val="00775F22"/>
    <w:rsid w:val="00782F62"/>
    <w:rsid w:val="00783798"/>
    <w:rsid w:val="00783B41"/>
    <w:rsid w:val="0078536C"/>
    <w:rsid w:val="007877F9"/>
    <w:rsid w:val="00790D8A"/>
    <w:rsid w:val="0079176B"/>
    <w:rsid w:val="0079257D"/>
    <w:rsid w:val="00792E92"/>
    <w:rsid w:val="007935BE"/>
    <w:rsid w:val="00795D6E"/>
    <w:rsid w:val="00796464"/>
    <w:rsid w:val="00796F84"/>
    <w:rsid w:val="00797264"/>
    <w:rsid w:val="007A0961"/>
    <w:rsid w:val="007A0D59"/>
    <w:rsid w:val="007A14E2"/>
    <w:rsid w:val="007A2D1B"/>
    <w:rsid w:val="007A3053"/>
    <w:rsid w:val="007A38DA"/>
    <w:rsid w:val="007A462B"/>
    <w:rsid w:val="007A476A"/>
    <w:rsid w:val="007A5B50"/>
    <w:rsid w:val="007A7B3D"/>
    <w:rsid w:val="007B0646"/>
    <w:rsid w:val="007B1063"/>
    <w:rsid w:val="007B16A0"/>
    <w:rsid w:val="007B3004"/>
    <w:rsid w:val="007B323D"/>
    <w:rsid w:val="007B324B"/>
    <w:rsid w:val="007B3459"/>
    <w:rsid w:val="007B3943"/>
    <w:rsid w:val="007B3A43"/>
    <w:rsid w:val="007B3F8A"/>
    <w:rsid w:val="007B4B9E"/>
    <w:rsid w:val="007B6219"/>
    <w:rsid w:val="007B649C"/>
    <w:rsid w:val="007B68EC"/>
    <w:rsid w:val="007B6CE0"/>
    <w:rsid w:val="007B6D28"/>
    <w:rsid w:val="007B7117"/>
    <w:rsid w:val="007B736C"/>
    <w:rsid w:val="007B7505"/>
    <w:rsid w:val="007B7C9D"/>
    <w:rsid w:val="007C05B3"/>
    <w:rsid w:val="007C05D7"/>
    <w:rsid w:val="007C078B"/>
    <w:rsid w:val="007C18CD"/>
    <w:rsid w:val="007C2102"/>
    <w:rsid w:val="007C2542"/>
    <w:rsid w:val="007C2B67"/>
    <w:rsid w:val="007C34CA"/>
    <w:rsid w:val="007C52B9"/>
    <w:rsid w:val="007C6797"/>
    <w:rsid w:val="007C6889"/>
    <w:rsid w:val="007C6D6B"/>
    <w:rsid w:val="007C720D"/>
    <w:rsid w:val="007D0989"/>
    <w:rsid w:val="007D1462"/>
    <w:rsid w:val="007D1C1A"/>
    <w:rsid w:val="007D2A5B"/>
    <w:rsid w:val="007D2D54"/>
    <w:rsid w:val="007D3D53"/>
    <w:rsid w:val="007D4483"/>
    <w:rsid w:val="007D4491"/>
    <w:rsid w:val="007D61F5"/>
    <w:rsid w:val="007D69F2"/>
    <w:rsid w:val="007E07DC"/>
    <w:rsid w:val="007E13DC"/>
    <w:rsid w:val="007E290F"/>
    <w:rsid w:val="007E3721"/>
    <w:rsid w:val="007E3872"/>
    <w:rsid w:val="007E3E26"/>
    <w:rsid w:val="007E43FA"/>
    <w:rsid w:val="007E4498"/>
    <w:rsid w:val="007E49CF"/>
    <w:rsid w:val="007E4B02"/>
    <w:rsid w:val="007E4F4D"/>
    <w:rsid w:val="007E5C04"/>
    <w:rsid w:val="007E6A14"/>
    <w:rsid w:val="007E7041"/>
    <w:rsid w:val="007E7777"/>
    <w:rsid w:val="007E7EF2"/>
    <w:rsid w:val="007F0985"/>
    <w:rsid w:val="007F12F3"/>
    <w:rsid w:val="007F1351"/>
    <w:rsid w:val="007F2C45"/>
    <w:rsid w:val="007F3054"/>
    <w:rsid w:val="007F39FE"/>
    <w:rsid w:val="007F3E39"/>
    <w:rsid w:val="007F4B2F"/>
    <w:rsid w:val="007F534C"/>
    <w:rsid w:val="007F581C"/>
    <w:rsid w:val="007F7082"/>
    <w:rsid w:val="007F74D3"/>
    <w:rsid w:val="007F7915"/>
    <w:rsid w:val="00800238"/>
    <w:rsid w:val="00800928"/>
    <w:rsid w:val="00801FF1"/>
    <w:rsid w:val="00802368"/>
    <w:rsid w:val="008023B9"/>
    <w:rsid w:val="0080249A"/>
    <w:rsid w:val="00803687"/>
    <w:rsid w:val="00803D07"/>
    <w:rsid w:val="00803EED"/>
    <w:rsid w:val="00804913"/>
    <w:rsid w:val="00804EBE"/>
    <w:rsid w:val="00806A70"/>
    <w:rsid w:val="00806D92"/>
    <w:rsid w:val="00806E20"/>
    <w:rsid w:val="00806FAE"/>
    <w:rsid w:val="0080710F"/>
    <w:rsid w:val="00810B79"/>
    <w:rsid w:val="00810ED5"/>
    <w:rsid w:val="00810F54"/>
    <w:rsid w:val="00811E12"/>
    <w:rsid w:val="00811EF1"/>
    <w:rsid w:val="00812032"/>
    <w:rsid w:val="00812980"/>
    <w:rsid w:val="00812A5C"/>
    <w:rsid w:val="00813263"/>
    <w:rsid w:val="00814217"/>
    <w:rsid w:val="00814592"/>
    <w:rsid w:val="00814FCA"/>
    <w:rsid w:val="0081522B"/>
    <w:rsid w:val="00816043"/>
    <w:rsid w:val="008160E4"/>
    <w:rsid w:val="0081613A"/>
    <w:rsid w:val="008163CB"/>
    <w:rsid w:val="0081669B"/>
    <w:rsid w:val="00816EFC"/>
    <w:rsid w:val="008170B0"/>
    <w:rsid w:val="00817237"/>
    <w:rsid w:val="00820050"/>
    <w:rsid w:val="00820BFF"/>
    <w:rsid w:val="00821B60"/>
    <w:rsid w:val="00822DD4"/>
    <w:rsid w:val="00823352"/>
    <w:rsid w:val="00823607"/>
    <w:rsid w:val="0082371D"/>
    <w:rsid w:val="00823B14"/>
    <w:rsid w:val="00824489"/>
    <w:rsid w:val="00826293"/>
    <w:rsid w:val="0082797C"/>
    <w:rsid w:val="0083003D"/>
    <w:rsid w:val="00831B83"/>
    <w:rsid w:val="0083220B"/>
    <w:rsid w:val="00832880"/>
    <w:rsid w:val="00835497"/>
    <w:rsid w:val="008358D0"/>
    <w:rsid w:val="00836018"/>
    <w:rsid w:val="00840293"/>
    <w:rsid w:val="008403AC"/>
    <w:rsid w:val="00840478"/>
    <w:rsid w:val="00840779"/>
    <w:rsid w:val="00841958"/>
    <w:rsid w:val="00841F4D"/>
    <w:rsid w:val="0084215A"/>
    <w:rsid w:val="00843741"/>
    <w:rsid w:val="0084500E"/>
    <w:rsid w:val="0084519A"/>
    <w:rsid w:val="008454CC"/>
    <w:rsid w:val="00845742"/>
    <w:rsid w:val="00845BF4"/>
    <w:rsid w:val="00846A8C"/>
    <w:rsid w:val="00846D60"/>
    <w:rsid w:val="0084723F"/>
    <w:rsid w:val="008475AE"/>
    <w:rsid w:val="00847885"/>
    <w:rsid w:val="00850F78"/>
    <w:rsid w:val="00851B76"/>
    <w:rsid w:val="0085319F"/>
    <w:rsid w:val="008540CD"/>
    <w:rsid w:val="008547B5"/>
    <w:rsid w:val="008549B5"/>
    <w:rsid w:val="0085514C"/>
    <w:rsid w:val="008554F6"/>
    <w:rsid w:val="00855A8B"/>
    <w:rsid w:val="0085646F"/>
    <w:rsid w:val="00857789"/>
    <w:rsid w:val="00857AD5"/>
    <w:rsid w:val="0086075C"/>
    <w:rsid w:val="00860B72"/>
    <w:rsid w:val="00861000"/>
    <w:rsid w:val="0086165F"/>
    <w:rsid w:val="00861EDD"/>
    <w:rsid w:val="0086323E"/>
    <w:rsid w:val="00863E73"/>
    <w:rsid w:val="008645E4"/>
    <w:rsid w:val="00865CE8"/>
    <w:rsid w:val="008678CA"/>
    <w:rsid w:val="008700AC"/>
    <w:rsid w:val="00870C1B"/>
    <w:rsid w:val="00871756"/>
    <w:rsid w:val="008717E9"/>
    <w:rsid w:val="008725AE"/>
    <w:rsid w:val="0087374D"/>
    <w:rsid w:val="00873986"/>
    <w:rsid w:val="00874EF5"/>
    <w:rsid w:val="00875DF2"/>
    <w:rsid w:val="00876A9D"/>
    <w:rsid w:val="008773FA"/>
    <w:rsid w:val="00877BB8"/>
    <w:rsid w:val="00877EBC"/>
    <w:rsid w:val="008811A6"/>
    <w:rsid w:val="00881422"/>
    <w:rsid w:val="0088157D"/>
    <w:rsid w:val="008816EC"/>
    <w:rsid w:val="00881C17"/>
    <w:rsid w:val="00882E85"/>
    <w:rsid w:val="00882F10"/>
    <w:rsid w:val="0088319B"/>
    <w:rsid w:val="00883275"/>
    <w:rsid w:val="00885AF0"/>
    <w:rsid w:val="008867A0"/>
    <w:rsid w:val="00886FA8"/>
    <w:rsid w:val="00887886"/>
    <w:rsid w:val="0089010B"/>
    <w:rsid w:val="00890A86"/>
    <w:rsid w:val="00891A93"/>
    <w:rsid w:val="00891C37"/>
    <w:rsid w:val="008926FB"/>
    <w:rsid w:val="00893C8A"/>
    <w:rsid w:val="00894165"/>
    <w:rsid w:val="008948E7"/>
    <w:rsid w:val="00894E4B"/>
    <w:rsid w:val="008967E1"/>
    <w:rsid w:val="0089697A"/>
    <w:rsid w:val="00897CED"/>
    <w:rsid w:val="00897ED5"/>
    <w:rsid w:val="00897F87"/>
    <w:rsid w:val="008A2110"/>
    <w:rsid w:val="008A21A5"/>
    <w:rsid w:val="008A3914"/>
    <w:rsid w:val="008A4C61"/>
    <w:rsid w:val="008A4D52"/>
    <w:rsid w:val="008A4EEC"/>
    <w:rsid w:val="008A59FC"/>
    <w:rsid w:val="008A5F03"/>
    <w:rsid w:val="008A5FF8"/>
    <w:rsid w:val="008A76D6"/>
    <w:rsid w:val="008B138B"/>
    <w:rsid w:val="008B13F7"/>
    <w:rsid w:val="008B316E"/>
    <w:rsid w:val="008B47C1"/>
    <w:rsid w:val="008B5BD5"/>
    <w:rsid w:val="008B5BF9"/>
    <w:rsid w:val="008B6121"/>
    <w:rsid w:val="008B66E3"/>
    <w:rsid w:val="008B67BF"/>
    <w:rsid w:val="008B6859"/>
    <w:rsid w:val="008B6E5C"/>
    <w:rsid w:val="008B7031"/>
    <w:rsid w:val="008B7331"/>
    <w:rsid w:val="008B75E1"/>
    <w:rsid w:val="008C185C"/>
    <w:rsid w:val="008C2595"/>
    <w:rsid w:val="008C3EB7"/>
    <w:rsid w:val="008C48AD"/>
    <w:rsid w:val="008C5541"/>
    <w:rsid w:val="008C71C8"/>
    <w:rsid w:val="008C7A75"/>
    <w:rsid w:val="008D011F"/>
    <w:rsid w:val="008D0703"/>
    <w:rsid w:val="008D2F75"/>
    <w:rsid w:val="008D31B4"/>
    <w:rsid w:val="008D4934"/>
    <w:rsid w:val="008D49FB"/>
    <w:rsid w:val="008D52EA"/>
    <w:rsid w:val="008D5C27"/>
    <w:rsid w:val="008D6245"/>
    <w:rsid w:val="008D6426"/>
    <w:rsid w:val="008D6D21"/>
    <w:rsid w:val="008D78B4"/>
    <w:rsid w:val="008D7C0C"/>
    <w:rsid w:val="008E0406"/>
    <w:rsid w:val="008E07ED"/>
    <w:rsid w:val="008E0A31"/>
    <w:rsid w:val="008E1F2E"/>
    <w:rsid w:val="008E34F5"/>
    <w:rsid w:val="008E3509"/>
    <w:rsid w:val="008E3909"/>
    <w:rsid w:val="008E391E"/>
    <w:rsid w:val="008E39C2"/>
    <w:rsid w:val="008E3ACB"/>
    <w:rsid w:val="008E4340"/>
    <w:rsid w:val="008E4D61"/>
    <w:rsid w:val="008E4E31"/>
    <w:rsid w:val="008E5031"/>
    <w:rsid w:val="008E579E"/>
    <w:rsid w:val="008E60E0"/>
    <w:rsid w:val="008E62F6"/>
    <w:rsid w:val="008E6964"/>
    <w:rsid w:val="008E728A"/>
    <w:rsid w:val="008E76DE"/>
    <w:rsid w:val="008F01D6"/>
    <w:rsid w:val="008F1018"/>
    <w:rsid w:val="008F11CC"/>
    <w:rsid w:val="008F19BD"/>
    <w:rsid w:val="008F24F3"/>
    <w:rsid w:val="008F2A21"/>
    <w:rsid w:val="008F39E9"/>
    <w:rsid w:val="008F4482"/>
    <w:rsid w:val="008F55BD"/>
    <w:rsid w:val="008F63FC"/>
    <w:rsid w:val="008F664A"/>
    <w:rsid w:val="008F76E5"/>
    <w:rsid w:val="00901829"/>
    <w:rsid w:val="00901C55"/>
    <w:rsid w:val="00902B4C"/>
    <w:rsid w:val="00902F20"/>
    <w:rsid w:val="00903793"/>
    <w:rsid w:val="00903D92"/>
    <w:rsid w:val="009042D7"/>
    <w:rsid w:val="00904571"/>
    <w:rsid w:val="00905C30"/>
    <w:rsid w:val="0090648B"/>
    <w:rsid w:val="00906DAF"/>
    <w:rsid w:val="009076EE"/>
    <w:rsid w:val="00907E11"/>
    <w:rsid w:val="00910016"/>
    <w:rsid w:val="00911A16"/>
    <w:rsid w:val="00912337"/>
    <w:rsid w:val="00912CB0"/>
    <w:rsid w:val="00913068"/>
    <w:rsid w:val="00913101"/>
    <w:rsid w:val="009132CA"/>
    <w:rsid w:val="00913B0C"/>
    <w:rsid w:val="00913E07"/>
    <w:rsid w:val="0091414C"/>
    <w:rsid w:val="00914228"/>
    <w:rsid w:val="009147FE"/>
    <w:rsid w:val="00915531"/>
    <w:rsid w:val="00915B09"/>
    <w:rsid w:val="00915C4A"/>
    <w:rsid w:val="0091793B"/>
    <w:rsid w:val="00921603"/>
    <w:rsid w:val="009217AC"/>
    <w:rsid w:val="009217DB"/>
    <w:rsid w:val="00921B80"/>
    <w:rsid w:val="00923B78"/>
    <w:rsid w:val="0092477D"/>
    <w:rsid w:val="009249E9"/>
    <w:rsid w:val="00926467"/>
    <w:rsid w:val="00926E34"/>
    <w:rsid w:val="009270F6"/>
    <w:rsid w:val="00932C3E"/>
    <w:rsid w:val="00933009"/>
    <w:rsid w:val="00934FAE"/>
    <w:rsid w:val="00935496"/>
    <w:rsid w:val="009407AE"/>
    <w:rsid w:val="00940FD6"/>
    <w:rsid w:val="00941201"/>
    <w:rsid w:val="00941D2D"/>
    <w:rsid w:val="0094608A"/>
    <w:rsid w:val="00946215"/>
    <w:rsid w:val="0095134D"/>
    <w:rsid w:val="009516DF"/>
    <w:rsid w:val="00951C79"/>
    <w:rsid w:val="0095356C"/>
    <w:rsid w:val="009543F6"/>
    <w:rsid w:val="0095480A"/>
    <w:rsid w:val="009553A7"/>
    <w:rsid w:val="0095652F"/>
    <w:rsid w:val="00956A0F"/>
    <w:rsid w:val="00962025"/>
    <w:rsid w:val="009642AA"/>
    <w:rsid w:val="009643A7"/>
    <w:rsid w:val="00964B93"/>
    <w:rsid w:val="00964EB7"/>
    <w:rsid w:val="009651E5"/>
    <w:rsid w:val="009662CA"/>
    <w:rsid w:val="0096656C"/>
    <w:rsid w:val="0096761D"/>
    <w:rsid w:val="00970698"/>
    <w:rsid w:val="009706EF"/>
    <w:rsid w:val="00970742"/>
    <w:rsid w:val="00970854"/>
    <w:rsid w:val="009709B6"/>
    <w:rsid w:val="00970A15"/>
    <w:rsid w:val="00973453"/>
    <w:rsid w:val="009739F7"/>
    <w:rsid w:val="00973F37"/>
    <w:rsid w:val="00974278"/>
    <w:rsid w:val="00974946"/>
    <w:rsid w:val="00974BAC"/>
    <w:rsid w:val="009753AC"/>
    <w:rsid w:val="00975829"/>
    <w:rsid w:val="00975A45"/>
    <w:rsid w:val="00976690"/>
    <w:rsid w:val="00976923"/>
    <w:rsid w:val="0097763A"/>
    <w:rsid w:val="00977EEB"/>
    <w:rsid w:val="009803C5"/>
    <w:rsid w:val="009811C2"/>
    <w:rsid w:val="00982077"/>
    <w:rsid w:val="00982113"/>
    <w:rsid w:val="00983481"/>
    <w:rsid w:val="009835A7"/>
    <w:rsid w:val="00983F14"/>
    <w:rsid w:val="009863C8"/>
    <w:rsid w:val="009864F8"/>
    <w:rsid w:val="009866F7"/>
    <w:rsid w:val="00990290"/>
    <w:rsid w:val="009906F1"/>
    <w:rsid w:val="00993D47"/>
    <w:rsid w:val="00994E30"/>
    <w:rsid w:val="0099610E"/>
    <w:rsid w:val="00996C12"/>
    <w:rsid w:val="0099721E"/>
    <w:rsid w:val="0099756D"/>
    <w:rsid w:val="00997D4A"/>
    <w:rsid w:val="009A06B0"/>
    <w:rsid w:val="009A09FB"/>
    <w:rsid w:val="009A0BAC"/>
    <w:rsid w:val="009A1AB8"/>
    <w:rsid w:val="009A1C91"/>
    <w:rsid w:val="009A238C"/>
    <w:rsid w:val="009A29AB"/>
    <w:rsid w:val="009A29FE"/>
    <w:rsid w:val="009A2F79"/>
    <w:rsid w:val="009A3275"/>
    <w:rsid w:val="009A3C58"/>
    <w:rsid w:val="009A470E"/>
    <w:rsid w:val="009A60C8"/>
    <w:rsid w:val="009A74E8"/>
    <w:rsid w:val="009A7929"/>
    <w:rsid w:val="009A7B12"/>
    <w:rsid w:val="009B016B"/>
    <w:rsid w:val="009B0B1E"/>
    <w:rsid w:val="009B0E44"/>
    <w:rsid w:val="009B1843"/>
    <w:rsid w:val="009B22D1"/>
    <w:rsid w:val="009B2B9B"/>
    <w:rsid w:val="009B2BE5"/>
    <w:rsid w:val="009B2C0E"/>
    <w:rsid w:val="009B37D9"/>
    <w:rsid w:val="009B3E91"/>
    <w:rsid w:val="009B4489"/>
    <w:rsid w:val="009B4B57"/>
    <w:rsid w:val="009B4DE2"/>
    <w:rsid w:val="009B4E37"/>
    <w:rsid w:val="009B51BC"/>
    <w:rsid w:val="009B5325"/>
    <w:rsid w:val="009B6DCB"/>
    <w:rsid w:val="009B7558"/>
    <w:rsid w:val="009C15ED"/>
    <w:rsid w:val="009C197E"/>
    <w:rsid w:val="009C2207"/>
    <w:rsid w:val="009C23A6"/>
    <w:rsid w:val="009C25E3"/>
    <w:rsid w:val="009C3857"/>
    <w:rsid w:val="009C4DC3"/>
    <w:rsid w:val="009C4FEC"/>
    <w:rsid w:val="009C587D"/>
    <w:rsid w:val="009C6325"/>
    <w:rsid w:val="009C7073"/>
    <w:rsid w:val="009C785A"/>
    <w:rsid w:val="009D0CA7"/>
    <w:rsid w:val="009D0DE7"/>
    <w:rsid w:val="009D196A"/>
    <w:rsid w:val="009D1A4C"/>
    <w:rsid w:val="009D22EB"/>
    <w:rsid w:val="009D24BA"/>
    <w:rsid w:val="009D264C"/>
    <w:rsid w:val="009D6CC8"/>
    <w:rsid w:val="009E0B6E"/>
    <w:rsid w:val="009E0DA1"/>
    <w:rsid w:val="009E1262"/>
    <w:rsid w:val="009E19FB"/>
    <w:rsid w:val="009E1AE9"/>
    <w:rsid w:val="009E209A"/>
    <w:rsid w:val="009E4FFA"/>
    <w:rsid w:val="009E68C2"/>
    <w:rsid w:val="009F2D87"/>
    <w:rsid w:val="009F3146"/>
    <w:rsid w:val="009F38AF"/>
    <w:rsid w:val="009F4965"/>
    <w:rsid w:val="009F4B4A"/>
    <w:rsid w:val="009F5116"/>
    <w:rsid w:val="009F68F2"/>
    <w:rsid w:val="009F77FD"/>
    <w:rsid w:val="009F7952"/>
    <w:rsid w:val="00A0022A"/>
    <w:rsid w:val="00A003C5"/>
    <w:rsid w:val="00A00CF4"/>
    <w:rsid w:val="00A00EFF"/>
    <w:rsid w:val="00A01303"/>
    <w:rsid w:val="00A01A6C"/>
    <w:rsid w:val="00A01D40"/>
    <w:rsid w:val="00A0497F"/>
    <w:rsid w:val="00A05DFF"/>
    <w:rsid w:val="00A06287"/>
    <w:rsid w:val="00A063EE"/>
    <w:rsid w:val="00A07FF6"/>
    <w:rsid w:val="00A10F62"/>
    <w:rsid w:val="00A11DC0"/>
    <w:rsid w:val="00A13491"/>
    <w:rsid w:val="00A136C8"/>
    <w:rsid w:val="00A17B7D"/>
    <w:rsid w:val="00A20A24"/>
    <w:rsid w:val="00A21A87"/>
    <w:rsid w:val="00A222EC"/>
    <w:rsid w:val="00A228A7"/>
    <w:rsid w:val="00A23F87"/>
    <w:rsid w:val="00A24369"/>
    <w:rsid w:val="00A24D39"/>
    <w:rsid w:val="00A257DF"/>
    <w:rsid w:val="00A258ED"/>
    <w:rsid w:val="00A25D5A"/>
    <w:rsid w:val="00A27090"/>
    <w:rsid w:val="00A27406"/>
    <w:rsid w:val="00A276EE"/>
    <w:rsid w:val="00A30F51"/>
    <w:rsid w:val="00A315D9"/>
    <w:rsid w:val="00A31A25"/>
    <w:rsid w:val="00A31CB7"/>
    <w:rsid w:val="00A3244E"/>
    <w:rsid w:val="00A33444"/>
    <w:rsid w:val="00A334B5"/>
    <w:rsid w:val="00A33E5F"/>
    <w:rsid w:val="00A35031"/>
    <w:rsid w:val="00A35839"/>
    <w:rsid w:val="00A36606"/>
    <w:rsid w:val="00A3675E"/>
    <w:rsid w:val="00A3756D"/>
    <w:rsid w:val="00A40754"/>
    <w:rsid w:val="00A407D9"/>
    <w:rsid w:val="00A41C7D"/>
    <w:rsid w:val="00A42339"/>
    <w:rsid w:val="00A468DF"/>
    <w:rsid w:val="00A5011E"/>
    <w:rsid w:val="00A52C4B"/>
    <w:rsid w:val="00A5327A"/>
    <w:rsid w:val="00A53DBE"/>
    <w:rsid w:val="00A54255"/>
    <w:rsid w:val="00A54780"/>
    <w:rsid w:val="00A54CC1"/>
    <w:rsid w:val="00A55006"/>
    <w:rsid w:val="00A558D6"/>
    <w:rsid w:val="00A55F6C"/>
    <w:rsid w:val="00A56BD4"/>
    <w:rsid w:val="00A571DF"/>
    <w:rsid w:val="00A6140F"/>
    <w:rsid w:val="00A61D57"/>
    <w:rsid w:val="00A629E1"/>
    <w:rsid w:val="00A646E1"/>
    <w:rsid w:val="00A64991"/>
    <w:rsid w:val="00A65886"/>
    <w:rsid w:val="00A65F07"/>
    <w:rsid w:val="00A66146"/>
    <w:rsid w:val="00A6697D"/>
    <w:rsid w:val="00A67FA6"/>
    <w:rsid w:val="00A70778"/>
    <w:rsid w:val="00A70EBE"/>
    <w:rsid w:val="00A70F01"/>
    <w:rsid w:val="00A716B1"/>
    <w:rsid w:val="00A71B66"/>
    <w:rsid w:val="00A72C66"/>
    <w:rsid w:val="00A72DBD"/>
    <w:rsid w:val="00A73007"/>
    <w:rsid w:val="00A735AE"/>
    <w:rsid w:val="00A7389C"/>
    <w:rsid w:val="00A743E3"/>
    <w:rsid w:val="00A74558"/>
    <w:rsid w:val="00A746BC"/>
    <w:rsid w:val="00A749E9"/>
    <w:rsid w:val="00A7573B"/>
    <w:rsid w:val="00A75E50"/>
    <w:rsid w:val="00A77FC8"/>
    <w:rsid w:val="00A81207"/>
    <w:rsid w:val="00A82180"/>
    <w:rsid w:val="00A82477"/>
    <w:rsid w:val="00A82E49"/>
    <w:rsid w:val="00A83837"/>
    <w:rsid w:val="00A83B80"/>
    <w:rsid w:val="00A84ADE"/>
    <w:rsid w:val="00A860E0"/>
    <w:rsid w:val="00A868F9"/>
    <w:rsid w:val="00A86F4F"/>
    <w:rsid w:val="00A8715C"/>
    <w:rsid w:val="00A87AC0"/>
    <w:rsid w:val="00A90103"/>
    <w:rsid w:val="00A903FC"/>
    <w:rsid w:val="00A90442"/>
    <w:rsid w:val="00A90ECB"/>
    <w:rsid w:val="00A91063"/>
    <w:rsid w:val="00A91BF8"/>
    <w:rsid w:val="00A92120"/>
    <w:rsid w:val="00A92AF5"/>
    <w:rsid w:val="00A94A1F"/>
    <w:rsid w:val="00A96133"/>
    <w:rsid w:val="00A9627E"/>
    <w:rsid w:val="00A962B9"/>
    <w:rsid w:val="00A9656F"/>
    <w:rsid w:val="00A968DA"/>
    <w:rsid w:val="00A96A87"/>
    <w:rsid w:val="00A9701C"/>
    <w:rsid w:val="00A975B5"/>
    <w:rsid w:val="00A97AB1"/>
    <w:rsid w:val="00AA00ED"/>
    <w:rsid w:val="00AA137E"/>
    <w:rsid w:val="00AA13B2"/>
    <w:rsid w:val="00AA14A5"/>
    <w:rsid w:val="00AA158B"/>
    <w:rsid w:val="00AA1D51"/>
    <w:rsid w:val="00AA2612"/>
    <w:rsid w:val="00AA2F84"/>
    <w:rsid w:val="00AA3A22"/>
    <w:rsid w:val="00AA5150"/>
    <w:rsid w:val="00AA75D2"/>
    <w:rsid w:val="00AB0051"/>
    <w:rsid w:val="00AB071D"/>
    <w:rsid w:val="00AB1231"/>
    <w:rsid w:val="00AB1834"/>
    <w:rsid w:val="00AB3450"/>
    <w:rsid w:val="00AB38AA"/>
    <w:rsid w:val="00AB3BA1"/>
    <w:rsid w:val="00AB3C43"/>
    <w:rsid w:val="00AB3FA1"/>
    <w:rsid w:val="00AB49EF"/>
    <w:rsid w:val="00AB5390"/>
    <w:rsid w:val="00AB59D1"/>
    <w:rsid w:val="00AB5C44"/>
    <w:rsid w:val="00AB5DD3"/>
    <w:rsid w:val="00AB7D82"/>
    <w:rsid w:val="00AC08AC"/>
    <w:rsid w:val="00AC0C2B"/>
    <w:rsid w:val="00AC0E3D"/>
    <w:rsid w:val="00AC1EBF"/>
    <w:rsid w:val="00AC3C7B"/>
    <w:rsid w:val="00AC6A80"/>
    <w:rsid w:val="00AC6B09"/>
    <w:rsid w:val="00AC75B8"/>
    <w:rsid w:val="00AD1743"/>
    <w:rsid w:val="00AD2675"/>
    <w:rsid w:val="00AD328A"/>
    <w:rsid w:val="00AD38D8"/>
    <w:rsid w:val="00AD4AAF"/>
    <w:rsid w:val="00AD4C39"/>
    <w:rsid w:val="00AD4D6E"/>
    <w:rsid w:val="00AD4DC6"/>
    <w:rsid w:val="00AD5402"/>
    <w:rsid w:val="00AD66CB"/>
    <w:rsid w:val="00AD7143"/>
    <w:rsid w:val="00AD7D6D"/>
    <w:rsid w:val="00AD7D8E"/>
    <w:rsid w:val="00AE1B08"/>
    <w:rsid w:val="00AE1EE4"/>
    <w:rsid w:val="00AE216A"/>
    <w:rsid w:val="00AE2329"/>
    <w:rsid w:val="00AE35E8"/>
    <w:rsid w:val="00AE3EC4"/>
    <w:rsid w:val="00AE4C09"/>
    <w:rsid w:val="00AE56D8"/>
    <w:rsid w:val="00AE5851"/>
    <w:rsid w:val="00AE58AC"/>
    <w:rsid w:val="00AE596C"/>
    <w:rsid w:val="00AE5E3B"/>
    <w:rsid w:val="00AE624B"/>
    <w:rsid w:val="00AE7080"/>
    <w:rsid w:val="00AE7E7B"/>
    <w:rsid w:val="00AF1EDE"/>
    <w:rsid w:val="00AF1FE8"/>
    <w:rsid w:val="00AF261D"/>
    <w:rsid w:val="00AF30BE"/>
    <w:rsid w:val="00AF3932"/>
    <w:rsid w:val="00AF3F78"/>
    <w:rsid w:val="00AF522C"/>
    <w:rsid w:val="00AF5661"/>
    <w:rsid w:val="00AF5927"/>
    <w:rsid w:val="00AF5B55"/>
    <w:rsid w:val="00AF6C6E"/>
    <w:rsid w:val="00AF6ED9"/>
    <w:rsid w:val="00AF6F00"/>
    <w:rsid w:val="00AF7190"/>
    <w:rsid w:val="00AF7D53"/>
    <w:rsid w:val="00B00451"/>
    <w:rsid w:val="00B013D7"/>
    <w:rsid w:val="00B02A70"/>
    <w:rsid w:val="00B030D7"/>
    <w:rsid w:val="00B03628"/>
    <w:rsid w:val="00B03933"/>
    <w:rsid w:val="00B066B9"/>
    <w:rsid w:val="00B0678D"/>
    <w:rsid w:val="00B067D5"/>
    <w:rsid w:val="00B07C72"/>
    <w:rsid w:val="00B101DF"/>
    <w:rsid w:val="00B11423"/>
    <w:rsid w:val="00B11721"/>
    <w:rsid w:val="00B11985"/>
    <w:rsid w:val="00B11AC8"/>
    <w:rsid w:val="00B130E3"/>
    <w:rsid w:val="00B134A0"/>
    <w:rsid w:val="00B13FF1"/>
    <w:rsid w:val="00B14756"/>
    <w:rsid w:val="00B1476E"/>
    <w:rsid w:val="00B147CC"/>
    <w:rsid w:val="00B14D8F"/>
    <w:rsid w:val="00B169CD"/>
    <w:rsid w:val="00B178EE"/>
    <w:rsid w:val="00B17CA3"/>
    <w:rsid w:val="00B17DCA"/>
    <w:rsid w:val="00B21618"/>
    <w:rsid w:val="00B21F48"/>
    <w:rsid w:val="00B22ACC"/>
    <w:rsid w:val="00B23107"/>
    <w:rsid w:val="00B23247"/>
    <w:rsid w:val="00B23750"/>
    <w:rsid w:val="00B24B39"/>
    <w:rsid w:val="00B25279"/>
    <w:rsid w:val="00B25390"/>
    <w:rsid w:val="00B254AC"/>
    <w:rsid w:val="00B25E40"/>
    <w:rsid w:val="00B25EB4"/>
    <w:rsid w:val="00B26038"/>
    <w:rsid w:val="00B26120"/>
    <w:rsid w:val="00B26B15"/>
    <w:rsid w:val="00B26CDF"/>
    <w:rsid w:val="00B26EC5"/>
    <w:rsid w:val="00B278DA"/>
    <w:rsid w:val="00B279DC"/>
    <w:rsid w:val="00B30948"/>
    <w:rsid w:val="00B31552"/>
    <w:rsid w:val="00B315D2"/>
    <w:rsid w:val="00B335E5"/>
    <w:rsid w:val="00B34317"/>
    <w:rsid w:val="00B34830"/>
    <w:rsid w:val="00B34DDC"/>
    <w:rsid w:val="00B34E34"/>
    <w:rsid w:val="00B352F9"/>
    <w:rsid w:val="00B35826"/>
    <w:rsid w:val="00B35D61"/>
    <w:rsid w:val="00B37209"/>
    <w:rsid w:val="00B377DB"/>
    <w:rsid w:val="00B37B0C"/>
    <w:rsid w:val="00B4036A"/>
    <w:rsid w:val="00B40D28"/>
    <w:rsid w:val="00B416C1"/>
    <w:rsid w:val="00B41B94"/>
    <w:rsid w:val="00B41C5F"/>
    <w:rsid w:val="00B41D0D"/>
    <w:rsid w:val="00B42D5D"/>
    <w:rsid w:val="00B43788"/>
    <w:rsid w:val="00B437C1"/>
    <w:rsid w:val="00B4418B"/>
    <w:rsid w:val="00B44440"/>
    <w:rsid w:val="00B45176"/>
    <w:rsid w:val="00B46A90"/>
    <w:rsid w:val="00B46B16"/>
    <w:rsid w:val="00B474B6"/>
    <w:rsid w:val="00B4757A"/>
    <w:rsid w:val="00B50856"/>
    <w:rsid w:val="00B51C23"/>
    <w:rsid w:val="00B52943"/>
    <w:rsid w:val="00B52E11"/>
    <w:rsid w:val="00B53833"/>
    <w:rsid w:val="00B55AF2"/>
    <w:rsid w:val="00B601C8"/>
    <w:rsid w:val="00B60630"/>
    <w:rsid w:val="00B6077D"/>
    <w:rsid w:val="00B60D77"/>
    <w:rsid w:val="00B613A4"/>
    <w:rsid w:val="00B62AB3"/>
    <w:rsid w:val="00B62D0F"/>
    <w:rsid w:val="00B63445"/>
    <w:rsid w:val="00B639A0"/>
    <w:rsid w:val="00B6403A"/>
    <w:rsid w:val="00B64CAF"/>
    <w:rsid w:val="00B65410"/>
    <w:rsid w:val="00B6629E"/>
    <w:rsid w:val="00B66885"/>
    <w:rsid w:val="00B66EEC"/>
    <w:rsid w:val="00B67307"/>
    <w:rsid w:val="00B676C9"/>
    <w:rsid w:val="00B67E19"/>
    <w:rsid w:val="00B707D2"/>
    <w:rsid w:val="00B70B5B"/>
    <w:rsid w:val="00B70BBA"/>
    <w:rsid w:val="00B70E25"/>
    <w:rsid w:val="00B710BA"/>
    <w:rsid w:val="00B718C8"/>
    <w:rsid w:val="00B718EA"/>
    <w:rsid w:val="00B71F2D"/>
    <w:rsid w:val="00B72BF7"/>
    <w:rsid w:val="00B72DBE"/>
    <w:rsid w:val="00B7623B"/>
    <w:rsid w:val="00B7634D"/>
    <w:rsid w:val="00B77675"/>
    <w:rsid w:val="00B777AC"/>
    <w:rsid w:val="00B818F0"/>
    <w:rsid w:val="00B81D2A"/>
    <w:rsid w:val="00B81EB9"/>
    <w:rsid w:val="00B82233"/>
    <w:rsid w:val="00B82C81"/>
    <w:rsid w:val="00B8326C"/>
    <w:rsid w:val="00B8359B"/>
    <w:rsid w:val="00B83DAB"/>
    <w:rsid w:val="00B8452B"/>
    <w:rsid w:val="00B84C45"/>
    <w:rsid w:val="00B84C71"/>
    <w:rsid w:val="00B84DCD"/>
    <w:rsid w:val="00B86A38"/>
    <w:rsid w:val="00B86C6A"/>
    <w:rsid w:val="00B86E9F"/>
    <w:rsid w:val="00B87E22"/>
    <w:rsid w:val="00B900E9"/>
    <w:rsid w:val="00B909DE"/>
    <w:rsid w:val="00B90FAC"/>
    <w:rsid w:val="00B910A4"/>
    <w:rsid w:val="00B915E6"/>
    <w:rsid w:val="00B917FC"/>
    <w:rsid w:val="00B91C1E"/>
    <w:rsid w:val="00B9390E"/>
    <w:rsid w:val="00B95349"/>
    <w:rsid w:val="00B9544C"/>
    <w:rsid w:val="00B9614C"/>
    <w:rsid w:val="00B9615E"/>
    <w:rsid w:val="00B9631F"/>
    <w:rsid w:val="00B9664F"/>
    <w:rsid w:val="00B96C21"/>
    <w:rsid w:val="00B978D8"/>
    <w:rsid w:val="00B97E47"/>
    <w:rsid w:val="00B97EA1"/>
    <w:rsid w:val="00BA00CB"/>
    <w:rsid w:val="00BA0267"/>
    <w:rsid w:val="00BA09E3"/>
    <w:rsid w:val="00BA11D3"/>
    <w:rsid w:val="00BA126D"/>
    <w:rsid w:val="00BA1544"/>
    <w:rsid w:val="00BA279F"/>
    <w:rsid w:val="00BA33B0"/>
    <w:rsid w:val="00BA3438"/>
    <w:rsid w:val="00BA37B3"/>
    <w:rsid w:val="00BA38A5"/>
    <w:rsid w:val="00BA3F91"/>
    <w:rsid w:val="00BA4119"/>
    <w:rsid w:val="00BA41C1"/>
    <w:rsid w:val="00BA5817"/>
    <w:rsid w:val="00BA59B8"/>
    <w:rsid w:val="00BA5F33"/>
    <w:rsid w:val="00BA6176"/>
    <w:rsid w:val="00BA66FC"/>
    <w:rsid w:val="00BA70D6"/>
    <w:rsid w:val="00BA770B"/>
    <w:rsid w:val="00BA7729"/>
    <w:rsid w:val="00BA7957"/>
    <w:rsid w:val="00BB067A"/>
    <w:rsid w:val="00BB1949"/>
    <w:rsid w:val="00BB1975"/>
    <w:rsid w:val="00BB21C0"/>
    <w:rsid w:val="00BB2D74"/>
    <w:rsid w:val="00BB339B"/>
    <w:rsid w:val="00BB38D2"/>
    <w:rsid w:val="00BB3C3B"/>
    <w:rsid w:val="00BB65CC"/>
    <w:rsid w:val="00BB68D4"/>
    <w:rsid w:val="00BB6B80"/>
    <w:rsid w:val="00BB6E28"/>
    <w:rsid w:val="00BB7221"/>
    <w:rsid w:val="00BB7A4E"/>
    <w:rsid w:val="00BC02B3"/>
    <w:rsid w:val="00BC03B8"/>
    <w:rsid w:val="00BC0D93"/>
    <w:rsid w:val="00BC23F1"/>
    <w:rsid w:val="00BC288F"/>
    <w:rsid w:val="00BC290D"/>
    <w:rsid w:val="00BC2DF4"/>
    <w:rsid w:val="00BC2EB8"/>
    <w:rsid w:val="00BC3BF6"/>
    <w:rsid w:val="00BC3C52"/>
    <w:rsid w:val="00BC5638"/>
    <w:rsid w:val="00BC631C"/>
    <w:rsid w:val="00BD09F4"/>
    <w:rsid w:val="00BD0CC5"/>
    <w:rsid w:val="00BD11CD"/>
    <w:rsid w:val="00BD11F8"/>
    <w:rsid w:val="00BD1253"/>
    <w:rsid w:val="00BD14E1"/>
    <w:rsid w:val="00BD16E8"/>
    <w:rsid w:val="00BD5F58"/>
    <w:rsid w:val="00BD63B3"/>
    <w:rsid w:val="00BD6F71"/>
    <w:rsid w:val="00BD7C99"/>
    <w:rsid w:val="00BE127B"/>
    <w:rsid w:val="00BE1545"/>
    <w:rsid w:val="00BE154E"/>
    <w:rsid w:val="00BE19D0"/>
    <w:rsid w:val="00BE1C8B"/>
    <w:rsid w:val="00BE24D1"/>
    <w:rsid w:val="00BE2630"/>
    <w:rsid w:val="00BE3115"/>
    <w:rsid w:val="00BE3378"/>
    <w:rsid w:val="00BE34DE"/>
    <w:rsid w:val="00BE44D5"/>
    <w:rsid w:val="00BE49CF"/>
    <w:rsid w:val="00BE5754"/>
    <w:rsid w:val="00BE6057"/>
    <w:rsid w:val="00BE6B62"/>
    <w:rsid w:val="00BE7366"/>
    <w:rsid w:val="00BE7C1D"/>
    <w:rsid w:val="00BF1B96"/>
    <w:rsid w:val="00BF23E9"/>
    <w:rsid w:val="00BF257B"/>
    <w:rsid w:val="00BF2796"/>
    <w:rsid w:val="00BF420E"/>
    <w:rsid w:val="00BF497E"/>
    <w:rsid w:val="00BF4B43"/>
    <w:rsid w:val="00BF4E4E"/>
    <w:rsid w:val="00BF5158"/>
    <w:rsid w:val="00BF629F"/>
    <w:rsid w:val="00BF64F6"/>
    <w:rsid w:val="00BF6798"/>
    <w:rsid w:val="00BF67BA"/>
    <w:rsid w:val="00BF7A9C"/>
    <w:rsid w:val="00C00076"/>
    <w:rsid w:val="00C0037D"/>
    <w:rsid w:val="00C008A4"/>
    <w:rsid w:val="00C031EB"/>
    <w:rsid w:val="00C036FD"/>
    <w:rsid w:val="00C03900"/>
    <w:rsid w:val="00C04203"/>
    <w:rsid w:val="00C04647"/>
    <w:rsid w:val="00C0663E"/>
    <w:rsid w:val="00C06953"/>
    <w:rsid w:val="00C10A77"/>
    <w:rsid w:val="00C10AE7"/>
    <w:rsid w:val="00C1162C"/>
    <w:rsid w:val="00C11C29"/>
    <w:rsid w:val="00C1242D"/>
    <w:rsid w:val="00C12C15"/>
    <w:rsid w:val="00C12FE0"/>
    <w:rsid w:val="00C132D2"/>
    <w:rsid w:val="00C1477E"/>
    <w:rsid w:val="00C15A0D"/>
    <w:rsid w:val="00C15D11"/>
    <w:rsid w:val="00C168E0"/>
    <w:rsid w:val="00C16EB2"/>
    <w:rsid w:val="00C202D0"/>
    <w:rsid w:val="00C20814"/>
    <w:rsid w:val="00C208C8"/>
    <w:rsid w:val="00C20BE3"/>
    <w:rsid w:val="00C20CE4"/>
    <w:rsid w:val="00C2119B"/>
    <w:rsid w:val="00C21A1D"/>
    <w:rsid w:val="00C230B9"/>
    <w:rsid w:val="00C23154"/>
    <w:rsid w:val="00C2385E"/>
    <w:rsid w:val="00C23BD0"/>
    <w:rsid w:val="00C24083"/>
    <w:rsid w:val="00C248DB"/>
    <w:rsid w:val="00C24E94"/>
    <w:rsid w:val="00C30ECE"/>
    <w:rsid w:val="00C318E3"/>
    <w:rsid w:val="00C31B43"/>
    <w:rsid w:val="00C32AB4"/>
    <w:rsid w:val="00C332EC"/>
    <w:rsid w:val="00C3344B"/>
    <w:rsid w:val="00C34581"/>
    <w:rsid w:val="00C34981"/>
    <w:rsid w:val="00C35DC3"/>
    <w:rsid w:val="00C36C67"/>
    <w:rsid w:val="00C374D0"/>
    <w:rsid w:val="00C37F99"/>
    <w:rsid w:val="00C41521"/>
    <w:rsid w:val="00C4168D"/>
    <w:rsid w:val="00C41960"/>
    <w:rsid w:val="00C42303"/>
    <w:rsid w:val="00C43994"/>
    <w:rsid w:val="00C44748"/>
    <w:rsid w:val="00C4588A"/>
    <w:rsid w:val="00C4666E"/>
    <w:rsid w:val="00C47542"/>
    <w:rsid w:val="00C501F9"/>
    <w:rsid w:val="00C5083D"/>
    <w:rsid w:val="00C50D65"/>
    <w:rsid w:val="00C51747"/>
    <w:rsid w:val="00C5205A"/>
    <w:rsid w:val="00C5308A"/>
    <w:rsid w:val="00C545E7"/>
    <w:rsid w:val="00C55297"/>
    <w:rsid w:val="00C55C1C"/>
    <w:rsid w:val="00C56861"/>
    <w:rsid w:val="00C579BA"/>
    <w:rsid w:val="00C57B89"/>
    <w:rsid w:val="00C60AC1"/>
    <w:rsid w:val="00C60BB4"/>
    <w:rsid w:val="00C60D45"/>
    <w:rsid w:val="00C619DC"/>
    <w:rsid w:val="00C62304"/>
    <w:rsid w:val="00C62F80"/>
    <w:rsid w:val="00C63CFC"/>
    <w:rsid w:val="00C640EB"/>
    <w:rsid w:val="00C64376"/>
    <w:rsid w:val="00C6446B"/>
    <w:rsid w:val="00C64CE0"/>
    <w:rsid w:val="00C65525"/>
    <w:rsid w:val="00C66265"/>
    <w:rsid w:val="00C663C5"/>
    <w:rsid w:val="00C6655E"/>
    <w:rsid w:val="00C67211"/>
    <w:rsid w:val="00C67D97"/>
    <w:rsid w:val="00C702ED"/>
    <w:rsid w:val="00C70D1B"/>
    <w:rsid w:val="00C70EF6"/>
    <w:rsid w:val="00C7120E"/>
    <w:rsid w:val="00C7248A"/>
    <w:rsid w:val="00C744FC"/>
    <w:rsid w:val="00C74760"/>
    <w:rsid w:val="00C74837"/>
    <w:rsid w:val="00C76126"/>
    <w:rsid w:val="00C774F1"/>
    <w:rsid w:val="00C77C51"/>
    <w:rsid w:val="00C77F74"/>
    <w:rsid w:val="00C81B31"/>
    <w:rsid w:val="00C8205A"/>
    <w:rsid w:val="00C825E0"/>
    <w:rsid w:val="00C83559"/>
    <w:rsid w:val="00C83E26"/>
    <w:rsid w:val="00C85DA9"/>
    <w:rsid w:val="00C87083"/>
    <w:rsid w:val="00C87859"/>
    <w:rsid w:val="00C87D0C"/>
    <w:rsid w:val="00C9096C"/>
    <w:rsid w:val="00C90F3B"/>
    <w:rsid w:val="00C91303"/>
    <w:rsid w:val="00C915FE"/>
    <w:rsid w:val="00C91D15"/>
    <w:rsid w:val="00C927E7"/>
    <w:rsid w:val="00C92983"/>
    <w:rsid w:val="00C9311D"/>
    <w:rsid w:val="00C93310"/>
    <w:rsid w:val="00C941A8"/>
    <w:rsid w:val="00C944CF"/>
    <w:rsid w:val="00C9469B"/>
    <w:rsid w:val="00C94A94"/>
    <w:rsid w:val="00C979A3"/>
    <w:rsid w:val="00CA0528"/>
    <w:rsid w:val="00CA132B"/>
    <w:rsid w:val="00CA1C02"/>
    <w:rsid w:val="00CA1C21"/>
    <w:rsid w:val="00CA4F82"/>
    <w:rsid w:val="00CA5046"/>
    <w:rsid w:val="00CA66FD"/>
    <w:rsid w:val="00CB1537"/>
    <w:rsid w:val="00CB1E9F"/>
    <w:rsid w:val="00CB20AA"/>
    <w:rsid w:val="00CB20E7"/>
    <w:rsid w:val="00CB2FA8"/>
    <w:rsid w:val="00CB3290"/>
    <w:rsid w:val="00CB32D6"/>
    <w:rsid w:val="00CB36B5"/>
    <w:rsid w:val="00CB3881"/>
    <w:rsid w:val="00CB3CC9"/>
    <w:rsid w:val="00CB437A"/>
    <w:rsid w:val="00CB47F8"/>
    <w:rsid w:val="00CB6F46"/>
    <w:rsid w:val="00CB75E2"/>
    <w:rsid w:val="00CC00DA"/>
    <w:rsid w:val="00CC0D13"/>
    <w:rsid w:val="00CC1A78"/>
    <w:rsid w:val="00CC1E1C"/>
    <w:rsid w:val="00CC251A"/>
    <w:rsid w:val="00CC2F0B"/>
    <w:rsid w:val="00CC31BF"/>
    <w:rsid w:val="00CC34AB"/>
    <w:rsid w:val="00CC3828"/>
    <w:rsid w:val="00CC3A55"/>
    <w:rsid w:val="00CC3B2A"/>
    <w:rsid w:val="00CC507A"/>
    <w:rsid w:val="00CC5104"/>
    <w:rsid w:val="00CC6613"/>
    <w:rsid w:val="00CC6A57"/>
    <w:rsid w:val="00CC6C1D"/>
    <w:rsid w:val="00CC6C63"/>
    <w:rsid w:val="00CC78DE"/>
    <w:rsid w:val="00CD000C"/>
    <w:rsid w:val="00CD061B"/>
    <w:rsid w:val="00CD0800"/>
    <w:rsid w:val="00CD10A5"/>
    <w:rsid w:val="00CD134F"/>
    <w:rsid w:val="00CD1A2B"/>
    <w:rsid w:val="00CD220A"/>
    <w:rsid w:val="00CD39FF"/>
    <w:rsid w:val="00CD4276"/>
    <w:rsid w:val="00CD43ED"/>
    <w:rsid w:val="00CD5037"/>
    <w:rsid w:val="00CD6209"/>
    <w:rsid w:val="00CD63F6"/>
    <w:rsid w:val="00CD67A7"/>
    <w:rsid w:val="00CD6969"/>
    <w:rsid w:val="00CD6A87"/>
    <w:rsid w:val="00CD6C4E"/>
    <w:rsid w:val="00CD71A7"/>
    <w:rsid w:val="00CD74AA"/>
    <w:rsid w:val="00CE03B8"/>
    <w:rsid w:val="00CE0F6B"/>
    <w:rsid w:val="00CE1774"/>
    <w:rsid w:val="00CE4F6B"/>
    <w:rsid w:val="00CE51C5"/>
    <w:rsid w:val="00CE53B8"/>
    <w:rsid w:val="00CE5B3A"/>
    <w:rsid w:val="00CE7F28"/>
    <w:rsid w:val="00CF117B"/>
    <w:rsid w:val="00CF276A"/>
    <w:rsid w:val="00CF35B7"/>
    <w:rsid w:val="00CF36F0"/>
    <w:rsid w:val="00CF3874"/>
    <w:rsid w:val="00CF3F64"/>
    <w:rsid w:val="00CF4201"/>
    <w:rsid w:val="00CF4B95"/>
    <w:rsid w:val="00CF69EF"/>
    <w:rsid w:val="00CF7076"/>
    <w:rsid w:val="00D0058A"/>
    <w:rsid w:val="00D00753"/>
    <w:rsid w:val="00D0098D"/>
    <w:rsid w:val="00D00FC2"/>
    <w:rsid w:val="00D01C8A"/>
    <w:rsid w:val="00D0352B"/>
    <w:rsid w:val="00D03BCA"/>
    <w:rsid w:val="00D03E56"/>
    <w:rsid w:val="00D0456F"/>
    <w:rsid w:val="00D049C8"/>
    <w:rsid w:val="00D05839"/>
    <w:rsid w:val="00D06B6D"/>
    <w:rsid w:val="00D07465"/>
    <w:rsid w:val="00D07498"/>
    <w:rsid w:val="00D07B70"/>
    <w:rsid w:val="00D10287"/>
    <w:rsid w:val="00D108D3"/>
    <w:rsid w:val="00D111A9"/>
    <w:rsid w:val="00D11EC8"/>
    <w:rsid w:val="00D12136"/>
    <w:rsid w:val="00D121CC"/>
    <w:rsid w:val="00D121D7"/>
    <w:rsid w:val="00D1233B"/>
    <w:rsid w:val="00D12465"/>
    <w:rsid w:val="00D12AA8"/>
    <w:rsid w:val="00D15501"/>
    <w:rsid w:val="00D15B4F"/>
    <w:rsid w:val="00D16599"/>
    <w:rsid w:val="00D1669F"/>
    <w:rsid w:val="00D170B2"/>
    <w:rsid w:val="00D17545"/>
    <w:rsid w:val="00D2082D"/>
    <w:rsid w:val="00D20C97"/>
    <w:rsid w:val="00D21171"/>
    <w:rsid w:val="00D22D9B"/>
    <w:rsid w:val="00D24245"/>
    <w:rsid w:val="00D24401"/>
    <w:rsid w:val="00D24579"/>
    <w:rsid w:val="00D2492C"/>
    <w:rsid w:val="00D250FA"/>
    <w:rsid w:val="00D2524D"/>
    <w:rsid w:val="00D2618E"/>
    <w:rsid w:val="00D26403"/>
    <w:rsid w:val="00D300E9"/>
    <w:rsid w:val="00D304E4"/>
    <w:rsid w:val="00D310A5"/>
    <w:rsid w:val="00D31CFF"/>
    <w:rsid w:val="00D31E11"/>
    <w:rsid w:val="00D32538"/>
    <w:rsid w:val="00D32C94"/>
    <w:rsid w:val="00D3329B"/>
    <w:rsid w:val="00D33A5D"/>
    <w:rsid w:val="00D34140"/>
    <w:rsid w:val="00D3450D"/>
    <w:rsid w:val="00D370B7"/>
    <w:rsid w:val="00D37860"/>
    <w:rsid w:val="00D40776"/>
    <w:rsid w:val="00D40E89"/>
    <w:rsid w:val="00D41DB6"/>
    <w:rsid w:val="00D425EE"/>
    <w:rsid w:val="00D4279F"/>
    <w:rsid w:val="00D42EC7"/>
    <w:rsid w:val="00D434F9"/>
    <w:rsid w:val="00D43AA0"/>
    <w:rsid w:val="00D43E45"/>
    <w:rsid w:val="00D445BE"/>
    <w:rsid w:val="00D45542"/>
    <w:rsid w:val="00D46054"/>
    <w:rsid w:val="00D469B5"/>
    <w:rsid w:val="00D4780F"/>
    <w:rsid w:val="00D47DA8"/>
    <w:rsid w:val="00D50032"/>
    <w:rsid w:val="00D500C9"/>
    <w:rsid w:val="00D511AC"/>
    <w:rsid w:val="00D5175C"/>
    <w:rsid w:val="00D529CF"/>
    <w:rsid w:val="00D52AFB"/>
    <w:rsid w:val="00D52BF6"/>
    <w:rsid w:val="00D53EFF"/>
    <w:rsid w:val="00D54441"/>
    <w:rsid w:val="00D555BC"/>
    <w:rsid w:val="00D56C6D"/>
    <w:rsid w:val="00D57B2B"/>
    <w:rsid w:val="00D57C39"/>
    <w:rsid w:val="00D57E30"/>
    <w:rsid w:val="00D612E0"/>
    <w:rsid w:val="00D6134B"/>
    <w:rsid w:val="00D623D0"/>
    <w:rsid w:val="00D62FE7"/>
    <w:rsid w:val="00D6330E"/>
    <w:rsid w:val="00D63C02"/>
    <w:rsid w:val="00D6420F"/>
    <w:rsid w:val="00D650EB"/>
    <w:rsid w:val="00D664CE"/>
    <w:rsid w:val="00D66A89"/>
    <w:rsid w:val="00D66BE9"/>
    <w:rsid w:val="00D67549"/>
    <w:rsid w:val="00D67A66"/>
    <w:rsid w:val="00D67B5C"/>
    <w:rsid w:val="00D70A26"/>
    <w:rsid w:val="00D70BFE"/>
    <w:rsid w:val="00D71D66"/>
    <w:rsid w:val="00D71EA0"/>
    <w:rsid w:val="00D721F7"/>
    <w:rsid w:val="00D72F55"/>
    <w:rsid w:val="00D732D5"/>
    <w:rsid w:val="00D733B2"/>
    <w:rsid w:val="00D73D31"/>
    <w:rsid w:val="00D741BE"/>
    <w:rsid w:val="00D749E5"/>
    <w:rsid w:val="00D75828"/>
    <w:rsid w:val="00D75B85"/>
    <w:rsid w:val="00D76D1F"/>
    <w:rsid w:val="00D77354"/>
    <w:rsid w:val="00D773FB"/>
    <w:rsid w:val="00D81BDE"/>
    <w:rsid w:val="00D8204E"/>
    <w:rsid w:val="00D83C8B"/>
    <w:rsid w:val="00D84E77"/>
    <w:rsid w:val="00D8556D"/>
    <w:rsid w:val="00D85F6D"/>
    <w:rsid w:val="00D86514"/>
    <w:rsid w:val="00D86941"/>
    <w:rsid w:val="00D90325"/>
    <w:rsid w:val="00D90F03"/>
    <w:rsid w:val="00D9110D"/>
    <w:rsid w:val="00D93286"/>
    <w:rsid w:val="00D938C8"/>
    <w:rsid w:val="00D945BC"/>
    <w:rsid w:val="00D96689"/>
    <w:rsid w:val="00D96818"/>
    <w:rsid w:val="00D97AA5"/>
    <w:rsid w:val="00D97F9A"/>
    <w:rsid w:val="00DA10A7"/>
    <w:rsid w:val="00DA11C2"/>
    <w:rsid w:val="00DA1C8E"/>
    <w:rsid w:val="00DA263D"/>
    <w:rsid w:val="00DA29B4"/>
    <w:rsid w:val="00DA320D"/>
    <w:rsid w:val="00DA3493"/>
    <w:rsid w:val="00DA3569"/>
    <w:rsid w:val="00DA6B5F"/>
    <w:rsid w:val="00DA7CED"/>
    <w:rsid w:val="00DA7EA5"/>
    <w:rsid w:val="00DB0D38"/>
    <w:rsid w:val="00DB123A"/>
    <w:rsid w:val="00DB1F78"/>
    <w:rsid w:val="00DB2DEB"/>
    <w:rsid w:val="00DB309C"/>
    <w:rsid w:val="00DB689A"/>
    <w:rsid w:val="00DB73AF"/>
    <w:rsid w:val="00DB7DC1"/>
    <w:rsid w:val="00DB7F10"/>
    <w:rsid w:val="00DC053F"/>
    <w:rsid w:val="00DC1825"/>
    <w:rsid w:val="00DC19FE"/>
    <w:rsid w:val="00DC233B"/>
    <w:rsid w:val="00DC27A4"/>
    <w:rsid w:val="00DC2ED2"/>
    <w:rsid w:val="00DC3BB2"/>
    <w:rsid w:val="00DC3D13"/>
    <w:rsid w:val="00DC486E"/>
    <w:rsid w:val="00DC4AE5"/>
    <w:rsid w:val="00DC54B9"/>
    <w:rsid w:val="00DC5B5E"/>
    <w:rsid w:val="00DC5DE7"/>
    <w:rsid w:val="00DC5ECF"/>
    <w:rsid w:val="00DC77E8"/>
    <w:rsid w:val="00DC7EC0"/>
    <w:rsid w:val="00DD36A9"/>
    <w:rsid w:val="00DD385E"/>
    <w:rsid w:val="00DD4748"/>
    <w:rsid w:val="00DD4E21"/>
    <w:rsid w:val="00DD5318"/>
    <w:rsid w:val="00DD5611"/>
    <w:rsid w:val="00DD56B6"/>
    <w:rsid w:val="00DD6B6C"/>
    <w:rsid w:val="00DD707C"/>
    <w:rsid w:val="00DE0126"/>
    <w:rsid w:val="00DE03B0"/>
    <w:rsid w:val="00DE1B5E"/>
    <w:rsid w:val="00DE2C94"/>
    <w:rsid w:val="00DE2E91"/>
    <w:rsid w:val="00DE38D9"/>
    <w:rsid w:val="00DE3945"/>
    <w:rsid w:val="00DE65AB"/>
    <w:rsid w:val="00DE6A50"/>
    <w:rsid w:val="00DE6A89"/>
    <w:rsid w:val="00DE6BA3"/>
    <w:rsid w:val="00DE6D3D"/>
    <w:rsid w:val="00DE7890"/>
    <w:rsid w:val="00DF1056"/>
    <w:rsid w:val="00DF22D0"/>
    <w:rsid w:val="00DF257A"/>
    <w:rsid w:val="00DF3967"/>
    <w:rsid w:val="00DF425D"/>
    <w:rsid w:val="00DF4906"/>
    <w:rsid w:val="00DF49F5"/>
    <w:rsid w:val="00DF4B4F"/>
    <w:rsid w:val="00DF50FB"/>
    <w:rsid w:val="00DF66E5"/>
    <w:rsid w:val="00DF6828"/>
    <w:rsid w:val="00E00562"/>
    <w:rsid w:val="00E0074F"/>
    <w:rsid w:val="00E0186D"/>
    <w:rsid w:val="00E01F88"/>
    <w:rsid w:val="00E03798"/>
    <w:rsid w:val="00E037BD"/>
    <w:rsid w:val="00E043BC"/>
    <w:rsid w:val="00E051B5"/>
    <w:rsid w:val="00E05F85"/>
    <w:rsid w:val="00E06491"/>
    <w:rsid w:val="00E078EA"/>
    <w:rsid w:val="00E11612"/>
    <w:rsid w:val="00E127C2"/>
    <w:rsid w:val="00E16BC4"/>
    <w:rsid w:val="00E20077"/>
    <w:rsid w:val="00E20E01"/>
    <w:rsid w:val="00E2126E"/>
    <w:rsid w:val="00E21F39"/>
    <w:rsid w:val="00E22369"/>
    <w:rsid w:val="00E22EF0"/>
    <w:rsid w:val="00E2324D"/>
    <w:rsid w:val="00E23B4B"/>
    <w:rsid w:val="00E23B5D"/>
    <w:rsid w:val="00E2458E"/>
    <w:rsid w:val="00E24AA3"/>
    <w:rsid w:val="00E2522D"/>
    <w:rsid w:val="00E2575F"/>
    <w:rsid w:val="00E25E2D"/>
    <w:rsid w:val="00E2611C"/>
    <w:rsid w:val="00E274F4"/>
    <w:rsid w:val="00E27C7B"/>
    <w:rsid w:val="00E314BD"/>
    <w:rsid w:val="00E342FD"/>
    <w:rsid w:val="00E34CCF"/>
    <w:rsid w:val="00E35440"/>
    <w:rsid w:val="00E354B3"/>
    <w:rsid w:val="00E35D26"/>
    <w:rsid w:val="00E367F2"/>
    <w:rsid w:val="00E36960"/>
    <w:rsid w:val="00E36A12"/>
    <w:rsid w:val="00E37346"/>
    <w:rsid w:val="00E37C32"/>
    <w:rsid w:val="00E428A5"/>
    <w:rsid w:val="00E42E58"/>
    <w:rsid w:val="00E4350C"/>
    <w:rsid w:val="00E43FAC"/>
    <w:rsid w:val="00E44649"/>
    <w:rsid w:val="00E44BAE"/>
    <w:rsid w:val="00E44C85"/>
    <w:rsid w:val="00E44FA5"/>
    <w:rsid w:val="00E4509B"/>
    <w:rsid w:val="00E456F1"/>
    <w:rsid w:val="00E45C1A"/>
    <w:rsid w:val="00E45C37"/>
    <w:rsid w:val="00E45D56"/>
    <w:rsid w:val="00E45FE9"/>
    <w:rsid w:val="00E4606D"/>
    <w:rsid w:val="00E461BD"/>
    <w:rsid w:val="00E464F2"/>
    <w:rsid w:val="00E465E1"/>
    <w:rsid w:val="00E472F4"/>
    <w:rsid w:val="00E47610"/>
    <w:rsid w:val="00E504BA"/>
    <w:rsid w:val="00E51571"/>
    <w:rsid w:val="00E51BF7"/>
    <w:rsid w:val="00E525D2"/>
    <w:rsid w:val="00E52947"/>
    <w:rsid w:val="00E52E73"/>
    <w:rsid w:val="00E53246"/>
    <w:rsid w:val="00E55123"/>
    <w:rsid w:val="00E55A72"/>
    <w:rsid w:val="00E579DC"/>
    <w:rsid w:val="00E60054"/>
    <w:rsid w:val="00E6029D"/>
    <w:rsid w:val="00E61D48"/>
    <w:rsid w:val="00E61F65"/>
    <w:rsid w:val="00E627BB"/>
    <w:rsid w:val="00E63196"/>
    <w:rsid w:val="00E63907"/>
    <w:rsid w:val="00E64196"/>
    <w:rsid w:val="00E6677E"/>
    <w:rsid w:val="00E67A77"/>
    <w:rsid w:val="00E715D6"/>
    <w:rsid w:val="00E72885"/>
    <w:rsid w:val="00E72DD0"/>
    <w:rsid w:val="00E73E78"/>
    <w:rsid w:val="00E7489B"/>
    <w:rsid w:val="00E76867"/>
    <w:rsid w:val="00E76949"/>
    <w:rsid w:val="00E801E9"/>
    <w:rsid w:val="00E801F1"/>
    <w:rsid w:val="00E813DB"/>
    <w:rsid w:val="00E8223B"/>
    <w:rsid w:val="00E828C2"/>
    <w:rsid w:val="00E839D1"/>
    <w:rsid w:val="00E83D84"/>
    <w:rsid w:val="00E83DFE"/>
    <w:rsid w:val="00E8422F"/>
    <w:rsid w:val="00E8493B"/>
    <w:rsid w:val="00E85112"/>
    <w:rsid w:val="00E85EC4"/>
    <w:rsid w:val="00E86170"/>
    <w:rsid w:val="00E86BA1"/>
    <w:rsid w:val="00E86DEF"/>
    <w:rsid w:val="00E879F5"/>
    <w:rsid w:val="00E90507"/>
    <w:rsid w:val="00E90544"/>
    <w:rsid w:val="00E915A7"/>
    <w:rsid w:val="00E9251C"/>
    <w:rsid w:val="00E925C4"/>
    <w:rsid w:val="00E928BC"/>
    <w:rsid w:val="00E92C0C"/>
    <w:rsid w:val="00E92CA1"/>
    <w:rsid w:val="00E92D52"/>
    <w:rsid w:val="00E93611"/>
    <w:rsid w:val="00E93BEA"/>
    <w:rsid w:val="00E95159"/>
    <w:rsid w:val="00E96D48"/>
    <w:rsid w:val="00E974CC"/>
    <w:rsid w:val="00EA026F"/>
    <w:rsid w:val="00EA128C"/>
    <w:rsid w:val="00EA1ADB"/>
    <w:rsid w:val="00EA4C06"/>
    <w:rsid w:val="00EA5043"/>
    <w:rsid w:val="00EA5348"/>
    <w:rsid w:val="00EA5FB4"/>
    <w:rsid w:val="00EA6819"/>
    <w:rsid w:val="00EA70AC"/>
    <w:rsid w:val="00EA74E0"/>
    <w:rsid w:val="00EB040A"/>
    <w:rsid w:val="00EB0534"/>
    <w:rsid w:val="00EB0A8F"/>
    <w:rsid w:val="00EB120C"/>
    <w:rsid w:val="00EB1DFA"/>
    <w:rsid w:val="00EB257E"/>
    <w:rsid w:val="00EB438E"/>
    <w:rsid w:val="00EB490C"/>
    <w:rsid w:val="00EB52D5"/>
    <w:rsid w:val="00EB5C52"/>
    <w:rsid w:val="00EB66FD"/>
    <w:rsid w:val="00EB6A40"/>
    <w:rsid w:val="00EC01C3"/>
    <w:rsid w:val="00EC13D0"/>
    <w:rsid w:val="00EC203F"/>
    <w:rsid w:val="00EC2080"/>
    <w:rsid w:val="00EC2883"/>
    <w:rsid w:val="00EC297A"/>
    <w:rsid w:val="00EC4111"/>
    <w:rsid w:val="00EC4815"/>
    <w:rsid w:val="00EC48FC"/>
    <w:rsid w:val="00EC53B0"/>
    <w:rsid w:val="00EC56EF"/>
    <w:rsid w:val="00EC5748"/>
    <w:rsid w:val="00EC6E67"/>
    <w:rsid w:val="00EC7E2D"/>
    <w:rsid w:val="00ED1513"/>
    <w:rsid w:val="00ED2318"/>
    <w:rsid w:val="00ED26CF"/>
    <w:rsid w:val="00ED2BDB"/>
    <w:rsid w:val="00ED30AF"/>
    <w:rsid w:val="00ED381E"/>
    <w:rsid w:val="00ED3BC9"/>
    <w:rsid w:val="00ED3F2A"/>
    <w:rsid w:val="00ED4BF4"/>
    <w:rsid w:val="00ED6A3E"/>
    <w:rsid w:val="00ED6C03"/>
    <w:rsid w:val="00ED76FB"/>
    <w:rsid w:val="00ED795C"/>
    <w:rsid w:val="00EE0DAB"/>
    <w:rsid w:val="00EE10EA"/>
    <w:rsid w:val="00EE2B41"/>
    <w:rsid w:val="00EE2ECB"/>
    <w:rsid w:val="00EE3C06"/>
    <w:rsid w:val="00EE407C"/>
    <w:rsid w:val="00EE4476"/>
    <w:rsid w:val="00EE499A"/>
    <w:rsid w:val="00EE4DC8"/>
    <w:rsid w:val="00EE5BCF"/>
    <w:rsid w:val="00EE61BF"/>
    <w:rsid w:val="00EE6717"/>
    <w:rsid w:val="00EE7408"/>
    <w:rsid w:val="00EF095A"/>
    <w:rsid w:val="00EF11FD"/>
    <w:rsid w:val="00EF1B9E"/>
    <w:rsid w:val="00EF2CE7"/>
    <w:rsid w:val="00EF2EFA"/>
    <w:rsid w:val="00EF343F"/>
    <w:rsid w:val="00EF5AA2"/>
    <w:rsid w:val="00EF64D3"/>
    <w:rsid w:val="00EF6D33"/>
    <w:rsid w:val="00F0026E"/>
    <w:rsid w:val="00F019D1"/>
    <w:rsid w:val="00F01BC8"/>
    <w:rsid w:val="00F01F4A"/>
    <w:rsid w:val="00F020F7"/>
    <w:rsid w:val="00F021F7"/>
    <w:rsid w:val="00F02D71"/>
    <w:rsid w:val="00F02F92"/>
    <w:rsid w:val="00F03569"/>
    <w:rsid w:val="00F0530B"/>
    <w:rsid w:val="00F0598C"/>
    <w:rsid w:val="00F068C3"/>
    <w:rsid w:val="00F077C8"/>
    <w:rsid w:val="00F104B6"/>
    <w:rsid w:val="00F10DBE"/>
    <w:rsid w:val="00F1243F"/>
    <w:rsid w:val="00F14A8E"/>
    <w:rsid w:val="00F14B9C"/>
    <w:rsid w:val="00F15219"/>
    <w:rsid w:val="00F16656"/>
    <w:rsid w:val="00F20815"/>
    <w:rsid w:val="00F20DEE"/>
    <w:rsid w:val="00F217AA"/>
    <w:rsid w:val="00F221B7"/>
    <w:rsid w:val="00F22472"/>
    <w:rsid w:val="00F224AB"/>
    <w:rsid w:val="00F229B7"/>
    <w:rsid w:val="00F2319B"/>
    <w:rsid w:val="00F237BC"/>
    <w:rsid w:val="00F241CA"/>
    <w:rsid w:val="00F26C16"/>
    <w:rsid w:val="00F300FF"/>
    <w:rsid w:val="00F302F8"/>
    <w:rsid w:val="00F31C11"/>
    <w:rsid w:val="00F31E4C"/>
    <w:rsid w:val="00F3324C"/>
    <w:rsid w:val="00F3450D"/>
    <w:rsid w:val="00F3487A"/>
    <w:rsid w:val="00F34DE2"/>
    <w:rsid w:val="00F359B7"/>
    <w:rsid w:val="00F3766F"/>
    <w:rsid w:val="00F377B5"/>
    <w:rsid w:val="00F40273"/>
    <w:rsid w:val="00F403ED"/>
    <w:rsid w:val="00F40B49"/>
    <w:rsid w:val="00F414C2"/>
    <w:rsid w:val="00F43283"/>
    <w:rsid w:val="00F43A9F"/>
    <w:rsid w:val="00F43BB1"/>
    <w:rsid w:val="00F44E29"/>
    <w:rsid w:val="00F453D0"/>
    <w:rsid w:val="00F477D1"/>
    <w:rsid w:val="00F508E9"/>
    <w:rsid w:val="00F50B53"/>
    <w:rsid w:val="00F50BA1"/>
    <w:rsid w:val="00F50E19"/>
    <w:rsid w:val="00F50F7D"/>
    <w:rsid w:val="00F514F3"/>
    <w:rsid w:val="00F515D2"/>
    <w:rsid w:val="00F51CBD"/>
    <w:rsid w:val="00F5357E"/>
    <w:rsid w:val="00F546E3"/>
    <w:rsid w:val="00F561BD"/>
    <w:rsid w:val="00F60499"/>
    <w:rsid w:val="00F60D7A"/>
    <w:rsid w:val="00F61399"/>
    <w:rsid w:val="00F64608"/>
    <w:rsid w:val="00F648BE"/>
    <w:rsid w:val="00F65593"/>
    <w:rsid w:val="00F657C9"/>
    <w:rsid w:val="00F65A7D"/>
    <w:rsid w:val="00F667FA"/>
    <w:rsid w:val="00F675C9"/>
    <w:rsid w:val="00F70AFB"/>
    <w:rsid w:val="00F70D42"/>
    <w:rsid w:val="00F70D73"/>
    <w:rsid w:val="00F71499"/>
    <w:rsid w:val="00F7157A"/>
    <w:rsid w:val="00F715B6"/>
    <w:rsid w:val="00F7195C"/>
    <w:rsid w:val="00F71D24"/>
    <w:rsid w:val="00F72497"/>
    <w:rsid w:val="00F72550"/>
    <w:rsid w:val="00F73CC0"/>
    <w:rsid w:val="00F74B7E"/>
    <w:rsid w:val="00F75EFD"/>
    <w:rsid w:val="00F7627D"/>
    <w:rsid w:val="00F7755C"/>
    <w:rsid w:val="00F811BF"/>
    <w:rsid w:val="00F812BB"/>
    <w:rsid w:val="00F815DF"/>
    <w:rsid w:val="00F8206E"/>
    <w:rsid w:val="00F8391B"/>
    <w:rsid w:val="00F83CA0"/>
    <w:rsid w:val="00F83F5B"/>
    <w:rsid w:val="00F84576"/>
    <w:rsid w:val="00F8589F"/>
    <w:rsid w:val="00F90663"/>
    <w:rsid w:val="00F90F5A"/>
    <w:rsid w:val="00F92046"/>
    <w:rsid w:val="00F92742"/>
    <w:rsid w:val="00F936F2"/>
    <w:rsid w:val="00F9395F"/>
    <w:rsid w:val="00F93EFA"/>
    <w:rsid w:val="00F946EB"/>
    <w:rsid w:val="00F94FCF"/>
    <w:rsid w:val="00F95262"/>
    <w:rsid w:val="00F95A32"/>
    <w:rsid w:val="00F95D1F"/>
    <w:rsid w:val="00F96565"/>
    <w:rsid w:val="00FA00E5"/>
    <w:rsid w:val="00FA15AA"/>
    <w:rsid w:val="00FA16AE"/>
    <w:rsid w:val="00FA188D"/>
    <w:rsid w:val="00FA1AC4"/>
    <w:rsid w:val="00FA1CFE"/>
    <w:rsid w:val="00FA27E6"/>
    <w:rsid w:val="00FA38D1"/>
    <w:rsid w:val="00FA509D"/>
    <w:rsid w:val="00FA5BC8"/>
    <w:rsid w:val="00FA6E10"/>
    <w:rsid w:val="00FA7537"/>
    <w:rsid w:val="00FA7E7B"/>
    <w:rsid w:val="00FB11A4"/>
    <w:rsid w:val="00FB1CA8"/>
    <w:rsid w:val="00FB2C56"/>
    <w:rsid w:val="00FB3DD4"/>
    <w:rsid w:val="00FB4006"/>
    <w:rsid w:val="00FB4609"/>
    <w:rsid w:val="00FB4617"/>
    <w:rsid w:val="00FB5A40"/>
    <w:rsid w:val="00FB5E30"/>
    <w:rsid w:val="00FB6B39"/>
    <w:rsid w:val="00FB6C06"/>
    <w:rsid w:val="00FC012D"/>
    <w:rsid w:val="00FC0340"/>
    <w:rsid w:val="00FC067A"/>
    <w:rsid w:val="00FC13EB"/>
    <w:rsid w:val="00FC1879"/>
    <w:rsid w:val="00FC2BC5"/>
    <w:rsid w:val="00FC2CFE"/>
    <w:rsid w:val="00FC337E"/>
    <w:rsid w:val="00FC4396"/>
    <w:rsid w:val="00FC43BA"/>
    <w:rsid w:val="00FC46A6"/>
    <w:rsid w:val="00FC4D76"/>
    <w:rsid w:val="00FC5F1E"/>
    <w:rsid w:val="00FC6A16"/>
    <w:rsid w:val="00FC7FCE"/>
    <w:rsid w:val="00FD00D6"/>
    <w:rsid w:val="00FD024B"/>
    <w:rsid w:val="00FD073B"/>
    <w:rsid w:val="00FD0E91"/>
    <w:rsid w:val="00FD22EB"/>
    <w:rsid w:val="00FD2E05"/>
    <w:rsid w:val="00FD58E8"/>
    <w:rsid w:val="00FD730B"/>
    <w:rsid w:val="00FD7415"/>
    <w:rsid w:val="00FD743E"/>
    <w:rsid w:val="00FD7B53"/>
    <w:rsid w:val="00FE268E"/>
    <w:rsid w:val="00FE31BD"/>
    <w:rsid w:val="00FE3FE1"/>
    <w:rsid w:val="00FE491B"/>
    <w:rsid w:val="00FE4EB3"/>
    <w:rsid w:val="00FE69C7"/>
    <w:rsid w:val="00FE6D66"/>
    <w:rsid w:val="00FE7A8B"/>
    <w:rsid w:val="00FE7C76"/>
    <w:rsid w:val="00FF1274"/>
    <w:rsid w:val="00FF13C7"/>
    <w:rsid w:val="00FF192C"/>
    <w:rsid w:val="00FF2060"/>
    <w:rsid w:val="00FF222D"/>
    <w:rsid w:val="00FF2B1F"/>
    <w:rsid w:val="00FF327B"/>
    <w:rsid w:val="00FF3A25"/>
    <w:rsid w:val="00FF4127"/>
    <w:rsid w:val="00FF4A6D"/>
    <w:rsid w:val="00FF69FC"/>
    <w:rsid w:val="00FF6BF2"/>
    <w:rsid w:val="00FF6E42"/>
    <w:rsid w:val="00FF71CC"/>
    <w:rsid w:val="00FF7633"/>
    <w:rsid w:val="00FF7F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225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da-DK"/>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emiHidden/>
    <w:qFormat/>
    <w:rsid w:val="00F300FF"/>
    <w:pPr>
      <w:spacing w:before="60" w:after="140" w:line="220" w:lineRule="atLeast"/>
      <w:jc w:val="both"/>
    </w:pPr>
    <w:rPr>
      <w:rFonts w:ascii="Arial" w:hAnsi="Arial"/>
      <w:sz w:val="18"/>
      <w:szCs w:val="24"/>
    </w:rPr>
  </w:style>
  <w:style w:type="paragraph" w:styleId="Heading1">
    <w:name w:val="heading 1"/>
    <w:basedOn w:val="Normal"/>
    <w:next w:val="Normal"/>
    <w:semiHidden/>
    <w:qFormat/>
    <w:rsid w:val="00E465E1"/>
    <w:pPr>
      <w:keepNext/>
      <w:framePr w:hSpace="142" w:vSpace="142" w:wrap="notBeside" w:vAnchor="page" w:hAnchor="margin" w:y="1532"/>
      <w:numPr>
        <w:numId w:val="1"/>
      </w:numPr>
      <w:pBdr>
        <w:left w:val="single" w:sz="48" w:space="8" w:color="33CCCC"/>
      </w:pBdr>
      <w:tabs>
        <w:tab w:val="clear" w:pos="474"/>
        <w:tab w:val="left" w:pos="227"/>
      </w:tabs>
      <w:suppressAutoHyphens/>
      <w:spacing w:after="20" w:line="240" w:lineRule="auto"/>
      <w:ind w:left="227" w:hanging="227"/>
      <w:jc w:val="left"/>
      <w:outlineLvl w:val="0"/>
    </w:pPr>
    <w:rPr>
      <w:rFonts w:cs="Arial"/>
      <w:b/>
      <w:bCs/>
      <w:kern w:val="32"/>
      <w:sz w:val="24"/>
      <w:szCs w:val="32"/>
    </w:rPr>
  </w:style>
  <w:style w:type="paragraph" w:styleId="Heading2">
    <w:name w:val="heading 2"/>
    <w:aliases w:val="Titre B,no vale,Heading 2 Char1,Heading 2 Char Char"/>
    <w:basedOn w:val="Normal"/>
    <w:next w:val="Normal"/>
    <w:uiPriority w:val="9"/>
    <w:qFormat/>
    <w:rsid w:val="00E465E1"/>
    <w:pPr>
      <w:keepNext/>
      <w:numPr>
        <w:ilvl w:val="1"/>
        <w:numId w:val="1"/>
      </w:numPr>
      <w:tabs>
        <w:tab w:val="clear" w:pos="360"/>
        <w:tab w:val="left" w:pos="454"/>
      </w:tabs>
      <w:suppressAutoHyphens/>
      <w:spacing w:before="240" w:line="260" w:lineRule="exact"/>
      <w:ind w:left="454" w:hanging="454"/>
      <w:jc w:val="left"/>
      <w:outlineLvl w:val="1"/>
    </w:pPr>
    <w:rPr>
      <w:rFonts w:cs="Arial"/>
      <w:b/>
      <w:bCs/>
      <w:iCs/>
      <w:sz w:val="22"/>
      <w:szCs w:val="28"/>
    </w:rPr>
  </w:style>
  <w:style w:type="paragraph" w:styleId="Heading3">
    <w:name w:val="heading 3"/>
    <w:aliases w:val="H3,no vale1,no vale1 Car"/>
    <w:basedOn w:val="Normal"/>
    <w:next w:val="Normal"/>
    <w:qFormat/>
    <w:rsid w:val="00E465E1"/>
    <w:pPr>
      <w:keepNext/>
      <w:numPr>
        <w:ilvl w:val="2"/>
        <w:numId w:val="1"/>
      </w:numPr>
      <w:tabs>
        <w:tab w:val="clear" w:pos="720"/>
        <w:tab w:val="left" w:pos="567"/>
      </w:tabs>
      <w:suppressAutoHyphens/>
      <w:spacing w:before="240" w:line="240" w:lineRule="exact"/>
      <w:ind w:left="567" w:hanging="567"/>
      <w:jc w:val="left"/>
      <w:outlineLvl w:val="2"/>
    </w:pPr>
    <w:rPr>
      <w:rFonts w:cs="Arial"/>
      <w:b/>
      <w:bCs/>
      <w:color w:val="5F5F5F"/>
      <w:sz w:val="20"/>
      <w:szCs w:val="26"/>
    </w:rPr>
  </w:style>
  <w:style w:type="paragraph" w:styleId="Heading4">
    <w:name w:val="heading 4"/>
    <w:basedOn w:val="Normal"/>
    <w:next w:val="Normal"/>
    <w:semiHidden/>
    <w:qFormat/>
    <w:rsid w:val="00E465E1"/>
    <w:pPr>
      <w:keepNext/>
      <w:numPr>
        <w:ilvl w:val="3"/>
        <w:numId w:val="1"/>
      </w:numPr>
      <w:tabs>
        <w:tab w:val="clear" w:pos="1080"/>
        <w:tab w:val="left" w:pos="680"/>
      </w:tabs>
      <w:suppressAutoHyphens/>
      <w:spacing w:before="240"/>
      <w:ind w:left="680" w:hanging="680"/>
      <w:jc w:val="left"/>
      <w:outlineLvl w:val="3"/>
    </w:pPr>
    <w:rPr>
      <w:b/>
      <w:bCs/>
      <w:color w:val="5F5F5F"/>
      <w:szCs w:val="28"/>
    </w:rPr>
  </w:style>
  <w:style w:type="paragraph" w:styleId="Heading5">
    <w:name w:val="heading 5"/>
    <w:basedOn w:val="Normal"/>
    <w:next w:val="Normal"/>
    <w:semiHidden/>
    <w:qFormat/>
    <w:rsid w:val="00E465E1"/>
    <w:pPr>
      <w:suppressAutoHyphens/>
      <w:spacing w:before="200" w:after="100"/>
      <w:jc w:val="left"/>
      <w:outlineLvl w:val="4"/>
    </w:pPr>
    <w:rPr>
      <w:b/>
      <w:bCs/>
      <w:iCs/>
      <w:color w:val="5F5F5F"/>
      <w:szCs w:val="26"/>
    </w:rPr>
  </w:style>
  <w:style w:type="paragraph" w:styleId="Heading6">
    <w:name w:val="heading 6"/>
    <w:basedOn w:val="Normal"/>
    <w:next w:val="Normal"/>
    <w:semiHidden/>
    <w:qFormat/>
    <w:rsid w:val="00E465E1"/>
    <w:pPr>
      <w:suppressAutoHyphens/>
      <w:spacing w:before="140" w:line="200" w:lineRule="exact"/>
      <w:jc w:val="left"/>
      <w:outlineLvl w:val="5"/>
    </w:pPr>
    <w:rPr>
      <w:b/>
      <w:bCs/>
      <w:color w:val="808080"/>
      <w:sz w:val="16"/>
      <w:szCs w:val="22"/>
    </w:rPr>
  </w:style>
  <w:style w:type="paragraph" w:styleId="Heading7">
    <w:name w:val="heading 7"/>
    <w:basedOn w:val="Normal"/>
    <w:next w:val="Normal"/>
    <w:qFormat/>
    <w:rsid w:val="00E465E1"/>
    <w:pPr>
      <w:suppressAutoHyphens/>
      <w:spacing w:before="140" w:line="200" w:lineRule="exact"/>
      <w:jc w:val="left"/>
      <w:outlineLvl w:val="6"/>
    </w:pPr>
    <w:rPr>
      <w:b/>
      <w:color w:val="808080"/>
      <w:sz w:val="16"/>
    </w:rPr>
  </w:style>
  <w:style w:type="paragraph" w:styleId="Heading8">
    <w:name w:val="heading 8"/>
    <w:basedOn w:val="Normal"/>
    <w:next w:val="Normal"/>
    <w:qFormat/>
    <w:rsid w:val="00E465E1"/>
    <w:pPr>
      <w:suppressAutoHyphens/>
      <w:spacing w:before="140" w:line="200" w:lineRule="exact"/>
      <w:jc w:val="left"/>
      <w:outlineLvl w:val="7"/>
    </w:pPr>
    <w:rPr>
      <w:b/>
      <w:iCs/>
      <w:color w:val="808080"/>
      <w:sz w:val="16"/>
    </w:rPr>
  </w:style>
  <w:style w:type="paragraph" w:styleId="Heading9">
    <w:name w:val="heading 9"/>
    <w:basedOn w:val="Heading1"/>
    <w:next w:val="Normal"/>
    <w:semiHidden/>
    <w:qFormat/>
    <w:rsid w:val="00E465E1"/>
    <w:pPr>
      <w:framePr w:wrap="notBeside"/>
      <w:numPr>
        <w:numId w:val="0"/>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next w:val="Normal"/>
    <w:uiPriority w:val="39"/>
    <w:rsid w:val="00364BFD"/>
    <w:pPr>
      <w:tabs>
        <w:tab w:val="left" w:pos="454"/>
        <w:tab w:val="right" w:leader="dot" w:pos="9072"/>
      </w:tabs>
      <w:suppressAutoHyphens/>
      <w:spacing w:before="60" w:line="280" w:lineRule="exact"/>
      <w:ind w:left="454" w:hanging="454"/>
    </w:pPr>
    <w:rPr>
      <w:rFonts w:ascii="Arial" w:hAnsi="Arial"/>
      <w:color w:val="373737" w:themeColor="text1"/>
      <w:szCs w:val="22"/>
    </w:rPr>
  </w:style>
  <w:style w:type="paragraph" w:styleId="Header">
    <w:name w:val="header"/>
    <w:rsid w:val="00BD09F4"/>
    <w:pPr>
      <w:tabs>
        <w:tab w:val="right" w:pos="9072"/>
      </w:tabs>
      <w:spacing w:before="60"/>
    </w:pPr>
    <w:rPr>
      <w:rFonts w:ascii="Arial" w:hAnsi="Arial"/>
      <w:color w:val="F07E31" w:themeColor="accent1"/>
      <w:sz w:val="18"/>
    </w:rPr>
  </w:style>
  <w:style w:type="paragraph" w:styleId="Footer">
    <w:name w:val="footer"/>
    <w:link w:val="FooterChar"/>
    <w:uiPriority w:val="99"/>
    <w:rsid w:val="00D86941"/>
    <w:pPr>
      <w:tabs>
        <w:tab w:val="right" w:pos="8618"/>
      </w:tabs>
      <w:ind w:left="-907" w:right="-907"/>
      <w:jc w:val="center"/>
    </w:pPr>
    <w:rPr>
      <w:rFonts w:ascii="Arial" w:hAnsi="Arial"/>
      <w:color w:val="373737"/>
      <w:sz w:val="22"/>
    </w:rPr>
  </w:style>
  <w:style w:type="character" w:styleId="PageNumber">
    <w:name w:val="page number"/>
    <w:basedOn w:val="DefaultParagraphFont"/>
    <w:semiHidden/>
    <w:rsid w:val="00E465E1"/>
    <w:rPr>
      <w:rFonts w:ascii="Arial" w:hAnsi="Arial"/>
      <w:color w:val="808080"/>
      <w:sz w:val="18"/>
    </w:rPr>
  </w:style>
  <w:style w:type="paragraph" w:customStyle="1" w:styleId="HTitle2">
    <w:name w:val="H_Title2"/>
    <w:basedOn w:val="Normal"/>
    <w:qFormat/>
    <w:rsid w:val="00364BFD"/>
    <w:pPr>
      <w:autoSpaceDE w:val="0"/>
      <w:autoSpaceDN w:val="0"/>
      <w:adjustRightInd w:val="0"/>
      <w:spacing w:before="0" w:after="120" w:line="280" w:lineRule="atLeast"/>
      <w:jc w:val="left"/>
    </w:pPr>
    <w:rPr>
      <w:smallCaps/>
      <w:color w:val="373737" w:themeColor="text1"/>
      <w:sz w:val="44"/>
      <w:szCs w:val="52"/>
    </w:rPr>
  </w:style>
  <w:style w:type="paragraph" w:customStyle="1" w:styleId="Hlistbullet">
    <w:name w:val="H_list_bullet"/>
    <w:rsid w:val="00C42303"/>
    <w:pPr>
      <w:numPr>
        <w:numId w:val="2"/>
      </w:numPr>
      <w:spacing w:before="60" w:after="60" w:line="220" w:lineRule="atLeast"/>
      <w:ind w:left="567" w:hanging="567"/>
      <w:jc w:val="both"/>
    </w:pPr>
    <w:rPr>
      <w:rFonts w:ascii="Arial" w:hAnsi="Arial"/>
      <w:color w:val="373737" w:themeColor="text1"/>
    </w:rPr>
  </w:style>
  <w:style w:type="paragraph" w:customStyle="1" w:styleId="Hlistbullet2">
    <w:name w:val="H_list_bullet2"/>
    <w:basedOn w:val="Hlistbullet"/>
    <w:next w:val="HStandard"/>
    <w:rsid w:val="00735F08"/>
    <w:pPr>
      <w:numPr>
        <w:numId w:val="12"/>
      </w:numPr>
      <w:ind w:left="1134" w:hanging="567"/>
    </w:pPr>
  </w:style>
  <w:style w:type="paragraph" w:customStyle="1" w:styleId="Hlistabc">
    <w:name w:val="H_list_abc"/>
    <w:rsid w:val="00364BFD"/>
    <w:pPr>
      <w:numPr>
        <w:numId w:val="3"/>
      </w:numPr>
      <w:spacing w:before="60" w:after="60" w:line="220" w:lineRule="atLeast"/>
      <w:jc w:val="both"/>
    </w:pPr>
    <w:rPr>
      <w:rFonts w:ascii="Arial" w:hAnsi="Arial"/>
      <w:color w:val="373737" w:themeColor="text1"/>
    </w:rPr>
  </w:style>
  <w:style w:type="paragraph" w:customStyle="1" w:styleId="Hlistabc2">
    <w:name w:val="H_list_abc_2"/>
    <w:basedOn w:val="Hlistabc"/>
    <w:next w:val="HStandard"/>
    <w:rsid w:val="00801FF1"/>
    <w:pPr>
      <w:spacing w:after="140"/>
      <w:ind w:left="1134"/>
    </w:pPr>
  </w:style>
  <w:style w:type="paragraph" w:customStyle="1" w:styleId="HTitle1">
    <w:name w:val="H_Title1"/>
    <w:basedOn w:val="Normal"/>
    <w:rsid w:val="00364BFD"/>
    <w:pPr>
      <w:autoSpaceDE w:val="0"/>
      <w:autoSpaceDN w:val="0"/>
      <w:adjustRightInd w:val="0"/>
      <w:spacing w:before="0" w:after="120" w:line="280" w:lineRule="atLeast"/>
    </w:pPr>
    <w:rPr>
      <w:bCs/>
      <w:smallCaps/>
      <w:color w:val="F07E31" w:themeColor="accent1"/>
      <w:sz w:val="60"/>
      <w:szCs w:val="32"/>
    </w:rPr>
  </w:style>
  <w:style w:type="paragraph" w:customStyle="1" w:styleId="Autor">
    <w:name w:val="Autor"/>
    <w:basedOn w:val="Normal"/>
    <w:rsid w:val="00EE61BF"/>
    <w:pPr>
      <w:spacing w:before="0" w:after="0" w:line="280" w:lineRule="exact"/>
      <w:jc w:val="left"/>
    </w:pPr>
    <w:rPr>
      <w:sz w:val="20"/>
    </w:rPr>
  </w:style>
  <w:style w:type="paragraph" w:customStyle="1" w:styleId="HTitle3">
    <w:name w:val="H_Title3"/>
    <w:basedOn w:val="Autor"/>
    <w:rsid w:val="00364BFD"/>
    <w:rPr>
      <w:smallCaps/>
      <w:color w:val="373737" w:themeColor="text1"/>
      <w:sz w:val="28"/>
    </w:rPr>
  </w:style>
  <w:style w:type="paragraph" w:styleId="TOC1">
    <w:name w:val="toc 1"/>
    <w:next w:val="Normal"/>
    <w:uiPriority w:val="39"/>
    <w:rsid w:val="002807DC"/>
    <w:pPr>
      <w:tabs>
        <w:tab w:val="left" w:pos="454"/>
        <w:tab w:val="right" w:leader="dot" w:pos="9072"/>
      </w:tabs>
      <w:suppressAutoHyphens/>
      <w:spacing w:before="60" w:line="280" w:lineRule="exact"/>
      <w:ind w:left="454" w:hanging="454"/>
    </w:pPr>
    <w:rPr>
      <w:rFonts w:ascii="Arial" w:hAnsi="Arial"/>
      <w:noProof/>
      <w:color w:val="373737" w:themeColor="text1"/>
    </w:rPr>
  </w:style>
  <w:style w:type="paragraph" w:styleId="TOC3">
    <w:name w:val="toc 3"/>
    <w:next w:val="Normal"/>
    <w:uiPriority w:val="39"/>
    <w:rsid w:val="00364BFD"/>
    <w:pPr>
      <w:tabs>
        <w:tab w:val="left" w:pos="1021"/>
        <w:tab w:val="right" w:leader="dot" w:pos="9072"/>
      </w:tabs>
      <w:suppressAutoHyphens/>
      <w:spacing w:before="60" w:line="280" w:lineRule="exact"/>
      <w:ind w:left="1021" w:hanging="567"/>
    </w:pPr>
    <w:rPr>
      <w:rFonts w:ascii="Arial" w:hAnsi="Arial"/>
      <w:color w:val="373737" w:themeColor="text1"/>
      <w:sz w:val="18"/>
    </w:rPr>
  </w:style>
  <w:style w:type="paragraph" w:customStyle="1" w:styleId="Fuzeilequerformat">
    <w:name w:val="Fußzeile_querformat"/>
    <w:basedOn w:val="Footer"/>
    <w:rsid w:val="00EE61BF"/>
    <w:pPr>
      <w:tabs>
        <w:tab w:val="clear" w:pos="8618"/>
        <w:tab w:val="right" w:pos="12871"/>
      </w:tabs>
    </w:pPr>
  </w:style>
  <w:style w:type="paragraph" w:styleId="TableofFigures">
    <w:name w:val="table of figures"/>
    <w:next w:val="HStandard"/>
    <w:uiPriority w:val="99"/>
    <w:rsid w:val="000B6372"/>
    <w:pPr>
      <w:tabs>
        <w:tab w:val="left" w:pos="851"/>
        <w:tab w:val="right" w:leader="dot" w:pos="7711"/>
      </w:tabs>
      <w:suppressAutoHyphens/>
      <w:spacing w:before="60" w:line="280" w:lineRule="exact"/>
      <w:ind w:left="851" w:right="284" w:hanging="851"/>
    </w:pPr>
    <w:rPr>
      <w:rFonts w:ascii="Arial" w:hAnsi="Arial"/>
      <w:color w:val="373737" w:themeColor="text1"/>
    </w:rPr>
  </w:style>
  <w:style w:type="paragraph" w:customStyle="1" w:styleId="Hlistline3">
    <w:name w:val="H_list_line3"/>
    <w:rsid w:val="00BD09F4"/>
    <w:pPr>
      <w:numPr>
        <w:numId w:val="4"/>
      </w:numPr>
      <w:spacing w:before="60" w:after="60" w:line="220" w:lineRule="atLeast"/>
      <w:ind w:left="851" w:hanging="284"/>
    </w:pPr>
    <w:rPr>
      <w:rFonts w:ascii="Arial" w:hAnsi="Arial"/>
      <w:color w:val="373737" w:themeColor="text1"/>
    </w:rPr>
  </w:style>
  <w:style w:type="paragraph" w:customStyle="1" w:styleId="Hlistline4">
    <w:name w:val="H_list_line4"/>
    <w:basedOn w:val="Hlistline3"/>
    <w:next w:val="HStandard"/>
    <w:rsid w:val="00BD09F4"/>
    <w:pPr>
      <w:ind w:left="1135"/>
    </w:pPr>
  </w:style>
  <w:style w:type="paragraph" w:customStyle="1" w:styleId="HSource">
    <w:name w:val="H_Source"/>
    <w:next w:val="HStandard"/>
    <w:rsid w:val="008D52EA"/>
    <w:pPr>
      <w:suppressAutoHyphens/>
      <w:spacing w:before="60" w:after="60"/>
      <w:jc w:val="center"/>
    </w:pPr>
    <w:rPr>
      <w:rFonts w:ascii="Arial" w:hAnsi="Arial"/>
      <w:i/>
      <w:color w:val="373737"/>
      <w:sz w:val="16"/>
    </w:rPr>
  </w:style>
  <w:style w:type="paragraph" w:customStyle="1" w:styleId="Htableleft">
    <w:name w:val="H_table_left"/>
    <w:rsid w:val="00BD09F4"/>
    <w:pPr>
      <w:suppressAutoHyphens/>
      <w:spacing w:before="40" w:after="40"/>
    </w:pPr>
    <w:rPr>
      <w:rFonts w:ascii="Arial" w:hAnsi="Arial"/>
      <w:color w:val="373737" w:themeColor="text1"/>
      <w:sz w:val="18"/>
    </w:rPr>
  </w:style>
  <w:style w:type="paragraph" w:customStyle="1" w:styleId="Htablecentered">
    <w:name w:val="H_table_centered"/>
    <w:basedOn w:val="Htableleft"/>
    <w:rsid w:val="00EE61BF"/>
    <w:pPr>
      <w:jc w:val="center"/>
    </w:pPr>
  </w:style>
  <w:style w:type="paragraph" w:customStyle="1" w:styleId="Htableleftbolt">
    <w:name w:val="H_table_left_bolt"/>
    <w:basedOn w:val="Htableleft"/>
    <w:rsid w:val="00EE61BF"/>
    <w:rPr>
      <w:b/>
      <w:color w:val="FFFFFF" w:themeColor="background1"/>
    </w:rPr>
  </w:style>
  <w:style w:type="paragraph" w:customStyle="1" w:styleId="Htablecenteredbolt">
    <w:name w:val="H_table_centered_bolt"/>
    <w:basedOn w:val="Htablecentered"/>
    <w:rsid w:val="00BD09F4"/>
    <w:rPr>
      <w:b/>
      <w:color w:val="FFFFFF" w:themeColor="background1"/>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link w:val="FootnoteTextChar"/>
    <w:uiPriority w:val="99"/>
    <w:qFormat/>
    <w:rsid w:val="000D3DB8"/>
    <w:pPr>
      <w:spacing w:line="180" w:lineRule="exact"/>
      <w:ind w:left="170" w:hanging="170"/>
      <w:jc w:val="both"/>
    </w:pPr>
    <w:rPr>
      <w:rFonts w:ascii="Arial" w:hAnsi="Arial"/>
      <w:color w:val="808080"/>
      <w:sz w:val="16"/>
    </w:rPr>
  </w:style>
  <w:style w:type="paragraph" w:customStyle="1" w:styleId="Htablebullet">
    <w:name w:val="H_table_bullet"/>
    <w:basedOn w:val="Htableleft"/>
    <w:rsid w:val="00BD09F4"/>
    <w:pPr>
      <w:numPr>
        <w:numId w:val="5"/>
      </w:numPr>
      <w:ind w:left="170" w:hanging="170"/>
    </w:p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basedOn w:val="DefaultParagraphFont"/>
    <w:uiPriority w:val="99"/>
    <w:rsid w:val="00364BFD"/>
    <w:rPr>
      <w:rFonts w:ascii="Arial" w:hAnsi="Arial"/>
      <w:i/>
      <w:dstrike w:val="0"/>
      <w:color w:val="373737" w:themeColor="text1"/>
      <w:position w:val="6"/>
      <w:sz w:val="12"/>
      <w:vertAlign w:val="baseline"/>
      <w:lang w:val="da-DK"/>
    </w:rPr>
  </w:style>
  <w:style w:type="paragraph" w:customStyle="1" w:styleId="HContent">
    <w:name w:val="H_Content"/>
    <w:basedOn w:val="Heading1"/>
    <w:next w:val="HStandard"/>
    <w:rsid w:val="00364BFD"/>
    <w:pPr>
      <w:pageBreakBefore/>
      <w:framePr w:hSpace="0" w:vSpace="0" w:wrap="auto" w:vAnchor="margin" w:hAnchor="text" w:yAlign="inline"/>
      <w:numPr>
        <w:numId w:val="0"/>
      </w:numPr>
      <w:pBdr>
        <w:left w:val="none" w:sz="0" w:space="0" w:color="auto"/>
      </w:pBdr>
      <w:spacing w:before="360" w:after="360" w:line="280" w:lineRule="atLeast"/>
    </w:pPr>
    <w:rPr>
      <w:caps/>
      <w:color w:val="F07E31" w:themeColor="accent1"/>
      <w:sz w:val="20"/>
    </w:rPr>
  </w:style>
  <w:style w:type="paragraph" w:customStyle="1" w:styleId="HHeading1">
    <w:name w:val="H_Heading 1"/>
    <w:next w:val="HStandard"/>
    <w:rsid w:val="008D52EA"/>
    <w:pPr>
      <w:keepNext/>
      <w:keepLines/>
      <w:pageBreakBefore/>
      <w:numPr>
        <w:numId w:val="6"/>
      </w:numPr>
      <w:tabs>
        <w:tab w:val="left" w:pos="567"/>
      </w:tabs>
      <w:spacing w:before="360" w:after="360" w:line="280" w:lineRule="atLeast"/>
      <w:ind w:left="567" w:hanging="567"/>
      <w:outlineLvl w:val="0"/>
    </w:pPr>
    <w:rPr>
      <w:rFonts w:ascii="Arial" w:hAnsi="Arial"/>
      <w:b/>
      <w:caps/>
      <w:color w:val="F07E31" w:themeColor="accent1"/>
    </w:rPr>
  </w:style>
  <w:style w:type="paragraph" w:customStyle="1" w:styleId="HHeading2">
    <w:name w:val="H_Heading 2"/>
    <w:next w:val="HStandard"/>
    <w:rsid w:val="007B4B9E"/>
    <w:pPr>
      <w:keepNext/>
      <w:keepLines/>
      <w:numPr>
        <w:ilvl w:val="1"/>
        <w:numId w:val="6"/>
      </w:numPr>
      <w:tabs>
        <w:tab w:val="left" w:pos="567"/>
      </w:tabs>
      <w:spacing w:before="240" w:after="140" w:line="260" w:lineRule="exact"/>
      <w:ind w:left="567" w:hanging="567"/>
      <w:outlineLvl w:val="1"/>
    </w:pPr>
    <w:rPr>
      <w:rFonts w:ascii="Arial" w:hAnsi="Arial"/>
      <w:b/>
      <w:color w:val="373737" w:themeColor="text1"/>
    </w:rPr>
  </w:style>
  <w:style w:type="paragraph" w:customStyle="1" w:styleId="HHeading3">
    <w:name w:val="H_Heading 3"/>
    <w:next w:val="HStandard"/>
    <w:rsid w:val="00B63445"/>
    <w:pPr>
      <w:keepNext/>
      <w:keepLines/>
      <w:numPr>
        <w:ilvl w:val="2"/>
        <w:numId w:val="6"/>
      </w:numPr>
      <w:tabs>
        <w:tab w:val="clear" w:pos="1146"/>
        <w:tab w:val="num" w:pos="709"/>
      </w:tabs>
      <w:spacing w:before="240" w:after="140" w:line="240" w:lineRule="exact"/>
      <w:ind w:left="709" w:hanging="709"/>
      <w:outlineLvl w:val="2"/>
    </w:pPr>
    <w:rPr>
      <w:rFonts w:ascii="Arial" w:hAnsi="Arial"/>
      <w:color w:val="F07E31" w:themeColor="accent1"/>
    </w:rPr>
  </w:style>
  <w:style w:type="paragraph" w:customStyle="1" w:styleId="HHeading4">
    <w:name w:val="H_Heading 4"/>
    <w:next w:val="HStandard"/>
    <w:rsid w:val="00364BFD"/>
    <w:pPr>
      <w:keepNext/>
      <w:keepLines/>
      <w:tabs>
        <w:tab w:val="left" w:pos="680"/>
      </w:tabs>
      <w:spacing w:before="240" w:after="240" w:line="280" w:lineRule="atLeast"/>
      <w:outlineLvl w:val="3"/>
    </w:pPr>
    <w:rPr>
      <w:rFonts w:ascii="Arial" w:hAnsi="Arial"/>
      <w:b/>
      <w:color w:val="57825E" w:themeColor="accent4"/>
    </w:rPr>
  </w:style>
  <w:style w:type="character" w:styleId="Hyperlink">
    <w:name w:val="Hyperlink"/>
    <w:basedOn w:val="DefaultParagraphFont"/>
    <w:uiPriority w:val="99"/>
    <w:rsid w:val="00BD09F4"/>
    <w:rPr>
      <w:rFonts w:ascii="Arial" w:hAnsi="Arial"/>
      <w:color w:val="F07E31"/>
      <w:sz w:val="20"/>
      <w:u w:val="single"/>
      <w:lang w:val="da-DK"/>
    </w:rPr>
  </w:style>
  <w:style w:type="paragraph" w:customStyle="1" w:styleId="HStandard">
    <w:name w:val="H_Standard"/>
    <w:link w:val="HStandardCar"/>
    <w:rsid w:val="00364BFD"/>
    <w:pPr>
      <w:spacing w:after="120" w:line="280" w:lineRule="atLeast"/>
      <w:jc w:val="both"/>
    </w:pPr>
    <w:rPr>
      <w:rFonts w:ascii="Arial" w:hAnsi="Arial"/>
      <w:color w:val="373737" w:themeColor="text1"/>
    </w:rPr>
  </w:style>
  <w:style w:type="paragraph" w:styleId="DocumentMap">
    <w:name w:val="Document Map"/>
    <w:basedOn w:val="Normal"/>
    <w:semiHidden/>
    <w:rsid w:val="00E465E1"/>
    <w:pPr>
      <w:shd w:val="clear" w:color="auto" w:fill="000080"/>
    </w:pPr>
    <w:rPr>
      <w:rFonts w:ascii="Tahoma" w:hAnsi="Tahoma" w:cs="Tahoma"/>
    </w:rPr>
  </w:style>
  <w:style w:type="paragraph" w:styleId="BalloonText">
    <w:name w:val="Balloon Text"/>
    <w:basedOn w:val="Normal"/>
    <w:link w:val="BalloonTextChar"/>
    <w:uiPriority w:val="99"/>
    <w:semiHidden/>
    <w:unhideWhenUsed/>
    <w:rsid w:val="0046410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410C"/>
    <w:rPr>
      <w:rFonts w:ascii="Tahoma" w:hAnsi="Tahoma" w:cs="Tahoma"/>
      <w:sz w:val="16"/>
      <w:szCs w:val="16"/>
      <w:lang w:val="da-DK"/>
    </w:rPr>
  </w:style>
  <w:style w:type="table" w:styleId="TableGrid">
    <w:name w:val="Table Grid"/>
    <w:basedOn w:val="TableNormal"/>
    <w:uiPriority w:val="39"/>
    <w:rsid w:val="00756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BD09F4"/>
    <w:pPr>
      <w:numPr>
        <w:numId w:val="7"/>
      </w:numPr>
      <w:spacing w:before="200" w:after="140"/>
    </w:pPr>
    <w:rPr>
      <w:rFonts w:ascii="Arial" w:hAnsi="Arial"/>
      <w:b/>
      <w:color w:val="373737" w:themeColor="text1"/>
      <w:sz w:val="16"/>
    </w:rPr>
  </w:style>
  <w:style w:type="paragraph" w:customStyle="1" w:styleId="HHeadingfigures">
    <w:name w:val="H_Heading_figures"/>
    <w:basedOn w:val="HHeadingtables"/>
    <w:next w:val="HStandard"/>
    <w:qFormat/>
    <w:rsid w:val="00E52947"/>
    <w:pPr>
      <w:keepNext/>
      <w:keepLines/>
      <w:numPr>
        <w:numId w:val="22"/>
      </w:numPr>
      <w:tabs>
        <w:tab w:val="clear" w:pos="964"/>
        <w:tab w:val="num" w:pos="2666"/>
      </w:tabs>
      <w:spacing w:before="240"/>
      <w:ind w:left="567" w:hanging="567"/>
    </w:pPr>
  </w:style>
  <w:style w:type="paragraph" w:customStyle="1" w:styleId="HHeadingmaps">
    <w:name w:val="H_Heading_maps"/>
    <w:basedOn w:val="HHeadingtables"/>
    <w:next w:val="HStandard"/>
    <w:qFormat/>
    <w:rsid w:val="005B4B85"/>
    <w:pPr>
      <w:keepNext/>
      <w:keepLines/>
      <w:numPr>
        <w:numId w:val="9"/>
      </w:numPr>
      <w:outlineLvl w:val="5"/>
    </w:pPr>
  </w:style>
  <w:style w:type="paragraph" w:customStyle="1" w:styleId="HHeadingboxes">
    <w:name w:val="H_Heading_boxes"/>
    <w:basedOn w:val="HHeadingtables"/>
    <w:next w:val="HStandard"/>
    <w:qFormat/>
    <w:rsid w:val="00BD09F4"/>
    <w:pPr>
      <w:numPr>
        <w:numId w:val="10"/>
      </w:numPr>
      <w:ind w:left="851" w:hanging="851"/>
    </w:pPr>
  </w:style>
  <w:style w:type="paragraph" w:customStyle="1" w:styleId="HBox">
    <w:name w:val="H_Box"/>
    <w:next w:val="HStandard"/>
    <w:qFormat/>
    <w:rsid w:val="00BD09F4"/>
    <w:pPr>
      <w:pBdr>
        <w:top w:val="single" w:sz="4" w:space="4" w:color="F07E31"/>
        <w:left w:val="single" w:sz="4" w:space="4" w:color="F07E31"/>
        <w:bottom w:val="single" w:sz="4" w:space="4" w:color="F07E31"/>
        <w:right w:val="single" w:sz="4" w:space="4" w:color="F07E31"/>
      </w:pBdr>
      <w:shd w:val="clear" w:color="auto" w:fill="FCE5D5"/>
      <w:jc w:val="both"/>
    </w:pPr>
    <w:rPr>
      <w:rFonts w:ascii="Arial" w:hAnsi="Arial"/>
      <w:color w:val="373737" w:themeColor="text1"/>
    </w:rPr>
  </w:style>
  <w:style w:type="paragraph" w:customStyle="1" w:styleId="HBoxbullet">
    <w:name w:val="H_Box_bullet"/>
    <w:next w:val="HStandard"/>
    <w:qFormat/>
    <w:rsid w:val="00BD09F4"/>
    <w:pPr>
      <w:numPr>
        <w:numId w:val="11"/>
      </w:numPr>
      <w:pBdr>
        <w:top w:val="single" w:sz="4" w:space="4" w:color="F07E31"/>
        <w:left w:val="single" w:sz="4" w:space="8" w:color="F07E31"/>
        <w:bottom w:val="single" w:sz="4" w:space="4" w:color="F07E31"/>
        <w:right w:val="single" w:sz="4" w:space="4" w:color="F07E31"/>
      </w:pBdr>
      <w:shd w:val="clear" w:color="auto" w:fill="FCE5D5" w:themeFill="accent1" w:themeFillTint="33"/>
      <w:ind w:left="363" w:hanging="284"/>
      <w:jc w:val="both"/>
    </w:pPr>
    <w:rPr>
      <w:rFonts w:ascii="Arial" w:hAnsi="Arial"/>
      <w:color w:val="373737" w:themeColor="text1"/>
    </w:rPr>
  </w:style>
  <w:style w:type="paragraph" w:customStyle="1" w:styleId="Hdisclaimer">
    <w:name w:val="H_disclaimer"/>
    <w:qFormat/>
    <w:rsid w:val="00364BFD"/>
    <w:pPr>
      <w:spacing w:after="120" w:line="280" w:lineRule="atLeast"/>
      <w:jc w:val="both"/>
    </w:pPr>
    <w:rPr>
      <w:rFonts w:ascii="Arial" w:hAnsi="Arial" w:cs="Arial"/>
      <w:color w:val="373737" w:themeColor="text1"/>
      <w:sz w:val="18"/>
      <w:szCs w:val="18"/>
    </w:rPr>
  </w:style>
  <w:style w:type="paragraph" w:styleId="EndnoteText">
    <w:name w:val="endnote text"/>
    <w:basedOn w:val="Normal"/>
    <w:link w:val="EndnoteTextChar"/>
    <w:uiPriority w:val="99"/>
    <w:semiHidden/>
    <w:unhideWhenUsed/>
    <w:rsid w:val="00F15219"/>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15219"/>
    <w:rPr>
      <w:rFonts w:ascii="Arial" w:hAnsi="Arial"/>
      <w:lang w:val="da-DK"/>
    </w:rPr>
  </w:style>
  <w:style w:type="character" w:styleId="EndnoteReference">
    <w:name w:val="endnote reference"/>
    <w:basedOn w:val="DefaultParagraphFont"/>
    <w:uiPriority w:val="99"/>
    <w:semiHidden/>
    <w:unhideWhenUsed/>
    <w:rsid w:val="00F15219"/>
    <w:rPr>
      <w:vertAlign w:val="superscript"/>
    </w:rPr>
  </w:style>
  <w:style w:type="character" w:styleId="CommentReference">
    <w:name w:val="annotation reference"/>
    <w:basedOn w:val="DefaultParagraphFont"/>
    <w:uiPriority w:val="99"/>
    <w:semiHidden/>
    <w:unhideWhenUsed/>
    <w:rsid w:val="006C1066"/>
    <w:rPr>
      <w:sz w:val="16"/>
      <w:szCs w:val="16"/>
    </w:rPr>
  </w:style>
  <w:style w:type="paragraph" w:styleId="CommentText">
    <w:name w:val="annotation text"/>
    <w:basedOn w:val="Normal"/>
    <w:link w:val="CommentTextChar"/>
    <w:uiPriority w:val="99"/>
    <w:unhideWhenUsed/>
    <w:rsid w:val="006C1066"/>
    <w:pPr>
      <w:spacing w:line="240" w:lineRule="auto"/>
    </w:pPr>
    <w:rPr>
      <w:sz w:val="20"/>
      <w:szCs w:val="20"/>
    </w:rPr>
  </w:style>
  <w:style w:type="character" w:customStyle="1" w:styleId="CommentTextChar">
    <w:name w:val="Comment Text Char"/>
    <w:basedOn w:val="DefaultParagraphFont"/>
    <w:link w:val="CommentText"/>
    <w:uiPriority w:val="99"/>
    <w:rsid w:val="006C1066"/>
    <w:rPr>
      <w:rFonts w:ascii="Arial" w:hAnsi="Arial"/>
      <w:lang w:val="da-DK"/>
    </w:rPr>
  </w:style>
  <w:style w:type="paragraph" w:styleId="CommentSubject">
    <w:name w:val="annotation subject"/>
    <w:basedOn w:val="CommentText"/>
    <w:next w:val="CommentText"/>
    <w:link w:val="CommentSubjectChar"/>
    <w:uiPriority w:val="99"/>
    <w:semiHidden/>
    <w:unhideWhenUsed/>
    <w:rsid w:val="006C1066"/>
    <w:rPr>
      <w:b/>
      <w:bCs/>
    </w:rPr>
  </w:style>
  <w:style w:type="character" w:customStyle="1" w:styleId="CommentSubjectChar">
    <w:name w:val="Comment Subject Char"/>
    <w:basedOn w:val="CommentTextChar"/>
    <w:link w:val="CommentSubject"/>
    <w:uiPriority w:val="99"/>
    <w:semiHidden/>
    <w:rsid w:val="006C1066"/>
    <w:rPr>
      <w:rFonts w:ascii="Arial" w:hAnsi="Arial"/>
      <w:b/>
      <w:bCs/>
      <w:lang w:val="da-DK"/>
    </w:rPr>
  </w:style>
  <w:style w:type="paragraph" w:styleId="ListParagraph">
    <w:name w:val="List Paragraph"/>
    <w:basedOn w:val="Normal"/>
    <w:uiPriority w:val="34"/>
    <w:qFormat/>
    <w:rsid w:val="00CD63F6"/>
    <w:pPr>
      <w:spacing w:before="0" w:after="160" w:line="259" w:lineRule="auto"/>
      <w:ind w:left="720"/>
      <w:contextualSpacing/>
      <w:jc w:val="left"/>
    </w:pPr>
    <w:rPr>
      <w:rFonts w:asciiTheme="minorHAnsi" w:eastAsiaTheme="minorHAnsi" w:hAnsiTheme="minorHAnsi" w:cstheme="minorBidi"/>
      <w:sz w:val="22"/>
      <w:szCs w:val="22"/>
    </w:rPr>
  </w:style>
  <w:style w:type="character" w:customStyle="1" w:styleId="FootnoteTextChar">
    <w:name w:val="Footnote Text Char"/>
    <w:aliases w:val="Fußnote Char,Geneva 9 Char,Font: Geneva 9 Char,Boston 10 Char,f Char,ft Char,Footnote Text Char Char Char Char Char Char Char Char Char Char Char,Footnote Text Char Char Char,Footnote Text2 Char,ft2 Char"/>
    <w:basedOn w:val="DefaultParagraphFont"/>
    <w:link w:val="FootnoteText"/>
    <w:uiPriority w:val="99"/>
    <w:rsid w:val="000D3DB8"/>
    <w:rPr>
      <w:rFonts w:ascii="Arial" w:hAnsi="Arial"/>
      <w:color w:val="808080"/>
      <w:sz w:val="16"/>
      <w:lang w:val="da-DK"/>
    </w:rPr>
  </w:style>
  <w:style w:type="paragraph" w:styleId="Title">
    <w:name w:val="Title"/>
    <w:basedOn w:val="Normal"/>
    <w:next w:val="Normal"/>
    <w:link w:val="TitleChar"/>
    <w:uiPriority w:val="10"/>
    <w:qFormat/>
    <w:rsid w:val="00CD63F6"/>
    <w:pPr>
      <w:spacing w:before="0" w:after="0" w:line="240" w:lineRule="auto"/>
      <w:contextualSpacing/>
      <w:jc w:val="left"/>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D63F6"/>
    <w:rPr>
      <w:rFonts w:asciiTheme="majorHAnsi" w:eastAsiaTheme="majorEastAsia" w:hAnsiTheme="majorHAnsi" w:cstheme="majorBidi"/>
      <w:spacing w:val="-10"/>
      <w:kern w:val="28"/>
      <w:sz w:val="56"/>
      <w:szCs w:val="56"/>
      <w:lang w:val="da-DK" w:eastAsia="da-DK"/>
    </w:rPr>
  </w:style>
  <w:style w:type="paragraph" w:customStyle="1" w:styleId="CM1">
    <w:name w:val="CM1"/>
    <w:basedOn w:val="Normal"/>
    <w:next w:val="Normal"/>
    <w:uiPriority w:val="99"/>
    <w:rsid w:val="001C2076"/>
    <w:pPr>
      <w:autoSpaceDE w:val="0"/>
      <w:autoSpaceDN w:val="0"/>
      <w:adjustRightInd w:val="0"/>
      <w:spacing w:before="0" w:after="0" w:line="240" w:lineRule="auto"/>
      <w:jc w:val="left"/>
    </w:pPr>
    <w:rPr>
      <w:rFonts w:ascii="EUAlbertina" w:eastAsiaTheme="minorHAnsi" w:hAnsi="EUAlbertina" w:cstheme="minorBidi"/>
      <w:sz w:val="24"/>
    </w:rPr>
  </w:style>
  <w:style w:type="paragraph" w:styleId="Caption">
    <w:name w:val="caption"/>
    <w:basedOn w:val="Normal"/>
    <w:next w:val="Normal"/>
    <w:uiPriority w:val="35"/>
    <w:unhideWhenUsed/>
    <w:qFormat/>
    <w:rsid w:val="001C2076"/>
    <w:pPr>
      <w:spacing w:before="0" w:after="200" w:line="240" w:lineRule="auto"/>
      <w:jc w:val="left"/>
    </w:pPr>
    <w:rPr>
      <w:rFonts w:asciiTheme="minorHAnsi" w:eastAsiaTheme="minorHAnsi" w:hAnsiTheme="minorHAnsi" w:cstheme="minorBidi"/>
      <w:i/>
      <w:iCs/>
      <w:color w:val="373737" w:themeColor="text2"/>
      <w:szCs w:val="18"/>
    </w:rPr>
  </w:style>
  <w:style w:type="table" w:customStyle="1" w:styleId="Tabukasmriekou5tmavzvraznenie61">
    <w:name w:val="Tabuľka s mriežkou 5 – tmavá – zvýraznenie 61"/>
    <w:basedOn w:val="TableNormal"/>
    <w:uiPriority w:val="50"/>
    <w:rsid w:val="00932C3E"/>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E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BAB8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BAB8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BAB8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BAB80" w:themeFill="accent6"/>
      </w:tcPr>
    </w:tblStylePr>
    <w:tblStylePr w:type="band1Vert">
      <w:tblPr/>
      <w:tcPr>
        <w:shd w:val="clear" w:color="auto" w:fill="D0DDCC" w:themeFill="accent6" w:themeFillTint="66"/>
      </w:tcPr>
    </w:tblStylePr>
    <w:tblStylePr w:type="band1Horz">
      <w:tblPr/>
      <w:tcPr>
        <w:shd w:val="clear" w:color="auto" w:fill="D0DDCC" w:themeFill="accent6" w:themeFillTint="66"/>
      </w:tcPr>
    </w:tblStylePr>
  </w:style>
  <w:style w:type="character" w:customStyle="1" w:styleId="FooterChar">
    <w:name w:val="Footer Char"/>
    <w:basedOn w:val="DefaultParagraphFont"/>
    <w:link w:val="Footer"/>
    <w:uiPriority w:val="99"/>
    <w:rsid w:val="00D52AFB"/>
    <w:rPr>
      <w:rFonts w:ascii="Arial" w:hAnsi="Arial"/>
      <w:color w:val="373737"/>
      <w:sz w:val="22"/>
      <w:lang w:val="da-DK"/>
    </w:rPr>
  </w:style>
  <w:style w:type="paragraph" w:styleId="Revision">
    <w:name w:val="Revision"/>
    <w:hidden/>
    <w:uiPriority w:val="99"/>
    <w:semiHidden/>
    <w:rsid w:val="003B25C7"/>
    <w:rPr>
      <w:rFonts w:ascii="Arial" w:hAnsi="Arial"/>
      <w:sz w:val="18"/>
      <w:szCs w:val="24"/>
    </w:rPr>
  </w:style>
  <w:style w:type="paragraph" w:customStyle="1" w:styleId="Pavpage3">
    <w:name w:val="Pavé page 3"/>
    <w:basedOn w:val="Normal"/>
    <w:qFormat/>
    <w:rsid w:val="003C228A"/>
    <w:pPr>
      <w:spacing w:before="0" w:after="120" w:line="280" w:lineRule="atLeast"/>
      <w:jc w:val="left"/>
    </w:pPr>
    <w:rPr>
      <w:rFonts w:ascii="Helvetica" w:hAnsi="Helvetica" w:cs="Arial"/>
      <w:smallCaps/>
      <w:color w:val="DF6532"/>
      <w:sz w:val="44"/>
      <w:szCs w:val="44"/>
    </w:rPr>
  </w:style>
  <w:style w:type="character" w:styleId="FollowedHyperlink">
    <w:name w:val="FollowedHyperlink"/>
    <w:basedOn w:val="DefaultParagraphFont"/>
    <w:uiPriority w:val="99"/>
    <w:semiHidden/>
    <w:unhideWhenUsed/>
    <w:rsid w:val="00810ED5"/>
    <w:rPr>
      <w:color w:val="F07E31" w:themeColor="followedHyperlink"/>
      <w:u w:val="single"/>
    </w:rPr>
  </w:style>
  <w:style w:type="character" w:customStyle="1" w:styleId="shorttext">
    <w:name w:val="short_text"/>
    <w:basedOn w:val="DefaultParagraphFont"/>
    <w:rsid w:val="00190D63"/>
  </w:style>
  <w:style w:type="character" w:styleId="Emphasis">
    <w:name w:val="Emphasis"/>
    <w:basedOn w:val="DefaultParagraphFont"/>
    <w:uiPriority w:val="20"/>
    <w:qFormat/>
    <w:rsid w:val="00744BAA"/>
    <w:rPr>
      <w:i/>
      <w:iCs/>
    </w:rPr>
  </w:style>
  <w:style w:type="paragraph" w:styleId="HTMLPreformatted">
    <w:name w:val="HTML Preformatted"/>
    <w:basedOn w:val="Normal"/>
    <w:link w:val="HTMLPreformattedChar"/>
    <w:uiPriority w:val="99"/>
    <w:semiHidden/>
    <w:unhideWhenUsed/>
    <w:rsid w:val="00C36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C36C67"/>
    <w:rPr>
      <w:rFonts w:ascii="Courier New" w:hAnsi="Courier New" w:cs="Courier New"/>
      <w:lang w:val="da-DK" w:eastAsia="da-DK"/>
    </w:rPr>
  </w:style>
  <w:style w:type="character" w:customStyle="1" w:styleId="NichtaufgelsteErwhnung1">
    <w:name w:val="Nicht aufgelöste Erwähnung1"/>
    <w:basedOn w:val="DefaultParagraphFont"/>
    <w:uiPriority w:val="99"/>
    <w:semiHidden/>
    <w:unhideWhenUsed/>
    <w:rsid w:val="005B75BD"/>
    <w:rPr>
      <w:color w:val="808080"/>
      <w:shd w:val="clear" w:color="auto" w:fill="E6E6E6"/>
    </w:rPr>
  </w:style>
  <w:style w:type="character" w:customStyle="1" w:styleId="UnresolvedMention1">
    <w:name w:val="Unresolved Mention1"/>
    <w:basedOn w:val="DefaultParagraphFont"/>
    <w:uiPriority w:val="99"/>
    <w:semiHidden/>
    <w:unhideWhenUsed/>
    <w:rsid w:val="001D32F7"/>
    <w:rPr>
      <w:color w:val="808080"/>
      <w:shd w:val="clear" w:color="auto" w:fill="E6E6E6"/>
    </w:rPr>
  </w:style>
  <w:style w:type="paragraph" w:customStyle="1" w:styleId="Normal12PTcouleurgris">
    <w:name w:val="Normal + 12PT couleur gris"/>
    <w:basedOn w:val="Normal"/>
    <w:qFormat/>
    <w:rsid w:val="00041A27"/>
    <w:pPr>
      <w:spacing w:before="0" w:after="0" w:line="259" w:lineRule="auto"/>
    </w:pPr>
    <w:rPr>
      <w:rFonts w:eastAsiaTheme="minorHAnsi" w:cs="Arial"/>
      <w:color w:val="6F6F6F"/>
      <w:sz w:val="24"/>
      <w:szCs w:val="18"/>
    </w:rPr>
  </w:style>
  <w:style w:type="table" w:customStyle="1" w:styleId="11">
    <w:name w:val="Πίνακας 1 με ανοιχτόχρωμο πλέγμα1"/>
    <w:basedOn w:val="TableNormal"/>
    <w:uiPriority w:val="46"/>
    <w:rsid w:val="00C1242D"/>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numbering" w:customStyle="1" w:styleId="1">
    <w:name w:val="Στυλ1"/>
    <w:uiPriority w:val="99"/>
    <w:rsid w:val="00801FF1"/>
    <w:pPr>
      <w:numPr>
        <w:numId w:val="15"/>
      </w:numPr>
    </w:pPr>
  </w:style>
  <w:style w:type="table" w:customStyle="1" w:styleId="Tabukasmriekou1svetl1">
    <w:name w:val="Tabuľka s mriežkou 1 – svetlá1"/>
    <w:basedOn w:val="TableNormal"/>
    <w:uiPriority w:val="46"/>
    <w:rsid w:val="00B25279"/>
    <w:tblPr>
      <w:tblStyleRowBandSize w:val="1"/>
      <w:tblStyleColBandSize w:val="1"/>
      <w:tblBorders>
        <w:top w:val="single" w:sz="4" w:space="0" w:color="AFAFAF" w:themeColor="text1" w:themeTint="66"/>
        <w:left w:val="single" w:sz="4" w:space="0" w:color="AFAFAF" w:themeColor="text1" w:themeTint="66"/>
        <w:bottom w:val="single" w:sz="4" w:space="0" w:color="AFAFAF" w:themeColor="text1" w:themeTint="66"/>
        <w:right w:val="single" w:sz="4" w:space="0" w:color="AFAFAF" w:themeColor="text1" w:themeTint="66"/>
        <w:insideH w:val="single" w:sz="4" w:space="0" w:color="AFAFAF" w:themeColor="text1" w:themeTint="66"/>
        <w:insideV w:val="single" w:sz="4" w:space="0" w:color="AFAFAF" w:themeColor="text1" w:themeTint="66"/>
      </w:tblBorders>
    </w:tblPr>
    <w:tblStylePr w:type="firstRow">
      <w:rPr>
        <w:b/>
        <w:bCs/>
      </w:rPr>
      <w:tblPr/>
      <w:tcPr>
        <w:tcBorders>
          <w:bottom w:val="single" w:sz="12" w:space="0" w:color="878787" w:themeColor="text1" w:themeTint="99"/>
        </w:tcBorders>
      </w:tcPr>
    </w:tblStylePr>
    <w:tblStylePr w:type="lastRow">
      <w:rPr>
        <w:b/>
        <w:bCs/>
      </w:rPr>
      <w:tblPr/>
      <w:tcPr>
        <w:tcBorders>
          <w:top w:val="double" w:sz="2" w:space="0" w:color="878787" w:themeColor="text1" w:themeTint="99"/>
        </w:tcBorders>
      </w:tcPr>
    </w:tblStylePr>
    <w:tblStylePr w:type="firstCol">
      <w:rPr>
        <w:b/>
        <w:bCs/>
      </w:rPr>
    </w:tblStylePr>
    <w:tblStylePr w:type="lastCol">
      <w:rPr>
        <w:b/>
        <w:bCs/>
      </w:rPr>
    </w:tblStylePr>
  </w:style>
  <w:style w:type="paragraph" w:customStyle="1" w:styleId="H-Titre2">
    <w:name w:val="H-Titre 2"/>
    <w:basedOn w:val="Normal"/>
    <w:qFormat/>
    <w:rsid w:val="0004609A"/>
    <w:pPr>
      <w:spacing w:before="0" w:after="120" w:line="280" w:lineRule="atLeast"/>
      <w:jc w:val="left"/>
    </w:pPr>
    <w:rPr>
      <w:rFonts w:cs="Arial"/>
      <w:b/>
      <w:bCs/>
      <w:color w:val="FFFFFF" w:themeColor="background2"/>
      <w:szCs w:val="44"/>
    </w:rPr>
  </w:style>
  <w:style w:type="paragraph" w:customStyle="1" w:styleId="H-Titre1">
    <w:name w:val="H-Titre 1"/>
    <w:basedOn w:val="Normal"/>
    <w:qFormat/>
    <w:rsid w:val="00BC03B8"/>
    <w:pPr>
      <w:spacing w:before="0" w:after="120" w:line="280" w:lineRule="atLeast"/>
      <w:jc w:val="left"/>
    </w:pPr>
    <w:rPr>
      <w:rFonts w:cs="Arial"/>
      <w:b/>
      <w:color w:val="373737" w:themeColor="text1"/>
      <w:szCs w:val="60"/>
    </w:rPr>
  </w:style>
  <w:style w:type="paragraph" w:styleId="NormalWeb">
    <w:name w:val="Normal (Web)"/>
    <w:basedOn w:val="Normal"/>
    <w:uiPriority w:val="99"/>
    <w:unhideWhenUsed/>
    <w:rsid w:val="00BB68D4"/>
    <w:pPr>
      <w:spacing w:before="100" w:beforeAutospacing="1" w:after="100" w:afterAutospacing="1" w:line="240" w:lineRule="auto"/>
      <w:jc w:val="left"/>
    </w:pPr>
    <w:rPr>
      <w:rFonts w:ascii="Times New Roman" w:eastAsiaTheme="minorHAnsi" w:hAnsi="Times New Roman"/>
      <w:sz w:val="24"/>
    </w:rPr>
  </w:style>
  <w:style w:type="paragraph" w:styleId="Subtitle">
    <w:name w:val="Subtitle"/>
    <w:basedOn w:val="Normal"/>
    <w:link w:val="SubtitleChar"/>
    <w:uiPriority w:val="11"/>
    <w:qFormat/>
    <w:rsid w:val="00C008A4"/>
    <w:pPr>
      <w:numPr>
        <w:numId w:val="19"/>
      </w:numPr>
      <w:spacing w:before="120" w:after="120" w:line="280" w:lineRule="atLeast"/>
      <w:outlineLvl w:val="1"/>
    </w:pPr>
    <w:rPr>
      <w:b/>
      <w:sz w:val="16"/>
      <w:szCs w:val="16"/>
    </w:rPr>
  </w:style>
  <w:style w:type="character" w:customStyle="1" w:styleId="SubtitleChar">
    <w:name w:val="Subtitle Char"/>
    <w:basedOn w:val="DefaultParagraphFont"/>
    <w:link w:val="Subtitle"/>
    <w:uiPriority w:val="11"/>
    <w:rsid w:val="00C008A4"/>
    <w:rPr>
      <w:rFonts w:ascii="Arial" w:hAnsi="Arial"/>
      <w:b/>
      <w:sz w:val="16"/>
      <w:szCs w:val="16"/>
      <w:lang w:val="da-DK"/>
    </w:rPr>
  </w:style>
  <w:style w:type="character" w:customStyle="1" w:styleId="Heading4Char2Char1">
    <w:name w:val="Heading 4 Char2 Char1"/>
    <w:basedOn w:val="DefaultParagraphFont"/>
    <w:uiPriority w:val="99"/>
    <w:rsid w:val="00123367"/>
    <w:rPr>
      <w:rFonts w:ascii="Arial" w:hAnsi="Arial"/>
      <w:i/>
      <w:dstrike w:val="0"/>
      <w:color w:val="373737"/>
      <w:position w:val="6"/>
      <w:sz w:val="12"/>
      <w:vertAlign w:val="baseline"/>
      <w:lang w:val="da-DK"/>
    </w:rPr>
  </w:style>
  <w:style w:type="character" w:styleId="Strong">
    <w:name w:val="Strong"/>
    <w:basedOn w:val="DefaultParagraphFont"/>
    <w:uiPriority w:val="22"/>
    <w:qFormat/>
    <w:rsid w:val="00753F39"/>
    <w:rPr>
      <w:b/>
      <w:bCs/>
    </w:rPr>
  </w:style>
  <w:style w:type="table" w:customStyle="1" w:styleId="Mriekatabuky1">
    <w:name w:val="Mriežka tabuľky1"/>
    <w:basedOn w:val="TableNormal"/>
    <w:next w:val="TableGrid"/>
    <w:uiPriority w:val="39"/>
    <w:rsid w:val="00D1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TableNormal"/>
    <w:next w:val="TableGrid"/>
    <w:uiPriority w:val="39"/>
    <w:rsid w:val="009B22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TableNormal"/>
    <w:next w:val="TableGrid"/>
    <w:uiPriority w:val="39"/>
    <w:rsid w:val="00676E1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TableNormal"/>
    <w:next w:val="TableGrid"/>
    <w:uiPriority w:val="39"/>
    <w:rsid w:val="00546E3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2">
    <w:name w:val="Nicht aufgelöste Erwähnung2"/>
    <w:basedOn w:val="DefaultParagraphFont"/>
    <w:uiPriority w:val="99"/>
    <w:semiHidden/>
    <w:unhideWhenUsed/>
    <w:rsid w:val="00E828C2"/>
    <w:rPr>
      <w:color w:val="808080"/>
      <w:shd w:val="clear" w:color="auto" w:fill="E6E6E6"/>
    </w:rPr>
  </w:style>
  <w:style w:type="table" w:customStyle="1" w:styleId="Tabukasmriekou5tmavzvraznenie11">
    <w:name w:val="Tabuľka s mriežkou 5 – tmavá – zvýraznenie 11"/>
    <w:basedOn w:val="TableNormal"/>
    <w:uiPriority w:val="50"/>
    <w:rsid w:val="0036599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5D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E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E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E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E31" w:themeFill="accent1"/>
      </w:tcPr>
    </w:tblStylePr>
    <w:tblStylePr w:type="band1Vert">
      <w:tblPr/>
      <w:tcPr>
        <w:shd w:val="clear" w:color="auto" w:fill="F9CBAC" w:themeFill="accent1" w:themeFillTint="66"/>
      </w:tcPr>
    </w:tblStylePr>
    <w:tblStylePr w:type="band1Horz">
      <w:tblPr/>
      <w:tcPr>
        <w:shd w:val="clear" w:color="auto" w:fill="F9CBAC" w:themeFill="accent1" w:themeFillTint="66"/>
      </w:tcPr>
    </w:tblStylePr>
  </w:style>
  <w:style w:type="character" w:styleId="PlaceholderText">
    <w:name w:val="Placeholder Text"/>
    <w:basedOn w:val="DefaultParagraphFont"/>
    <w:uiPriority w:val="99"/>
    <w:semiHidden/>
    <w:rsid w:val="00C2385E"/>
    <w:rPr>
      <w:color w:val="808080"/>
    </w:rPr>
  </w:style>
  <w:style w:type="character" w:customStyle="1" w:styleId="NichtaufgelsteErwhnung3">
    <w:name w:val="Nicht aufgelöste Erwähnung3"/>
    <w:basedOn w:val="DefaultParagraphFont"/>
    <w:uiPriority w:val="99"/>
    <w:semiHidden/>
    <w:unhideWhenUsed/>
    <w:rsid w:val="00F83CA0"/>
    <w:rPr>
      <w:color w:val="808080"/>
      <w:shd w:val="clear" w:color="auto" w:fill="E6E6E6"/>
    </w:rPr>
  </w:style>
  <w:style w:type="character" w:customStyle="1" w:styleId="NichtaufgelsteErwhnung4">
    <w:name w:val="Nicht aufgelöste Erwähnung4"/>
    <w:basedOn w:val="DefaultParagraphFont"/>
    <w:uiPriority w:val="99"/>
    <w:semiHidden/>
    <w:unhideWhenUsed/>
    <w:rsid w:val="00CD220A"/>
    <w:rPr>
      <w:color w:val="808080"/>
      <w:shd w:val="clear" w:color="auto" w:fill="E6E6E6"/>
    </w:rPr>
  </w:style>
  <w:style w:type="character" w:customStyle="1" w:styleId="HStandardCar">
    <w:name w:val="H_Standard Car"/>
    <w:basedOn w:val="DefaultParagraphFont"/>
    <w:link w:val="HStandard"/>
    <w:rsid w:val="00BB6B80"/>
    <w:rPr>
      <w:rFonts w:ascii="Arial" w:hAnsi="Arial"/>
      <w:color w:val="373737" w:themeColor="text1"/>
      <w:lang w:val="da-DK"/>
    </w:rPr>
  </w:style>
  <w:style w:type="character" w:customStyle="1" w:styleId="UnresolvedMention2">
    <w:name w:val="Unresolved Mention2"/>
    <w:basedOn w:val="DefaultParagraphFont"/>
    <w:uiPriority w:val="99"/>
    <w:semiHidden/>
    <w:unhideWhenUsed/>
    <w:rsid w:val="00B508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125483">
      <w:bodyDiv w:val="1"/>
      <w:marLeft w:val="0"/>
      <w:marRight w:val="0"/>
      <w:marTop w:val="0"/>
      <w:marBottom w:val="0"/>
      <w:divBdr>
        <w:top w:val="none" w:sz="0" w:space="0" w:color="auto"/>
        <w:left w:val="none" w:sz="0" w:space="0" w:color="auto"/>
        <w:bottom w:val="none" w:sz="0" w:space="0" w:color="auto"/>
        <w:right w:val="none" w:sz="0" w:space="0" w:color="auto"/>
      </w:divBdr>
    </w:div>
    <w:div w:id="293565826">
      <w:bodyDiv w:val="1"/>
      <w:marLeft w:val="0"/>
      <w:marRight w:val="0"/>
      <w:marTop w:val="0"/>
      <w:marBottom w:val="0"/>
      <w:divBdr>
        <w:top w:val="none" w:sz="0" w:space="0" w:color="auto"/>
        <w:left w:val="none" w:sz="0" w:space="0" w:color="auto"/>
        <w:bottom w:val="none" w:sz="0" w:space="0" w:color="auto"/>
        <w:right w:val="none" w:sz="0" w:space="0" w:color="auto"/>
      </w:divBdr>
    </w:div>
    <w:div w:id="419108821">
      <w:bodyDiv w:val="1"/>
      <w:marLeft w:val="0"/>
      <w:marRight w:val="0"/>
      <w:marTop w:val="0"/>
      <w:marBottom w:val="0"/>
      <w:divBdr>
        <w:top w:val="none" w:sz="0" w:space="0" w:color="auto"/>
        <w:left w:val="none" w:sz="0" w:space="0" w:color="auto"/>
        <w:bottom w:val="none" w:sz="0" w:space="0" w:color="auto"/>
        <w:right w:val="none" w:sz="0" w:space="0" w:color="auto"/>
      </w:divBdr>
    </w:div>
    <w:div w:id="561716645">
      <w:bodyDiv w:val="1"/>
      <w:marLeft w:val="0"/>
      <w:marRight w:val="0"/>
      <w:marTop w:val="0"/>
      <w:marBottom w:val="0"/>
      <w:divBdr>
        <w:top w:val="none" w:sz="0" w:space="0" w:color="auto"/>
        <w:left w:val="none" w:sz="0" w:space="0" w:color="auto"/>
        <w:bottom w:val="none" w:sz="0" w:space="0" w:color="auto"/>
        <w:right w:val="none" w:sz="0" w:space="0" w:color="auto"/>
      </w:divBdr>
    </w:div>
    <w:div w:id="690491209">
      <w:bodyDiv w:val="1"/>
      <w:marLeft w:val="0"/>
      <w:marRight w:val="0"/>
      <w:marTop w:val="0"/>
      <w:marBottom w:val="0"/>
      <w:divBdr>
        <w:top w:val="none" w:sz="0" w:space="0" w:color="auto"/>
        <w:left w:val="none" w:sz="0" w:space="0" w:color="auto"/>
        <w:bottom w:val="none" w:sz="0" w:space="0" w:color="auto"/>
        <w:right w:val="none" w:sz="0" w:space="0" w:color="auto"/>
      </w:divBdr>
    </w:div>
    <w:div w:id="742029641">
      <w:bodyDiv w:val="1"/>
      <w:marLeft w:val="0"/>
      <w:marRight w:val="0"/>
      <w:marTop w:val="0"/>
      <w:marBottom w:val="0"/>
      <w:divBdr>
        <w:top w:val="none" w:sz="0" w:space="0" w:color="auto"/>
        <w:left w:val="none" w:sz="0" w:space="0" w:color="auto"/>
        <w:bottom w:val="none" w:sz="0" w:space="0" w:color="auto"/>
        <w:right w:val="none" w:sz="0" w:space="0" w:color="auto"/>
      </w:divBdr>
    </w:div>
    <w:div w:id="851915323">
      <w:bodyDiv w:val="1"/>
      <w:marLeft w:val="0"/>
      <w:marRight w:val="0"/>
      <w:marTop w:val="0"/>
      <w:marBottom w:val="0"/>
      <w:divBdr>
        <w:top w:val="none" w:sz="0" w:space="0" w:color="auto"/>
        <w:left w:val="none" w:sz="0" w:space="0" w:color="auto"/>
        <w:bottom w:val="none" w:sz="0" w:space="0" w:color="auto"/>
        <w:right w:val="none" w:sz="0" w:space="0" w:color="auto"/>
      </w:divBdr>
    </w:div>
    <w:div w:id="915817771">
      <w:bodyDiv w:val="1"/>
      <w:marLeft w:val="0"/>
      <w:marRight w:val="0"/>
      <w:marTop w:val="0"/>
      <w:marBottom w:val="0"/>
      <w:divBdr>
        <w:top w:val="none" w:sz="0" w:space="0" w:color="auto"/>
        <w:left w:val="none" w:sz="0" w:space="0" w:color="auto"/>
        <w:bottom w:val="none" w:sz="0" w:space="0" w:color="auto"/>
        <w:right w:val="none" w:sz="0" w:space="0" w:color="auto"/>
      </w:divBdr>
    </w:div>
    <w:div w:id="1475954411">
      <w:bodyDiv w:val="1"/>
      <w:marLeft w:val="0"/>
      <w:marRight w:val="0"/>
      <w:marTop w:val="0"/>
      <w:marBottom w:val="0"/>
      <w:divBdr>
        <w:top w:val="none" w:sz="0" w:space="0" w:color="auto"/>
        <w:left w:val="none" w:sz="0" w:space="0" w:color="auto"/>
        <w:bottom w:val="none" w:sz="0" w:space="0" w:color="auto"/>
        <w:right w:val="none" w:sz="0" w:space="0" w:color="auto"/>
      </w:divBdr>
    </w:div>
    <w:div w:id="1551265796">
      <w:bodyDiv w:val="1"/>
      <w:marLeft w:val="0"/>
      <w:marRight w:val="0"/>
      <w:marTop w:val="0"/>
      <w:marBottom w:val="0"/>
      <w:divBdr>
        <w:top w:val="none" w:sz="0" w:space="0" w:color="auto"/>
        <w:left w:val="none" w:sz="0" w:space="0" w:color="auto"/>
        <w:bottom w:val="none" w:sz="0" w:space="0" w:color="auto"/>
        <w:right w:val="none" w:sz="0" w:space="0" w:color="auto"/>
      </w:divBdr>
    </w:div>
    <w:div w:id="1555964403">
      <w:bodyDiv w:val="1"/>
      <w:marLeft w:val="0"/>
      <w:marRight w:val="0"/>
      <w:marTop w:val="0"/>
      <w:marBottom w:val="0"/>
      <w:divBdr>
        <w:top w:val="none" w:sz="0" w:space="0" w:color="auto"/>
        <w:left w:val="none" w:sz="0" w:space="0" w:color="auto"/>
        <w:bottom w:val="none" w:sz="0" w:space="0" w:color="auto"/>
        <w:right w:val="none" w:sz="0" w:space="0" w:color="auto"/>
      </w:divBdr>
    </w:div>
    <w:div w:id="1679383751">
      <w:bodyDiv w:val="1"/>
      <w:marLeft w:val="0"/>
      <w:marRight w:val="0"/>
      <w:marTop w:val="0"/>
      <w:marBottom w:val="0"/>
      <w:divBdr>
        <w:top w:val="none" w:sz="0" w:space="0" w:color="auto"/>
        <w:left w:val="none" w:sz="0" w:space="0" w:color="auto"/>
        <w:bottom w:val="none" w:sz="0" w:space="0" w:color="auto"/>
        <w:right w:val="none" w:sz="0" w:space="0" w:color="auto"/>
      </w:divBdr>
    </w:div>
    <w:div w:id="2005081885">
      <w:bodyDiv w:val="1"/>
      <w:marLeft w:val="0"/>
      <w:marRight w:val="0"/>
      <w:marTop w:val="0"/>
      <w:marBottom w:val="0"/>
      <w:divBdr>
        <w:top w:val="none" w:sz="0" w:space="0" w:color="auto"/>
        <w:left w:val="none" w:sz="0" w:space="0" w:color="auto"/>
        <w:bottom w:val="none" w:sz="0" w:space="0" w:color="auto"/>
        <w:right w:val="none" w:sz="0" w:space="0" w:color="auto"/>
      </w:divBdr>
    </w:div>
    <w:div w:id="2073506137">
      <w:bodyDiv w:val="1"/>
      <w:marLeft w:val="0"/>
      <w:marRight w:val="0"/>
      <w:marTop w:val="0"/>
      <w:marBottom w:val="0"/>
      <w:divBdr>
        <w:top w:val="none" w:sz="0" w:space="0" w:color="auto"/>
        <w:left w:val="none" w:sz="0" w:space="0" w:color="auto"/>
        <w:bottom w:val="none" w:sz="0" w:space="0" w:color="auto"/>
        <w:right w:val="none" w:sz="0" w:space="0" w:color="auto"/>
      </w:divBdr>
    </w:div>
    <w:div w:id="2117364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c.europa.eu/sfc/en/system/files/ged/RDP_Annex%2011%20.pdf" TargetMode="External"/><Relationship Id="rId26" Type="http://schemas.openxmlformats.org/officeDocument/2006/relationships/hyperlink" Target="https://enrd.ec.europa.eu/evaluation/publications/evaluation-innovation-rural-development-programmes-2014-2020_en" TargetMode="External"/><Relationship Id="rId39" Type="http://schemas.openxmlformats.org/officeDocument/2006/relationships/hyperlink" Target="https://www.envieval.eu/" TargetMode="External"/><Relationship Id="rId21" Type="http://schemas.openxmlformats.org/officeDocument/2006/relationships/hyperlink" Target="https://enrd.ec.europa.eu/evaluation/publications/guidelines-assessment-rdp-results-how-prepare-reporting-evaluation-2017_en" TargetMode="External"/><Relationship Id="rId34" Type="http://schemas.openxmlformats.org/officeDocument/2006/relationships/image" Target="media/image5.png"/><Relationship Id="rId42" Type="http://schemas.openxmlformats.org/officeDocument/2006/relationships/hyperlink" Target="https://ec.europa.eu/agriculture/sites/agriculture/files/evaluation/guidelines/2007-2013-ex-post_en.pdf" TargetMode="External"/><Relationship Id="rId47" Type="http://schemas.openxmlformats.org/officeDocument/2006/relationships/hyperlink" Target="https://ec.europa.eu/agriculture/sites/agriculture/files/evaluation/guidelines/2007-2013-ex-post_en.pdf" TargetMode="External"/><Relationship Id="rId50" Type="http://schemas.openxmlformats.org/officeDocument/2006/relationships/hyperlink" Target="https://books.google.be/books?id=t-uPdSpvPBkC&amp;pg=PP1&amp;lpg=PP1&amp;dq=distinguishing+between+types+of+data+and+methods+of+collecting+them,&amp;source=bl&amp;ots=G26OEW8m2A&amp;sig=h528kvgUEhmDcInCs1LmMIXs8vI&amp;hl=de&amp;sa=X&amp;ved=2ahUKEwjMvZynlc7cAhUSbFAKHaHWCLEQ6AEwBHoECAUQAQ" TargetMode="External"/><Relationship Id="rId55" Type="http://schemas.openxmlformats.org/officeDocument/2006/relationships/image" Target="media/image12.png"/><Relationship Id="rId63" Type="http://schemas.openxmlformats.org/officeDocument/2006/relationships/image" Target="media/image2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c.europa.eu/agriculture/sites/agriculture/files/cap-indicators/impact/impact-indicators-fiches.pdf" TargetMode="External"/><Relationship Id="rId20" Type="http://schemas.openxmlformats.org/officeDocument/2006/relationships/hyperlink" Target="https://ec.europa.eu/agriculture/sites/agriculture/files/cap-indicators/result/complementary-result-indicator-fiches-pillar-ii_en.pdf" TargetMode="External"/><Relationship Id="rId29" Type="http://schemas.openxmlformats.org/officeDocument/2006/relationships/hyperlink" Target="http://ec.europa.eu/eurostat/documents/4411192/4411431/Europe_2020_Targets.pdf" TargetMode="External"/><Relationship Id="rId41" Type="http://schemas.openxmlformats.org/officeDocument/2006/relationships/hyperlink" Target="https://ec.europa.eu/agriculture/sites/agriculture/files/evaluation/guidelines/2007-2013-ex-post_en.pdf" TargetMode="External"/><Relationship Id="rId54" Type="http://schemas.openxmlformats.org/officeDocument/2006/relationships/image" Target="media/image11.png"/><Relationship Id="rId62"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ec.europa.eu/agriculture/sites/agriculture/files/cap-indicators/impact/2016-impact-indicators-fiches.pdf" TargetMode="External"/><Relationship Id="rId32" Type="http://schemas.openxmlformats.org/officeDocument/2006/relationships/footer" Target="footer3.xml"/><Relationship Id="rId37" Type="http://schemas.openxmlformats.org/officeDocument/2006/relationships/image" Target="media/image6.jpg"/><Relationship Id="rId40" Type="http://schemas.openxmlformats.org/officeDocument/2006/relationships/hyperlink" Target="https://www.envieval.eu/fileadmin/envieval/dissemination/deliverables/D9.5_Handbook_for_the_evaluation_of_environmental_impacts_of_RDPs.pdf" TargetMode="External"/><Relationship Id="rId45" Type="http://schemas.openxmlformats.org/officeDocument/2006/relationships/hyperlink" Target="http://enrd.ec.europa.eu/enrd-static/app_templates/enrd_assets/pdf/evaluation/epe_master.pdf" TargetMode="External"/><Relationship Id="rId53" Type="http://schemas.openxmlformats.org/officeDocument/2006/relationships/image" Target="media/image10.png"/><Relationship Id="rId58" Type="http://schemas.openxmlformats.org/officeDocument/2006/relationships/image" Target="media/image15.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enrd.ec.europa.eu/evaluation/publications/evaluation-innovation-rural-development-programmes-2014-2020_en" TargetMode="External"/><Relationship Id="rId28" Type="http://schemas.openxmlformats.org/officeDocument/2006/relationships/hyperlink" Target="http://ec.europa.eu/eurostat/web/products-statistical-books/-/KS-EZ-17-001" TargetMode="External"/><Relationship Id="rId36" Type="http://schemas.openxmlformats.org/officeDocument/2006/relationships/hyperlink" Target="https://www.envieval.eu/fileadmin/envieval/dissemination/deliverables/D9.5_Handbook_for_the_evaluation_of_environmental_impacts_of_RDPs.pdf" TargetMode="External"/><Relationship Id="rId49" Type="http://schemas.openxmlformats.org/officeDocument/2006/relationships/hyperlink" Target="https://ec.europa.eu/agriculture/sites/agriculture/files/evaluation/rural-development-reports/2014/investment-support-rdp/fulltext_en.pdf" TargetMode="External"/><Relationship Id="rId57" Type="http://schemas.openxmlformats.org/officeDocument/2006/relationships/image" Target="media/image14.png"/><Relationship Id="rId61"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hyperlink" Target="https://ec.europa.eu/agriculture/sites/agriculture/files/cap-indicators/result/rd-target-indicators_en.pdf" TargetMode="External"/><Relationship Id="rId31" Type="http://schemas.openxmlformats.org/officeDocument/2006/relationships/hyperlink" Target="https://enrd.ec.europa.eu/sites/enrd/files/uploaded-files/wp_evaluation_questions_2015.pdf" TargetMode="External"/><Relationship Id="rId44" Type="http://schemas.openxmlformats.org/officeDocument/2006/relationships/hyperlink" Target="https://enrd.ec.europa.eu/news-events/news/ex-post-evaluation-rdps-2007-2013_en" TargetMode="External"/><Relationship Id="rId52" Type="http://schemas.openxmlformats.org/officeDocument/2006/relationships/image" Target="media/image9.png"/><Relationship Id="rId60" Type="http://schemas.openxmlformats.org/officeDocument/2006/relationships/image" Target="media/image17.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rd.ec.europa.eu/evaluation/publications/guidelines-assessment-rdp-results-how-prepare-reporting-evaluation-2017_en" TargetMode="External"/><Relationship Id="rId22" Type="http://schemas.openxmlformats.org/officeDocument/2006/relationships/hyperlink" Target="https://enrd.ec.europa.eu/evaluation/publications/evaluation-leaderclld_en" TargetMode="External"/><Relationship Id="rId27" Type="http://schemas.openxmlformats.org/officeDocument/2006/relationships/hyperlink" Target="http://ec.europa.eu/eurostat/web/europe-2020-indicators/europe-2020-strategy/targets" TargetMode="External"/><Relationship Id="rId30" Type="http://schemas.openxmlformats.org/officeDocument/2006/relationships/hyperlink" Target="https://ec.europa.eu/agriculture/cap-indicators/context/2016/2016-context-indicators-fiches.pdf" TargetMode="External"/><Relationship Id="rId35" Type="http://schemas.openxmlformats.org/officeDocument/2006/relationships/hyperlink" Target="https://www.envieval.eu/" TargetMode="External"/><Relationship Id="rId43" Type="http://schemas.openxmlformats.org/officeDocument/2006/relationships/hyperlink" Target="https://enrd.ec.europa.eu/news-events/news/ex-post-evaluation-rdps-2007-2013_en" TargetMode="External"/><Relationship Id="rId48" Type="http://schemas.openxmlformats.org/officeDocument/2006/relationships/hyperlink" Target="https://ec.europa.eu/agriculture/sites/agriculture/files/evaluation/guidelines/2007-2013-ex-post_en.pdf" TargetMode="External"/><Relationship Id="rId56" Type="http://schemas.openxmlformats.org/officeDocument/2006/relationships/image" Target="media/image13.png"/><Relationship Id="rId64"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enrd.ec.europa.eu/sites/enrd/files/twg-01_rdp_results.pdf" TargetMode="External"/><Relationship Id="rId25" Type="http://schemas.openxmlformats.org/officeDocument/2006/relationships/hyperlink" Target="https://ec.europa.eu/agriculture/cap-indicators/context_da" TargetMode="External"/><Relationship Id="rId33" Type="http://schemas.openxmlformats.org/officeDocument/2006/relationships/footer" Target="footer4.xml"/><Relationship Id="rId38" Type="http://schemas.openxmlformats.org/officeDocument/2006/relationships/image" Target="media/image7.jpeg"/><Relationship Id="rId46" Type="http://schemas.openxmlformats.org/officeDocument/2006/relationships/hyperlink" Target="http://enrd.ec.europa.eu/enrd-static/app_templates/enrd_assets/pdf/evaluation/epe_master.pdf" TargetMode="External"/><Relationship Id="rId59" Type="http://schemas.openxmlformats.org/officeDocument/2006/relationships/image" Target="media/image16.png"/></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gal-content/da/ALL/?uri=CELEX:32014R0808" TargetMode="External"/><Relationship Id="rId3" Type="http://schemas.openxmlformats.org/officeDocument/2006/relationships/hyperlink" Target="http://eur-lex.europa.eu/legal-content/da/ALL/?uri=CELEX:32014R0808" TargetMode="External"/><Relationship Id="rId7" Type="http://schemas.openxmlformats.org/officeDocument/2006/relationships/hyperlink" Target="http://eur-lex.europa.eu/legal-content/DA/TXT/?uri=CELEX:32014R0834" TargetMode="External"/><Relationship Id="rId12" Type="http://schemas.openxmlformats.org/officeDocument/2006/relationships/hyperlink" Target="http://enrd.ec.europa.eu/enrd-static/app_templates/enrd_assets/pdf/evaluation/epe_master.pdf" TargetMode="External"/><Relationship Id="rId2" Type="http://schemas.openxmlformats.org/officeDocument/2006/relationships/hyperlink" Target="https://enrd.ec.europa.eu/sites/enrd/files/uploaded-files/twg-05-ep-june2015_0.pdf" TargetMode="External"/><Relationship Id="rId1" Type="http://schemas.openxmlformats.org/officeDocument/2006/relationships/hyperlink" Target="http://eur-lex.europa.eu/legal-content/da/ALL/?uri=CELEX:32013R1305" TargetMode="External"/><Relationship Id="rId6" Type="http://schemas.openxmlformats.org/officeDocument/2006/relationships/hyperlink" Target="http://eur-lex.europa.eu/legal-content/DA/TXT/?uri=celex:32013R1306" TargetMode="External"/><Relationship Id="rId11" Type="http://schemas.openxmlformats.org/officeDocument/2006/relationships/hyperlink" Target="https://enrd.ec.europa.eu/evaluation/publications/guidelines-assessment-rdp-results-how-prepare-reporting-evaluation-2017_en" TargetMode="External"/><Relationship Id="rId5" Type="http://schemas.openxmlformats.org/officeDocument/2006/relationships/hyperlink" Target="file:///C:\Users\wimmer\AppData\Local\Microsoft\Windows\INetCache\Content.Outlook\3TA5XJ7V\your-lex.europa.eu\legal-content\EN\TXT\" TargetMode="External"/><Relationship Id="rId10" Type="http://schemas.openxmlformats.org/officeDocument/2006/relationships/hyperlink" Target="https://ec.europa.eu/agriculture/sites/agriculture/files/evaluation/guidelines/2017-update-technical-handbook-monitoring-evaluation-framework_en.pdf" TargetMode="External"/><Relationship Id="rId4" Type="http://schemas.openxmlformats.org/officeDocument/2006/relationships/hyperlink" Target="https://enrd.ec.europa.eu/evaluation/publications/summary-report-synthesis-evaluation-components-2017-enhanced-air-chapter-7_en" TargetMode="External"/><Relationship Id="rId9" Type="http://schemas.openxmlformats.org/officeDocument/2006/relationships/hyperlink" Target="https://ec.europa.eu/agriculture/sites/agriculture/files/evaluation/guidelines/2017-update-technical-handbook-monitoring-evaluation-framework_en.pdf" TargetMode="External"/></Relationships>
</file>

<file path=word/theme/theme1.xml><?xml version="1.0" encoding="utf-8"?>
<a:theme xmlns:a="http://schemas.openxmlformats.org/drawingml/2006/main" name="Larissa-Design">
  <a:themeElements>
    <a:clrScheme name="Helpdesk">
      <a:dk1>
        <a:srgbClr val="373737"/>
      </a:dk1>
      <a:lt1>
        <a:srgbClr val="FFFFFF"/>
      </a:lt1>
      <a:dk2>
        <a:srgbClr val="373737"/>
      </a:dk2>
      <a:lt2>
        <a:srgbClr val="FFFFFF"/>
      </a:lt2>
      <a:accent1>
        <a:srgbClr val="F07E31"/>
      </a:accent1>
      <a:accent2>
        <a:srgbClr val="BE4A35"/>
      </a:accent2>
      <a:accent3>
        <a:srgbClr val="59638E"/>
      </a:accent3>
      <a:accent4>
        <a:srgbClr val="57825E"/>
      </a:accent4>
      <a:accent5>
        <a:srgbClr val="F7A833"/>
      </a:accent5>
      <a:accent6>
        <a:srgbClr val="8BAB80"/>
      </a:accent6>
      <a:hlink>
        <a:srgbClr val="F07E31"/>
      </a:hlink>
      <a:folHlink>
        <a:srgbClr val="F07E31"/>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87C8BA-2EBE-44FC-921D-78D48E8B2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7999</Words>
  <Characters>45599</Characters>
  <Application>Microsoft Office Word</Application>
  <DocSecurity>0</DocSecurity>
  <Lines>379</Lines>
  <Paragraphs>106</Paragraphs>
  <ScaleCrop>false</ScaleCrop>
  <HeadingPairs>
    <vt:vector size="6" baseType="variant">
      <vt:variant>
        <vt:lpstr>Title</vt:lpstr>
      </vt:variant>
      <vt:variant>
        <vt:i4>1</vt:i4>
      </vt:variant>
      <vt:variant>
        <vt:lpstr>Titel</vt:lpstr>
      </vt:variant>
      <vt:variant>
        <vt:i4>1</vt:i4>
      </vt:variant>
      <vt:variant>
        <vt:lpstr>Názov</vt:lpstr>
      </vt:variant>
      <vt:variant>
        <vt:i4>1</vt:i4>
      </vt:variant>
    </vt:vector>
  </HeadingPairs>
  <TitlesOfParts>
    <vt:vector size="3" baseType="lpstr">
      <vt:lpstr/>
      <vt:lpstr/>
      <vt:lpstr/>
    </vt:vector>
  </TitlesOfParts>
  <LinksUpToDate>false</LinksUpToDate>
  <CharactersWithSpaces>53492</CharactersWithSpaces>
  <SharedDoc>false</SharedDoc>
  <HLinks>
    <vt:vector size="6" baseType="variant">
      <vt:variant>
        <vt:i4>1048625</vt:i4>
      </vt:variant>
      <vt:variant>
        <vt:i4>2</vt:i4>
      </vt:variant>
      <vt:variant>
        <vt:i4>0</vt:i4>
      </vt:variant>
      <vt:variant>
        <vt:i4>5</vt:i4>
      </vt:variant>
      <vt:variant>
        <vt:lpwstr/>
      </vt:variant>
      <vt:variant>
        <vt:lpwstr>_Toc222036237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2018-11-19T11:02:00Z</dcterms:created>
  <dcterms:modified xsi:type="dcterms:W3CDTF">2018-11-19T11:10:00Z</dcterms:modified>
</cp:coreProperties>
</file>