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061" w:rsidRPr="00571D58" w:rsidRDefault="000B213F" w:rsidP="00F80444">
      <w:pPr>
        <w:pStyle w:val="HHeadingboxes"/>
        <w:numPr>
          <w:ilvl w:val="0"/>
          <w:numId w:val="0"/>
        </w:numPr>
      </w:pPr>
      <w:r>
        <w:rPr>
          <w:noProof/>
          <w:szCs w:val="24"/>
          <w:lang w:val="en-GB" w:eastAsia="en-GB" w:bidi="ar-SA"/>
        </w:rPr>
        <mc:AlternateContent>
          <mc:Choice Requires="wps">
            <w:drawing>
              <wp:anchor distT="0" distB="0" distL="114300" distR="114300" simplePos="0" relativeHeight="251654656" behindDoc="1" locked="0" layoutInCell="1" allowOverlap="1" wp14:anchorId="6027A00A" wp14:editId="6B33854F">
                <wp:simplePos x="0" y="0"/>
                <wp:positionH relativeFrom="page">
                  <wp:posOffset>2053590</wp:posOffset>
                </wp:positionH>
                <wp:positionV relativeFrom="page">
                  <wp:posOffset>5022215</wp:posOffset>
                </wp:positionV>
                <wp:extent cx="4775835" cy="3150870"/>
                <wp:effectExtent l="0" t="0" r="5715" b="11430"/>
                <wp:wrapTight wrapText="bothSides">
                  <wp:wrapPolygon edited="0">
                    <wp:start x="0" y="0"/>
                    <wp:lineTo x="0" y="21548"/>
                    <wp:lineTo x="21540" y="21548"/>
                    <wp:lineTo x="21540" y="0"/>
                    <wp:lineTo x="0" y="0"/>
                  </wp:wrapPolygon>
                </wp:wrapTight>
                <wp:docPr id="9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835" cy="315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326" w:rsidRPr="00E76949" w:rsidRDefault="008F1326" w:rsidP="00E76949">
                            <w:pPr>
                              <w:pStyle w:val="HTitle1"/>
                            </w:pPr>
                            <w:r>
                              <w:t>POKYNY</w:t>
                            </w:r>
                          </w:p>
                          <w:p w:rsidR="008F1326" w:rsidRPr="00196DF6" w:rsidRDefault="008F1326" w:rsidP="00196DF6">
                            <w:pPr>
                              <w:pStyle w:val="HTitle2"/>
                            </w:pPr>
                            <w:r>
                              <w:t>Hodnocení výsledků a dopadů programu rozvoje venkova v roce 2019</w:t>
                            </w:r>
                          </w:p>
                          <w:p w:rsidR="008F1326" w:rsidRPr="00F15219" w:rsidRDefault="008F1326" w:rsidP="00196DF6">
                            <w:pPr>
                              <w:pStyle w:val="HTitle2"/>
                            </w:pPr>
                          </w:p>
                          <w:p w:rsidR="008F1326" w:rsidRPr="00435F02" w:rsidRDefault="008F1326" w:rsidP="00196DF6">
                            <w:pPr>
                              <w:pStyle w:val="HTitle3"/>
                              <w:rPr>
                                <w:color w:val="auto"/>
                              </w:rPr>
                            </w:pPr>
                            <w:r>
                              <w:rPr>
                                <w:color w:val="auto"/>
                              </w:rPr>
                              <w:t>srpen 2018</w:t>
                            </w:r>
                          </w:p>
                          <w:p w:rsidR="008F1326" w:rsidRDefault="008F1326" w:rsidP="00196DF6">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27A00A" id="_x0000_t202" coordsize="21600,21600" o:spt="202" path="m,l,21600r21600,l21600,xe">
                <v:stroke joinstyle="miter"/>
                <v:path gradientshapeok="t" o:connecttype="rect"/>
              </v:shapetype>
              <v:shape id="Text Box 5" o:spid="_x0000_s1026" type="#_x0000_t202" style="position:absolute;margin-left:161.7pt;margin-top:395.45pt;width:376.05pt;height:248.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tFsgIAAKw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" filled="f" stroked="f">
                <v:textbox inset="0,0,0,0">
                  <w:txbxContent>
                    <w:p w:rsidR="008F1326" w:rsidRPr="00E76949" w:rsidRDefault="008F1326" w:rsidP="00E76949">
                      <w:pPr>
                        <w:pStyle w:val="HTitle1"/>
                      </w:pPr>
                      <w:r>
                        <w:t>POKYNY</w:t>
                      </w:r>
                    </w:p>
                    <w:p w:rsidR="008F1326" w:rsidRPr="00196DF6" w:rsidRDefault="008F1326" w:rsidP="00196DF6">
                      <w:pPr>
                        <w:pStyle w:val="HTitle2"/>
                      </w:pPr>
                      <w:r>
                        <w:t>Hodnocení výsledků a dopadů programu rozvoje venkova v roce 2019</w:t>
                      </w:r>
                    </w:p>
                    <w:p w:rsidR="008F1326" w:rsidRPr="00F15219" w:rsidRDefault="008F1326" w:rsidP="00196DF6">
                      <w:pPr>
                        <w:pStyle w:val="HTitle2"/>
                      </w:pPr>
                    </w:p>
                    <w:p w:rsidR="008F1326" w:rsidRPr="00435F02" w:rsidRDefault="008F1326" w:rsidP="00196DF6">
                      <w:pPr>
                        <w:pStyle w:val="HTitle3"/>
                        <w:rPr>
                          <w:color w:val="auto"/>
                        </w:rPr>
                      </w:pPr>
                      <w:r>
                        <w:rPr>
                          <w:color w:val="auto"/>
                        </w:rPr>
                        <w:t>srpen 2018</w:t>
                      </w:r>
                    </w:p>
                    <w:p w:rsidR="008F1326" w:rsidRDefault="008F1326" w:rsidP="00196DF6">
                      <w:pPr>
                        <w:pStyle w:val="HTitle3"/>
                      </w:pPr>
                    </w:p>
                  </w:txbxContent>
                </v:textbox>
                <w10:wrap type="tight" anchorx="page" anchory="page"/>
              </v:shape>
            </w:pict>
          </mc:Fallback>
        </mc:AlternateContent>
      </w:r>
      <w:r>
        <w:rPr>
          <w:noProof/>
          <w:lang w:val="en-GB" w:eastAsia="en-GB" w:bidi="ar-SA"/>
        </w:rPr>
        <w:drawing>
          <wp:anchor distT="0" distB="0" distL="114300" distR="114300" simplePos="0" relativeHeight="251653631" behindDoc="1" locked="0" layoutInCell="1" allowOverlap="1" wp14:anchorId="328E1432" wp14:editId="0FA99C9B">
            <wp:simplePos x="0" y="0"/>
            <wp:positionH relativeFrom="margin">
              <wp:posOffset>-918210</wp:posOffset>
            </wp:positionH>
            <wp:positionV relativeFrom="margin">
              <wp:posOffset>-914400</wp:posOffset>
            </wp:positionV>
            <wp:extent cx="7561580" cy="10683240"/>
            <wp:effectExtent l="1905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t xml:space="preserve"> </w:t>
      </w:r>
      <w:r>
        <w:br w:type="page"/>
      </w:r>
    </w:p>
    <w:p w:rsidR="00016061" w:rsidRPr="00571D58" w:rsidRDefault="000B213F" w:rsidP="007C6797">
      <w:pPr>
        <w:pStyle w:val="HStandard"/>
      </w:pPr>
      <w:r>
        <w:rPr>
          <w:noProof/>
          <w:lang w:val="en-GB" w:eastAsia="en-GB" w:bidi="ar-SA"/>
        </w:rPr>
        <w:lastRenderedPageBreak/>
        <mc:AlternateContent>
          <mc:Choice Requires="wps">
            <w:drawing>
              <wp:anchor distT="0" distB="0" distL="114300" distR="114300" simplePos="0" relativeHeight="251664896" behindDoc="0" locked="0" layoutInCell="1" allowOverlap="1" wp14:anchorId="78E9A2FF" wp14:editId="361F15C9">
                <wp:simplePos x="0" y="0"/>
                <wp:positionH relativeFrom="margin">
                  <wp:posOffset>-426085</wp:posOffset>
                </wp:positionH>
                <wp:positionV relativeFrom="paragraph">
                  <wp:posOffset>4095115</wp:posOffset>
                </wp:positionV>
                <wp:extent cx="6583680" cy="5161915"/>
                <wp:effectExtent l="0" t="0" r="0" b="0"/>
                <wp:wrapNone/>
                <wp:docPr id="9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8F1326" w:rsidRPr="00811EF1" w:rsidRDefault="008F1326" w:rsidP="00811EF1">
                            <w:pPr>
                              <w:pStyle w:val="Hdisclaimer"/>
                            </w:pPr>
                            <w:r>
                              <w:t>Upozornění o ochraně autorských práv</w:t>
                            </w:r>
                          </w:p>
                          <w:p w:rsidR="008F1326" w:rsidRPr="00811EF1" w:rsidRDefault="008F1326" w:rsidP="00811EF1">
                            <w:pPr>
                              <w:pStyle w:val="Hdisclaimer"/>
                            </w:pPr>
                            <w:r>
                              <w:t>© Evropská unie, 2018</w:t>
                            </w:r>
                          </w:p>
                          <w:p w:rsidR="008F1326" w:rsidRPr="00811EF1" w:rsidRDefault="008F1326" w:rsidP="00811EF1">
                            <w:pPr>
                              <w:pStyle w:val="Hdisclaimer"/>
                            </w:pPr>
                            <w:r>
                              <w:t>Reprodukce povolena pod podmínkou uvedení zdroje.</w:t>
                            </w:r>
                          </w:p>
                          <w:p w:rsidR="008F1326" w:rsidRPr="00811EF1" w:rsidRDefault="008F1326" w:rsidP="00811EF1">
                            <w:pPr>
                              <w:pStyle w:val="Hdisclaimer"/>
                            </w:pPr>
                            <w:r>
                              <w:t xml:space="preserve">Doporučená citace: </w:t>
                            </w:r>
                          </w:p>
                          <w:p w:rsidR="008F1326" w:rsidRDefault="008F1326" w:rsidP="00435F02">
                            <w:pPr>
                              <w:pStyle w:val="Hdisclaimer"/>
                            </w:pPr>
                            <w:r>
                              <w:t xml:space="preserve">EVROPSKÁ KOMISE – Generální ředitelství pro zemědělství a rozvoj venkova – Oddělení C.4 (2018): Pokyny. Hodnocení výsledků a dopadů programu rozvoje venkova v roce 2019. Brusel, srpen 2018. </w:t>
                            </w:r>
                          </w:p>
                          <w:p w:rsidR="008F1326" w:rsidRPr="00811EF1" w:rsidRDefault="008F1326" w:rsidP="00811EF1">
                            <w:pPr>
                              <w:pStyle w:val="Hdisclaimer"/>
                            </w:pPr>
                            <w:r>
                              <w:t>Upozornění:</w:t>
                            </w:r>
                          </w:p>
                          <w:p w:rsidR="008F1326" w:rsidRPr="00811EF1" w:rsidRDefault="008F1326" w:rsidP="00811EF1">
                            <w:pPr>
                              <w:pStyle w:val="Hdisclaimer"/>
                            </w:pPr>
                            <w:r>
                              <w:t>Informace a názory uvedené v těchto pokynech představují informace a názory autora (autorů) a nemusejí vždy odrážet oficiální stanovisko Komise. Komise nezaručuje přesnost údajů obsažených v těchto pokynech. Komise ani žádná osoba vystupující jejím jménem nenese odpovědnost za využití informací obsažených v této zprávě.</w:t>
                            </w:r>
                          </w:p>
                          <w:p w:rsidR="008F1326" w:rsidRPr="00811EF1" w:rsidRDefault="008F1326" w:rsidP="005B24FC">
                            <w:pPr>
                              <w:pStyle w:val="Hdisclaimer"/>
                              <w:tabs>
                                <w:tab w:val="right" w:pos="10065"/>
                              </w:tabs>
                            </w:pPr>
                            <w:r>
                              <w:rPr>
                                <w:noProof/>
                                <w:color w:val="auto"/>
                                <w:lang w:val="en-GB" w:eastAsia="en-GB" w:bidi="ar-SA"/>
                              </w:rPr>
                              <w:drawing>
                                <wp:inline distT="0" distB="0" distL="0" distR="0" wp14:anchorId="7E7BF097" wp14:editId="73C9C178">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val="en-GB" w:eastAsia="en-GB" w:bidi="ar-SA"/>
                              </w:rPr>
                              <w:drawing>
                                <wp:inline distT="0" distB="0" distL="0" distR="0" wp14:anchorId="1E101919" wp14:editId="6A9F9B56">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8F1326" w:rsidRPr="00811EF1" w:rsidRDefault="008F1326" w:rsidP="00811EF1">
                            <w:pPr>
                              <w:pStyle w:val="Hdisclaimer"/>
                            </w:pPr>
                            <w:r>
                              <w:t>Asistenční služba pro účely hodnocení je útvar odpovědný za hodnocení v rámci Evropské sítě pro rozvoj venkova, který poskytuje pokyny pro hodnocení programu rozvoje venkova a politik spadajících do působnosti a pod vedení Generálního ředitelství pro zemědělství a rozvoj venkova (GŘ AGRI) Evropské komise (EK), oddělení C.4 „Monitorování a hodnocení“. V zájmu zlepšení hodnocení politiky rozvoje venkova v EU asistenční služba pro účely hodnocení podporuje všechny zúčastněné strany podílející se na hodnocení, zejména GŘ AGRI, vnitrostátní orgány, řídící orgány a hodnotitele programu rozvoje venkova prostřednictvím vypracovávání a šíření vhodných metodik a nástrojů, shromažďování a výměny osvědčených postupů, budování kapacit a komunikace se členy sítě o tématech souvisejících s hodnocením.</w:t>
                            </w:r>
                          </w:p>
                          <w:p w:rsidR="008F1326" w:rsidRPr="00811EF1" w:rsidRDefault="008F1326" w:rsidP="00811EF1">
                            <w:pPr>
                              <w:pStyle w:val="Hdisclaimer"/>
                            </w:pPr>
                            <w:r>
                              <w:t>Další informace o činnostech evropské asistenční služby pro účely hodnocení politiky rozvoje venkova jsou k dispozici na internetu na serveru Europa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9A2FF" id="Text Box 7" o:spid="_x0000_s1027" type="#_x0000_t202" style="position:absolute;left:0;text-align:left;margin-left:-33.55pt;margin-top:322.45pt;width:518.4pt;height:406.4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" stroked="f">
                <v:fill opacity="0"/>
                <v:textbox>
                  <w:txbxContent>
                    <w:p w:rsidR="008F1326" w:rsidRPr="00811EF1" w:rsidRDefault="008F1326" w:rsidP="00811EF1">
                      <w:pPr>
                        <w:pStyle w:val="Hdisclaimer"/>
                      </w:pPr>
                      <w:r>
                        <w:t>Upozornění o ochraně autorských práv</w:t>
                      </w:r>
                    </w:p>
                    <w:p w:rsidR="008F1326" w:rsidRPr="00811EF1" w:rsidRDefault="008F1326" w:rsidP="00811EF1">
                      <w:pPr>
                        <w:pStyle w:val="Hdisclaimer"/>
                      </w:pPr>
                      <w:r>
                        <w:t>© Evropská unie, 2018</w:t>
                      </w:r>
                    </w:p>
                    <w:p w:rsidR="008F1326" w:rsidRPr="00811EF1" w:rsidRDefault="008F1326" w:rsidP="00811EF1">
                      <w:pPr>
                        <w:pStyle w:val="Hdisclaimer"/>
                      </w:pPr>
                      <w:r>
                        <w:t>Reprodukce povolena pod podmínkou uvedení zdroje.</w:t>
                      </w:r>
                    </w:p>
                    <w:p w:rsidR="008F1326" w:rsidRPr="00811EF1" w:rsidRDefault="008F1326" w:rsidP="00811EF1">
                      <w:pPr>
                        <w:pStyle w:val="Hdisclaimer"/>
                      </w:pPr>
                      <w:r>
                        <w:t xml:space="preserve">Doporučená citace: </w:t>
                      </w:r>
                    </w:p>
                    <w:p w:rsidR="008F1326" w:rsidRDefault="008F1326" w:rsidP="00435F02">
                      <w:pPr>
                        <w:pStyle w:val="Hdisclaimer"/>
                      </w:pPr>
                      <w:r>
                        <w:t xml:space="preserve">EVROPSKÁ KOMISE – Generální ředitelství pro zemědělství a rozvoj venkova – Oddělení C.4 (2018): Pokyny. Hodnocení výsledků a dopadů programu rozvoje venkova v roce 2019. Brusel, srpen 2018. </w:t>
                      </w:r>
                    </w:p>
                    <w:p w:rsidR="008F1326" w:rsidRPr="00811EF1" w:rsidRDefault="008F1326" w:rsidP="00811EF1">
                      <w:pPr>
                        <w:pStyle w:val="Hdisclaimer"/>
                      </w:pPr>
                      <w:r>
                        <w:t>Upozornění:</w:t>
                      </w:r>
                    </w:p>
                    <w:p w:rsidR="008F1326" w:rsidRPr="00811EF1" w:rsidRDefault="008F1326" w:rsidP="00811EF1">
                      <w:pPr>
                        <w:pStyle w:val="Hdisclaimer"/>
                      </w:pPr>
                      <w:r>
                        <w:t>Informace a názory uvedené v těchto pokynech představují informace a názory autora (autorů) a nemusejí vždy odrážet oficiální stanovisko Komise. Komise nezaručuje přesnost údajů obsažených v těchto pokynech. Komise ani žádná osoba vystupující jejím jménem nenese odpovědnost za využití informací obsažených v této zprávě.</w:t>
                      </w:r>
                    </w:p>
                    <w:p w:rsidR="008F1326" w:rsidRPr="00811EF1" w:rsidRDefault="008F1326" w:rsidP="005B24FC">
                      <w:pPr>
                        <w:pStyle w:val="Hdisclaimer"/>
                        <w:tabs>
                          <w:tab w:val="right" w:pos="10065"/>
                        </w:tabs>
                      </w:pPr>
                      <w:r>
                        <w:rPr>
                          <w:noProof/>
                          <w:color w:val="auto"/>
                          <w:lang w:val="en-GB" w:eastAsia="en-GB" w:bidi="ar-SA"/>
                        </w:rPr>
                        <w:drawing>
                          <wp:inline distT="0" distB="0" distL="0" distR="0" wp14:anchorId="7E7BF097" wp14:editId="73C9C178">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val="en-GB" w:eastAsia="en-GB" w:bidi="ar-SA"/>
                        </w:rPr>
                        <w:drawing>
                          <wp:inline distT="0" distB="0" distL="0" distR="0" wp14:anchorId="1E101919" wp14:editId="6A9F9B56">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8F1326" w:rsidRPr="00811EF1" w:rsidRDefault="008F1326" w:rsidP="00811EF1">
                      <w:pPr>
                        <w:pStyle w:val="Hdisclaimer"/>
                      </w:pPr>
                      <w:r>
                        <w:t>Asistenční služba pro účely hodnocení je útvar odpovědný za hodnocení v rámci Evropské sítě pro rozvoj venkova, který poskytuje pokyny pro hodnocení programu rozvoje venkova a politik spadajících do působnosti a pod vedení Generálního ředitelství pro zemědělství a rozvoj venkova (GŘ AGRI) Evropské komise (EK), oddělení C.4 „Monitorování a hodnocení“. V zájmu zlepšení hodnocení politiky rozvoje venkova v EU asistenční služba pro účely hodnocení podporuje všechny zúčastněné strany podílející se na hodnocení, zejména GŘ AGRI, vnitrostátní orgány, řídící orgány a hodnotitele programu rozvoje venkova prostřednictvím vypracovávání a šíření vhodných metodik a nástrojů, shromažďování a výměny osvědčených postupů, budování kapacit a komunikace se členy sítě o tématech souvisejících s hodnocením.</w:t>
                      </w:r>
                    </w:p>
                    <w:p w:rsidR="008F1326" w:rsidRPr="00811EF1" w:rsidRDefault="008F1326" w:rsidP="00811EF1">
                      <w:pPr>
                        <w:pStyle w:val="Hdisclaimer"/>
                      </w:pPr>
                      <w:r>
                        <w:t>Další informace o činnostech evropské asistenční služby pro účely hodnocení politiky rozvoje venkova jsou k dispozici na internetu na serveru Europa (http://enrd.ec.europa.eu).</w:t>
                      </w:r>
                    </w:p>
                  </w:txbxContent>
                </v:textbox>
                <w10:wrap anchorx="margin"/>
              </v:shape>
            </w:pict>
          </mc:Fallback>
        </mc:AlternateContent>
      </w:r>
      <w:r>
        <w:br w:type="page"/>
      </w:r>
    </w:p>
    <w:p w:rsidR="00016061" w:rsidRPr="00571D58" w:rsidRDefault="00016061" w:rsidP="007C6797">
      <w:pPr>
        <w:pStyle w:val="HStandard"/>
      </w:pPr>
    </w:p>
    <w:p w:rsidR="00016061" w:rsidRPr="00571D58" w:rsidRDefault="00016061" w:rsidP="007C6797">
      <w:pPr>
        <w:pStyle w:val="HStandard"/>
      </w:pPr>
    </w:p>
    <w:p w:rsidR="00016061" w:rsidRPr="00571D58" w:rsidRDefault="00016061" w:rsidP="007C6797">
      <w:pPr>
        <w:pStyle w:val="HStandard"/>
      </w:pPr>
    </w:p>
    <w:p w:rsidR="00016061" w:rsidRPr="00571D58" w:rsidRDefault="000B213F" w:rsidP="007C6797">
      <w:pPr>
        <w:pStyle w:val="HStandard"/>
      </w:pPr>
      <w:r>
        <w:rPr>
          <w:noProof/>
          <w:lang w:val="en-GB" w:eastAsia="en-GB" w:bidi="ar-SA"/>
        </w:rPr>
        <mc:AlternateContent>
          <mc:Choice Requires="wps">
            <w:drawing>
              <wp:anchor distT="0" distB="0" distL="114300" distR="114300" simplePos="0" relativeHeight="251665920" behindDoc="1" locked="0" layoutInCell="1" allowOverlap="1" wp14:anchorId="61939151" wp14:editId="753AAD55">
                <wp:simplePos x="0" y="0"/>
                <wp:positionH relativeFrom="page">
                  <wp:posOffset>2204720</wp:posOffset>
                </wp:positionH>
                <wp:positionV relativeFrom="page">
                  <wp:posOffset>5175250</wp:posOffset>
                </wp:positionV>
                <wp:extent cx="4958080" cy="3855720"/>
                <wp:effectExtent l="0" t="0" r="13970" b="11430"/>
                <wp:wrapTight wrapText="bothSides">
                  <wp:wrapPolygon edited="0">
                    <wp:start x="0" y="0"/>
                    <wp:lineTo x="0" y="21557"/>
                    <wp:lineTo x="21578" y="21557"/>
                    <wp:lineTo x="21578" y="0"/>
                    <wp:lineTo x="0" y="0"/>
                  </wp:wrapPolygon>
                </wp:wrapTight>
                <wp:docPr id="9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326" w:rsidRPr="00F15219" w:rsidRDefault="008F1326" w:rsidP="00E76949">
                            <w:pPr>
                              <w:pStyle w:val="HTitle1"/>
                            </w:pPr>
                            <w:r>
                              <w:t>Pokyny</w:t>
                            </w:r>
                          </w:p>
                          <w:p w:rsidR="008F1326" w:rsidRPr="00F15219" w:rsidRDefault="008F1326" w:rsidP="00BE49CF">
                            <w:pPr>
                              <w:pStyle w:val="HTitle2"/>
                            </w:pPr>
                            <w:r>
                              <w:t>HODNOCENÍ VÝSLEDKŮ A DOPADŮ PROGRAMU ROZVOJE VENKOVA V ROCE 2019</w:t>
                            </w:r>
                          </w:p>
                          <w:p w:rsidR="008F1326" w:rsidRPr="00F15219" w:rsidRDefault="008F1326" w:rsidP="00196DF6">
                            <w:pPr>
                              <w:pStyle w:val="HTitle2"/>
                            </w:pPr>
                          </w:p>
                          <w:p w:rsidR="008F1326" w:rsidRPr="00D46054" w:rsidRDefault="008F1326" w:rsidP="00BE49CF">
                            <w:pPr>
                              <w:pStyle w:val="HTitle3"/>
                              <w:rPr>
                                <w:color w:val="auto"/>
                              </w:rPr>
                            </w:pPr>
                            <w:r>
                              <w:rPr>
                                <w:color w:val="auto"/>
                              </w:rPr>
                              <w:t>srpen 2018</w:t>
                            </w:r>
                          </w:p>
                          <w:p w:rsidR="008F1326" w:rsidRPr="00D46054" w:rsidRDefault="008F1326" w:rsidP="00196DF6">
                            <w:pPr>
                              <w:pStyle w:val="HTitle3"/>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39151" id="Text Box 16" o:spid="_x0000_s1028" type="#_x0000_t202" style="position:absolute;left:0;text-align:left;margin-left:173.6pt;margin-top:407.5pt;width:390.4pt;height:303.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82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" filled="f" stroked="f">
                <v:textbox inset="0,0,0,0">
                  <w:txbxContent>
                    <w:p w:rsidR="008F1326" w:rsidRPr="00F15219" w:rsidRDefault="008F1326" w:rsidP="00E76949">
                      <w:pPr>
                        <w:pStyle w:val="HTitle1"/>
                      </w:pPr>
                      <w:r>
                        <w:t>Pokyny</w:t>
                      </w:r>
                    </w:p>
                    <w:p w:rsidR="008F1326" w:rsidRPr="00F15219" w:rsidRDefault="008F1326" w:rsidP="00BE49CF">
                      <w:pPr>
                        <w:pStyle w:val="HTitle2"/>
                      </w:pPr>
                      <w:r>
                        <w:t>HODNOCENÍ VÝSLEDKŮ A DOPADŮ PROGRAMU ROZVOJE VENKOVA V ROCE 2019</w:t>
                      </w:r>
                    </w:p>
                    <w:p w:rsidR="008F1326" w:rsidRPr="00F15219" w:rsidRDefault="008F1326" w:rsidP="00196DF6">
                      <w:pPr>
                        <w:pStyle w:val="HTitle2"/>
                      </w:pPr>
                    </w:p>
                    <w:p w:rsidR="008F1326" w:rsidRPr="00D46054" w:rsidRDefault="008F1326" w:rsidP="00BE49CF">
                      <w:pPr>
                        <w:pStyle w:val="HTitle3"/>
                        <w:rPr>
                          <w:color w:val="auto"/>
                        </w:rPr>
                      </w:pPr>
                      <w:r>
                        <w:rPr>
                          <w:color w:val="auto"/>
                        </w:rPr>
                        <w:t>srpen 2018</w:t>
                      </w:r>
                    </w:p>
                    <w:p w:rsidR="008F1326" w:rsidRPr="00D46054" w:rsidRDefault="008F1326" w:rsidP="00196DF6">
                      <w:pPr>
                        <w:pStyle w:val="HTitle3"/>
                        <w:rPr>
                          <w:color w:val="auto"/>
                        </w:rPr>
                      </w:pPr>
                    </w:p>
                  </w:txbxContent>
                </v:textbox>
                <w10:wrap type="tight" anchorx="page" anchory="page"/>
              </v:shape>
            </w:pict>
          </mc:Fallback>
        </mc:AlternateContent>
      </w:r>
    </w:p>
    <w:p w:rsidR="00016061" w:rsidRPr="00571D58" w:rsidRDefault="00016061" w:rsidP="007C6797">
      <w:pPr>
        <w:pStyle w:val="HStandard"/>
        <w:sectPr w:rsidR="00016061" w:rsidRPr="00571D58" w:rsidSect="00FA7E7B">
          <w:footerReference w:type="first" r:id="rId11"/>
          <w:pgSz w:w="11906" w:h="16838" w:code="9"/>
          <w:pgMar w:top="1440" w:right="1440" w:bottom="1134" w:left="1440" w:header="284" w:footer="709" w:gutter="0"/>
          <w:cols w:space="708"/>
          <w:titlePg/>
          <w:docGrid w:linePitch="360"/>
        </w:sectPr>
      </w:pPr>
    </w:p>
    <w:p w:rsidR="008B6E5C" w:rsidRPr="00571D58" w:rsidRDefault="008B6E5C">
      <w:pPr>
        <w:spacing w:before="0" w:after="0" w:line="240" w:lineRule="auto"/>
        <w:jc w:val="left"/>
        <w:rPr>
          <w:rFonts w:cs="Arial"/>
          <w:b/>
          <w:bCs/>
          <w:caps/>
          <w:color w:val="F07E31" w:themeColor="accent1"/>
          <w:kern w:val="32"/>
          <w:sz w:val="20"/>
          <w:szCs w:val="32"/>
        </w:rPr>
      </w:pPr>
      <w:r>
        <w:lastRenderedPageBreak/>
        <w:br w:type="page"/>
      </w:r>
    </w:p>
    <w:p w:rsidR="000B62C2" w:rsidRPr="00571D58" w:rsidRDefault="000B62C2" w:rsidP="000B62C2">
      <w:pPr>
        <w:pStyle w:val="HContent"/>
      </w:pPr>
      <w:r>
        <w:lastRenderedPageBreak/>
        <w:t>Obsah</w:t>
      </w:r>
    </w:p>
    <w:p w:rsidR="00FB5A40" w:rsidRDefault="00FB5A40" w:rsidP="00FB5A40">
      <w:r>
        <w:t>Poděkování</w:t>
      </w:r>
      <w:r>
        <w:tab/>
      </w:r>
      <w:r w:rsidR="00846EE3">
        <w:tab/>
      </w:r>
      <w:r w:rsidR="00846EE3">
        <w:tab/>
      </w:r>
      <w:r w:rsidR="00846EE3">
        <w:tab/>
      </w:r>
      <w:r w:rsidR="00846EE3">
        <w:tab/>
      </w:r>
      <w:r w:rsidR="00846EE3">
        <w:tab/>
      </w:r>
      <w:r w:rsidR="00846EE3">
        <w:tab/>
      </w:r>
      <w:r w:rsidR="00846EE3">
        <w:tab/>
      </w:r>
      <w:r w:rsidR="00846EE3">
        <w:tab/>
      </w:r>
      <w:r w:rsidR="00846EE3">
        <w:tab/>
      </w:r>
      <w:r w:rsidR="00846EE3">
        <w:tab/>
      </w:r>
      <w:r>
        <w:t>1</w:t>
      </w:r>
    </w:p>
    <w:p w:rsidR="00FB5A40" w:rsidRDefault="00FB5A40" w:rsidP="00FB5A40">
      <w:r>
        <w:t>ÚVOD</w:t>
      </w:r>
      <w:r>
        <w:tab/>
      </w:r>
      <w:r w:rsidR="00846EE3">
        <w:tab/>
      </w:r>
      <w:r w:rsidR="00846EE3">
        <w:tab/>
      </w:r>
      <w:r w:rsidR="00846EE3">
        <w:tab/>
      </w:r>
      <w:r w:rsidR="00846EE3">
        <w:tab/>
      </w:r>
      <w:r w:rsidR="00846EE3">
        <w:tab/>
      </w:r>
      <w:r w:rsidR="00846EE3">
        <w:tab/>
      </w:r>
      <w:r w:rsidR="00846EE3">
        <w:tab/>
      </w:r>
      <w:r w:rsidR="00846EE3">
        <w:tab/>
      </w:r>
      <w:r w:rsidR="00846EE3">
        <w:tab/>
      </w:r>
      <w:r w:rsidR="00846EE3">
        <w:tab/>
      </w:r>
      <w:r w:rsidR="00846EE3">
        <w:tab/>
      </w:r>
      <w:r>
        <w:t>2</w:t>
      </w:r>
    </w:p>
    <w:p w:rsidR="00FB5A40" w:rsidRDefault="00FB5A40" w:rsidP="00F80444">
      <w:pPr>
        <w:ind w:left="705" w:hanging="705"/>
      </w:pPr>
      <w:r>
        <w:t>1</w:t>
      </w:r>
      <w:r>
        <w:tab/>
        <w:t xml:space="preserve">Jaké aspekty hodnocení je třeba uvést ve výroční zprávě o provádění předkládané v roce 2019? </w:t>
      </w:r>
      <w:r w:rsidR="00F80444">
        <w:br/>
      </w:r>
      <w:r>
        <w:t>(část I)</w:t>
      </w:r>
      <w:r>
        <w:tab/>
      </w:r>
      <w:r w:rsidR="00F80444">
        <w:tab/>
      </w:r>
      <w:r w:rsidR="00F80444">
        <w:tab/>
      </w:r>
      <w:r w:rsidR="00F80444">
        <w:tab/>
      </w:r>
      <w:r w:rsidR="00F80444">
        <w:tab/>
      </w:r>
      <w:r w:rsidR="00F80444">
        <w:tab/>
      </w:r>
      <w:r w:rsidR="00F80444">
        <w:tab/>
      </w:r>
      <w:r w:rsidR="00F80444">
        <w:tab/>
      </w:r>
      <w:r w:rsidR="00F80444">
        <w:tab/>
      </w:r>
      <w:r w:rsidR="00F80444">
        <w:tab/>
      </w:r>
      <w:r w:rsidR="00F80444">
        <w:tab/>
        <w:t>4</w:t>
      </w:r>
    </w:p>
    <w:p w:rsidR="00FB5A40" w:rsidRDefault="00FB5A40" w:rsidP="00FB5A40">
      <w:r>
        <w:t>1.1</w:t>
      </w:r>
      <w:r>
        <w:tab/>
        <w:t>Právní rámec a hlavní zaměření hodnocení v roce 2019</w:t>
      </w:r>
      <w:r>
        <w:tab/>
      </w:r>
      <w:r w:rsidR="00F80444">
        <w:tab/>
      </w:r>
      <w:r w:rsidR="00F80444">
        <w:tab/>
      </w:r>
      <w:r w:rsidR="00F80444">
        <w:tab/>
      </w:r>
      <w:r w:rsidR="00F80444">
        <w:tab/>
        <w:t>4</w:t>
      </w:r>
    </w:p>
    <w:p w:rsidR="00FB5A40" w:rsidRDefault="00FB5A40" w:rsidP="00FB5A40">
      <w:r>
        <w:t>1.2</w:t>
      </w:r>
      <w:r>
        <w:tab/>
      </w:r>
      <w:r w:rsidR="00622514">
        <w:t>Jak podávat zprávy o společných</w:t>
      </w:r>
      <w:r>
        <w:t xml:space="preserve"> </w:t>
      </w:r>
      <w:r w:rsidR="00253622">
        <w:t>hodnotic</w:t>
      </w:r>
      <w:r>
        <w:t>í</w:t>
      </w:r>
      <w:r w:rsidR="00622514">
        <w:t>ch</w:t>
      </w:r>
      <w:r>
        <w:t xml:space="preserve"> otázk</w:t>
      </w:r>
      <w:r w:rsidR="00622514">
        <w:t>ách v roce 2019</w:t>
      </w:r>
      <w:r>
        <w:t>?</w:t>
      </w:r>
      <w:r w:rsidR="00F80444">
        <w:tab/>
      </w:r>
      <w:r w:rsidR="00F80444">
        <w:tab/>
      </w:r>
      <w:r w:rsidR="00F80444">
        <w:tab/>
      </w:r>
      <w:r w:rsidR="00F80444">
        <w:tab/>
        <w:t>7</w:t>
      </w:r>
    </w:p>
    <w:p w:rsidR="00FB5A40" w:rsidRDefault="00FB5A40" w:rsidP="00FB5A40">
      <w:r>
        <w:t>1.3</w:t>
      </w:r>
      <w:r>
        <w:tab/>
        <w:t>Příprava na výroční zprávy o provádění v roce 2019</w:t>
      </w:r>
      <w:r w:rsidR="00F80444">
        <w:tab/>
      </w:r>
      <w:r>
        <w:tab/>
      </w:r>
      <w:r w:rsidR="00F80444">
        <w:tab/>
      </w:r>
      <w:r w:rsidR="00F80444">
        <w:tab/>
      </w:r>
      <w:r w:rsidR="00F80444">
        <w:tab/>
      </w:r>
      <w:r w:rsidR="00F80444">
        <w:tab/>
        <w:t>10</w:t>
      </w:r>
    </w:p>
    <w:p w:rsidR="00FB5A40" w:rsidRDefault="00FB5A40" w:rsidP="00FB5A40">
      <w:r>
        <w:t>2</w:t>
      </w:r>
      <w:r>
        <w:tab/>
        <w:t>Přístupy k hodnocení dopadů program</w:t>
      </w:r>
      <w:r w:rsidR="00F80444">
        <w:t>u rozvoje venkova v roce 2019</w:t>
      </w:r>
      <w:r w:rsidR="00622514">
        <w:t xml:space="preserve"> (část II)</w:t>
      </w:r>
      <w:r w:rsidR="00F80444">
        <w:tab/>
      </w:r>
      <w:r w:rsidR="00F80444">
        <w:tab/>
      </w:r>
      <w:r w:rsidR="00F80444">
        <w:tab/>
        <w:t>14</w:t>
      </w:r>
    </w:p>
    <w:p w:rsidR="00FB5A40" w:rsidRDefault="00FB5A40" w:rsidP="00FB5A40">
      <w:r>
        <w:t>2.1</w:t>
      </w:r>
      <w:r>
        <w:tab/>
        <w:t>Volba vhodného přístupu k hodnocení při posuzování do</w:t>
      </w:r>
      <w:r w:rsidR="00F80444">
        <w:t>padů programu rozvoje venkova</w:t>
      </w:r>
      <w:r w:rsidR="00F80444">
        <w:tab/>
      </w:r>
      <w:r w:rsidR="00F80444">
        <w:tab/>
        <w:t>14</w:t>
      </w:r>
    </w:p>
    <w:p w:rsidR="00FB5A40" w:rsidRDefault="00FB5A40" w:rsidP="00FB5A40">
      <w:r>
        <w:t>2.1.1</w:t>
      </w:r>
      <w:r>
        <w:tab/>
        <w:t>Jak lze na základě logických modelů stanovit, které přístupy k hodnocení jsou vhodné?</w:t>
      </w:r>
      <w:r>
        <w:tab/>
      </w:r>
      <w:r w:rsidR="00F80444">
        <w:tab/>
      </w:r>
      <w:r>
        <w:t>1</w:t>
      </w:r>
      <w:r w:rsidR="00F80444">
        <w:t>4</w:t>
      </w:r>
    </w:p>
    <w:p w:rsidR="00FB5A40" w:rsidRDefault="00FB5A40" w:rsidP="00FB5A40">
      <w:r>
        <w:t>2.1.2</w:t>
      </w:r>
      <w:r>
        <w:tab/>
        <w:t>Přehled doporučených přístupů k hodnocení při posuz</w:t>
      </w:r>
      <w:r w:rsidR="00F80444">
        <w:t>ování ukazatelů dopadů na SZP</w:t>
      </w:r>
      <w:r w:rsidR="00F80444">
        <w:tab/>
      </w:r>
      <w:r w:rsidR="00F80444">
        <w:tab/>
        <w:t>25</w:t>
      </w:r>
    </w:p>
    <w:p w:rsidR="00016061" w:rsidRPr="001C6ACF" w:rsidRDefault="00542440" w:rsidP="000B62C2">
      <w:pPr>
        <w:pStyle w:val="HContent"/>
      </w:pPr>
      <w:r>
        <w:lastRenderedPageBreak/>
        <w:t>Tabulky a </w:t>
      </w:r>
      <w:r w:rsidR="00E22A85">
        <w:t>DIAGRAMY</w:t>
      </w:r>
      <w:r>
        <w:t xml:space="preserve"> </w:t>
      </w:r>
    </w:p>
    <w:p w:rsidR="00FB5A40" w:rsidRDefault="00FB5A40" w:rsidP="00FB5A40">
      <w:r>
        <w:t>Tabulka 1</w:t>
      </w:r>
      <w:r w:rsidR="00E50A70">
        <w:t>:</w:t>
      </w:r>
      <w:r>
        <w:tab/>
      </w:r>
      <w:r w:rsidR="00622514">
        <w:t xml:space="preserve">Pokyny </w:t>
      </w:r>
      <w:r>
        <w:t xml:space="preserve">pro zodpovězení společných </w:t>
      </w:r>
      <w:r w:rsidR="00253622">
        <w:t>hodnotic</w:t>
      </w:r>
      <w:r>
        <w:t xml:space="preserve">ích otázek ve výročních zprávách o provádění </w:t>
      </w:r>
      <w:r w:rsidR="00E50A70">
        <w:br/>
      </w:r>
      <w:r w:rsidR="00E50A70">
        <w:tab/>
      </w:r>
      <w:r w:rsidR="00E50A70">
        <w:tab/>
      </w:r>
      <w:r>
        <w:t>v roce 2019</w:t>
      </w:r>
      <w:r>
        <w:tab/>
      </w:r>
      <w:r w:rsidR="00E50A70">
        <w:tab/>
      </w:r>
      <w:r w:rsidR="00E50A70">
        <w:tab/>
      </w:r>
      <w:r w:rsidR="00E50A70">
        <w:tab/>
      </w:r>
      <w:r w:rsidR="00E50A70">
        <w:tab/>
      </w:r>
      <w:r w:rsidR="00E50A70">
        <w:tab/>
      </w:r>
      <w:r w:rsidR="00E50A70">
        <w:tab/>
      </w:r>
      <w:r w:rsidR="00E50A70">
        <w:tab/>
      </w:r>
      <w:r w:rsidR="00E50A70">
        <w:tab/>
        <w:t xml:space="preserve"> 9</w:t>
      </w:r>
    </w:p>
    <w:p w:rsidR="00FB5A40" w:rsidRDefault="00FB5A40" w:rsidP="00FB5A40">
      <w:r>
        <w:t>Tabulka 2</w:t>
      </w:r>
      <w:r w:rsidR="00E50A70">
        <w:t>:</w:t>
      </w:r>
      <w:r>
        <w:tab/>
        <w:t>Kontrolní seznam doporučených kroků při hodnocení v roce 2019</w:t>
      </w:r>
      <w:r>
        <w:tab/>
      </w:r>
      <w:r w:rsidR="00E50A70">
        <w:tab/>
      </w:r>
      <w:r w:rsidR="00E50A70">
        <w:tab/>
        <w:t xml:space="preserve"> 11</w:t>
      </w:r>
    </w:p>
    <w:p w:rsidR="00FB5A40" w:rsidRDefault="00FB5A40" w:rsidP="00FB5A40">
      <w:r>
        <w:t>Tabulka 3</w:t>
      </w:r>
      <w:r w:rsidR="00E50A70">
        <w:t>:</w:t>
      </w:r>
      <w:r>
        <w:tab/>
        <w:t>Příklady doporučených přístupů k hodnocení při posuzování ukazatelů dopadů na SZP</w:t>
      </w:r>
      <w:r>
        <w:tab/>
      </w:r>
      <w:r w:rsidR="00E50A70">
        <w:t xml:space="preserve"> </w:t>
      </w:r>
      <w:r>
        <w:t>2</w:t>
      </w:r>
      <w:r w:rsidR="00E50A70">
        <w:t>6</w:t>
      </w:r>
    </w:p>
    <w:p w:rsidR="00FE491B" w:rsidRPr="00571D58" w:rsidRDefault="00FE491B" w:rsidP="00FE491B">
      <w:pPr>
        <w:pStyle w:val="HContent"/>
      </w:pPr>
      <w:r>
        <w:lastRenderedPageBreak/>
        <w:t>Seznam zkratek</w:t>
      </w:r>
    </w:p>
    <w:p w:rsidR="00622514" w:rsidRDefault="00622514" w:rsidP="00FE491B">
      <w:pPr>
        <w:pStyle w:val="HStandard"/>
        <w:ind w:left="993" w:hanging="993"/>
      </w:pPr>
      <w:r>
        <w:t>DZES</w:t>
      </w:r>
      <w:r>
        <w:tab/>
      </w:r>
      <w:r>
        <w:tab/>
        <w:t>dobrý zemědělský a environmentální stav</w:t>
      </w:r>
    </w:p>
    <w:p w:rsidR="00622514" w:rsidRPr="001C6ACF" w:rsidRDefault="00622514" w:rsidP="00622514">
      <w:pPr>
        <w:pStyle w:val="HStandard"/>
        <w:ind w:left="993" w:hanging="993"/>
      </w:pPr>
      <w:r>
        <w:t>ESI</w:t>
      </w:r>
      <w:r>
        <w:tab/>
      </w:r>
      <w:r>
        <w:tab/>
        <w:t>evropské strukturální a investiční fondy</w:t>
      </w:r>
    </w:p>
    <w:p w:rsidR="00622514" w:rsidRPr="001C6ACF" w:rsidRDefault="00622514" w:rsidP="00622514">
      <w:pPr>
        <w:pStyle w:val="HStandard"/>
        <w:ind w:left="993" w:hanging="993"/>
      </w:pPr>
      <w:r>
        <w:t>EU</w:t>
      </w:r>
      <w:r>
        <w:tab/>
      </w:r>
      <w:r>
        <w:tab/>
        <w:t>Evropská unie</w:t>
      </w:r>
    </w:p>
    <w:p w:rsidR="00622514" w:rsidRPr="001C6ACF" w:rsidRDefault="00622514" w:rsidP="00622514">
      <w:pPr>
        <w:pStyle w:val="HStandard"/>
        <w:ind w:left="993" w:hanging="993"/>
      </w:pPr>
      <w:r>
        <w:t>EZFRV</w:t>
      </w:r>
      <w:r>
        <w:tab/>
      </w:r>
      <w:r>
        <w:tab/>
        <w:t>Evropský zemědělský fond pro rozvoj venkova</w:t>
      </w:r>
    </w:p>
    <w:p w:rsidR="00622514" w:rsidRPr="001C6ACF" w:rsidRDefault="00622514" w:rsidP="00622514">
      <w:pPr>
        <w:pStyle w:val="HStandard"/>
        <w:ind w:left="993" w:hanging="993"/>
      </w:pPr>
      <w:r>
        <w:t>FADN</w:t>
      </w:r>
      <w:r>
        <w:tab/>
      </w:r>
      <w:r>
        <w:tab/>
        <w:t>zemědělská účetní datová síť</w:t>
      </w:r>
    </w:p>
    <w:p w:rsidR="00622514" w:rsidRPr="001C6ACF" w:rsidRDefault="00622514" w:rsidP="00622514">
      <w:pPr>
        <w:pStyle w:val="HStandard"/>
        <w:ind w:left="993" w:hanging="993"/>
      </w:pPr>
      <w:r>
        <w:t>GŘ AGRI</w:t>
      </w:r>
      <w:r>
        <w:tab/>
      </w:r>
      <w:r>
        <w:tab/>
        <w:t>Generální ředitelství pro zemědělství a rozvoj venkova</w:t>
      </w:r>
    </w:p>
    <w:p w:rsidR="00622514" w:rsidRPr="001C6ACF" w:rsidRDefault="00622514" w:rsidP="00622514">
      <w:pPr>
        <w:pStyle w:val="HStandard"/>
        <w:ind w:left="993" w:hanging="993"/>
      </w:pPr>
      <w:r>
        <w:t>HDP</w:t>
      </w:r>
      <w:r>
        <w:tab/>
      </w:r>
      <w:r>
        <w:tab/>
        <w:t xml:space="preserve">hrubý domácí produkt </w:t>
      </w:r>
    </w:p>
    <w:p w:rsidR="00622514" w:rsidRPr="00482ABA" w:rsidRDefault="00622514" w:rsidP="00622514">
      <w:pPr>
        <w:pStyle w:val="HStandard"/>
        <w:ind w:left="993" w:hanging="993"/>
      </w:pPr>
      <w:r>
        <w:t>IKT</w:t>
      </w:r>
      <w:r>
        <w:tab/>
      </w:r>
      <w:r>
        <w:tab/>
        <w:t>informační a komunikační technologie</w:t>
      </w:r>
    </w:p>
    <w:p w:rsidR="00FE491B" w:rsidRPr="001C6ACF" w:rsidRDefault="00FE491B" w:rsidP="00FE491B">
      <w:pPr>
        <w:pStyle w:val="HStandard"/>
        <w:ind w:left="993" w:hanging="993"/>
      </w:pPr>
      <w:r>
        <w:t>IPPC</w:t>
      </w:r>
      <w:r>
        <w:tab/>
      </w:r>
      <w:r>
        <w:tab/>
        <w:t>integrovaná prevence a omezování znečištění</w:t>
      </w:r>
    </w:p>
    <w:p w:rsidR="00FE491B" w:rsidRPr="001C6ACF" w:rsidRDefault="00FE491B" w:rsidP="00FE491B">
      <w:pPr>
        <w:pStyle w:val="HStandard"/>
        <w:ind w:left="993" w:hanging="993"/>
      </w:pPr>
      <w:r>
        <w:t>JRC</w:t>
      </w:r>
      <w:r>
        <w:tab/>
      </w:r>
      <w:r>
        <w:tab/>
        <w:t>společné výzkumné středisko</w:t>
      </w:r>
    </w:p>
    <w:p w:rsidR="00FE491B" w:rsidRPr="001C6ACF" w:rsidRDefault="00FE491B" w:rsidP="00FE491B">
      <w:pPr>
        <w:pStyle w:val="HStandard"/>
        <w:ind w:left="993" w:hanging="993"/>
      </w:pPr>
      <w:r>
        <w:t>LPIS</w:t>
      </w:r>
      <w:r>
        <w:tab/>
      </w:r>
      <w:r>
        <w:tab/>
        <w:t>systém evidence půdy</w:t>
      </w:r>
    </w:p>
    <w:p w:rsidR="00FE491B" w:rsidRPr="001C6ACF" w:rsidRDefault="00FE491B" w:rsidP="00FE491B">
      <w:pPr>
        <w:pStyle w:val="HStandard"/>
        <w:ind w:left="993" w:hanging="993"/>
      </w:pPr>
      <w:r>
        <w:t>LUCAS</w:t>
      </w:r>
      <w:r>
        <w:tab/>
      </w:r>
      <w:r>
        <w:tab/>
        <w:t>rámcov</w:t>
      </w:r>
      <w:r w:rsidR="00622514">
        <w:t>ý</w:t>
      </w:r>
      <w:r>
        <w:t xml:space="preserve"> průzkum využití půdy a </w:t>
      </w:r>
      <w:r w:rsidR="00622514">
        <w:t>krajinného pokryvu</w:t>
      </w:r>
    </w:p>
    <w:p w:rsidR="00FE491B" w:rsidRPr="001C6ACF" w:rsidRDefault="00FE491B" w:rsidP="00FE491B">
      <w:pPr>
        <w:pStyle w:val="HStandard"/>
        <w:ind w:left="993" w:hanging="993"/>
      </w:pPr>
      <w:r>
        <w:t>LULUCF</w:t>
      </w:r>
      <w:r>
        <w:tab/>
      </w:r>
      <w:r>
        <w:tab/>
        <w:t>využívání půdy, změny ve využívání půdy a lesnictví</w:t>
      </w:r>
    </w:p>
    <w:p w:rsidR="00FE491B" w:rsidRPr="001C6ACF" w:rsidRDefault="00FE491B" w:rsidP="00FE491B">
      <w:pPr>
        <w:pStyle w:val="HStandard"/>
        <w:ind w:left="993" w:hanging="993"/>
      </w:pPr>
      <w:r>
        <w:t>NUTS</w:t>
      </w:r>
      <w:r>
        <w:tab/>
      </w:r>
      <w:r>
        <w:tab/>
        <w:t>klasifikace územních statistických jednotek</w:t>
      </w:r>
    </w:p>
    <w:p w:rsidR="00FE491B" w:rsidRPr="001C6ACF" w:rsidRDefault="00FE491B" w:rsidP="00FE491B">
      <w:pPr>
        <w:pStyle w:val="HStandard"/>
        <w:ind w:left="993" w:hanging="993"/>
      </w:pPr>
      <w:r>
        <w:t>PRV</w:t>
      </w:r>
      <w:r>
        <w:tab/>
      </w:r>
      <w:r>
        <w:tab/>
        <w:t>program rozvoje venkova</w:t>
      </w:r>
    </w:p>
    <w:p w:rsidR="004B33E8" w:rsidRPr="001C6ACF" w:rsidRDefault="004B33E8" w:rsidP="004B33E8">
      <w:pPr>
        <w:pStyle w:val="HStandard"/>
        <w:ind w:left="993" w:hanging="993"/>
      </w:pPr>
      <w:r>
        <w:t>SPVF</w:t>
      </w:r>
      <w:r>
        <w:tab/>
      </w:r>
      <w:r>
        <w:tab/>
        <w:t>souhrnná produktivita výrobních faktorů</w:t>
      </w:r>
    </w:p>
    <w:p w:rsidR="00FE491B" w:rsidRPr="001C6ACF" w:rsidRDefault="00FE491B" w:rsidP="00FE491B">
      <w:pPr>
        <w:pStyle w:val="HStandard"/>
        <w:ind w:left="993" w:hanging="993"/>
      </w:pPr>
      <w:r>
        <w:t>SWOT</w:t>
      </w:r>
      <w:r>
        <w:tab/>
      </w:r>
      <w:r>
        <w:tab/>
        <w:t>silné stránky, slabé stránky, příležitosti, hrozby</w:t>
      </w:r>
    </w:p>
    <w:p w:rsidR="00622514" w:rsidRPr="001C6ACF" w:rsidRDefault="00622514" w:rsidP="00622514">
      <w:pPr>
        <w:pStyle w:val="HStandard"/>
        <w:ind w:left="993" w:hanging="993"/>
      </w:pPr>
      <w:r>
        <w:t>SZP</w:t>
      </w:r>
      <w:r>
        <w:tab/>
      </w:r>
      <w:r>
        <w:tab/>
        <w:t xml:space="preserve">společná zemědělská politika </w:t>
      </w:r>
    </w:p>
    <w:p w:rsidR="00D32538" w:rsidRPr="001C6ACF" w:rsidRDefault="00D32538" w:rsidP="0095356C">
      <w:pPr>
        <w:pStyle w:val="HStandard"/>
        <w:ind w:left="993" w:hanging="993"/>
        <w:sectPr w:rsidR="00D32538" w:rsidRPr="001C6ACF" w:rsidSect="00C702ED">
          <w:headerReference w:type="default" r:id="rId12"/>
          <w:footerReference w:type="first" r:id="rId13"/>
          <w:pgSz w:w="11906" w:h="16838" w:code="9"/>
          <w:pgMar w:top="1440" w:right="1440" w:bottom="1134" w:left="1440" w:header="567" w:footer="737" w:gutter="0"/>
          <w:cols w:space="708"/>
          <w:titlePg/>
          <w:docGrid w:linePitch="360"/>
        </w:sectPr>
      </w:pPr>
    </w:p>
    <w:p w:rsidR="006F7D30" w:rsidRPr="001C6ACF" w:rsidRDefault="006F7D30" w:rsidP="006F7D30">
      <w:pPr>
        <w:pStyle w:val="HHeading1"/>
        <w:numPr>
          <w:ilvl w:val="0"/>
          <w:numId w:val="0"/>
        </w:numPr>
        <w:rPr>
          <w:sz w:val="28"/>
        </w:rPr>
      </w:pPr>
      <w:r>
        <w:rPr>
          <w:sz w:val="28"/>
        </w:rPr>
        <w:lastRenderedPageBreak/>
        <w:t>Poděkování</w:t>
      </w:r>
    </w:p>
    <w:p w:rsidR="00EB120C" w:rsidRPr="001C6ACF" w:rsidRDefault="00EB120C" w:rsidP="00EB120C">
      <w:pPr>
        <w:spacing w:after="120" w:line="280" w:lineRule="atLeast"/>
        <w:rPr>
          <w:rFonts w:ascii="Calibri" w:hAnsi="Calibri"/>
          <w:i/>
          <w:iCs/>
          <w:color w:val="373737" w:themeColor="text1"/>
          <w:sz w:val="20"/>
          <w:szCs w:val="20"/>
        </w:rPr>
      </w:pPr>
      <w:r>
        <w:rPr>
          <w:i/>
          <w:color w:val="373737" w:themeColor="text1"/>
          <w:sz w:val="20"/>
        </w:rPr>
        <w:t xml:space="preserve">Tyto pokyny vypracoval mezinárodní tým odborníků na hodnocení rozvoje venkova, jehož členy byli mimo jiné Jerzy Michalek (odvětvové dopady), Demetrios Psaltopoulos (sociálně-ekonomické dopady), Marili Parisaki (kvalitativní metody), Tomáš Ratinger (odvětvové dopady), Gerald Schwarz (environmentální dopady), Dimitris Skuras (environmentální dopady) a Darko Znaor (environmentální dopady). Příslušnou tematickou pracovní skupinu koordinovala evropská asistenční služba pro účely hodnocení, kterou vedli Jela Tvrdonova a Hannes Wimmer. Vývojové práce podpořili a kvalitu a vizuální stránku konečné verze pokynů zajistili Valérie Dumont, Myles Stiffler, Matteo Metta, Valdis Kudins a Harriet Mackaill-Hill. </w:t>
      </w:r>
    </w:p>
    <w:p w:rsidR="00EB120C" w:rsidRPr="001C6ACF" w:rsidRDefault="00EB120C" w:rsidP="00EB120C">
      <w:pPr>
        <w:spacing w:after="120" w:line="280" w:lineRule="atLeast"/>
        <w:rPr>
          <w:i/>
          <w:iCs/>
          <w:color w:val="373737" w:themeColor="text1"/>
          <w:sz w:val="20"/>
          <w:szCs w:val="20"/>
        </w:rPr>
      </w:pPr>
      <w:r>
        <w:rPr>
          <w:i/>
          <w:color w:val="373737" w:themeColor="text1"/>
          <w:sz w:val="20"/>
        </w:rPr>
        <w:t>Srovnávací hodnocení prováděli různí odborníci (Rolf Bergs, Kit Macleod, Žymantas Morkvėnas). Soudržnost pokynů s politickým rámcem EU zajistili zástupci GŘ pro zemědělství a rozvoj venkova.</w:t>
      </w:r>
    </w:p>
    <w:p w:rsidR="006F7D30" w:rsidRPr="001C6ACF" w:rsidRDefault="00EB120C" w:rsidP="00EB120C">
      <w:pPr>
        <w:pStyle w:val="HStandard"/>
      </w:pPr>
      <w:r>
        <w:rPr>
          <w:i/>
        </w:rPr>
        <w:t>K předběžným verzím pokynů se vyjádřili v lednu a dubnu 2018 zástupci členských států na zasedání diskusního fóra. Ke konečnému návrhu se vyjádřili v červnu 2018 členové skupiny odborníků pro monitorování a hodnocení SZP. </w:t>
      </w:r>
    </w:p>
    <w:p w:rsidR="00860B72" w:rsidRPr="001C6ACF" w:rsidRDefault="00860B72" w:rsidP="000B2A17">
      <w:pPr>
        <w:pStyle w:val="HStandard"/>
      </w:pPr>
    </w:p>
    <w:p w:rsidR="008E728A" w:rsidRPr="001C6ACF" w:rsidRDefault="008549B5" w:rsidP="008E3ACB">
      <w:pPr>
        <w:pStyle w:val="HHeading1"/>
        <w:numPr>
          <w:ilvl w:val="0"/>
          <w:numId w:val="0"/>
        </w:numPr>
        <w:rPr>
          <w:sz w:val="28"/>
        </w:rPr>
      </w:pPr>
      <w:r>
        <w:rPr>
          <w:sz w:val="28"/>
        </w:rPr>
        <w:lastRenderedPageBreak/>
        <w:t>ÚVOD</w:t>
      </w:r>
    </w:p>
    <w:p w:rsidR="00CD63F6" w:rsidRPr="001C6ACF" w:rsidRDefault="00CD63F6" w:rsidP="00CD63F6">
      <w:pPr>
        <w:pStyle w:val="HHeading4"/>
      </w:pPr>
      <w:r>
        <w:t>Význam hodnocení</w:t>
      </w:r>
    </w:p>
    <w:p w:rsidR="00CD63F6" w:rsidRPr="001C6ACF" w:rsidRDefault="00CD63F6" w:rsidP="00CD63F6">
      <w:pPr>
        <w:pStyle w:val="HStandard"/>
      </w:pPr>
      <w:r>
        <w:t xml:space="preserve">Evropské strukturální a investiční fondy (fondy ESI) jsou významným </w:t>
      </w:r>
      <w:r>
        <w:rPr>
          <w:b/>
        </w:rPr>
        <w:t>veřejným nástrojem</w:t>
      </w:r>
      <w:r>
        <w:t xml:space="preserve"> podpory opatření souvisejících s hlavními prioritami Unie, které jsou ve členských státech a regionech prováděny prostřednictvím víceletých programů. Je tedy v zájmu tvůrců politik a veřejnosti vědět, zda jsou peníze čerpány odpovědně a přinášejí očekávané výsledky a zda zásahy cílí na správné příjemce, aby bylo možné dosahovat politických cílů EU. </w:t>
      </w:r>
    </w:p>
    <w:p w:rsidR="00CD63F6" w:rsidRPr="001C6ACF" w:rsidRDefault="00CD63F6" w:rsidP="00CC00DA">
      <w:pPr>
        <w:pStyle w:val="HStandard"/>
      </w:pPr>
      <w:r>
        <w:rPr>
          <w:b/>
        </w:rPr>
        <w:t>Hodnocení</w:t>
      </w:r>
      <w:r>
        <w:t xml:space="preserve"> je nástroj, kterým se měří účinnost, účelnost, výsledky a dopady politiky</w:t>
      </w:r>
      <w:r>
        <w:rPr>
          <w:rStyle w:val="FootnoteReference"/>
        </w:rPr>
        <w:footnoteReference w:id="1"/>
      </w:r>
      <w:r>
        <w:t xml:space="preserve"> spolu s její relevantností, soudržností a přidanou hodnotou pro EU, aby se u ní zajistila odpovědnost a transparentnost a v konečném důsledku se zdokonalila její koncepce. V souvislosti s rozvojem venkova existují v </w:t>
      </w:r>
      <w:r>
        <w:rPr>
          <w:b/>
        </w:rPr>
        <w:t>programovém období 2014–2020</w:t>
      </w:r>
      <w:r>
        <w:t xml:space="preserve"> dva mezníky ve vývoji. První nastal v roce 2017, kdy zúčastněné strany zhodnotily výsledky politiky, a druhý nadejde v roce 2019, kdy se budou měřit výsledky politiky i její dopady. Kromě toho se provádí hodnocení </w:t>
      </w:r>
      <w:r>
        <w:rPr>
          <w:i/>
        </w:rPr>
        <w:t>ex post</w:t>
      </w:r>
      <w:r>
        <w:t xml:space="preserve"> </w:t>
      </w:r>
      <w:r>
        <w:rPr>
          <w:b/>
        </w:rPr>
        <w:t>po programovém období</w:t>
      </w:r>
      <w:r>
        <w:t>.</w:t>
      </w:r>
      <w:r>
        <w:rPr>
          <w:b/>
        </w:rPr>
        <w:t xml:space="preserve"> </w:t>
      </w:r>
    </w:p>
    <w:p w:rsidR="00CD63F6" w:rsidRPr="001C6ACF" w:rsidRDefault="00CD63F6" w:rsidP="005C0884">
      <w:pPr>
        <w:pStyle w:val="HHeading4"/>
      </w:pPr>
      <w:r>
        <w:t xml:space="preserve">Účel pokynů </w:t>
      </w:r>
    </w:p>
    <w:p w:rsidR="00CD63F6" w:rsidRPr="00571D58" w:rsidRDefault="00BD7C99" w:rsidP="00CD63F6">
      <w:pPr>
        <w:pStyle w:val="HStandard"/>
      </w:pPr>
      <w:r>
        <w:t xml:space="preserve">Právní rámec vyžaduje, aby členské státy v roce 2019 podaly zprávu o výsledcích programu rozvoje venkova na cestě k dosažení cílů programu a o jeho přínosu ke strategii EU pro inteligentní a udržitelný růst podporující začlenění. Stane se tak prostřednictvím výročních zpráv o provádění, které budou předloženy v roce 2019. V hodnoceních je třeba posoudit čistý příspěvek programu ke změnám v hodnotách ukazatelů dopadů na SZP a zodpovědět </w:t>
      </w:r>
      <w:r w:rsidR="00253622">
        <w:t>hodnotic</w:t>
      </w:r>
      <w:r>
        <w:t>í otázky</w:t>
      </w:r>
      <w:r>
        <w:rPr>
          <w:rStyle w:val="FootnoteReference"/>
        </w:rPr>
        <w:footnoteReference w:id="2"/>
      </w:r>
      <w:r>
        <w:t xml:space="preserve">. </w:t>
      </w:r>
    </w:p>
    <w:p w:rsidR="00CD63F6" w:rsidRPr="001C6ACF" w:rsidRDefault="009642AA" w:rsidP="009F77FD">
      <w:pPr>
        <w:pStyle w:val="HStandard"/>
      </w:pPr>
      <w:r>
        <w:t xml:space="preserve">Účelem těchto pokynů je </w:t>
      </w:r>
      <w:r>
        <w:rPr>
          <w:b/>
        </w:rPr>
        <w:t>přezkoumat problémy</w:t>
      </w:r>
      <w:r>
        <w:t xml:space="preserve"> související s činností hodnocení pro účely výroční zprávy o provádění v roce 2019, </w:t>
      </w:r>
      <w:r>
        <w:rPr>
          <w:b/>
        </w:rPr>
        <w:t>představit praktické přístupy</w:t>
      </w:r>
      <w:r>
        <w:t xml:space="preserve"> k odhadování čistého příspěvku programu rozvoje venkova k hodnotám ukazatelů dopadů na SZP a k posuzování pokroku v dosahování cílů na úrovni EU a </w:t>
      </w:r>
      <w:r>
        <w:rPr>
          <w:b/>
        </w:rPr>
        <w:t>poskytnout podporu při zodpovídání</w:t>
      </w:r>
      <w:r>
        <w:t xml:space="preserve"> společných </w:t>
      </w:r>
      <w:r w:rsidR="00253622">
        <w:t>hodnotic</w:t>
      </w:r>
      <w:r>
        <w:t>ích otázek 22–30 a podávání zpráv o zjištěních hodnocení Evropské komisi prostřednictvím výročních zpráv o provádění předkládaných v roce 2019.</w:t>
      </w:r>
    </w:p>
    <w:p w:rsidR="00CD63F6" w:rsidRPr="001C6ACF" w:rsidRDefault="00CD63F6" w:rsidP="005C0884">
      <w:pPr>
        <w:pStyle w:val="HHeading4"/>
      </w:pPr>
      <w:r>
        <w:t xml:space="preserve">Struktura a obsah pokynů </w:t>
      </w:r>
    </w:p>
    <w:p w:rsidR="00CD63F6" w:rsidRPr="001C6ACF" w:rsidRDefault="00BD7C99" w:rsidP="005C0884">
      <w:pPr>
        <w:pStyle w:val="HStandard"/>
      </w:pPr>
      <w:r>
        <w:rPr>
          <w:b/>
        </w:rPr>
        <w:t>NEZÁVAZNÉ pokyny</w:t>
      </w:r>
      <w:r>
        <w:rPr>
          <w:i/>
        </w:rPr>
        <w:t xml:space="preserve"> Hodnocení výsledků a dopadů programu rozvoje venkova v roce 2019</w:t>
      </w:r>
      <w:r>
        <w:t xml:space="preserve"> se vztahují k následujícím tématům: </w:t>
      </w:r>
    </w:p>
    <w:p w:rsidR="00CD63F6" w:rsidRPr="001C6ACF" w:rsidRDefault="008358D0" w:rsidP="00AD4DC6">
      <w:pPr>
        <w:pStyle w:val="Hlistbullet"/>
        <w:spacing w:line="276" w:lineRule="auto"/>
      </w:pPr>
      <w:r>
        <w:rPr>
          <w:b/>
          <w:color w:val="F07E31" w:themeColor="accent1"/>
        </w:rPr>
        <w:t>ČÁST I</w:t>
      </w:r>
      <w:r>
        <w:t xml:space="preserve"> </w:t>
      </w:r>
      <w:r>
        <w:rPr>
          <w:b/>
          <w:color w:val="F07E31" w:themeColor="accent1"/>
        </w:rPr>
        <w:t xml:space="preserve">(určená především řídicím orgánům): </w:t>
      </w:r>
      <w:r>
        <w:t xml:space="preserve">informuje o právních požadavcích a vysvětluje, jak v roce 2019 zodpovídat společné </w:t>
      </w:r>
      <w:r w:rsidR="00253622">
        <w:t>hodnotic</w:t>
      </w:r>
      <w:r>
        <w:t xml:space="preserve">í otázky 22–30. Část I obsahuje odkazy na další dostupné pokyny. </w:t>
      </w:r>
    </w:p>
    <w:p w:rsidR="00CD63F6" w:rsidRPr="001C6ACF" w:rsidRDefault="008358D0" w:rsidP="00AD4DC6">
      <w:pPr>
        <w:pStyle w:val="Hlistbullet"/>
        <w:spacing w:line="276" w:lineRule="auto"/>
      </w:pPr>
      <w:r>
        <w:rPr>
          <w:b/>
          <w:color w:val="F07E31" w:themeColor="accent1"/>
        </w:rPr>
        <w:t>ČÁST II</w:t>
      </w:r>
      <w:r>
        <w:t xml:space="preserve"> </w:t>
      </w:r>
      <w:r>
        <w:rPr>
          <w:b/>
          <w:color w:val="F07E31" w:themeColor="accent1"/>
        </w:rPr>
        <w:t>(určená především hodnotitelům):</w:t>
      </w:r>
      <w:r>
        <w:t xml:space="preserve"> poskytuje metodickou podporu při posuzování společných ukazatelů dopadů v pilíři II (odvětvové, environmentální a sociálně-ekonomické dopady). Tato část objasňuje intervenční logiku, použití doplňkových prvků hodnocení, požadavky na údaje a jednotky hodnocení a provádí čtenáře výběrem nejvhodnějších přístupů k hodnocení, které umožňují oddělit čistý příspěvek programu rozvoje venkova k hodnotám ukazatelů dopadů na SZP. V části II jsou rovněž doporučeny přístupy k hodnocení příspěvku programu rozvoje venkova k plnění strategie EU 2020 a inovací. </w:t>
      </w:r>
    </w:p>
    <w:p w:rsidR="00800238" w:rsidRPr="001C6ACF" w:rsidRDefault="00800238" w:rsidP="00AD4DC6">
      <w:pPr>
        <w:pStyle w:val="Hlistbullet"/>
        <w:spacing w:line="276" w:lineRule="auto"/>
      </w:pPr>
      <w:r>
        <w:rPr>
          <w:b/>
          <w:color w:val="F07E31" w:themeColor="accent1"/>
        </w:rPr>
        <w:t>ČÁST III:</w:t>
      </w:r>
      <w:r>
        <w:rPr>
          <w:color w:val="F07E31" w:themeColor="accent1"/>
        </w:rPr>
        <w:t xml:space="preserve"> </w:t>
      </w:r>
      <w:r>
        <w:t xml:space="preserve">obsahuje informační listy pro zodpovězení společných </w:t>
      </w:r>
      <w:r w:rsidR="00253622">
        <w:t>hodnotic</w:t>
      </w:r>
      <w:r>
        <w:t>ích otázek 22–30.</w:t>
      </w:r>
    </w:p>
    <w:p w:rsidR="00CD63F6" w:rsidRPr="001C6ACF" w:rsidRDefault="00FE491B" w:rsidP="00AD4DC6">
      <w:pPr>
        <w:pStyle w:val="Hlistbullet"/>
        <w:spacing w:line="276" w:lineRule="auto"/>
      </w:pPr>
      <w:r>
        <w:rPr>
          <w:b/>
          <w:color w:val="F07E31" w:themeColor="accent1"/>
        </w:rPr>
        <w:lastRenderedPageBreak/>
        <w:t xml:space="preserve">ČÁST IV: </w:t>
      </w:r>
      <w:r>
        <w:t xml:space="preserve">obsahuje technickou přílohu včetně podrobnějších informací o přístupu k posuzování ukazatelů dopadů na SZP a glosář pojmů. </w:t>
      </w:r>
    </w:p>
    <w:p w:rsidR="001C2076" w:rsidRPr="001C6ACF" w:rsidRDefault="001C2076" w:rsidP="008D52EA">
      <w:pPr>
        <w:pStyle w:val="HHeading1"/>
        <w:tabs>
          <w:tab w:val="clear" w:pos="474"/>
          <w:tab w:val="clear" w:pos="567"/>
        </w:tabs>
        <w:rPr>
          <w:sz w:val="28"/>
        </w:rPr>
      </w:pPr>
      <w:r>
        <w:rPr>
          <w:sz w:val="28"/>
        </w:rPr>
        <w:lastRenderedPageBreak/>
        <w:t>Jaké aspekty hodnocení je třeba uvést ve výroční zprávě o provádění předkládané v roce 2019? (ČÁST I)</w:t>
      </w:r>
    </w:p>
    <w:p w:rsidR="001C2076" w:rsidRPr="001C6ACF" w:rsidRDefault="000C5796" w:rsidP="00E35440">
      <w:pPr>
        <w:pStyle w:val="HHeading2"/>
      </w:pPr>
      <w:r>
        <w:t xml:space="preserve">Právní rámec a hlavní zaměření hodnocení v roce 2019 </w:t>
      </w:r>
    </w:p>
    <w:p w:rsidR="00B013D7" w:rsidRPr="00571D58" w:rsidRDefault="006A3698" w:rsidP="001C2076">
      <w:pPr>
        <w:pStyle w:val="HStandard"/>
      </w:pPr>
      <w:r>
        <w:t>Počínaje červnem 2016 a poté každoročně až do roku 2024</w:t>
      </w:r>
      <w:r>
        <w:rPr>
          <w:rStyle w:val="FootnoteReference"/>
        </w:rPr>
        <w:footnoteReference w:id="3"/>
      </w:r>
      <w:r>
        <w:t xml:space="preserve"> předkládají členské státy Evropské komisi výroční zprávy o provádění. Výroční zpráva o provádění poskytuje informace o provádění programu rozvoje venkova (dále jen PRV) spolu s údaji o pokroku dosaženém v provádění plánu hodnocení</w:t>
      </w:r>
      <w:r>
        <w:rPr>
          <w:rStyle w:val="FootnoteReference"/>
        </w:rPr>
        <w:footnoteReference w:id="4"/>
      </w:r>
      <w:r>
        <w:t xml:space="preserve">. </w:t>
      </w:r>
    </w:p>
    <w:p w:rsidR="001C2076" w:rsidRPr="0036731C" w:rsidRDefault="001C2076" w:rsidP="001C2076">
      <w:pPr>
        <w:pStyle w:val="HStandard"/>
      </w:pPr>
      <w:r>
        <w:rPr>
          <w:b/>
        </w:rPr>
        <w:t>Výroční zpráva o provádění v roce 2017</w:t>
      </w:r>
      <w:r>
        <w:t xml:space="preserve"> zahrnovala vyčíslení výsledků programu (na základě posouzení ukazatelů výsledků včetně doplňkových ukazatelů výsledků). K interpretaci ukazatelů výsledků a ke zodpovězení společných </w:t>
      </w:r>
      <w:r w:rsidR="00253622">
        <w:t>hodnotic</w:t>
      </w:r>
      <w:r>
        <w:t>ích otázek</w:t>
      </w:r>
      <w:r>
        <w:rPr>
          <w:rStyle w:val="FootnoteReference"/>
        </w:rPr>
        <w:footnoteReference w:id="5"/>
      </w:r>
      <w:r>
        <w:t xml:space="preserve"> 1–21 byla použita </w:t>
      </w:r>
      <w:r w:rsidR="00253622">
        <w:t>hodnotic</w:t>
      </w:r>
      <w:r>
        <w:t>í kritéria. Tuto činnost mohou podpořit i </w:t>
      </w:r>
      <w:hyperlink r:id="rId14">
        <w:r>
          <w:rPr>
            <w:rStyle w:val="Hyperlink"/>
            <w:i/>
          </w:rPr>
          <w:t>pokyny k posuzování výsledků PRV zaměřené na přípravu na podávání zpráv o hodnocení v roce 2017</w:t>
        </w:r>
      </w:hyperlink>
      <w:r>
        <w:t>, které jsou relevantní i pro provádění v roce 2019</w:t>
      </w:r>
      <w:r>
        <w:rPr>
          <w:rStyle w:val="FootnoteReference"/>
        </w:rPr>
        <w:footnoteReference w:id="6"/>
      </w:r>
      <w:r>
        <w:t xml:space="preserve">. </w:t>
      </w:r>
    </w:p>
    <w:p w:rsidR="00BA41C1" w:rsidRPr="001C6ACF" w:rsidRDefault="001C2076" w:rsidP="001C2076">
      <w:pPr>
        <w:pStyle w:val="HStandard"/>
      </w:pPr>
      <w:r>
        <w:rPr>
          <w:b/>
        </w:rPr>
        <w:t>Výroční zpráva o provádění</w:t>
      </w:r>
      <w:r>
        <w:t xml:space="preserve"> předkládaná v </w:t>
      </w:r>
      <w:r>
        <w:rPr>
          <w:b/>
        </w:rPr>
        <w:t>roce 2019</w:t>
      </w:r>
      <w:r>
        <w:t xml:space="preserve"> by měla obsahovat aktualizaci zjištění, k nimž hodnocení dospělo</w:t>
      </w:r>
      <w:r w:rsidR="009F7226">
        <w:t xml:space="preserve"> a která byla oznámena </w:t>
      </w:r>
      <w:r>
        <w:t>v roce 2017</w:t>
      </w:r>
      <w:r w:rsidR="009F7226">
        <w:t>,</w:t>
      </w:r>
      <w:r>
        <w:t xml:space="preserve"> a </w:t>
      </w:r>
      <w:r>
        <w:rPr>
          <w:u w:val="single"/>
        </w:rPr>
        <w:t>navíc</w:t>
      </w:r>
      <w:r>
        <w:t xml:space="preserve"> následující informace:</w:t>
      </w:r>
    </w:p>
    <w:p w:rsidR="00BA41C1" w:rsidRPr="001C6ACF" w:rsidRDefault="001C2076" w:rsidP="00BA41C1">
      <w:pPr>
        <w:pStyle w:val="Hlistbullet"/>
      </w:pPr>
      <w:r>
        <w:t xml:space="preserve">zjištění ohledně posouzení dopadů PRV získaná výpočtem a interpretací čistých hodnot ukazatelů dopadů na SZP, </w:t>
      </w:r>
    </w:p>
    <w:p w:rsidR="00BA41C1" w:rsidRPr="001C6ACF" w:rsidRDefault="00BA41C1" w:rsidP="00BA41C1">
      <w:pPr>
        <w:pStyle w:val="Hlistbullet"/>
      </w:pPr>
      <w:r>
        <w:t xml:space="preserve">příspěvky PRV ke strategii EU pro chytrý a udržitelný růst podporující začlenění a ke strategii týkající se biologické rozmanitosti a </w:t>
      </w:r>
    </w:p>
    <w:p w:rsidR="001C2076" w:rsidRPr="001C6ACF" w:rsidRDefault="00BA41C1" w:rsidP="00BA41C1">
      <w:pPr>
        <w:pStyle w:val="Hlistbullet"/>
      </w:pPr>
      <w:r>
        <w:t xml:space="preserve">odpovědi na společné </w:t>
      </w:r>
      <w:r w:rsidR="00253622">
        <w:t>hodnotic</w:t>
      </w:r>
      <w:r>
        <w:t xml:space="preserve">í otázky pro programy rozvoje venkova 2014–2020, které se týkají cílů na úrovni EU (tj. společné </w:t>
      </w:r>
      <w:r w:rsidR="00253622">
        <w:t>hodnotic</w:t>
      </w:r>
      <w:r>
        <w:t>í otázky 22–30).</w:t>
      </w:r>
    </w:p>
    <w:p w:rsidR="001C2076" w:rsidRPr="0036731C" w:rsidRDefault="00CA1C02" w:rsidP="001C2076">
      <w:pPr>
        <w:pStyle w:val="HStandard"/>
      </w:pPr>
      <w:r>
        <w:t>Následující schéma zachycuje přehled hlavních požadavků na hodnocení ve výročních zprávách o provádění v průběhu programového období podle právního rámce</w:t>
      </w:r>
      <w:r>
        <w:rPr>
          <w:rStyle w:val="FootnoteReference"/>
        </w:rPr>
        <w:footnoteReference w:id="7"/>
      </w:r>
      <w:r>
        <w:t xml:space="preserve"> a příslušných pokynů. </w:t>
      </w:r>
    </w:p>
    <w:p w:rsidR="001C2076" w:rsidRPr="00FB6C06" w:rsidRDefault="00CA1C02" w:rsidP="00E22A85">
      <w:pPr>
        <w:pStyle w:val="HHeadingfigures"/>
      </w:pPr>
      <w:r>
        <w:t xml:space="preserve">Podávání zpráv o hodnocení (v souladu s přílohou VII nařízení (EU) č. 808/2014) </w:t>
      </w:r>
    </w:p>
    <w:p w:rsidR="001C2076" w:rsidRPr="00571D58" w:rsidRDefault="005D303D" w:rsidP="00744BAA">
      <w:pPr>
        <w:pStyle w:val="HStandard"/>
        <w:jc w:val="center"/>
      </w:pPr>
      <w:r w:rsidRPr="005D303D">
        <w:rPr>
          <w:noProof/>
        </w:rPr>
        <w:drawing>
          <wp:inline distT="0" distB="0" distL="0" distR="0" wp14:anchorId="2E2C3589" wp14:editId="710E8F0D">
            <wp:extent cx="4201163" cy="24585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0554" cy="2458172"/>
                    </a:xfrm>
                    <a:prstGeom prst="rect">
                      <a:avLst/>
                    </a:prstGeom>
                    <a:noFill/>
                    <a:ln>
                      <a:noFill/>
                    </a:ln>
                  </pic:spPr>
                </pic:pic>
              </a:graphicData>
            </a:graphic>
          </wp:inline>
        </w:drawing>
      </w:r>
    </w:p>
    <w:p w:rsidR="001C2076" w:rsidRPr="007645B4" w:rsidRDefault="001C2076" w:rsidP="008D52EA">
      <w:pPr>
        <w:pStyle w:val="HSource"/>
        <w:rPr>
          <w:i w:val="0"/>
        </w:rPr>
      </w:pPr>
      <w:r>
        <w:t>Zdroj: evropská asistenční služba pro účely hodnocení politiky rozvoje venkova (2018).</w:t>
      </w:r>
    </w:p>
    <w:p w:rsidR="00E52E73" w:rsidRPr="007645B4" w:rsidRDefault="00E52E73" w:rsidP="00E52E73">
      <w:pPr>
        <w:pStyle w:val="HHeading4"/>
      </w:pPr>
      <w:r>
        <w:lastRenderedPageBreak/>
        <w:t xml:space="preserve">Právní rámec </w:t>
      </w:r>
    </w:p>
    <w:p w:rsidR="00DE65AB" w:rsidRPr="001C6ACF" w:rsidRDefault="00BA41C1" w:rsidP="001C2076">
      <w:pPr>
        <w:pStyle w:val="HStandard"/>
      </w:pPr>
      <w:r>
        <w:t xml:space="preserve">Právní rámec a společný systém monitorování a hodnocení tvoří základ pro hodnocení programů rozvoje venkova. </w:t>
      </w:r>
    </w:p>
    <w:p w:rsidR="001A2395" w:rsidRPr="00863E73" w:rsidRDefault="00BA41C1" w:rsidP="001C2076">
      <w:pPr>
        <w:pStyle w:val="HStandard"/>
      </w:pPr>
      <w:r>
        <w:rPr>
          <w:b/>
        </w:rPr>
        <w:t>Právní rámec</w:t>
      </w:r>
      <w:r>
        <w:rPr>
          <w:rStyle w:val="FootnoteReference"/>
        </w:rPr>
        <w:footnoteReference w:id="8"/>
      </w:r>
      <w:r>
        <w:t xml:space="preserve"> je základem pro hodnocení výsledků PRV a jeho příspěvků k vyšším politickým cílům EU. </w:t>
      </w:r>
    </w:p>
    <w:p w:rsidR="001C2076" w:rsidRPr="001C6ACF" w:rsidRDefault="00CA1C02" w:rsidP="001C2076">
      <w:pPr>
        <w:pStyle w:val="HStandard"/>
      </w:pPr>
      <w:r>
        <w:rPr>
          <w:b/>
        </w:rPr>
        <w:t>Obecná ustanovení</w:t>
      </w:r>
      <w:r>
        <w:t xml:space="preserve"> pro hodnocení jsou uvedena v </w:t>
      </w:r>
      <w:r>
        <w:rPr>
          <w:b/>
        </w:rPr>
        <w:t>nařízení (EU) č. 1303/2013</w:t>
      </w:r>
      <w:r>
        <w:t>. Tato ustanovení vymezují úlohu hodnocení při:</w:t>
      </w:r>
    </w:p>
    <w:p w:rsidR="001C2076" w:rsidRPr="001C6ACF" w:rsidRDefault="001C2076" w:rsidP="008D52EA">
      <w:pPr>
        <w:pStyle w:val="Hlistbullet"/>
      </w:pPr>
      <w:r>
        <w:t xml:space="preserve">zvyšování kvality koncepce a provádění programů a </w:t>
      </w:r>
    </w:p>
    <w:p w:rsidR="001C2076" w:rsidRPr="00571D58" w:rsidRDefault="001C2076" w:rsidP="008D52EA">
      <w:pPr>
        <w:pStyle w:val="Hlistbullet"/>
      </w:pPr>
      <w:r>
        <w:t>při hodnocení účinnosti, účelnosti a dopadů programu</w:t>
      </w:r>
      <w:r>
        <w:rPr>
          <w:rStyle w:val="FootnoteReference"/>
        </w:rPr>
        <w:footnoteReference w:id="9"/>
      </w:r>
      <w:r>
        <w:t xml:space="preserve">. </w:t>
      </w:r>
    </w:p>
    <w:p w:rsidR="00087412" w:rsidRPr="001C6ACF" w:rsidRDefault="00D42EC7" w:rsidP="001C2076">
      <w:pPr>
        <w:pStyle w:val="HStandard"/>
      </w:pPr>
      <w:r>
        <w:t xml:space="preserve">Za tímto účelem poskytnou členské státy </w:t>
      </w:r>
      <w:r>
        <w:rPr>
          <w:b/>
        </w:rPr>
        <w:t>zdroje nezbytné pro provedení hodnocení</w:t>
      </w:r>
      <w:r>
        <w:t xml:space="preserve"> a zajistí zavedení postupů pro </w:t>
      </w:r>
      <w:r>
        <w:rPr>
          <w:b/>
        </w:rPr>
        <w:t>tvorbu a sběr údajů potřebných pro hodnocení</w:t>
      </w:r>
      <w:r>
        <w:t xml:space="preserve">, včetně údajů o společných ukazatelích a případně i ukazatelích specifických pro jednotlivé programy. </w:t>
      </w:r>
    </w:p>
    <w:p w:rsidR="001C2076" w:rsidRPr="00571D58" w:rsidRDefault="001C2076" w:rsidP="001C2076">
      <w:pPr>
        <w:pStyle w:val="HStandard"/>
      </w:pPr>
      <w:r>
        <w:t>Hodnocení probíhá v souladu s </w:t>
      </w:r>
      <w:r>
        <w:rPr>
          <w:b/>
        </w:rPr>
        <w:t>plánem hodnocení</w:t>
      </w:r>
      <w:r>
        <w:t xml:space="preserve"> a zjištění při něm získaná jsou dále sledována v souladu s pravidly pro jednotlivé fondy. Nejméně jednou za programové období se v rámci hodnocení posoudí, jak podpora z fondů ESI přispěla k dosahování cílů jednotlivých priorit</w:t>
      </w:r>
      <w:r>
        <w:rPr>
          <w:rStyle w:val="FootnoteReference"/>
        </w:rPr>
        <w:footnoteReference w:id="10"/>
      </w:r>
      <w:r>
        <w:t>.</w:t>
      </w:r>
    </w:p>
    <w:p w:rsidR="001C2076" w:rsidRPr="00571D58" w:rsidRDefault="001C2076" w:rsidP="001C2076">
      <w:pPr>
        <w:pStyle w:val="HStandard"/>
      </w:pPr>
      <w:r>
        <w:rPr>
          <w:b/>
        </w:rPr>
        <w:t>Nařízení (EU) č. 1306/2013</w:t>
      </w:r>
      <w:r>
        <w:t xml:space="preserve"> vymezuje požadavky na monitorování a hodnocení společné zemědělské politiky (SZP)</w:t>
      </w:r>
      <w:r>
        <w:rPr>
          <w:rStyle w:val="FootnoteReference"/>
        </w:rPr>
        <w:footnoteReference w:id="11"/>
      </w:r>
      <w:r>
        <w:t xml:space="preserve">. Stanovuje, že Evropská komise bude zajišťovat provádění SZP s ohledem na dosahování jejích </w:t>
      </w:r>
      <w:r>
        <w:rPr>
          <w:b/>
        </w:rPr>
        <w:t>společných cílů</w:t>
      </w:r>
      <w:r>
        <w:t>. Společný dopad všech nástrojů SZP se měří a posuzuje na základě údajů získaných při monitorovací a </w:t>
      </w:r>
      <w:r w:rsidR="00253622">
        <w:t>hodnotic</w:t>
      </w:r>
      <w:r>
        <w:t>í činnosti členských států.</w:t>
      </w:r>
      <w:r>
        <w:rPr>
          <w:b/>
        </w:rPr>
        <w:t xml:space="preserve"> </w:t>
      </w:r>
      <w:r>
        <w:t xml:space="preserve">Společné cíle se posuzují pomocí </w:t>
      </w:r>
      <w:r>
        <w:rPr>
          <w:b/>
        </w:rPr>
        <w:t>společných ukazatelů dopadů</w:t>
      </w:r>
      <w:r>
        <w:t xml:space="preserve"> a související specifické cíle se hodnotí pomocí </w:t>
      </w:r>
      <w:r>
        <w:rPr>
          <w:b/>
        </w:rPr>
        <w:t>společných ukazatelů výsledků</w:t>
      </w:r>
      <w:r>
        <w:t>. Shromážděné informace musí pocházet ze zavedených zdrojů údajů, jakými jsou například zemědělská účetní datová síť (FADN) či Eurostat. Evropská komise zohlední potřeby týkající se údajů a synergických účinků mezi možnými zdroji údajů, a zejména jejich případné použití pro statistické účely</w:t>
      </w:r>
      <w:r>
        <w:rPr>
          <w:rStyle w:val="FootnoteReference"/>
        </w:rPr>
        <w:footnoteReference w:id="12"/>
      </w:r>
      <w:r>
        <w:t>.</w:t>
      </w:r>
    </w:p>
    <w:p w:rsidR="001C2076" w:rsidRPr="001C6ACF" w:rsidRDefault="001C2076" w:rsidP="001C2076">
      <w:pPr>
        <w:pStyle w:val="HStandard"/>
      </w:pPr>
      <w:r>
        <w:rPr>
          <w:b/>
        </w:rPr>
        <w:t>Nařízení (EU) č. 1305/2013 zřizuje společný systém monitorování a hodnocení</w:t>
      </w:r>
      <w:r>
        <w:t xml:space="preserve"> a stanovuje jeho cíle</w:t>
      </w:r>
      <w:r>
        <w:rPr>
          <w:rStyle w:val="FootnoteReference"/>
        </w:rPr>
        <w:footnoteReference w:id="13"/>
      </w:r>
      <w:r>
        <w:t xml:space="preserve"> a společné ukazatele</w:t>
      </w:r>
      <w:r>
        <w:rPr>
          <w:rStyle w:val="FootnoteReference"/>
        </w:rPr>
        <w:footnoteReference w:id="14"/>
      </w:r>
      <w:r>
        <w:t>. Tyto ukazatele se vztahují k výchozí situaci (kontextové ukazatele), finančnímu plnění, výstupům, výsledků a dopadům programu. Společné ukazatele vycházejí z dostupných údajů, jsou spojeny se strukturou a cíli rámce politiky rozvoje venkova a umožňují posouzení pokroku, účelnosti a účinnosti provádění politiky na základě cílů na úrovni Unie, jednotlivých členských států a programů.</w:t>
      </w:r>
    </w:p>
    <w:p w:rsidR="001C2076" w:rsidRPr="001C6ACF" w:rsidRDefault="001C2076" w:rsidP="001C2076">
      <w:pPr>
        <w:pStyle w:val="HStandard"/>
        <w:rPr>
          <w:b/>
        </w:rPr>
      </w:pPr>
      <w:r>
        <w:t xml:space="preserve">Dopady programů rozvoje venkova se posuzují za pomoci společných (ale i doplňkových a programově specifických) ukazatelů dopadů. </w:t>
      </w:r>
      <w:r>
        <w:rPr>
          <w:b/>
        </w:rPr>
        <w:t xml:space="preserve">Za posouzení dopadů programu odpovídají jednotlivé členské státy. </w:t>
      </w:r>
    </w:p>
    <w:p w:rsidR="00E52E73" w:rsidRPr="001C6ACF" w:rsidRDefault="00E52E73" w:rsidP="00E52E73">
      <w:pPr>
        <w:pStyle w:val="HHeading4"/>
      </w:pPr>
      <w:r>
        <w:t>Společné prvky hodnocení</w:t>
      </w:r>
    </w:p>
    <w:p w:rsidR="00D42EC7" w:rsidRPr="00CB20AA" w:rsidRDefault="00D42EC7" w:rsidP="00D42EC7">
      <w:pPr>
        <w:pStyle w:val="HStandard"/>
      </w:pPr>
      <w:r>
        <w:t>Společný systém monitorování a hodnocení je součástí společného rámce pro monitorování a hodnocení</w:t>
      </w:r>
      <w:r>
        <w:rPr>
          <w:rStyle w:val="FootnoteReference"/>
        </w:rPr>
        <w:footnoteReference w:id="15"/>
      </w:r>
      <w:r>
        <w:t xml:space="preserve"> a zahrnuje několik dokumentů s pokyny, které se týkají používání společných </w:t>
      </w:r>
      <w:r w:rsidR="00253622">
        <w:t>hodnotic</w:t>
      </w:r>
      <w:r>
        <w:t xml:space="preserve">ích otázek a ukazatelů při monitorování a hodnocení politiky rozvoje venkova. Prováděcí </w:t>
      </w:r>
      <w:r>
        <w:rPr>
          <w:b/>
        </w:rPr>
        <w:lastRenderedPageBreak/>
        <w:t>nařízení</w:t>
      </w:r>
      <w:r>
        <w:t xml:space="preserve"> Komise </w:t>
      </w:r>
      <w:r>
        <w:rPr>
          <w:b/>
        </w:rPr>
        <w:t>(EU) č. 808/2014</w:t>
      </w:r>
      <w:r>
        <w:rPr>
          <w:rStyle w:val="FootnoteReference"/>
          <w:b/>
        </w:rPr>
        <w:footnoteReference w:id="16"/>
      </w:r>
      <w:r>
        <w:t xml:space="preserve"> popisuje společný systém monitorování a hodnocení podrobněji a definuje jeho prvky: </w:t>
      </w:r>
    </w:p>
    <w:p w:rsidR="001C2076" w:rsidRPr="00FB6C06" w:rsidRDefault="001C2076" w:rsidP="008D52EA">
      <w:pPr>
        <w:pStyle w:val="Hlistbullet"/>
      </w:pPr>
      <w:r>
        <w:t xml:space="preserve">intervenční logiku (postup intervence) znázorňující vztahy mezi prioritami, prioritními oblastmi a opatřeními; </w:t>
      </w:r>
    </w:p>
    <w:p w:rsidR="001C2076" w:rsidRPr="00571D58" w:rsidRDefault="001C2076" w:rsidP="008D52EA">
      <w:pPr>
        <w:pStyle w:val="Hlistbullet"/>
      </w:pPr>
      <w:r>
        <w:t>systém společných kontextových ukazatelů, ukazatelů výsledků a ukazatelů výstupů, včetně ukazatelů užívaných pro stanovení kvantifikovaných cílů v souvislosti s prioritními oblastmi rozvoje venkova</w:t>
      </w:r>
      <w:r>
        <w:rPr>
          <w:rStyle w:val="FootnoteReference"/>
        </w:rPr>
        <w:footnoteReference w:id="17"/>
      </w:r>
      <w:r>
        <w:t xml:space="preserve">; </w:t>
      </w:r>
    </w:p>
    <w:p w:rsidR="001C2076" w:rsidRPr="00571D58" w:rsidRDefault="001C2076" w:rsidP="008D52EA">
      <w:pPr>
        <w:pStyle w:val="Hlistbullet"/>
      </w:pPr>
      <w:r>
        <w:t xml:space="preserve">společné </w:t>
      </w:r>
      <w:r w:rsidR="00253622">
        <w:t>hodnotic</w:t>
      </w:r>
      <w:r>
        <w:t>í otázky</w:t>
      </w:r>
      <w:r>
        <w:rPr>
          <w:rStyle w:val="FootnoteReference"/>
        </w:rPr>
        <w:footnoteReference w:id="18"/>
      </w:r>
      <w:r>
        <w:t>;</w:t>
      </w:r>
    </w:p>
    <w:p w:rsidR="001C2076" w:rsidRPr="00FB6C06" w:rsidRDefault="001C2076" w:rsidP="008D52EA">
      <w:pPr>
        <w:pStyle w:val="Hlistbullet"/>
      </w:pPr>
      <w:r>
        <w:t xml:space="preserve">sběr údajů, jejich uchovávání a předávání; </w:t>
      </w:r>
    </w:p>
    <w:p w:rsidR="001C2076" w:rsidRPr="00571D58" w:rsidRDefault="001C2076" w:rsidP="008D52EA">
      <w:pPr>
        <w:pStyle w:val="Hlistbullet"/>
      </w:pPr>
      <w:r>
        <w:t>pravidelné podávání zpráv o monitorovací a </w:t>
      </w:r>
      <w:r w:rsidR="00253622">
        <w:t>hodnotic</w:t>
      </w:r>
      <w:r>
        <w:t>í činnosti</w:t>
      </w:r>
      <w:r>
        <w:rPr>
          <w:rStyle w:val="FootnoteReference"/>
        </w:rPr>
        <w:footnoteReference w:id="19"/>
      </w:r>
      <w:r>
        <w:t xml:space="preserve">; </w:t>
      </w:r>
    </w:p>
    <w:p w:rsidR="001C2076" w:rsidRPr="00571D58" w:rsidRDefault="001C2076" w:rsidP="008D52EA">
      <w:pPr>
        <w:pStyle w:val="Hlistbullet"/>
      </w:pPr>
      <w:r>
        <w:t>plán hodnocení</w:t>
      </w:r>
      <w:r>
        <w:rPr>
          <w:rStyle w:val="FootnoteReference"/>
        </w:rPr>
        <w:footnoteReference w:id="20"/>
      </w:r>
      <w:r>
        <w:t xml:space="preserve">; </w:t>
      </w:r>
    </w:p>
    <w:p w:rsidR="001C2076" w:rsidRPr="00571D58" w:rsidRDefault="001C2076" w:rsidP="008D52EA">
      <w:pPr>
        <w:pStyle w:val="Hlistbullet"/>
      </w:pPr>
      <w:r>
        <w:t xml:space="preserve">hodnocení </w:t>
      </w:r>
      <w:r>
        <w:rPr>
          <w:i/>
        </w:rPr>
        <w:t>ex ante</w:t>
      </w:r>
      <w:r>
        <w:t xml:space="preserve"> a </w:t>
      </w:r>
      <w:r>
        <w:rPr>
          <w:i/>
        </w:rPr>
        <w:t>ex post</w:t>
      </w:r>
      <w:r>
        <w:t xml:space="preserve"> a veškeré další </w:t>
      </w:r>
      <w:r w:rsidR="00253622">
        <w:t>hodnotic</w:t>
      </w:r>
      <w:r>
        <w:t>í činnosti napojené na program rozvoje venkova, včetně činností vyžadovaných pro splnění zvýšených požadavků na výroční zprávy o provádění předkládané v letech 2017 a 2019</w:t>
      </w:r>
      <w:r>
        <w:rPr>
          <w:rStyle w:val="FootnoteReference"/>
        </w:rPr>
        <w:footnoteReference w:id="21"/>
      </w:r>
      <w:r>
        <w:t>;</w:t>
      </w:r>
    </w:p>
    <w:p w:rsidR="001C2076" w:rsidRPr="00571D58" w:rsidRDefault="001C2076" w:rsidP="008D52EA">
      <w:pPr>
        <w:pStyle w:val="Hlistbullet"/>
      </w:pPr>
      <w:r>
        <w:t>podporu k tomu, aby všechny subjekty příslušné pro monitorování a hodnocení mohly plnit své povinnosti</w:t>
      </w:r>
      <w:r>
        <w:rPr>
          <w:rStyle w:val="FootnoteReference"/>
        </w:rPr>
        <w:footnoteReference w:id="22"/>
      </w:r>
      <w:r>
        <w:t xml:space="preserve">. </w:t>
      </w:r>
    </w:p>
    <w:p w:rsidR="00F40273" w:rsidRPr="00CB20AA" w:rsidRDefault="00D42EC7" w:rsidP="001C2076">
      <w:pPr>
        <w:pStyle w:val="HStandard"/>
      </w:pPr>
      <w:r>
        <w:t xml:space="preserve">Evropská komise poskytuje podrobné </w:t>
      </w:r>
      <w:r>
        <w:rPr>
          <w:b/>
        </w:rPr>
        <w:t xml:space="preserve">informační listy </w:t>
      </w:r>
      <w:r>
        <w:t xml:space="preserve">ke každému ze společných ukazatelů, o nichž se referuje ve výročních zprávách předkládaných v letech 2017 a 2019. Mezi nimi je 16 společných </w:t>
      </w:r>
      <w:hyperlink r:id="rId16">
        <w:r>
          <w:rPr>
            <w:rStyle w:val="Hyperlink"/>
          </w:rPr>
          <w:t>ukazatelů dopadů na SZP</w:t>
        </w:r>
      </w:hyperlink>
      <w:r>
        <w:t xml:space="preserve">. Každý </w:t>
      </w:r>
      <w:r>
        <w:rPr>
          <w:b/>
        </w:rPr>
        <w:t xml:space="preserve">informační list s ukazatelem dopadů </w:t>
      </w:r>
      <w:r>
        <w:t>obsahuje odkaz na:</w:t>
      </w:r>
    </w:p>
    <w:p w:rsidR="00F40273" w:rsidRPr="001C6ACF" w:rsidRDefault="00A3244E" w:rsidP="00DA263D">
      <w:pPr>
        <w:pStyle w:val="Hlistbullet"/>
      </w:pPr>
      <w:r>
        <w:t xml:space="preserve">příslušný politický cíl, </w:t>
      </w:r>
    </w:p>
    <w:p w:rsidR="00F40273" w:rsidRPr="001C6ACF" w:rsidRDefault="001C2076" w:rsidP="00DA263D">
      <w:pPr>
        <w:pStyle w:val="Hlistbullet"/>
      </w:pPr>
      <w:r>
        <w:t xml:space="preserve">definici ukazatele, </w:t>
      </w:r>
    </w:p>
    <w:p w:rsidR="00F40273" w:rsidRPr="001C6ACF" w:rsidRDefault="001C2076" w:rsidP="00DA263D">
      <w:pPr>
        <w:pStyle w:val="Hlistbullet"/>
      </w:pPr>
      <w:r>
        <w:t xml:space="preserve">měrnou jednotku, </w:t>
      </w:r>
    </w:p>
    <w:p w:rsidR="00F40273" w:rsidRPr="001C6ACF" w:rsidRDefault="001C2076" w:rsidP="00DA263D">
      <w:pPr>
        <w:pStyle w:val="Hlistbullet"/>
      </w:pPr>
      <w:r>
        <w:t xml:space="preserve">metodiku/vzorec pro výpočet, </w:t>
      </w:r>
    </w:p>
    <w:p w:rsidR="00F40273" w:rsidRPr="001C6ACF" w:rsidRDefault="001C2076" w:rsidP="00DA263D">
      <w:pPr>
        <w:pStyle w:val="Hlistbullet"/>
      </w:pPr>
      <w:r>
        <w:t xml:space="preserve">požadavky na údaje a zdroje údajů, </w:t>
      </w:r>
    </w:p>
    <w:p w:rsidR="00F40273" w:rsidRPr="001C6ACF" w:rsidRDefault="003304E5" w:rsidP="00DA263D">
      <w:pPr>
        <w:pStyle w:val="Hlistbullet"/>
      </w:pPr>
      <w:r>
        <w:t xml:space="preserve">míru a četnost sběru údajů, </w:t>
      </w:r>
    </w:p>
    <w:p w:rsidR="001C2076" w:rsidRPr="001C6ACF" w:rsidRDefault="001C2076" w:rsidP="00DA263D">
      <w:pPr>
        <w:pStyle w:val="Hlistbullet"/>
      </w:pPr>
      <w:r>
        <w:t xml:space="preserve">informace o prodlevách ve sběru údajů. </w:t>
      </w:r>
    </w:p>
    <w:p w:rsidR="001C2076" w:rsidRPr="001C6ACF" w:rsidRDefault="001C2076" w:rsidP="001C2076">
      <w:pPr>
        <w:pStyle w:val="HStandard"/>
      </w:pPr>
      <w:r>
        <w:t xml:space="preserve">V posouzení dopadů PRV je třeba použít </w:t>
      </w:r>
      <w:r>
        <w:rPr>
          <w:b/>
        </w:rPr>
        <w:t>13 ze 16 společných ukazatelů dopadů na SZP</w:t>
      </w:r>
      <w:r>
        <w:t>:</w:t>
      </w:r>
    </w:p>
    <w:p w:rsidR="001C2076" w:rsidRPr="001C6ACF" w:rsidRDefault="001C2076" w:rsidP="008D52EA">
      <w:pPr>
        <w:pStyle w:val="Hlistbullet"/>
      </w:pPr>
      <w:r>
        <w:t>I.01 příjem ze zemědělské činnosti,</w:t>
      </w:r>
    </w:p>
    <w:p w:rsidR="001C2076" w:rsidRPr="001C6ACF" w:rsidRDefault="001C2076" w:rsidP="008D52EA">
      <w:pPr>
        <w:pStyle w:val="Hlistbullet"/>
      </w:pPr>
      <w:r>
        <w:t>I.02 příjem ze zemědělské činnosti na výrobního činitele,</w:t>
      </w:r>
    </w:p>
    <w:p w:rsidR="001C2076" w:rsidRPr="001C6ACF" w:rsidRDefault="001C2076" w:rsidP="008D52EA">
      <w:pPr>
        <w:pStyle w:val="Hlistbullet"/>
      </w:pPr>
      <w:r>
        <w:t>I.03 souhrnná produktivita výrobních faktorů v zemědělství,</w:t>
      </w:r>
    </w:p>
    <w:p w:rsidR="001C2076" w:rsidRPr="001C6ACF" w:rsidRDefault="001C2076" w:rsidP="008D52EA">
      <w:pPr>
        <w:pStyle w:val="Hlistbullet"/>
      </w:pPr>
      <w:r>
        <w:t>I.07 emise ze zemědělství,</w:t>
      </w:r>
    </w:p>
    <w:p w:rsidR="001C2076" w:rsidRPr="001C6ACF" w:rsidRDefault="001C2076" w:rsidP="008D52EA">
      <w:pPr>
        <w:pStyle w:val="Hlistbullet"/>
      </w:pPr>
      <w:r>
        <w:t>I.08 index polního ptactva,</w:t>
      </w:r>
    </w:p>
    <w:p w:rsidR="001C2076" w:rsidRPr="001C6ACF" w:rsidRDefault="001C2076" w:rsidP="008D52EA">
      <w:pPr>
        <w:pStyle w:val="Hlistbullet"/>
      </w:pPr>
      <w:r>
        <w:t>I.09 zemědělské činnosti s vysokou přírodní hodnotou,</w:t>
      </w:r>
    </w:p>
    <w:p w:rsidR="001C2076" w:rsidRPr="001C6ACF" w:rsidRDefault="001C2076" w:rsidP="008D52EA">
      <w:pPr>
        <w:pStyle w:val="Hlistbullet"/>
      </w:pPr>
      <w:r>
        <w:t>I.10 odběr vody v zemědělství,</w:t>
      </w:r>
    </w:p>
    <w:p w:rsidR="001C2076" w:rsidRPr="001C6ACF" w:rsidRDefault="001C2076" w:rsidP="008D52EA">
      <w:pPr>
        <w:pStyle w:val="Hlistbullet"/>
      </w:pPr>
      <w:r>
        <w:t>I.11 kvalita vody,</w:t>
      </w:r>
    </w:p>
    <w:p w:rsidR="001C2076" w:rsidRPr="001C6ACF" w:rsidRDefault="001C2076" w:rsidP="008D52EA">
      <w:pPr>
        <w:pStyle w:val="Hlistbullet"/>
      </w:pPr>
      <w:r>
        <w:t>I.12 obsah organické hmoty v orné půdě,</w:t>
      </w:r>
    </w:p>
    <w:p w:rsidR="001C2076" w:rsidRPr="001C6ACF" w:rsidRDefault="001C2076" w:rsidP="008D52EA">
      <w:pPr>
        <w:pStyle w:val="Hlistbullet"/>
      </w:pPr>
      <w:r>
        <w:t>I.13 půdní eroze způsobená vodou,</w:t>
      </w:r>
    </w:p>
    <w:p w:rsidR="001C2076" w:rsidRPr="001C6ACF" w:rsidRDefault="001C2076" w:rsidP="008D52EA">
      <w:pPr>
        <w:pStyle w:val="Hlistbullet"/>
      </w:pPr>
      <w:r>
        <w:t>I.14 míra zaměstnanosti ve venkovských oblastech,</w:t>
      </w:r>
    </w:p>
    <w:p w:rsidR="001C2076" w:rsidRPr="001C6ACF" w:rsidRDefault="001C2076" w:rsidP="008D52EA">
      <w:pPr>
        <w:pStyle w:val="Hlistbullet"/>
      </w:pPr>
      <w:r>
        <w:t>I.15 míra chudoby ve venkovských oblastech,</w:t>
      </w:r>
    </w:p>
    <w:p w:rsidR="001C2076" w:rsidRPr="001C6ACF" w:rsidRDefault="001C2076" w:rsidP="008D52EA">
      <w:pPr>
        <w:pStyle w:val="Hlistbullet"/>
      </w:pPr>
      <w:r>
        <w:t>I.16 HDP na obyvatele ve venkovských oblastech.</w:t>
      </w:r>
    </w:p>
    <w:p w:rsidR="001C2076" w:rsidRPr="001C6ACF" w:rsidRDefault="00B21618" w:rsidP="00E35440">
      <w:pPr>
        <w:pStyle w:val="HHeading2"/>
      </w:pPr>
      <w:r>
        <w:lastRenderedPageBreak/>
        <w:t xml:space="preserve"> Jak v roce 2019 zodpovědět společné </w:t>
      </w:r>
      <w:r w:rsidR="00253622">
        <w:t>hodnotic</w:t>
      </w:r>
      <w:r>
        <w:t>í otázky?</w:t>
      </w:r>
    </w:p>
    <w:p w:rsidR="001C2076" w:rsidRPr="001C6ACF" w:rsidRDefault="003304E5" w:rsidP="003304E5">
      <w:pPr>
        <w:pStyle w:val="HStandard"/>
      </w:pPr>
      <w:r>
        <w:t xml:space="preserve">V roce 2019 budou členské státy referovat o svých zjištěních z hodnocení tak, že zodpoví všechny příslušné společné i programově specifické </w:t>
      </w:r>
      <w:r w:rsidR="00253622">
        <w:t>hodnotic</w:t>
      </w:r>
      <w:r>
        <w:t xml:space="preserve">í otázky v každé z příslušných částí výroční zprávy o provádění. </w:t>
      </w:r>
    </w:p>
    <w:p w:rsidR="001C2076" w:rsidRPr="001C6ACF" w:rsidRDefault="00906DAF" w:rsidP="003304E5">
      <w:pPr>
        <w:pStyle w:val="HStandard"/>
      </w:pPr>
      <w:r>
        <w:t xml:space="preserve">Stejně jako u otázek 1–21 by odpovědi na společné </w:t>
      </w:r>
      <w:r w:rsidR="00253622">
        <w:t>hodnotic</w:t>
      </w:r>
      <w:r>
        <w:t xml:space="preserve">í otázky vztahující se k cílům na úrovni EU (otázky 22–30) měly vycházet ze zjištění vyplývajících z hodnocení. Hodnocení úspěšnosti zásahů se formulují s pomocí </w:t>
      </w:r>
      <w:r w:rsidR="00253622">
        <w:t>hodnotic</w:t>
      </w:r>
      <w:r>
        <w:t xml:space="preserve">ích kritérií a měří pomocí společných a doplňkových ukazatelů dopadů a ukazatelů </w:t>
      </w:r>
      <w:r w:rsidR="009F7226">
        <w:t>spojených se</w:t>
      </w:r>
      <w:r>
        <w:t xml:space="preserve"> strategi</w:t>
      </w:r>
      <w:r w:rsidR="009F7226">
        <w:t>í</w:t>
      </w:r>
      <w:r>
        <w:t xml:space="preserve"> EU pro chytrý a udržitelný růst podporující začlenění. V případě nedostatku údajů lze pro účely zodpovězení </w:t>
      </w:r>
      <w:r w:rsidR="00253622">
        <w:t>hodnotic</w:t>
      </w:r>
      <w:r>
        <w:t>ích otázek nashromáždit kvalitativní informace.</w:t>
      </w:r>
    </w:p>
    <w:p w:rsidR="00970A15" w:rsidRPr="001C6ACF" w:rsidRDefault="00C16EB2" w:rsidP="00970A15">
      <w:pPr>
        <w:pStyle w:val="HHeading4"/>
      </w:pPr>
      <w:r>
        <w:t xml:space="preserve">Jaký je obecný postup při zodpovídání </w:t>
      </w:r>
      <w:r w:rsidR="00253622">
        <w:t>hodnotic</w:t>
      </w:r>
      <w:r>
        <w:t>ích otázek?</w:t>
      </w:r>
    </w:p>
    <w:p w:rsidR="001C2076" w:rsidRPr="001C6ACF" w:rsidRDefault="001C2076" w:rsidP="007D2D54">
      <w:pPr>
        <w:pStyle w:val="HStandard"/>
        <w:rPr>
          <w:rFonts w:cs="Arial"/>
        </w:rPr>
      </w:pPr>
      <w:r>
        <w:t xml:space="preserve">Odpovědi na obecné </w:t>
      </w:r>
      <w:r w:rsidR="00253622">
        <w:t>hodnotic</w:t>
      </w:r>
      <w:r>
        <w:t>í otázky 22–30 se doporučuje vypracovat následujícím obecným postupem:</w:t>
      </w:r>
    </w:p>
    <w:p w:rsidR="001C2076" w:rsidRPr="001C6ACF" w:rsidRDefault="007B324B" w:rsidP="00E35440">
      <w:pPr>
        <w:pStyle w:val="Hlistbullet"/>
      </w:pPr>
      <w:r>
        <w:t xml:space="preserve">přezkoumat intervenční logiku programu, která je spojena s jednotlivými příslušnými cíli SZP, resp. cíli strategie EU 2020, prioritami rozvoje venkova, prioritními oblastmi a opatřeními u každé společné </w:t>
      </w:r>
      <w:r w:rsidR="00253622">
        <w:t>hodnotic</w:t>
      </w:r>
      <w:r>
        <w:t>í otázky</w:t>
      </w:r>
      <w:r w:rsidR="009F7226">
        <w:t>,</w:t>
      </w:r>
    </w:p>
    <w:p w:rsidR="001C2076" w:rsidRPr="001C6ACF" w:rsidRDefault="00DA263D" w:rsidP="00E35440">
      <w:pPr>
        <w:pStyle w:val="Hlistbullet"/>
      </w:pPr>
      <w:r>
        <w:t xml:space="preserve">stanovit </w:t>
      </w:r>
      <w:r w:rsidR="00253622">
        <w:t>hodnotic</w:t>
      </w:r>
      <w:r>
        <w:t xml:space="preserve">í kritéria a propojit je se společnými (a doplňkovými) ukazateli dopadů, které budou použity pro zodpovězení příslušné </w:t>
      </w:r>
      <w:r w:rsidR="00253622">
        <w:t>hodnotic</w:t>
      </w:r>
      <w:r>
        <w:t>í otázky</w:t>
      </w:r>
      <w:r w:rsidR="009F7226">
        <w:t>,</w:t>
      </w:r>
    </w:p>
    <w:p w:rsidR="001C2076" w:rsidRPr="00863E73" w:rsidRDefault="007B324B" w:rsidP="00E35440">
      <w:pPr>
        <w:pStyle w:val="Hlistbullet"/>
      </w:pPr>
      <w:r>
        <w:t>zvolit kvalitativní a kvantitativní metody, které umožní posoudit čistou hodnotu</w:t>
      </w:r>
      <w:r>
        <w:rPr>
          <w:rStyle w:val="FootnoteReference"/>
          <w:i w:val="0"/>
          <w:position w:val="0"/>
          <w:sz w:val="20"/>
          <w:vertAlign w:val="superscript"/>
        </w:rPr>
        <w:footnoteReference w:id="23"/>
      </w:r>
      <w:r>
        <w:t xml:space="preserve"> ukazatelů dopadů</w:t>
      </w:r>
      <w:r w:rsidR="009F7226">
        <w:t>,</w:t>
      </w:r>
    </w:p>
    <w:p w:rsidR="001C2076" w:rsidRPr="001C6ACF" w:rsidRDefault="007B324B" w:rsidP="00E35440">
      <w:pPr>
        <w:pStyle w:val="Hlistbullet"/>
      </w:pPr>
      <w:r>
        <w:t xml:space="preserve">pro účely zodpovězení </w:t>
      </w:r>
      <w:r w:rsidR="00253622">
        <w:t>hodnotic</w:t>
      </w:r>
      <w:r>
        <w:t>ích otázek uvést k ukazatelům výsledků a dopadů kvantitativní hodnoty i příslušná kvalitativní zjištění</w:t>
      </w:r>
      <w:r w:rsidR="009F7226">
        <w:t>,</w:t>
      </w:r>
    </w:p>
    <w:p w:rsidR="001C2076" w:rsidRPr="001C6ACF" w:rsidRDefault="007B324B" w:rsidP="00E35440">
      <w:pPr>
        <w:pStyle w:val="Hlistbullet"/>
      </w:pPr>
      <w:r>
        <w:t xml:space="preserve">zodpovědět </w:t>
      </w:r>
      <w:r w:rsidR="00253622">
        <w:t>hodnotic</w:t>
      </w:r>
      <w:r>
        <w:t>í otázky.</w:t>
      </w:r>
    </w:p>
    <w:p w:rsidR="001C2076" w:rsidRPr="001C6ACF" w:rsidRDefault="00217482" w:rsidP="007D2D54">
      <w:pPr>
        <w:pStyle w:val="HStandard"/>
      </w:pPr>
      <w:r>
        <w:t>Výše uvedený postup se podobá postupu navrženému pro hodnocení v roce 2017. V roce 2019 však mohou nastat některé nové problémy, které jsou podrobně popsány v </w:t>
      </w:r>
      <w:r>
        <w:rPr>
          <w:color w:val="F07E31" w:themeColor="accent1"/>
        </w:rPr>
        <w:t>části II</w:t>
      </w:r>
      <w:r>
        <w:t xml:space="preserve"> pokynů. </w:t>
      </w:r>
    </w:p>
    <w:p w:rsidR="001C2076" w:rsidRPr="001C6ACF" w:rsidRDefault="001C2076" w:rsidP="00812032">
      <w:pPr>
        <w:pStyle w:val="HHeading4"/>
      </w:pPr>
      <w:r>
        <w:t xml:space="preserve">Kde lze nalézt pokyny ke společným </w:t>
      </w:r>
      <w:r w:rsidR="00253622">
        <w:t>hodnotic</w:t>
      </w:r>
      <w:r>
        <w:t xml:space="preserve">ím otázkám zodpovídaným v roce 2019? </w:t>
      </w:r>
    </w:p>
    <w:p w:rsidR="00217482" w:rsidRPr="001C6ACF" w:rsidRDefault="00217482" w:rsidP="00217482">
      <w:pPr>
        <w:pStyle w:val="HStandard"/>
      </w:pPr>
      <w:r>
        <w:t xml:space="preserve">V těchto pokynech je podrobně popsáno, jak zodpovědět společné </w:t>
      </w:r>
      <w:r w:rsidR="00253622">
        <w:t>hodnotic</w:t>
      </w:r>
      <w:r>
        <w:t>í otázky 22–30 spojené s cíli na úrovni EU. V případě potřeby se v nich odkazuje na další příslušn</w:t>
      </w:r>
      <w:r w:rsidR="009F7226">
        <w:t>é</w:t>
      </w:r>
      <w:r>
        <w:t xml:space="preserve"> </w:t>
      </w:r>
      <w:r w:rsidR="009F7226">
        <w:t xml:space="preserve">pokyny </w:t>
      </w:r>
      <w:r>
        <w:t xml:space="preserve">(viz tabulku 1). </w:t>
      </w:r>
    </w:p>
    <w:p w:rsidR="001C2076" w:rsidRPr="001C6ACF" w:rsidRDefault="001C2076" w:rsidP="001C2076">
      <w:pPr>
        <w:spacing w:after="0" w:line="280" w:lineRule="atLeast"/>
        <w:rPr>
          <w:rFonts w:cs="Arial"/>
          <w:color w:val="373737" w:themeColor="text1"/>
          <w:sz w:val="20"/>
          <w:szCs w:val="20"/>
        </w:rPr>
      </w:pPr>
      <w:r>
        <w:rPr>
          <w:color w:val="373737" w:themeColor="text1"/>
          <w:sz w:val="20"/>
        </w:rPr>
        <w:t xml:space="preserve">Pokyny ke zodpovídání společných </w:t>
      </w:r>
      <w:r w:rsidR="00253622">
        <w:rPr>
          <w:color w:val="373737" w:themeColor="text1"/>
          <w:sz w:val="20"/>
        </w:rPr>
        <w:t>hodnotic</w:t>
      </w:r>
      <w:r>
        <w:rPr>
          <w:color w:val="373737" w:themeColor="text1"/>
          <w:sz w:val="20"/>
        </w:rPr>
        <w:t>ích otázek spojených s prioritními oblastmi rozvoje venkova, synergickými účinky programu, technickou podporou a celostátními sítěmi pro venkov (otázky 1–21) jsou k dispozici v následujících dokumentech:</w:t>
      </w:r>
    </w:p>
    <w:p w:rsidR="008E3ACB" w:rsidRPr="001C6ACF" w:rsidRDefault="00217482" w:rsidP="00E35440">
      <w:pPr>
        <w:pStyle w:val="Hlistbullet"/>
      </w:pPr>
      <w:r>
        <w:rPr>
          <w:i/>
        </w:rPr>
        <w:t>pokyny k </w:t>
      </w:r>
      <w:hyperlink r:id="rId17">
        <w:r>
          <w:rPr>
            <w:rStyle w:val="Hyperlink"/>
            <w:i/>
            <w:color w:val="373737" w:themeColor="text1"/>
            <w:u w:val="none"/>
          </w:rPr>
          <w:t>posuzování výsledků PRV zaměřené na přípravu na podávání zpráv o hodnocení v roce 2017</w:t>
        </w:r>
      </w:hyperlink>
      <w:r>
        <w:t xml:space="preserve">: tento dokument vysvětluje, jak referovat o hodnocení ve výročních zprávách o provádění předkládaných v roce 2017 a později. V pokynech jsou uvedeny možné přístupy k hodnocení při posuzování výsledků PRV v roce 2017, které v souvislosti se společnými </w:t>
      </w:r>
      <w:r w:rsidR="00253622">
        <w:t>hodnotic</w:t>
      </w:r>
      <w:r>
        <w:t>ími otázkami 1–21 zůstávají v platnosti i pro rok 2019</w:t>
      </w:r>
      <w:r w:rsidR="009F7226">
        <w:t>,</w:t>
      </w:r>
      <w:r>
        <w:t xml:space="preserve"> </w:t>
      </w:r>
    </w:p>
    <w:p w:rsidR="001C2076" w:rsidRPr="001C6ACF" w:rsidRDefault="00CC4973" w:rsidP="00E35440">
      <w:pPr>
        <w:pStyle w:val="Hlistbullet"/>
      </w:pPr>
      <w:hyperlink r:id="rId18">
        <w:r w:rsidR="006F62E2">
          <w:rPr>
            <w:rStyle w:val="Hyperlink"/>
            <w:i/>
            <w:color w:val="373737" w:themeColor="text1"/>
            <w:u w:val="none"/>
          </w:rPr>
          <w:t xml:space="preserve">příloha 11 – Informační listy pro zodpovídání společných </w:t>
        </w:r>
        <w:r w:rsidR="00253622">
          <w:rPr>
            <w:rStyle w:val="Hyperlink"/>
            <w:i/>
            <w:color w:val="373737" w:themeColor="text1"/>
            <w:u w:val="none"/>
          </w:rPr>
          <w:t>hodnotic</w:t>
        </w:r>
        <w:r w:rsidR="006F62E2">
          <w:rPr>
            <w:rStyle w:val="Hyperlink"/>
            <w:i/>
            <w:color w:val="373737" w:themeColor="text1"/>
            <w:u w:val="none"/>
          </w:rPr>
          <w:t>ích otázek pro programy rozvoje venkova 2014–2020</w:t>
        </w:r>
      </w:hyperlink>
      <w:r w:rsidR="006F62E2">
        <w:rPr>
          <w:rStyle w:val="Hyperlink"/>
          <w:i/>
          <w:color w:val="373737" w:themeColor="text1"/>
          <w:u w:val="none"/>
        </w:rPr>
        <w:t>:</w:t>
      </w:r>
      <w:r w:rsidR="006F62E2">
        <w:t xml:space="preserve"> tato příloha poskytuje technickou podporu při zodpovídání společných </w:t>
      </w:r>
      <w:r w:rsidR="00253622">
        <w:t>hodnotic</w:t>
      </w:r>
      <w:r w:rsidR="006F62E2">
        <w:t>ích otázek 1–21. Objasňuje intervenční logiku spojenou s každou otázkou, popisuje užitečné prvky hodnocení a navrhuje metody posuzování.</w:t>
      </w:r>
    </w:p>
    <w:p w:rsidR="0020488A" w:rsidRPr="001C6ACF" w:rsidRDefault="0020488A" w:rsidP="005A56B7">
      <w:pPr>
        <w:pStyle w:val="HStandard"/>
      </w:pPr>
      <w:r>
        <w:t xml:space="preserve">Přehled nejrelevantnější dokumentace ke zodpovídání společných </w:t>
      </w:r>
      <w:r w:rsidR="00253622">
        <w:t>hodnotic</w:t>
      </w:r>
      <w:r>
        <w:t xml:space="preserve">ích otázek ve výročních zprávách o provádění v roce 2019 je uveden v tabulce 1: </w:t>
      </w:r>
    </w:p>
    <w:p w:rsidR="00AB3BA1" w:rsidRPr="001C6ACF" w:rsidRDefault="009F77FD" w:rsidP="006B44E5">
      <w:pPr>
        <w:pStyle w:val="HHeadingtables"/>
      </w:pPr>
      <w:r>
        <w:br w:type="column"/>
      </w:r>
      <w:r>
        <w:lastRenderedPageBreak/>
        <w:t xml:space="preserve">Vodítka pro zodpovídání společných </w:t>
      </w:r>
      <w:r w:rsidR="00253622">
        <w:t>hodnotic</w:t>
      </w:r>
      <w:r>
        <w:t>ích otázek ve výročních zprávách o provádění v roce 2019</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129"/>
        <w:gridCol w:w="2410"/>
        <w:gridCol w:w="5477"/>
      </w:tblGrid>
      <w:tr w:rsidR="00AB3BA1" w:rsidRPr="001C6ACF" w:rsidTr="00A746BC">
        <w:trPr>
          <w:tblHeader/>
        </w:trPr>
        <w:tc>
          <w:tcPr>
            <w:tcW w:w="1129" w:type="dxa"/>
            <w:shd w:val="clear" w:color="auto" w:fill="F07E31" w:themeFill="accent1"/>
          </w:tcPr>
          <w:p w:rsidR="00AB3BA1" w:rsidRPr="001C6ACF" w:rsidRDefault="007038B3" w:rsidP="00A746BC">
            <w:pPr>
              <w:pStyle w:val="HStandard"/>
              <w:jc w:val="center"/>
              <w:rPr>
                <w:b/>
                <w:color w:val="FFFFFF" w:themeColor="background1"/>
              </w:rPr>
            </w:pPr>
            <w:r>
              <w:rPr>
                <w:b/>
                <w:color w:val="FFFFFF" w:themeColor="background1"/>
              </w:rPr>
              <w:t>Otázka</w:t>
            </w:r>
          </w:p>
        </w:tc>
        <w:tc>
          <w:tcPr>
            <w:tcW w:w="2410" w:type="dxa"/>
            <w:shd w:val="clear" w:color="auto" w:fill="F07E31" w:themeFill="accent1"/>
          </w:tcPr>
          <w:p w:rsidR="00AB3BA1" w:rsidRPr="001C6ACF" w:rsidRDefault="00116A79" w:rsidP="008D52EA">
            <w:pPr>
              <w:pStyle w:val="HStandard"/>
              <w:jc w:val="center"/>
              <w:rPr>
                <w:b/>
                <w:color w:val="FFFFFF" w:themeColor="background1"/>
              </w:rPr>
            </w:pPr>
            <w:r>
              <w:rPr>
                <w:b/>
                <w:color w:val="FFFFFF" w:themeColor="background1"/>
              </w:rPr>
              <w:t>Dokument</w:t>
            </w:r>
          </w:p>
        </w:tc>
        <w:tc>
          <w:tcPr>
            <w:tcW w:w="5477" w:type="dxa"/>
            <w:shd w:val="clear" w:color="auto" w:fill="F07E31" w:themeFill="accent1"/>
          </w:tcPr>
          <w:p w:rsidR="00AB3BA1" w:rsidRPr="001C6ACF" w:rsidRDefault="00146C75" w:rsidP="008D52EA">
            <w:pPr>
              <w:pStyle w:val="HStandard"/>
              <w:jc w:val="center"/>
              <w:rPr>
                <w:b/>
                <w:color w:val="FFFFFF" w:themeColor="background1"/>
              </w:rPr>
            </w:pPr>
            <w:r>
              <w:rPr>
                <w:b/>
                <w:color w:val="FFFFFF" w:themeColor="background1"/>
              </w:rPr>
              <w:t>Význam pro výroční zprávy o provádění v roce 2019</w:t>
            </w:r>
          </w:p>
        </w:tc>
      </w:tr>
      <w:tr w:rsidR="009F7952" w:rsidRPr="001C6ACF" w:rsidTr="00A746BC">
        <w:trPr>
          <w:trHeight w:val="1091"/>
        </w:trPr>
        <w:tc>
          <w:tcPr>
            <w:tcW w:w="1129" w:type="dxa"/>
            <w:vMerge w:val="restart"/>
          </w:tcPr>
          <w:p w:rsidR="009F7952" w:rsidRPr="001C6ACF" w:rsidRDefault="009F7952" w:rsidP="00A746BC">
            <w:pPr>
              <w:pStyle w:val="HStandard"/>
              <w:jc w:val="center"/>
            </w:pPr>
            <w:r>
              <w:t>1–21</w:t>
            </w:r>
          </w:p>
        </w:tc>
        <w:tc>
          <w:tcPr>
            <w:tcW w:w="2410" w:type="dxa"/>
          </w:tcPr>
          <w:p w:rsidR="009F7952" w:rsidRPr="00571D58" w:rsidRDefault="00CC4973" w:rsidP="00C422C4">
            <w:pPr>
              <w:pStyle w:val="HStandard"/>
              <w:jc w:val="left"/>
            </w:pPr>
            <w:hyperlink r:id="rId19">
              <w:r w:rsidR="006F62E2">
                <w:rPr>
                  <w:rStyle w:val="Hyperlink"/>
                </w:rPr>
                <w:t>informační listy s cílovými ukazateli v pilíři II (priority I a II)</w:t>
              </w:r>
            </w:hyperlink>
          </w:p>
        </w:tc>
        <w:tc>
          <w:tcPr>
            <w:tcW w:w="5477" w:type="dxa"/>
          </w:tcPr>
          <w:p w:rsidR="009F7952" w:rsidRPr="00FB6C06" w:rsidRDefault="009F7952" w:rsidP="005A56B7">
            <w:pPr>
              <w:pStyle w:val="HStandard"/>
            </w:pPr>
            <w:r>
              <w:t>Uvádějí u každého ukazatele souvislost s příslušnou prioritou a prioritní oblastí, definici a měrnou jednotku, metodiku výpočtu, požadavky na údaje a zdroje údajů, četnost sběru a způsob předání Evropské komisi.</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CC4973" w:rsidP="00DF22D0">
            <w:pPr>
              <w:pStyle w:val="HStandard"/>
              <w:jc w:val="left"/>
            </w:pPr>
            <w:hyperlink r:id="rId20">
              <w:r w:rsidR="006F62E2">
                <w:rPr>
                  <w:rStyle w:val="Hyperlink"/>
                </w:rPr>
                <w:t>informační listy s ukazateli výsledků v pilíři II</w:t>
              </w:r>
            </w:hyperlink>
          </w:p>
        </w:tc>
        <w:tc>
          <w:tcPr>
            <w:tcW w:w="5477" w:type="dxa"/>
          </w:tcPr>
          <w:p w:rsidR="009F7952" w:rsidRPr="00336531" w:rsidRDefault="009F7952" w:rsidP="005A56B7">
            <w:pPr>
              <w:pStyle w:val="HStandard"/>
            </w:pPr>
            <w:r>
              <w:t>Obsahují obdobné pokyny ke každému z doplňkových ukazatelů výsledků.</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863E73" w:rsidRDefault="00CC4973" w:rsidP="00DF22D0">
            <w:pPr>
              <w:pStyle w:val="HStandard"/>
              <w:jc w:val="left"/>
            </w:pPr>
            <w:hyperlink r:id="rId21">
              <w:r w:rsidR="006F62E2">
                <w:rPr>
                  <w:rStyle w:val="Hyperlink"/>
                </w:rPr>
                <w:t>pokyny k posuzování výsledků PRV zaměřené na přípravu na podávání zpráv o hodnocení v roce 2017</w:t>
              </w:r>
            </w:hyperlink>
            <w:r w:rsidR="006F62E2">
              <w:rPr>
                <w:rStyle w:val="Hyperlink"/>
              </w:rPr>
              <w:t xml:space="preserve"> (samostatná příloha 11)</w:t>
            </w:r>
          </w:p>
        </w:tc>
        <w:tc>
          <w:tcPr>
            <w:tcW w:w="5477" w:type="dxa"/>
          </w:tcPr>
          <w:p w:rsidR="009F7952" w:rsidRPr="001C6ACF" w:rsidRDefault="00116A79" w:rsidP="00593F3E">
            <w:pPr>
              <w:pStyle w:val="HStandard"/>
            </w:pPr>
            <w:r>
              <w:t xml:space="preserve">Doporučují, jak referovat o hodnocení ve výročních zprávách o provádění předkládaných v roce 2017, jak provádět </w:t>
            </w:r>
            <w:r w:rsidR="00253622">
              <w:t>hodnotic</w:t>
            </w:r>
            <w:r>
              <w:t xml:space="preserve">í činnosti a jakými metodami zodpovídat společné </w:t>
            </w:r>
            <w:r w:rsidR="00253622">
              <w:t>hodnotic</w:t>
            </w:r>
            <w:r>
              <w:t>ích otázky 1–21.</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CC4973" w:rsidP="00DF22D0">
            <w:pPr>
              <w:pStyle w:val="HStandard"/>
              <w:jc w:val="left"/>
            </w:pPr>
            <w:hyperlink r:id="rId22">
              <w:r w:rsidR="006F62E2">
                <w:rPr>
                  <w:rStyle w:val="Hyperlink"/>
                </w:rPr>
                <w:t>pokyny k hodnocení iniciativy LEADER / komunitně vedeného místního rozvoje</w:t>
              </w:r>
            </w:hyperlink>
          </w:p>
        </w:tc>
        <w:tc>
          <w:tcPr>
            <w:tcW w:w="5477" w:type="dxa"/>
          </w:tcPr>
          <w:p w:rsidR="009F7952" w:rsidRPr="007645B4" w:rsidRDefault="00116A79" w:rsidP="005A56B7">
            <w:pPr>
              <w:pStyle w:val="HStandard"/>
            </w:pPr>
            <w:r>
              <w:t xml:space="preserve">Objasňují, jak posuzovat primární a sekundární příspěvky iniciativy LEADER / komunitně vedeného místního rozvoje k prioritním oblastem rozvoje venkova. </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CC4973" w:rsidP="00DF22D0">
            <w:pPr>
              <w:pStyle w:val="HStandard"/>
              <w:jc w:val="left"/>
            </w:pPr>
            <w:hyperlink r:id="rId23">
              <w:r w:rsidR="006F62E2">
                <w:rPr>
                  <w:rStyle w:val="Hyperlink"/>
                </w:rPr>
                <w:t>pokyny k hodnocení inovací v rámci programů rozvoje venkova 2014–2020</w:t>
              </w:r>
            </w:hyperlink>
          </w:p>
        </w:tc>
        <w:tc>
          <w:tcPr>
            <w:tcW w:w="5477" w:type="dxa"/>
          </w:tcPr>
          <w:p w:rsidR="009F7952" w:rsidRPr="00863E73" w:rsidRDefault="009F7952" w:rsidP="005A56B7">
            <w:pPr>
              <w:pStyle w:val="HStandard"/>
            </w:pPr>
            <w:r>
              <w:t xml:space="preserve">Informují o posuzování inovací spojených s prioritními oblastmi 1A a 1B a o podpoře inovací prostřednictvím činnosti celostátních sítí pro venkov. Poskytují také podporu pro zodpovídání otázek 1, 2 a 21 z hlediska inovací. </w:t>
            </w:r>
          </w:p>
        </w:tc>
      </w:tr>
      <w:tr w:rsidR="002C57D4" w:rsidRPr="001C6ACF" w:rsidTr="00A746BC">
        <w:tc>
          <w:tcPr>
            <w:tcW w:w="1129" w:type="dxa"/>
            <w:vMerge w:val="restart"/>
          </w:tcPr>
          <w:p w:rsidR="002C57D4" w:rsidRPr="001C6ACF" w:rsidRDefault="002C57D4" w:rsidP="00A746BC">
            <w:pPr>
              <w:pStyle w:val="HStandard"/>
              <w:jc w:val="center"/>
            </w:pPr>
            <w:r>
              <w:t>22–30</w:t>
            </w:r>
          </w:p>
        </w:tc>
        <w:tc>
          <w:tcPr>
            <w:tcW w:w="2410" w:type="dxa"/>
          </w:tcPr>
          <w:p w:rsidR="002C57D4" w:rsidRPr="00571D58" w:rsidRDefault="00CC4973" w:rsidP="00DF22D0">
            <w:pPr>
              <w:pStyle w:val="HStandard"/>
              <w:jc w:val="left"/>
            </w:pPr>
            <w:hyperlink r:id="rId24">
              <w:r w:rsidR="006F62E2">
                <w:rPr>
                  <w:rStyle w:val="Hyperlink"/>
                </w:rPr>
                <w:t>informační listy s ukazateli dopadů</w:t>
              </w:r>
            </w:hyperlink>
            <w:r w:rsidR="006F62E2">
              <w:t xml:space="preserve"> </w:t>
            </w:r>
          </w:p>
        </w:tc>
        <w:tc>
          <w:tcPr>
            <w:tcW w:w="5477" w:type="dxa"/>
          </w:tcPr>
          <w:p w:rsidR="002C57D4" w:rsidRPr="001C6ACF" w:rsidRDefault="002C57D4" w:rsidP="005A56B7">
            <w:pPr>
              <w:pStyle w:val="HStandard"/>
            </w:pPr>
            <w:r>
              <w:t>Uvádějí informace o souvislosti ukazatelů s celkovými cíli SZP, definice ukazatelů, měrné jednotky, metodiku</w:t>
            </w:r>
            <w:r w:rsidR="009F7226">
              <w:t>,</w:t>
            </w:r>
            <w:r>
              <w:t xml:space="preserve"> resp. vzorec výpočtu, požadavky na údaje, zdroje údajů, četnost/prodlevu sběru a umístění údajů.</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CC4973">
            <w:pPr>
              <w:pStyle w:val="HStandard"/>
              <w:jc w:val="left"/>
            </w:pPr>
            <w:hyperlink r:id="rId25">
              <w:r w:rsidR="006F62E2">
                <w:rPr>
                  <w:rStyle w:val="Hyperlink"/>
                </w:rPr>
                <w:t>nejnovější údaje o kontextových ukazatelích ze členských států</w:t>
              </w:r>
            </w:hyperlink>
          </w:p>
        </w:tc>
        <w:tc>
          <w:tcPr>
            <w:tcW w:w="5477" w:type="dxa"/>
          </w:tcPr>
          <w:p w:rsidR="00A75E50" w:rsidRPr="00336531" w:rsidRDefault="00A75E50" w:rsidP="00FF4127">
            <w:pPr>
              <w:pStyle w:val="HStandard"/>
            </w:pPr>
            <w:r>
              <w:t>Evropská komise ročně aktualizuje údaje (v závislosti na dostupnosti) o společných kontextových ukazatelích na základě informací zaslaných členskými státy.</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CC4973" w:rsidP="00DF22D0">
            <w:pPr>
              <w:pStyle w:val="HStandard"/>
              <w:jc w:val="left"/>
              <w:rPr>
                <w:color w:val="F07E31" w:themeColor="accent1"/>
              </w:rPr>
            </w:pPr>
            <w:hyperlink r:id="rId26">
              <w:r w:rsidR="006F62E2">
                <w:rPr>
                  <w:rStyle w:val="Hyperlink"/>
                </w:rPr>
                <w:t>pokyny k hodnocení inovací v rámci programů rozvoje venkova 2014–2020</w:t>
              </w:r>
            </w:hyperlink>
          </w:p>
          <w:p w:rsidR="00A75E50" w:rsidRPr="00336531" w:rsidRDefault="00A75E50">
            <w:pPr>
              <w:pStyle w:val="HStandard"/>
              <w:jc w:val="left"/>
            </w:pPr>
          </w:p>
        </w:tc>
        <w:tc>
          <w:tcPr>
            <w:tcW w:w="5477" w:type="dxa"/>
          </w:tcPr>
          <w:p w:rsidR="00A75E50" w:rsidRPr="001C6ACF" w:rsidRDefault="00A75E50" w:rsidP="00FF4127">
            <w:pPr>
              <w:pStyle w:val="HStandard"/>
            </w:pPr>
            <w:r>
              <w:t xml:space="preserve">Poskytují informace o posuzování příspěvků PRV k hlavnímu cíli EU na rok 2020, kterým je investovat 3 % HDP EU do výzkumu, vývoje a inovací, o posuzování příspěvků PRV k inovacím a o zodpovídání společných </w:t>
            </w:r>
            <w:r w:rsidR="00253622">
              <w:t>hodnotic</w:t>
            </w:r>
            <w:r>
              <w:t>ích otázek 23 a 30.</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CC4973" w:rsidP="00DF22D0">
            <w:pPr>
              <w:pStyle w:val="HStandard"/>
              <w:jc w:val="left"/>
            </w:pPr>
            <w:hyperlink r:id="rId27">
              <w:r w:rsidR="006F62E2">
                <w:rPr>
                  <w:rStyle w:val="Hyperlink"/>
                </w:rPr>
                <w:t>informace o strategii Evropa 2020</w:t>
              </w:r>
            </w:hyperlink>
          </w:p>
        </w:tc>
        <w:tc>
          <w:tcPr>
            <w:tcW w:w="5477" w:type="dxa"/>
          </w:tcPr>
          <w:p w:rsidR="00A75E50" w:rsidRPr="001C6ACF" w:rsidRDefault="00A75E50" w:rsidP="00EE407C">
            <w:pPr>
              <w:pStyle w:val="HStandard"/>
            </w:pPr>
            <w:r>
              <w:t xml:space="preserve">Strategie Evropa 2020 se používá jako referenční rámec pro činnost na úrovni EU, členských států a regionů. Vlády EU stanovily vnitrostátní cíle, aby pomohly dosáhnout celkových hlavních cílů EU, a referují o nich v rámci svých každoročních národních programů reforem. Statistický úřad EU Eurostat pravidelně zveřejňuje obsáhlé zprávy o pokroku v provádění cílů (publikace </w:t>
            </w:r>
            <w:hyperlink r:id="rId28">
              <w:r>
                <w:rPr>
                  <w:rStyle w:val="Hyperlink"/>
                </w:rPr>
                <w:t xml:space="preserve">„Smarter, greener, </w:t>
              </w:r>
              <w:r>
                <w:rPr>
                  <w:rStyle w:val="Hyperlink"/>
                </w:rPr>
                <w:lastRenderedPageBreak/>
                <w:t>more inclusive? Indicators to support the Europe 2020 strategy“</w:t>
              </w:r>
            </w:hyperlink>
            <w:r>
              <w:t xml:space="preserve"> (Inteligentněji, zeleněji a inkluzivněji? Ukazatele na podporu strategie Evropa 2020)</w:t>
            </w:r>
            <w:r>
              <w:rPr>
                <w:color w:val="333333"/>
              </w:rPr>
              <w:t>). Tyto zprávy sledují pokrok v dosahování cílů EU stanovených v rámci tří navzájem se podporujících priorit udržitelného a inteligentního růstu podporujícího začlenění a popisují situaci ve členských státech.</w:t>
            </w:r>
          </w:p>
        </w:tc>
      </w:tr>
      <w:tr w:rsidR="00A75E50" w:rsidRPr="001C6ACF" w:rsidTr="00A746BC">
        <w:tc>
          <w:tcPr>
            <w:tcW w:w="1129" w:type="dxa"/>
            <w:vMerge w:val="restart"/>
          </w:tcPr>
          <w:p w:rsidR="00A75E50" w:rsidRPr="001C6ACF" w:rsidRDefault="00A75E50" w:rsidP="00A746BC">
            <w:pPr>
              <w:pStyle w:val="HStandard"/>
              <w:jc w:val="center"/>
            </w:pPr>
            <w:r>
              <w:lastRenderedPageBreak/>
              <w:t>22, 23, 24, 25, 30</w:t>
            </w:r>
          </w:p>
        </w:tc>
        <w:tc>
          <w:tcPr>
            <w:tcW w:w="2410" w:type="dxa"/>
          </w:tcPr>
          <w:p w:rsidR="00A75E50" w:rsidRPr="00571D58" w:rsidRDefault="00CC4973" w:rsidP="009F7226">
            <w:pPr>
              <w:pStyle w:val="HStandard"/>
              <w:jc w:val="left"/>
              <w:rPr>
                <w:rFonts w:cs="Arial"/>
                <w:color w:val="F07E31" w:themeColor="accent1"/>
              </w:rPr>
            </w:pPr>
            <w:hyperlink r:id="rId29">
              <w:r w:rsidR="006F62E2">
                <w:rPr>
                  <w:rStyle w:val="Hyperlink"/>
                </w:rPr>
                <w:t xml:space="preserve">informace </w:t>
              </w:r>
              <w:r w:rsidR="009F7226">
                <w:rPr>
                  <w:rStyle w:val="Hyperlink"/>
                </w:rPr>
                <w:t xml:space="preserve">členských států </w:t>
              </w:r>
              <w:r w:rsidR="006F62E2">
                <w:rPr>
                  <w:rStyle w:val="Hyperlink"/>
                </w:rPr>
                <w:t xml:space="preserve">o cílech strategie Evropa 2020 </w:t>
              </w:r>
            </w:hyperlink>
          </w:p>
        </w:tc>
        <w:tc>
          <w:tcPr>
            <w:tcW w:w="5477" w:type="dxa"/>
          </w:tcPr>
          <w:p w:rsidR="00A75E50" w:rsidRPr="001C6ACF" w:rsidRDefault="00A75E50" w:rsidP="00823352">
            <w:pPr>
              <w:pStyle w:val="HStandard"/>
            </w:pPr>
            <w:r>
              <w:t>Eurostat pravidelně aktualizuje informace o vnitrostátních cílech, které v jednotlivých členských státech pomáhají plnit hlavní cíle strategie Evropa 2020.</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CC4973">
            <w:pPr>
              <w:pStyle w:val="HStandard"/>
              <w:jc w:val="left"/>
              <w:rPr>
                <w:rFonts w:cs="Arial"/>
              </w:rPr>
            </w:pPr>
            <w:hyperlink r:id="rId30">
              <w:r w:rsidR="006F62E2">
                <w:rPr>
                  <w:rStyle w:val="Hyperlink"/>
                </w:rPr>
                <w:t>informační listy s kontextovými ukazateli</w:t>
              </w:r>
            </w:hyperlink>
            <w:r w:rsidR="006F62E2">
              <w:t xml:space="preserve"> </w:t>
            </w:r>
          </w:p>
        </w:tc>
        <w:tc>
          <w:tcPr>
            <w:tcW w:w="5477" w:type="dxa"/>
          </w:tcPr>
          <w:p w:rsidR="00A75E50" w:rsidRPr="007645B4" w:rsidRDefault="00A75E50" w:rsidP="00FF4127">
            <w:pPr>
              <w:pStyle w:val="HStandard"/>
            </w:pPr>
            <w:r>
              <w:t>Celkem 45 společných kontextových ukazatelů SZP (rozdělených do tří skupin – sociálně-ekonomické, odvětvové a environmentální) odráží příslušné aspekty obecných kontextových trendů v oblasti hospodářství, životního prostředí a společnosti. Tyto ukazatele pravděpodobně ovlivní provádění, výsledky a výkonnost SZP. Informační listy obsahují popis definic, metodiky a zdrojů údajů.</w:t>
            </w:r>
          </w:p>
        </w:tc>
      </w:tr>
      <w:tr w:rsidR="00A75E50" w:rsidRPr="001C6ACF" w:rsidTr="00A746BC">
        <w:trPr>
          <w:trHeight w:val="1800"/>
        </w:trPr>
        <w:tc>
          <w:tcPr>
            <w:tcW w:w="1129" w:type="dxa"/>
          </w:tcPr>
          <w:p w:rsidR="00A75E50" w:rsidRPr="001C6ACF" w:rsidRDefault="00A75E50" w:rsidP="00A746BC">
            <w:pPr>
              <w:pStyle w:val="HStandard"/>
              <w:jc w:val="center"/>
            </w:pPr>
            <w:r>
              <w:t xml:space="preserve">Všechny společné </w:t>
            </w:r>
            <w:r w:rsidR="00253622">
              <w:t>hodnotic</w:t>
            </w:r>
            <w:r>
              <w:t>í otázky</w:t>
            </w:r>
          </w:p>
        </w:tc>
        <w:tc>
          <w:tcPr>
            <w:tcW w:w="2410" w:type="dxa"/>
          </w:tcPr>
          <w:p w:rsidR="00A75E50" w:rsidRPr="00571D58" w:rsidRDefault="00CC4973" w:rsidP="00E95159">
            <w:pPr>
              <w:pStyle w:val="HStandard"/>
              <w:jc w:val="left"/>
            </w:pPr>
            <w:hyperlink r:id="rId31">
              <w:r w:rsidR="006F62E2">
                <w:rPr>
                  <w:rStyle w:val="Hyperlink"/>
                </w:rPr>
                <w:t xml:space="preserve">pracovní dokument „Společné </w:t>
              </w:r>
              <w:r w:rsidR="00253622">
                <w:rPr>
                  <w:rStyle w:val="Hyperlink"/>
                </w:rPr>
                <w:t>hodnotic</w:t>
              </w:r>
              <w:r w:rsidR="006F62E2">
                <w:rPr>
                  <w:rStyle w:val="Hyperlink"/>
                </w:rPr>
                <w:t>í otázky pro programy rozvoje venkova 2014–2020“</w:t>
              </w:r>
            </w:hyperlink>
          </w:p>
        </w:tc>
        <w:tc>
          <w:tcPr>
            <w:tcW w:w="5477" w:type="dxa"/>
          </w:tcPr>
          <w:p w:rsidR="00A75E50" w:rsidRPr="00863E73" w:rsidRDefault="00A75E50" w:rsidP="00E95159">
            <w:pPr>
              <w:pStyle w:val="HStandard"/>
            </w:pPr>
            <w:r>
              <w:t xml:space="preserve">Tento dokument objasňuje účel a použití společných </w:t>
            </w:r>
            <w:r w:rsidR="00253622">
              <w:t>hodnotic</w:t>
            </w:r>
            <w:r>
              <w:t xml:space="preserve">ích otázek ve společném systému monitorování a hodnocení. Popisuje různé typy </w:t>
            </w:r>
            <w:r w:rsidR="00253622">
              <w:t>hodnotic</w:t>
            </w:r>
            <w:r>
              <w:t xml:space="preserve">ích otázek a uvádí výčet </w:t>
            </w:r>
            <w:r w:rsidR="00253622">
              <w:t>hodnotic</w:t>
            </w:r>
            <w:r>
              <w:t xml:space="preserve">ích kritérií a společných i doplňkových ukazatelů ke společným </w:t>
            </w:r>
            <w:r w:rsidR="00253622">
              <w:t>hodnotic</w:t>
            </w:r>
            <w:r>
              <w:t>ím otázkám 1–21.</w:t>
            </w:r>
          </w:p>
        </w:tc>
      </w:tr>
    </w:tbl>
    <w:p w:rsidR="00154C43" w:rsidRPr="001C6ACF" w:rsidRDefault="00154C43"/>
    <w:p w:rsidR="001C2076" w:rsidRPr="001C6ACF" w:rsidRDefault="001C2076" w:rsidP="00E35440">
      <w:pPr>
        <w:pStyle w:val="HHeading2"/>
      </w:pPr>
      <w:r>
        <w:t xml:space="preserve">Příprava na výroční zprávy o provádění v roce 2019 </w:t>
      </w:r>
    </w:p>
    <w:p w:rsidR="009B016B" w:rsidRPr="001C6ACF" w:rsidRDefault="00806A70" w:rsidP="00217482">
      <w:pPr>
        <w:pStyle w:val="HStandard"/>
      </w:pPr>
      <w:r>
        <w:t>V rámci přípravy na posuzování výsledků a dopadů PRV v roce 2019 mohou různé zúčastněné strany v členských státech podniknout několik opatření</w:t>
      </w:r>
      <w:r>
        <w:rPr>
          <w:rStyle w:val="FootnoteReference"/>
          <w:sz w:val="20"/>
          <w:vertAlign w:val="superscript"/>
        </w:rPr>
        <w:footnoteReference w:id="24"/>
      </w:r>
      <w:r>
        <w:t>, která pomohou zajistit, aby zjištění vyplývající z hodnocení byla</w:t>
      </w:r>
      <w:r w:rsidR="009F7226">
        <w:t xml:space="preserve"> pro tvůrce politik</w:t>
      </w:r>
      <w:r>
        <w:t xml:space="preserve"> kvalitní a relevantní.</w:t>
      </w:r>
    </w:p>
    <w:p w:rsidR="00932C3E" w:rsidRPr="001C6ACF" w:rsidRDefault="003146E6" w:rsidP="00217482">
      <w:pPr>
        <w:pStyle w:val="HStandard"/>
      </w:pPr>
      <w:r>
        <w:t xml:space="preserve">V tabulce 2 je uveden doporučený kontrolní seznam, který pokrývá kroky nutné k provedení hodnocení v roce 2019. Zahrnuje také některé přípravné kroky, které lze v případě, že dosud nebyly provedeny, provést do zahájení </w:t>
      </w:r>
      <w:r w:rsidR="00253622">
        <w:t>hodnotic</w:t>
      </w:r>
      <w:r>
        <w:t xml:space="preserve">í činnosti v roce 2019. V tabulce 2 je uvedena odpovědnost různých činitelů, kteří se do </w:t>
      </w:r>
      <w:r w:rsidR="00253622">
        <w:t>hodnotic</w:t>
      </w:r>
      <w:r>
        <w:t xml:space="preserve">í činnosti mohou zapojit na úrovni členských států: řídicího orgánu (ŘO), monitorovacího výboru (MV), platební agentury (PA), </w:t>
      </w:r>
      <w:r w:rsidR="00253622">
        <w:t>hodnotic</w:t>
      </w:r>
      <w:r>
        <w:t xml:space="preserve">í jednotky (HJ) (existuje-li), řídící skupiny pro hodnocení (ŘSH) (existuje-li), hodnotitelů (Ho), poskytovatelů údajů (PÚ) a dalších příslušných stran zapojených do hodnocení (O). </w:t>
      </w:r>
    </w:p>
    <w:p w:rsidR="004773BB" w:rsidRPr="001C6ACF" w:rsidRDefault="00A75E50" w:rsidP="006B44E5">
      <w:pPr>
        <w:pStyle w:val="HHeadingtables"/>
      </w:pPr>
      <w:r>
        <w:br w:type="column"/>
      </w:r>
      <w:r>
        <w:lastRenderedPageBreak/>
        <w:t>Kontrolní seznam doporučených kroků při hodnocení v roce 2019</w:t>
      </w:r>
    </w:p>
    <w:tbl>
      <w:tblPr>
        <w:tblStyle w:val="Tabukasmriekou5tmavzvraznenie61"/>
        <w:tblW w:w="9492" w:type="dxa"/>
        <w:jc w:val="center"/>
        <w:tblLayout w:type="fixed"/>
        <w:tblLook w:val="04A0" w:firstRow="1" w:lastRow="0" w:firstColumn="1" w:lastColumn="0" w:noHBand="0" w:noVBand="1"/>
      </w:tblPr>
      <w:tblGrid>
        <w:gridCol w:w="562"/>
        <w:gridCol w:w="3402"/>
        <w:gridCol w:w="1061"/>
        <w:gridCol w:w="622"/>
        <w:gridCol w:w="549"/>
        <w:gridCol w:w="549"/>
        <w:gridCol w:w="550"/>
        <w:gridCol w:w="593"/>
        <w:gridCol w:w="505"/>
        <w:gridCol w:w="549"/>
        <w:gridCol w:w="550"/>
      </w:tblGrid>
      <w:tr w:rsidR="00055507" w:rsidRPr="001C6ACF" w:rsidTr="00055507">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single" w:sz="4" w:space="0" w:color="6E8967"/>
              <w:left w:val="single" w:sz="4" w:space="0" w:color="6E8967"/>
              <w:right w:val="single" w:sz="4" w:space="0" w:color="FFFFFF"/>
            </w:tcBorders>
            <w:textDirection w:val="btLr"/>
            <w:vAlign w:val="center"/>
          </w:tcPr>
          <w:p w:rsidR="00055507" w:rsidRPr="001C6ACF" w:rsidRDefault="00055507" w:rsidP="00DF22D0">
            <w:pPr>
              <w:spacing w:line="280" w:lineRule="atLeast"/>
              <w:ind w:left="113" w:right="113"/>
              <w:jc w:val="center"/>
              <w:rPr>
                <w:rFonts w:cs="Arial"/>
                <w:sz w:val="16"/>
                <w:szCs w:val="16"/>
              </w:rPr>
            </w:pPr>
            <w:r>
              <w:rPr>
                <w:sz w:val="16"/>
              </w:rPr>
              <w:t>Fáze</w:t>
            </w:r>
          </w:p>
        </w:tc>
        <w:tc>
          <w:tcPr>
            <w:tcW w:w="3402" w:type="dxa"/>
            <w:vMerge w:val="restart"/>
            <w:tcBorders>
              <w:top w:val="single" w:sz="4" w:space="0" w:color="6E8967"/>
              <w:left w:val="single" w:sz="4" w:space="0" w:color="FFFFFF"/>
              <w:right w:val="single" w:sz="4" w:space="0" w:color="FFFFFF"/>
            </w:tcBorders>
            <w:vAlign w:val="center"/>
          </w:tcPr>
          <w:p w:rsidR="00055507" w:rsidRPr="001C6ACF"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Krok</w:t>
            </w:r>
          </w:p>
        </w:tc>
        <w:tc>
          <w:tcPr>
            <w:tcW w:w="1061" w:type="dxa"/>
            <w:vMerge w:val="restart"/>
            <w:tcBorders>
              <w:top w:val="single" w:sz="4" w:space="0" w:color="6E8967"/>
              <w:left w:val="single" w:sz="4" w:space="0" w:color="FFFFFF"/>
              <w:right w:val="single" w:sz="4" w:space="0" w:color="FFFFFF" w:themeColor="background1"/>
            </w:tcBorders>
            <w:vAlign w:val="center"/>
          </w:tcPr>
          <w:p w:rsidR="00055507" w:rsidRPr="001C6ACF"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Orientační doba</w:t>
            </w:r>
          </w:p>
        </w:tc>
        <w:tc>
          <w:tcPr>
            <w:tcW w:w="4467" w:type="dxa"/>
            <w:gridSpan w:val="8"/>
            <w:tcBorders>
              <w:top w:val="single" w:sz="4" w:space="0" w:color="6E8967"/>
              <w:left w:val="single" w:sz="4" w:space="0" w:color="FFFFFF" w:themeColor="background1"/>
              <w:right w:val="single" w:sz="4" w:space="0" w:color="6E8967"/>
            </w:tcBorders>
            <w:vAlign w:val="center"/>
          </w:tcPr>
          <w:p w:rsidR="00055507" w:rsidRPr="00571D58"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Odpovědnost (x) a zapojení (y)</w:t>
            </w:r>
            <w:r>
              <w:rPr>
                <w:rStyle w:val="FootnoteReference"/>
                <w:color w:val="FFFFFF" w:themeColor="background1"/>
                <w:sz w:val="10"/>
              </w:rPr>
              <w:footnoteReference w:id="25"/>
            </w:r>
          </w:p>
        </w:tc>
      </w:tr>
      <w:tr w:rsidR="007E7C5E" w:rsidRPr="001C6ACF" w:rsidTr="004C3C30">
        <w:trPr>
          <w:cnfStyle w:val="100000000000" w:firstRow="1" w:lastRow="0" w:firstColumn="0" w:lastColumn="0" w:oddVBand="0" w:evenVBand="0" w:oddHBand="0" w:evenHBand="0" w:firstRowFirstColumn="0" w:firstRowLastColumn="0" w:lastRowFirstColumn="0" w:lastRowLastColumn="0"/>
          <w:trHeight w:val="260"/>
          <w:tblHeader/>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right w:val="single" w:sz="4" w:space="0" w:color="FFFFFF"/>
            </w:tcBorders>
            <w:textDirection w:val="btLr"/>
          </w:tcPr>
          <w:p w:rsidR="00055507" w:rsidRPr="001C6ACF" w:rsidRDefault="00055507" w:rsidP="00DF22D0">
            <w:pPr>
              <w:spacing w:line="280" w:lineRule="atLeast"/>
              <w:ind w:left="113" w:right="113"/>
              <w:jc w:val="right"/>
              <w:rPr>
                <w:rFonts w:cs="Arial"/>
                <w:b w:val="0"/>
                <w:sz w:val="16"/>
                <w:szCs w:val="16"/>
              </w:rPr>
            </w:pPr>
          </w:p>
        </w:tc>
        <w:tc>
          <w:tcPr>
            <w:tcW w:w="3402" w:type="dxa"/>
            <w:vMerge/>
            <w:tcBorders>
              <w:top w:val="single" w:sz="4" w:space="0" w:color="FFFFFF"/>
              <w:left w:val="single" w:sz="4" w:space="0" w:color="FFFFFF"/>
              <w:right w:val="single" w:sz="4" w:space="0" w:color="FFFFFF"/>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1061" w:type="dxa"/>
            <w:vMerge/>
            <w:tcBorders>
              <w:top w:val="single" w:sz="4" w:space="0" w:color="FFFFFF"/>
              <w:left w:val="single" w:sz="4" w:space="0" w:color="FFFFFF"/>
              <w:right w:val="single" w:sz="4" w:space="0" w:color="FFFFFF" w:themeColor="background1"/>
            </w:tcBorders>
          </w:tcPr>
          <w:p w:rsidR="00055507" w:rsidRPr="001C6ACF" w:rsidRDefault="00055507" w:rsidP="00DA3493">
            <w:pPr>
              <w:spacing w:line="280" w:lineRule="atLeast"/>
              <w:jc w:val="lef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622"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ŘO</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PA</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PÚ</w:t>
            </w:r>
          </w:p>
        </w:tc>
        <w:tc>
          <w:tcPr>
            <w:tcW w:w="550"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HJ</w:t>
            </w:r>
          </w:p>
        </w:tc>
        <w:tc>
          <w:tcPr>
            <w:tcW w:w="593"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ŘSH</w:t>
            </w:r>
          </w:p>
        </w:tc>
        <w:tc>
          <w:tcPr>
            <w:tcW w:w="505"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Ho</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MV</w:t>
            </w:r>
          </w:p>
        </w:tc>
        <w:tc>
          <w:tcPr>
            <w:tcW w:w="550" w:type="dxa"/>
            <w:tcBorders>
              <w:top w:val="single" w:sz="4" w:space="0" w:color="FFFFFF"/>
              <w:left w:val="single" w:sz="4" w:space="0" w:color="FFFFFF" w:themeColor="background1"/>
              <w:bottom w:val="single" w:sz="4" w:space="0" w:color="FFFFFF"/>
              <w:right w:val="single" w:sz="4" w:space="0" w:color="6E8967"/>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O</w:t>
            </w:r>
          </w:p>
        </w:tc>
      </w:tr>
      <w:tr w:rsidR="00810ED5" w:rsidRPr="001C6ACF" w:rsidTr="004C3C30">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Plánování</w:t>
            </w:r>
          </w:p>
        </w:tc>
        <w:tc>
          <w:tcPr>
            <w:tcW w:w="3402"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Aktualizovat výchozí hodnoty společných kontextových ukazatelů (v PRV).</w:t>
            </w:r>
          </w:p>
        </w:tc>
        <w:tc>
          <w:tcPr>
            <w:tcW w:w="106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jakmile jsou údaje dostupné</w:t>
            </w:r>
          </w:p>
        </w:tc>
        <w:tc>
          <w:tcPr>
            <w:tcW w:w="622" w:type="dxa"/>
            <w:tcBorders>
              <w:top w:val="single" w:sz="4" w:space="0" w:color="FFFFFF"/>
              <w:right w:val="single" w:sz="4" w:space="0" w:color="FFFFFF"/>
            </w:tcBorders>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Borders>
              <w:top w:val="single" w:sz="4" w:space="0" w:color="FFFFFF"/>
              <w:left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tcBorders>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trHeight w:val="5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Naplánovat </w:t>
            </w:r>
            <w:r w:rsidR="00253622">
              <w:rPr>
                <w:color w:val="373737"/>
                <w:sz w:val="16"/>
              </w:rPr>
              <w:t>hodnotic</w:t>
            </w:r>
            <w:r>
              <w:rPr>
                <w:color w:val="373737"/>
                <w:sz w:val="16"/>
              </w:rPr>
              <w:t xml:space="preserve">í činnosti, témata, studie, opatření ke sběru údajů související se společnými ukazateli dopadů v plánu hodnocení PRV. </w:t>
            </w:r>
          </w:p>
        </w:tc>
        <w:tc>
          <w:tcPr>
            <w:tcW w:w="106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od roku 2013 </w:t>
            </w:r>
          </w:p>
        </w:tc>
        <w:tc>
          <w:tcPr>
            <w:tcW w:w="622" w:type="dxa"/>
            <w:tcBorders>
              <w:right w:val="single" w:sz="4" w:space="0" w:color="FFFFFF"/>
            </w:tcBorders>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tcBorders>
              <w:left w:val="single" w:sz="4" w:space="0" w:color="FFFFFF"/>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2A0D72" w:rsidP="004C3C30">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Vytvořit/aktualizovat interní plán hodnocení (dokument), v němž budou upřesněna témata a činnosti hodnocení (včetně operací s údaji pro účely oddělení čisté hodnoty ukazatelů dopadů a pro sběr dalších podkladů a souvisejících studií). </w:t>
            </w:r>
          </w:p>
        </w:tc>
        <w:tc>
          <w:tcPr>
            <w:tcW w:w="106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od roku 2013</w:t>
            </w:r>
          </w:p>
        </w:tc>
        <w:tc>
          <w:tcPr>
            <w:tcW w:w="622"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Příprava</w:t>
            </w:r>
          </w:p>
        </w:tc>
        <w:tc>
          <w:tcPr>
            <w:tcW w:w="3402" w:type="dxa"/>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Zřídit dobrovolnou řídící skupinu pro řízení procesu hodnocení (pravidelná zasedání).</w:t>
            </w:r>
          </w:p>
        </w:tc>
        <w:tc>
          <w:tcPr>
            <w:tcW w:w="106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na počátku programového období </w:t>
            </w:r>
          </w:p>
        </w:tc>
        <w:tc>
          <w:tcPr>
            <w:tcW w:w="622"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05"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95480A">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Přezkoumat intervenční logiku programu (cíle, priority a prioritní oblasti rozvoje venkova, opatření). </w:t>
            </w:r>
          </w:p>
        </w:tc>
        <w:tc>
          <w:tcPr>
            <w:tcW w:w="106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na počátku programového období a před každým hodnocením</w:t>
            </w:r>
          </w:p>
        </w:tc>
        <w:tc>
          <w:tcPr>
            <w:tcW w:w="622"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95480A"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95480A">
        <w:trPr>
          <w:trHeight w:val="502"/>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95134D">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Zajistit jednotné chápání společných </w:t>
            </w:r>
            <w:r w:rsidR="00253622">
              <w:rPr>
                <w:color w:val="373737"/>
                <w:sz w:val="16"/>
              </w:rPr>
              <w:t>hodnotic</w:t>
            </w:r>
            <w:r>
              <w:rPr>
                <w:color w:val="373737"/>
                <w:sz w:val="16"/>
              </w:rPr>
              <w:t xml:space="preserve">ích otázek, vypracovat hodnoticí kritéria a uvést je do souvislosti se společnými (a doplňkovými ukazateli). Zajistit konzistentnost při propojování prvků hodnocení s intervenční logikou PRV. </w:t>
            </w:r>
          </w:p>
        </w:tc>
        <w:tc>
          <w:tcPr>
            <w:tcW w:w="106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na počátku programového období a před každým hodnocením</w:t>
            </w:r>
          </w:p>
        </w:tc>
        <w:tc>
          <w:tcPr>
            <w:tcW w:w="622"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D0DDCC" w:themeFill="accent6" w:themeFillTint="66"/>
          </w:tcPr>
          <w:p w:rsidR="00055507" w:rsidRPr="001C6ACF" w:rsidRDefault="0095480A"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95480A">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V případě potřeby vypracovat </w:t>
            </w:r>
            <w:r w:rsidR="00253622">
              <w:rPr>
                <w:color w:val="373737"/>
                <w:sz w:val="16"/>
              </w:rPr>
              <w:t>hodnotic</w:t>
            </w:r>
            <w:r>
              <w:rPr>
                <w:color w:val="373737"/>
                <w:sz w:val="16"/>
              </w:rPr>
              <w:t xml:space="preserve">í otázky specifické pro program. Vytvořit k nim </w:t>
            </w:r>
            <w:r w:rsidR="00253622">
              <w:rPr>
                <w:color w:val="373737"/>
                <w:sz w:val="16"/>
              </w:rPr>
              <w:t>hodnotic</w:t>
            </w:r>
            <w:r>
              <w:rPr>
                <w:color w:val="373737"/>
                <w:sz w:val="16"/>
              </w:rPr>
              <w:t>í kritéria a programově specifické ukazatele. Zajistit konzistentnost při propojování prvků hodnocení s intervenční logikou PRV.</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na počátku programového období a před každým hodnocením</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7E7C5E" w:rsidRPr="001C6ACF" w:rsidTr="0095480A">
        <w:trPr>
          <w:trHeight w:val="1050"/>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Borders>
              <w:top w:val="single" w:sz="4" w:space="0" w:color="FFFFFF"/>
            </w:tcBorders>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Prověřit stávající údaje za účelem výpočtu společných (a doplňkových) ukazatelů a shromáždění podkladů nezbytných pro zodpovězení společných </w:t>
            </w:r>
            <w:r w:rsidR="00253622">
              <w:rPr>
                <w:color w:val="373737"/>
                <w:sz w:val="16"/>
              </w:rPr>
              <w:t>hodnotic</w:t>
            </w:r>
            <w:r>
              <w:rPr>
                <w:color w:val="373737"/>
                <w:sz w:val="16"/>
              </w:rPr>
              <w:t xml:space="preserve">ích otázek vztahujících se ke strategii EU 2020. Zjistit možné nedostatky v údajích ve vztahu k vybraným ukazatelům. </w:t>
            </w:r>
          </w:p>
        </w:tc>
        <w:tc>
          <w:tcPr>
            <w:tcW w:w="1061" w:type="dxa"/>
            <w:tcBorders>
              <w:top w:val="single" w:sz="4" w:space="0" w:color="FFFFFF"/>
            </w:tcBorders>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na počátku programového období a před hodnocením</w:t>
            </w:r>
          </w:p>
        </w:tc>
        <w:tc>
          <w:tcPr>
            <w:tcW w:w="622"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tcBorders>
              <w:top w:val="single" w:sz="4" w:space="0" w:color="FFFFFF"/>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tcBorders>
              <w:top w:val="single" w:sz="4" w:space="0" w:color="FFFFFF"/>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05" w:type="dxa"/>
            <w:tcBorders>
              <w:top w:val="single" w:sz="4" w:space="0" w:color="FFFFFF"/>
            </w:tcBorders>
            <w:shd w:val="clear" w:color="auto" w:fill="D0DDCC" w:themeFill="accent6" w:themeFillTint="66"/>
          </w:tcPr>
          <w:p w:rsidR="00055507" w:rsidRPr="001C6ACF" w:rsidRDefault="0095480A"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tcBorders>
              <w:top w:val="single" w:sz="4" w:space="0" w:color="FFFFFF"/>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95480A">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Projednat možné přístupy k hodnocení při posuzování a oddělování čisté hodnoty ukazatelů dopadů v souladu se stávajícími </w:t>
            </w:r>
            <w:r>
              <w:rPr>
                <w:color w:val="373737"/>
                <w:sz w:val="16"/>
              </w:rPr>
              <w:lastRenderedPageBreak/>
              <w:t xml:space="preserve">údaji. </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lastRenderedPageBreak/>
              <w:t xml:space="preserve">na počátku programového období </w:t>
            </w:r>
            <w:r>
              <w:rPr>
                <w:color w:val="373737"/>
                <w:sz w:val="16"/>
              </w:rPr>
              <w:lastRenderedPageBreak/>
              <w:t>a před hodnocením</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lastRenderedPageBreak/>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05" w:type="dxa"/>
          </w:tcPr>
          <w:p w:rsidR="00055507" w:rsidRPr="001C6ACF"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trHeight w:val="24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Navrhnout rámec a zadat hodnocení (v letech 2017 a 2019 formou průběžných nebo jednorázových smluv o hodnocení). </w:t>
            </w:r>
          </w:p>
        </w:tc>
        <w:tc>
          <w:tcPr>
            <w:tcW w:w="1061" w:type="dxa"/>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na počátku programového období, nebo v letech 2016 a 2018</w:t>
            </w:r>
          </w:p>
        </w:tc>
        <w:tc>
          <w:tcPr>
            <w:tcW w:w="622"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7E7C5E"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Struktura</w:t>
            </w:r>
          </w:p>
        </w:tc>
        <w:tc>
          <w:tcPr>
            <w:tcW w:w="340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Projednat s hodnotiteli stávající zdroje údajů a nedostatky v údajích. Dohodnout se, jak nedostatky napravit. </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2016 a 2.–3. čtvrtletí roku 2018</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Projednat s hodnotiteli metodické přístupy k posuzování dopadů na SZP a k oddělování čisté hodnoty společných (a doplňkových) ukazatelů dopadů. </w:t>
            </w:r>
          </w:p>
        </w:tc>
        <w:tc>
          <w:tcPr>
            <w:tcW w:w="1061" w:type="dxa"/>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2016 a 2.–3. čtvrtletí roku 2018</w:t>
            </w:r>
          </w:p>
        </w:tc>
        <w:tc>
          <w:tcPr>
            <w:tcW w:w="622"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Pozorování</w:t>
            </w: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V souladu s navrženými metodami shromáždit údaje a informace o příjemcích týkající se společných (a doplňkových) ukazatelů dopadů. </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od začátku PRV do konce roku 2018</w:t>
            </w:r>
          </w:p>
        </w:tc>
        <w:tc>
          <w:tcPr>
            <w:tcW w:w="62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V souladu s navrženými metodami shromáždit údaje a informace o nepřijímajících subjektech týkající se společných (a doplňkových) ukazatelů dopadů.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od začátku PRV do konce roku 2018</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Zajišťovat kvalitu údajů shromážděných z databáze operací a jiných zdrojů (FADN, statistický úřad, monitorování životního prostředí atd.). </w:t>
            </w:r>
          </w:p>
        </w:tc>
        <w:tc>
          <w:tcPr>
            <w:tcW w:w="1061" w:type="dxa"/>
          </w:tcPr>
          <w:p w:rsidR="00055507" w:rsidRPr="001C6ACF" w:rsidRDefault="00AF5B55" w:rsidP="00810ED5">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průběžně</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Analýza</w:t>
            </w: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Provést posouzení a oddělení čisté hodnoty ukazatelů dopadů v souladu s navrženým přístupem k hodnocení a zvolenými metodami hodnocení. </w:t>
            </w:r>
          </w:p>
        </w:tc>
        <w:tc>
          <w:tcPr>
            <w:tcW w:w="1061" w:type="dxa"/>
          </w:tcPr>
          <w:p w:rsidR="00055507" w:rsidRPr="001C6ACF" w:rsidRDefault="0095480A" w:rsidP="0095480A">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1. čtvrtletí roku 2019</w:t>
            </w:r>
          </w:p>
        </w:tc>
        <w:tc>
          <w:tcPr>
            <w:tcW w:w="622"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Zajistit kvalitu analýzy. </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1. čtvrtletí roku 2019</w:t>
            </w:r>
          </w:p>
        </w:tc>
        <w:tc>
          <w:tcPr>
            <w:tcW w:w="62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Hodnocení</w:t>
            </w: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Interpretovat </w:t>
            </w:r>
            <w:r w:rsidR="00253622">
              <w:rPr>
                <w:color w:val="373737"/>
                <w:sz w:val="16"/>
              </w:rPr>
              <w:t>hodnotic</w:t>
            </w:r>
            <w:r>
              <w:rPr>
                <w:color w:val="373737"/>
                <w:sz w:val="16"/>
              </w:rPr>
              <w:t xml:space="preserve">í zjištění vyplývající z analýzy, zaujmout na základě </w:t>
            </w:r>
            <w:r w:rsidR="00253622">
              <w:rPr>
                <w:color w:val="373737"/>
                <w:sz w:val="16"/>
              </w:rPr>
              <w:t>hodnotic</w:t>
            </w:r>
            <w:r>
              <w:rPr>
                <w:color w:val="373737"/>
                <w:sz w:val="16"/>
              </w:rPr>
              <w:t xml:space="preserve">ích kritérií stanoviska a zodpovědět </w:t>
            </w:r>
            <w:r w:rsidR="00253622">
              <w:rPr>
                <w:color w:val="373737"/>
                <w:sz w:val="16"/>
              </w:rPr>
              <w:t>hodnotic</w:t>
            </w:r>
            <w:r>
              <w:rPr>
                <w:color w:val="373737"/>
                <w:sz w:val="16"/>
              </w:rPr>
              <w:t xml:space="preserve">í otázky.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1. čtvrtletí roku 2019</w:t>
            </w:r>
          </w:p>
        </w:tc>
        <w:tc>
          <w:tcPr>
            <w:tcW w:w="622"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Formulovat závěry v návaznosti na hodnocení a v případě potřeby i doporučení.</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1. a 2. čtvrtletí roku 2019</w:t>
            </w:r>
          </w:p>
        </w:tc>
        <w:tc>
          <w:tcPr>
            <w:tcW w:w="622"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Zajistit kvalitu hodnocení.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1. a 2. čtvrtletí roku 2019</w:t>
            </w:r>
          </w:p>
        </w:tc>
        <w:tc>
          <w:tcPr>
            <w:tcW w:w="622"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lastRenderedPageBreak/>
              <w:t>Podávání zpráv</w:t>
            </w: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Vypracovat návrh zprávy o hodnocení.</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2. čtvrtletí roku 2019</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Předložit zjištění vyplývající z hodnocení monitorovacímu výboru.</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2. čtvrtletí roku 2019</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CD67A7">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Vyplnit šablonu společného systému pro sdílené řízení fondů pro výroční zprávu o provádění (včetně kapitol 2 a 7) a předložit ji Evropské komisi.</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2. čtvrtletí roku 2019</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Zveřejnit výroční zprávu o provádění a zprávu o hodnocení (nikoli pouze kapitolu 7 výroční zprávy o provádění) na veřejné webové stránce.</w:t>
            </w:r>
          </w:p>
        </w:tc>
        <w:tc>
          <w:tcPr>
            <w:tcW w:w="1061" w:type="dxa"/>
          </w:tcPr>
          <w:p w:rsidR="00055507" w:rsidRPr="001C6ACF" w:rsidRDefault="00025148"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2., 3. a 4. čtvrtletí roku 2019</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434BEF"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Připravit zjištění z hodnocení v dalších vhodných formátech (např. shrnutí pro veřejnost) pro různé cílové skupiny.</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3. a 4. čtvrtletí roku 2019</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Sdělit zjištění z hodnocení cílovým skupinám.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3. a 4. čtvrtletí roku 2019</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right w:val="single" w:sz="4" w:space="0" w:color="6E8967"/>
            </w:tcBorders>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6E8967"/>
              <w:bottom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Následné akce</w:t>
            </w:r>
          </w:p>
        </w:tc>
        <w:tc>
          <w:tcPr>
            <w:tcW w:w="3402" w:type="dxa"/>
            <w:tcBorders>
              <w:bottom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Zabývat se závěry a doporučeními vyplývajícími z hodnocení a navazovat na ně v zájmu zdokonalení koncepce a provádění programu rozvoje venkova. </w:t>
            </w:r>
          </w:p>
        </w:tc>
        <w:tc>
          <w:tcPr>
            <w:tcW w:w="1061" w:type="dxa"/>
            <w:tcBorders>
              <w:bottom w:val="single" w:sz="4" w:space="0" w:color="6E8967"/>
            </w:tcBorders>
          </w:tcPr>
          <w:p w:rsidR="00055507" w:rsidRPr="001C6ACF" w:rsidRDefault="00055507" w:rsidP="00DF22D0">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od 2. čtvrtletí roku 2019 </w:t>
            </w:r>
          </w:p>
        </w:tc>
        <w:tc>
          <w:tcPr>
            <w:tcW w:w="622" w:type="dxa"/>
            <w:tcBorders>
              <w:bottom w:val="single" w:sz="4" w:space="0" w:color="6E8967"/>
            </w:tcBorders>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93"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tcBorders>
              <w:bottom w:val="single" w:sz="4" w:space="0" w:color="6E8967"/>
              <w:right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bl>
    <w:p w:rsidR="00C744FC" w:rsidRPr="001C6ACF" w:rsidRDefault="00C744FC" w:rsidP="001F25E0">
      <w:pPr>
        <w:pStyle w:val="HStandard"/>
      </w:pPr>
    </w:p>
    <w:p w:rsidR="00425D88" w:rsidRPr="001C6ACF" w:rsidRDefault="00425D88" w:rsidP="00425D88">
      <w:pPr>
        <w:pStyle w:val="HStandard"/>
        <w:sectPr w:rsidR="00425D88" w:rsidRPr="001C6ACF" w:rsidSect="00D32538">
          <w:footerReference w:type="default" r:id="rId32"/>
          <w:footerReference w:type="first" r:id="rId33"/>
          <w:pgSz w:w="11906" w:h="16838" w:code="9"/>
          <w:pgMar w:top="1440" w:right="1440" w:bottom="1134" w:left="1440" w:header="567" w:footer="737" w:gutter="0"/>
          <w:pgNumType w:start="1"/>
          <w:cols w:space="708"/>
          <w:titlePg/>
          <w:docGrid w:linePitch="360"/>
        </w:sectPr>
      </w:pPr>
    </w:p>
    <w:p w:rsidR="00425D88" w:rsidRPr="001C6ACF" w:rsidRDefault="00425D88" w:rsidP="00E93BEA">
      <w:pPr>
        <w:pStyle w:val="HHeading1"/>
        <w:tabs>
          <w:tab w:val="clear" w:pos="474"/>
          <w:tab w:val="clear" w:pos="567"/>
        </w:tabs>
        <w:rPr>
          <w:sz w:val="28"/>
        </w:rPr>
      </w:pPr>
      <w:r>
        <w:rPr>
          <w:sz w:val="28"/>
        </w:rPr>
        <w:lastRenderedPageBreak/>
        <w:t xml:space="preserve">Přístupy k hodnocení dopadů PRV v roce 2019 </w:t>
      </w:r>
      <w:r>
        <w:rPr>
          <w:sz w:val="28"/>
        </w:rPr>
        <w:br/>
        <w:t>(ČÁST II)</w:t>
      </w:r>
    </w:p>
    <w:p w:rsidR="00BB6B80" w:rsidRPr="00571D58" w:rsidRDefault="000B213F" w:rsidP="00B86C6A">
      <w:pPr>
        <w:pStyle w:val="HStandard"/>
      </w:pPr>
      <w:r>
        <w:rPr>
          <w:b/>
          <w:noProof/>
          <w:lang w:val="en-GB" w:eastAsia="en-GB" w:bidi="ar-SA"/>
        </w:rPr>
        <mc:AlternateContent>
          <mc:Choice Requires="wps">
            <w:drawing>
              <wp:inline distT="0" distB="0" distL="0" distR="0" wp14:anchorId="61FD4EAA" wp14:editId="4DBFAF5E">
                <wp:extent cx="5695950" cy="1518557"/>
                <wp:effectExtent l="0" t="0" r="19050" b="24765"/>
                <wp:docPr id="935" name="Rectangle: Diagonal Corners Rounded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0" cy="1518557"/>
                        </a:xfrm>
                        <a:custGeom>
                          <a:avLst/>
                          <a:gdLst>
                            <a:gd name="T0" fmla="*/ 254411 w 5695950"/>
                            <a:gd name="T1" fmla="*/ 0 h 1464319"/>
                            <a:gd name="T2" fmla="*/ 5695950 w 5695950"/>
                            <a:gd name="T3" fmla="*/ 0 h 1464319"/>
                            <a:gd name="T4" fmla="*/ 5695950 w 5695950"/>
                            <a:gd name="T5" fmla="*/ 0 h 1464319"/>
                            <a:gd name="T6" fmla="*/ 5695950 w 5695950"/>
                            <a:gd name="T7" fmla="*/ 1209908 h 1464319"/>
                            <a:gd name="T8" fmla="*/ 5441539 w 5695950"/>
                            <a:gd name="T9" fmla="*/ 1464319 h 1464319"/>
                            <a:gd name="T10" fmla="*/ 0 w 5695950"/>
                            <a:gd name="T11" fmla="*/ 1464319 h 1464319"/>
                            <a:gd name="T12" fmla="*/ 0 w 5695950"/>
                            <a:gd name="T13" fmla="*/ 1464319 h 1464319"/>
                            <a:gd name="T14" fmla="*/ 0 w 5695950"/>
                            <a:gd name="T15" fmla="*/ 254411 h 1464319"/>
                            <a:gd name="T16" fmla="*/ 254411 w 5695950"/>
                            <a:gd name="T17" fmla="*/ 0 h 14643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695950"/>
                            <a:gd name="T28" fmla="*/ 0 h 1464319"/>
                            <a:gd name="T29" fmla="*/ 5695950 w 5695950"/>
                            <a:gd name="T30" fmla="*/ 1464319 h 14643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695950" h="1464319">
                              <a:moveTo>
                                <a:pt x="254411" y="0"/>
                              </a:moveTo>
                              <a:lnTo>
                                <a:pt x="5695950" y="0"/>
                              </a:lnTo>
                              <a:lnTo>
                                <a:pt x="5695950" y="1209908"/>
                              </a:lnTo>
                              <a:cubicBezTo>
                                <a:pt x="5695950" y="1350415"/>
                                <a:pt x="5582046" y="1464319"/>
                                <a:pt x="5441539" y="1464319"/>
                              </a:cubicBezTo>
                              <a:lnTo>
                                <a:pt x="0" y="1464319"/>
                              </a:lnTo>
                              <a:lnTo>
                                <a:pt x="0" y="254411"/>
                              </a:lnTo>
                              <a:cubicBezTo>
                                <a:pt x="0" y="113904"/>
                                <a:pt x="113904" y="0"/>
                                <a:pt x="254411" y="0"/>
                              </a:cubicBezTo>
                              <a:close/>
                            </a:path>
                          </a:pathLst>
                        </a:custGeom>
                        <a:noFill/>
                        <a:ln w="25400">
                          <a:solidFill>
                            <a:srgbClr val="8BAB80"/>
                          </a:solidFill>
                          <a:miter lim="800000"/>
                          <a:headEnd/>
                          <a:tailEnd/>
                        </a:ln>
                        <a:extLst>
                          <a:ext uri="{909E8E84-426E-40DD-AFC4-6F175D3DCCD1}">
                            <a14:hiddenFill xmlns:a14="http://schemas.microsoft.com/office/drawing/2010/main">
                              <a:solidFill>
                                <a:srgbClr val="FFFFFF"/>
                              </a:solidFill>
                            </a14:hiddenFill>
                          </a:ext>
                        </a:extLst>
                      </wps:spPr>
                      <wps:txbx>
                        <w:txbxContent>
                          <w:p w:rsidR="008F1326" w:rsidRPr="00B86C6A" w:rsidRDefault="008F1326" w:rsidP="00BB6B80">
                            <w:pPr>
                              <w:pStyle w:val="Normal12PTcouleurgris"/>
                              <w:rPr>
                                <w:rStyle w:val="HStandardCar"/>
                                <w:color w:val="292929" w:themeColor="text1" w:themeShade="BF"/>
                              </w:rPr>
                            </w:pPr>
                            <w:r>
                              <w:rPr>
                                <w:rStyle w:val="HStandardCar"/>
                                <w:b/>
                                <w:color w:val="F07E31"/>
                                <w:sz w:val="20"/>
                              </w:rPr>
                              <w:t>ČÁST II</w:t>
                            </w:r>
                            <w:r>
                              <w:rPr>
                                <w:rStyle w:val="HStandardCar"/>
                                <w:color w:val="F07E31"/>
                                <w:sz w:val="20"/>
                              </w:rPr>
                              <w:t xml:space="preserve"> </w:t>
                            </w:r>
                            <w:r>
                              <w:rPr>
                                <w:rStyle w:val="HStandardCar"/>
                                <w:color w:val="292929" w:themeColor="text1" w:themeShade="BF"/>
                                <w:sz w:val="20"/>
                              </w:rPr>
                              <w:t xml:space="preserve">nezávazných pokynů „Hodnocení výsledků a dopadů PRV v roce 2019“ je třeba chápat v kontextu </w:t>
                            </w:r>
                            <w:r>
                              <w:rPr>
                                <w:rStyle w:val="HStandardCar"/>
                                <w:b/>
                                <w:color w:val="F07E31"/>
                                <w:sz w:val="20"/>
                              </w:rPr>
                              <w:t>ČÁSTI III</w:t>
                            </w:r>
                            <w:r>
                              <w:rPr>
                                <w:rStyle w:val="HStandardCar"/>
                                <w:color w:val="F07E31"/>
                                <w:sz w:val="20"/>
                              </w:rPr>
                              <w:t xml:space="preserve"> </w:t>
                            </w:r>
                            <w:r>
                              <w:rPr>
                                <w:rStyle w:val="HStandardCar"/>
                                <w:color w:val="292929" w:themeColor="text1" w:themeShade="BF"/>
                                <w:sz w:val="20"/>
                              </w:rPr>
                              <w:t>(Informační listy pro zodpovídání společných hodnoticích otázek 22–30) a </w:t>
                            </w:r>
                            <w:r>
                              <w:rPr>
                                <w:rStyle w:val="HStandardCar"/>
                                <w:b/>
                                <w:color w:val="F07E31"/>
                                <w:sz w:val="20"/>
                              </w:rPr>
                              <w:t xml:space="preserve">ČÁSTI IV </w:t>
                            </w:r>
                            <w:r>
                              <w:rPr>
                                <w:rStyle w:val="HStandardCar"/>
                                <w:color w:val="292929" w:themeColor="text1" w:themeShade="BF"/>
                                <w:sz w:val="20"/>
                              </w:rPr>
                              <w:t>(Technická příloha), která obsahuje doplňující informace k navrhovaným přístupům k hodnocení, příklady doplňkových ukazatelů, podrobný popis pracovního postupu, informace o přiměřenosti navrhovaných přístupů k hodnocení, vhodná a nevhodná opatření a glosář).</w:t>
                            </w:r>
                          </w:p>
                        </w:txbxContent>
                      </wps:txbx>
                      <wps:bodyPr rot="0" vert="horz" wrap="square" lIns="91440" tIns="45720" rIns="91440" bIns="45720" anchor="ctr" anchorCtr="0" upright="1">
                        <a:noAutofit/>
                      </wps:bodyPr>
                    </wps:wsp>
                  </a:graphicData>
                </a:graphic>
              </wp:inline>
            </w:drawing>
          </mc:Choice>
          <mc:Fallback>
            <w:pict>
              <v:shape w14:anchorId="61FD4EAA" id="Rectangle: Diagonal Corners Rounded 48" o:spid="_x0000_s1029" style="width:448.5pt;height:119.55pt;visibility:visible;mso-wrap-style:square;mso-left-percent:-10001;mso-top-percent:-10001;mso-position-horizontal:absolute;mso-position-horizontal-relative:char;mso-position-vertical:absolute;mso-position-vertical-relative:line;mso-left-percent:-10001;mso-top-percent:-10001;v-text-anchor:middle" coordsize="5695950,14643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" adj="-11796480,,5400" path="m254411,l5695950,r,1209908c5695950,1350415,5582046,1464319,5441539,1464319l,1464319,,254411c,113904,113904,,254411,xe" filled="f" strokecolor="#8bab80" strokeweight="2pt">
                <v:stroke joinstyle="miter"/>
                <v:formulas/>
                <v:path arrowok="t" o:connecttype="custom" o:connectlocs="254411,0;5695950,0;5695950,0;5695950,1254723;5441539,1518557;0,1518557;0,1518557;0,263834;254411,0" o:connectangles="0,0,0,0,0,0,0,0,0" textboxrect="0,0,5695950,1464319"/>
                <v:textbox>
                  <w:txbxContent>
                    <w:p w:rsidR="008F1326" w:rsidRPr="00B86C6A" w:rsidRDefault="008F1326" w:rsidP="00BB6B80">
                      <w:pPr>
                        <w:pStyle w:val="Normal12PTcouleurgris"/>
                        <w:rPr>
                          <w:rStyle w:val="HStandardCar"/>
                          <w:color w:val="292929" w:themeColor="text1" w:themeShade="BF"/>
                        </w:rPr>
                      </w:pPr>
                      <w:r>
                        <w:rPr>
                          <w:rStyle w:val="HStandardCar"/>
                          <w:b/>
                          <w:color w:val="F07E31"/>
                          <w:sz w:val="20"/>
                        </w:rPr>
                        <w:t>ČÁST II</w:t>
                      </w:r>
                      <w:r>
                        <w:rPr>
                          <w:rStyle w:val="HStandardCar"/>
                          <w:color w:val="F07E31"/>
                          <w:sz w:val="20"/>
                        </w:rPr>
                        <w:t xml:space="preserve"> </w:t>
                      </w:r>
                      <w:r>
                        <w:rPr>
                          <w:rStyle w:val="HStandardCar"/>
                          <w:color w:val="292929" w:themeColor="text1" w:themeShade="BF"/>
                          <w:sz w:val="20"/>
                        </w:rPr>
                        <w:t xml:space="preserve">nezávazných pokynů „Hodnocení výsledků a dopadů PRV v roce 2019“ je třeba chápat v kontextu </w:t>
                      </w:r>
                      <w:r>
                        <w:rPr>
                          <w:rStyle w:val="HStandardCar"/>
                          <w:b/>
                          <w:color w:val="F07E31"/>
                          <w:sz w:val="20"/>
                        </w:rPr>
                        <w:t>ČÁSTI III</w:t>
                      </w:r>
                      <w:r>
                        <w:rPr>
                          <w:rStyle w:val="HStandardCar"/>
                          <w:color w:val="F07E31"/>
                          <w:sz w:val="20"/>
                        </w:rPr>
                        <w:t xml:space="preserve"> </w:t>
                      </w:r>
                      <w:r>
                        <w:rPr>
                          <w:rStyle w:val="HStandardCar"/>
                          <w:color w:val="292929" w:themeColor="text1" w:themeShade="BF"/>
                          <w:sz w:val="20"/>
                        </w:rPr>
                        <w:t>(Informační listy pro zodpovídání společných hodnoticích otázek 22–30) a </w:t>
                      </w:r>
                      <w:r>
                        <w:rPr>
                          <w:rStyle w:val="HStandardCar"/>
                          <w:b/>
                          <w:color w:val="F07E31"/>
                          <w:sz w:val="20"/>
                        </w:rPr>
                        <w:t xml:space="preserve">ČÁSTI IV </w:t>
                      </w:r>
                      <w:r>
                        <w:rPr>
                          <w:rStyle w:val="HStandardCar"/>
                          <w:color w:val="292929" w:themeColor="text1" w:themeShade="BF"/>
                          <w:sz w:val="20"/>
                        </w:rPr>
                        <w:t>(Technická příloha), která obsahuje doplňující informace k navrhovaným přístupům k hodnocení, příklady doplňkových ukazatelů, podrobný popis pracovního postupu, informace o přiměřenosti navrhovaných přístupů k hodnocení, vhodná a nevhodná opatření a glosář).</w:t>
                      </w:r>
                    </w:p>
                  </w:txbxContent>
                </v:textbox>
                <w10:anchorlock/>
              </v:shape>
            </w:pict>
          </mc:Fallback>
        </mc:AlternateContent>
      </w:r>
    </w:p>
    <w:p w:rsidR="00425D88" w:rsidRPr="007645B4" w:rsidRDefault="00425D88" w:rsidP="00002482">
      <w:pPr>
        <w:pStyle w:val="HHeading2"/>
        <w:tabs>
          <w:tab w:val="clear" w:pos="360"/>
          <w:tab w:val="clear" w:pos="567"/>
        </w:tabs>
      </w:pPr>
      <w:r>
        <w:t>Volba vhodného přístupu k hodnocení při posuzování dopadů PRV</w:t>
      </w:r>
    </w:p>
    <w:p w:rsidR="00E93BEA" w:rsidRPr="001C6ACF" w:rsidRDefault="00E93BEA" w:rsidP="00E93BEA">
      <w:pPr>
        <w:pStyle w:val="HStandard"/>
        <w:rPr>
          <w:rFonts w:cs="Arial"/>
        </w:rPr>
      </w:pPr>
      <w:r>
        <w:t xml:space="preserve">Posuzování a oddělování čisté hodnoty společných ukazatelů dopadů na SZP v pilíři II v roce 2019 je náročný úkol, při němž vyvstává </w:t>
      </w:r>
      <w:r>
        <w:rPr>
          <w:b/>
        </w:rPr>
        <w:t>několik otázek</w:t>
      </w:r>
      <w:r>
        <w:t xml:space="preserve">: </w:t>
      </w:r>
    </w:p>
    <w:p w:rsidR="00E93BEA" w:rsidRPr="001C6ACF" w:rsidRDefault="00E93BEA" w:rsidP="00E93BEA">
      <w:pPr>
        <w:pStyle w:val="Hlistbullet"/>
      </w:pPr>
      <w:r>
        <w:t xml:space="preserve">Nakolik lze změny pozorované ve venkovských oblastech přisoudit zásahům PRV a jaké přístupy k hodnocení by se k tomuto účelu měly použít? </w:t>
      </w:r>
    </w:p>
    <w:p w:rsidR="00E93BEA" w:rsidRPr="001C6ACF" w:rsidRDefault="00E93BEA" w:rsidP="00E93BEA">
      <w:pPr>
        <w:pStyle w:val="Hlistbullet"/>
      </w:pPr>
      <w:r>
        <w:t xml:space="preserve">Jaké údaje ze stávajících zdrojů (např. monitorování, EU, vnitrostátní a regionální databáze) by se měly použít jako východisko pro navrhovaný přístup k hodnocení? </w:t>
      </w:r>
    </w:p>
    <w:p w:rsidR="00E93BEA" w:rsidRPr="001C6ACF" w:rsidRDefault="00E93BEA" w:rsidP="00E93BEA">
      <w:pPr>
        <w:pStyle w:val="Hlistbullet"/>
      </w:pPr>
      <w:r>
        <w:t xml:space="preserve">Jak zajistit koordinaci mezi jednotlivými poskytovateli údajů? </w:t>
      </w:r>
    </w:p>
    <w:p w:rsidR="00E93BEA" w:rsidRPr="001C6ACF" w:rsidRDefault="00E93BEA" w:rsidP="00E93BEA">
      <w:pPr>
        <w:pStyle w:val="Hlistbullet"/>
      </w:pPr>
      <w:r>
        <w:t xml:space="preserve">Jak zajistit kvalitu údajů a překlenout nedostatky v nich? </w:t>
      </w:r>
    </w:p>
    <w:p w:rsidR="009B0B1E" w:rsidRPr="001C6ACF" w:rsidRDefault="009B0B1E" w:rsidP="00B63445">
      <w:pPr>
        <w:pStyle w:val="HHeading3"/>
      </w:pPr>
      <w:r>
        <w:t>Jak lze na základě logických modelů stanovit, které přístupy k hodnocení jsou vhodné?</w:t>
      </w:r>
    </w:p>
    <w:p w:rsidR="009B37D9" w:rsidRPr="001C6ACF" w:rsidRDefault="000B213F" w:rsidP="009B37D9">
      <w:pPr>
        <w:pStyle w:val="HStandard"/>
      </w:pPr>
      <w:r>
        <w:rPr>
          <w:b/>
          <w:i/>
          <w:noProof/>
          <w:color w:val="F07E31" w:themeColor="accent1"/>
          <w:lang w:val="en-GB" w:eastAsia="en-GB" w:bidi="ar-SA"/>
        </w:rPr>
        <mc:AlternateContent>
          <mc:Choice Requires="wps">
            <w:drawing>
              <wp:anchor distT="0" distB="0" distL="114300" distR="114300" simplePos="0" relativeHeight="251728384" behindDoc="1" locked="0" layoutInCell="1" allowOverlap="1" wp14:anchorId="4DB77A4C" wp14:editId="12DB8496">
                <wp:simplePos x="0" y="0"/>
                <wp:positionH relativeFrom="margin">
                  <wp:align>right</wp:align>
                </wp:positionH>
                <wp:positionV relativeFrom="paragraph">
                  <wp:posOffset>35560</wp:posOffset>
                </wp:positionV>
                <wp:extent cx="2447925" cy="2045970"/>
                <wp:effectExtent l="0" t="0" r="28575" b="11430"/>
                <wp:wrapTight wrapText="bothSides">
                  <wp:wrapPolygon edited="0">
                    <wp:start x="672" y="0"/>
                    <wp:lineTo x="0" y="804"/>
                    <wp:lineTo x="0" y="21520"/>
                    <wp:lineTo x="21180" y="21520"/>
                    <wp:lineTo x="21684" y="20715"/>
                    <wp:lineTo x="21684" y="0"/>
                    <wp:lineTo x="672" y="0"/>
                  </wp:wrapPolygon>
                </wp:wrapTight>
                <wp:docPr id="9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2046515"/>
                        </a:xfrm>
                        <a:prstGeom prst="round2DiagRect">
                          <a:avLst>
                            <a:gd name="adj1" fmla="val 8733"/>
                            <a:gd name="adj2" fmla="val 0"/>
                          </a:avLst>
                        </a:prstGeom>
                        <a:noFill/>
                        <a:ln w="25400" cap="flat" cmpd="sng" algn="ctr">
                          <a:solidFill>
                            <a:srgbClr val="BE4A35"/>
                          </a:solidFill>
                          <a:prstDash val="solid"/>
                        </a:ln>
                        <a:effectLst/>
                      </wps:spPr>
                      <wps:txbx>
                        <w:txbxContent>
                          <w:p w:rsidR="008F1326" w:rsidRPr="00C545E7" w:rsidRDefault="008F1326" w:rsidP="005166F3">
                            <w:pPr>
                              <w:pStyle w:val="HHeading4"/>
                              <w:spacing w:before="0"/>
                              <w:jc w:val="both"/>
                              <w:rPr>
                                <w:i/>
                                <w:color w:val="F07E31" w:themeColor="accent1"/>
                                <w:sz w:val="18"/>
                              </w:rPr>
                            </w:pPr>
                            <w:r>
                              <w:rPr>
                                <w:noProof/>
                                <w:color w:val="373737"/>
                                <w:lang w:val="en-GB" w:eastAsia="en-GB" w:bidi="ar-SA"/>
                              </w:rPr>
                              <w:drawing>
                                <wp:inline distT="0" distB="0" distL="0" distR="0" wp14:anchorId="469558FB" wp14:editId="6A837BE9">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Logické modely </w:t>
                            </w:r>
                            <w:r>
                              <w:rPr>
                                <w:b w:val="0"/>
                                <w:color w:val="373737" w:themeColor="text1"/>
                              </w:rPr>
                              <w:t>představují rozhodovací stromy, které mohou pomoci zúčastněným stranám navrhnout přístup k hodnocení (vycházející z hypotetického srovnávacího scénáře) a zvolit metody, které nejlépe odpovídají dostupným údajům a informacím.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B77A4C" id="_x0000_s1030" style="position:absolute;left:0;text-align:left;margin-left:141.55pt;margin-top:2.8pt;width:192.75pt;height:161.1pt;z-index:-25158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2447925,2046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" adj="-11796480,,5400" path="m178722,l2447925,r,l2447925,1867793v,98705,-80017,178722,-178722,178722l,2046515r,l,178722c,80017,80017,,178722,xe" filled="f" strokecolor="#be4a35" strokeweight="2pt">
                <v:stroke joinstyle="miter"/>
                <v:formulas/>
                <v:path arrowok="t" o:connecttype="custom" o:connectlocs="178722,0;2447925,0;2447925,0;2447925,1867793;2269203,2046515;0,2046515;0,2046515;0,178722;178722,0" o:connectangles="0,0,0,0,0,0,0,0,0" textboxrect="0,0,2447925,2046515"/>
                <v:textbox>
                  <w:txbxContent>
                    <w:p w:rsidR="008F1326" w:rsidRPr="00C545E7" w:rsidRDefault="008F1326" w:rsidP="005166F3">
                      <w:pPr>
                        <w:pStyle w:val="HHeading4"/>
                        <w:spacing w:before="0"/>
                        <w:jc w:val="both"/>
                        <w:rPr>
                          <w:i/>
                          <w:color w:val="F07E31" w:themeColor="accent1"/>
                          <w:sz w:val="18"/>
                        </w:rPr>
                      </w:pPr>
                      <w:r>
                        <w:rPr>
                          <w:noProof/>
                          <w:color w:val="373737"/>
                          <w:lang w:val="en-GB" w:eastAsia="en-GB" w:bidi="ar-SA"/>
                        </w:rPr>
                        <w:drawing>
                          <wp:inline distT="0" distB="0" distL="0" distR="0" wp14:anchorId="469558FB" wp14:editId="6A837BE9">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Logické modely </w:t>
                      </w:r>
                      <w:r>
                        <w:rPr>
                          <w:b w:val="0"/>
                          <w:color w:val="373737" w:themeColor="text1"/>
                        </w:rPr>
                        <w:t>představují rozhodovací stromy, které mohou pomoci zúčastněným stranám navrhnout přístup k hodnocení (vycházející z hypotetického srovnávacího scénáře) a zvolit metody, které nejlépe odpovídají dostupným údajům a informacím.</w:t>
                      </w:r>
                    </w:p>
                  </w:txbxContent>
                </v:textbox>
                <w10:wrap type="tight" anchorx="margin"/>
              </v:shape>
            </w:pict>
          </mc:Fallback>
        </mc:AlternateContent>
      </w:r>
      <w:r>
        <w:t xml:space="preserve">Logické modely umožňují hodnotitelům nacházet nové přístupy, lépe plánovat sběr údajů a přicházet na metody, které jsou méně závislé na dostupnosti údajů (např. kvalitativní metody). Mohou také pomoci řídicím orgánům lépe plánovat a předvídat výsledky v daném kontextu (údaje, rozpočet pro hodnocení a časová osa). </w:t>
      </w:r>
    </w:p>
    <w:p w:rsidR="00FF13C7" w:rsidRPr="001C6ACF" w:rsidRDefault="00FF13C7" w:rsidP="00FF13C7">
      <w:pPr>
        <w:pStyle w:val="HStandard"/>
        <w:spacing w:after="0"/>
        <w:rPr>
          <w:rFonts w:cs="Arial"/>
          <w:color w:val="373737"/>
          <w:szCs w:val="18"/>
        </w:rPr>
      </w:pPr>
      <w:r>
        <w:rPr>
          <w:color w:val="373737"/>
        </w:rPr>
        <w:t>Logické modely provádějí jednotlivými fázemi koncepce přístupu k hodnocení, čímž umožňují lépe pochopit:</w:t>
      </w:r>
    </w:p>
    <w:p w:rsidR="00FF13C7" w:rsidRPr="001C6ACF" w:rsidRDefault="00FF13C7" w:rsidP="00FF13C7">
      <w:pPr>
        <w:pStyle w:val="Hlistbullet"/>
        <w:spacing w:before="0" w:after="0" w:line="280" w:lineRule="atLeast"/>
        <w:ind w:left="502"/>
        <w:rPr>
          <w:rFonts w:cs="Arial"/>
          <w:color w:val="373737"/>
          <w:szCs w:val="18"/>
        </w:rPr>
      </w:pPr>
      <w:r>
        <w:rPr>
          <w:b/>
          <w:color w:val="373737"/>
        </w:rPr>
        <w:t>MOŽNOSTI:</w:t>
      </w:r>
      <w:r>
        <w:rPr>
          <w:color w:val="373737"/>
        </w:rPr>
        <w:t xml:space="preserve"> jaké kombinace údajů/ukazatelů/metod jsou dostupné a vhodné ke zodpovězení </w:t>
      </w:r>
      <w:r w:rsidR="00253622">
        <w:rPr>
          <w:color w:val="373737"/>
        </w:rPr>
        <w:t>hodnotic</w:t>
      </w:r>
      <w:r>
        <w:rPr>
          <w:color w:val="373737"/>
        </w:rPr>
        <w:t xml:space="preserve">ích otázek. </w:t>
      </w:r>
    </w:p>
    <w:p w:rsidR="00FF13C7" w:rsidRPr="001C6ACF" w:rsidRDefault="00FF13C7" w:rsidP="00FF13C7">
      <w:pPr>
        <w:pStyle w:val="Hlistbullet"/>
        <w:spacing w:before="0" w:after="0" w:line="280" w:lineRule="atLeast"/>
        <w:ind w:left="502"/>
        <w:rPr>
          <w:color w:val="373737"/>
          <w:sz w:val="22"/>
        </w:rPr>
      </w:pPr>
      <w:r>
        <w:rPr>
          <w:b/>
          <w:color w:val="373737"/>
        </w:rPr>
        <w:t>POŽADAVKY:</w:t>
      </w:r>
      <w:r>
        <w:rPr>
          <w:color w:val="373737"/>
        </w:rPr>
        <w:t xml:space="preserve"> jaké kombinace údajů/ukazatelů/metod/postupů jsou zapotřebí k posouzení čistých dopadů a ke zodpovězení </w:t>
      </w:r>
      <w:r w:rsidR="00253622">
        <w:rPr>
          <w:color w:val="373737"/>
        </w:rPr>
        <w:t>hodnotic</w:t>
      </w:r>
      <w:r>
        <w:rPr>
          <w:color w:val="373737"/>
        </w:rPr>
        <w:t>ích otázek.</w:t>
      </w:r>
    </w:p>
    <w:p w:rsidR="00FF13C7" w:rsidRPr="001C6ACF" w:rsidRDefault="00FF13C7" w:rsidP="00FF13C7">
      <w:pPr>
        <w:pStyle w:val="Hlistbullet"/>
        <w:spacing w:before="0" w:after="0" w:line="280" w:lineRule="atLeast"/>
        <w:ind w:left="502"/>
        <w:rPr>
          <w:color w:val="373737"/>
          <w:sz w:val="22"/>
        </w:rPr>
      </w:pPr>
      <w:r>
        <w:rPr>
          <w:b/>
          <w:color w:val="373737"/>
        </w:rPr>
        <w:t>DŮSLEDKY:</w:t>
      </w:r>
      <w:r>
        <w:rPr>
          <w:color w:val="373737"/>
        </w:rPr>
        <w:t xml:space="preserve"> jaké důsledky mají rozhodnutí v různých fázích pro náklady a účinnost hodnocení.</w:t>
      </w:r>
    </w:p>
    <w:p w:rsidR="00E93BEA" w:rsidRPr="00571D58" w:rsidRDefault="009B37D9" w:rsidP="009B37D9">
      <w:pPr>
        <w:pStyle w:val="HStandard"/>
      </w:pPr>
      <w:r>
        <w:t xml:space="preserve">Logické modely uvedené v těchto pokynech uplatňují přístup vyvinutý v rámci projektu </w:t>
      </w:r>
      <w:hyperlink r:id="rId35">
        <w:r>
          <w:rPr>
            <w:rStyle w:val="Hyperlink"/>
            <w:u w:val="none"/>
          </w:rPr>
          <w:t>ENVIEVAL</w:t>
        </w:r>
      </w:hyperlink>
      <w:r>
        <w:rPr>
          <w:rStyle w:val="FootnoteReference"/>
        </w:rPr>
        <w:footnoteReference w:id="26"/>
      </w:r>
      <w:r>
        <w:t>, který je popsán v </w:t>
      </w:r>
      <w:hyperlink r:id="rId36">
        <w:r>
          <w:rPr>
            <w:rStyle w:val="Hyperlink"/>
            <w:i/>
            <w:u w:val="none"/>
          </w:rPr>
          <w:t>metodické příručce pro hodnocení environmentálních dopadů programů rozvoje venkova</w:t>
        </w:r>
      </w:hyperlink>
      <w:r>
        <w:t>.</w:t>
      </w:r>
      <w:hyperlink r:id="rId37">
        <w:r>
          <w:rPr>
            <w:rStyle w:val="Hyperlink"/>
            <w:u w:val="none"/>
          </w:rPr>
          <w:t xml:space="preserve"> </w:t>
        </w:r>
      </w:hyperlink>
      <w:r>
        <w:t>Tyto zdokonalené nástroje pro hodnocení environmentálních dopadů opatření a programů byly vyvinuty v rámci projektu ENVIEVAL a otestovány v členských státech EU</w:t>
      </w:r>
      <w:r>
        <w:rPr>
          <w:rStyle w:val="FootnoteReference"/>
        </w:rPr>
        <w:footnoteReference w:id="27"/>
      </w:r>
      <w:r>
        <w:t xml:space="preserve">. </w:t>
      </w:r>
    </w:p>
    <w:p w:rsidR="00AE216A" w:rsidRPr="00FB6C06" w:rsidRDefault="00AE216A" w:rsidP="00AE216A">
      <w:pPr>
        <w:pStyle w:val="HHeading4"/>
      </w:pPr>
      <w:r>
        <w:lastRenderedPageBreak/>
        <w:t>Vrstvy logického modelu</w:t>
      </w:r>
    </w:p>
    <w:p w:rsidR="00AE216A" w:rsidRPr="001C6ACF" w:rsidRDefault="00AE216A" w:rsidP="00AE216A">
      <w:pPr>
        <w:pStyle w:val="HStandard"/>
        <w:rPr>
          <w:rFonts w:cs="Arial"/>
        </w:rPr>
      </w:pPr>
      <w:r>
        <w:t xml:space="preserve">Přehled </w:t>
      </w:r>
      <w:r>
        <w:rPr>
          <w:b/>
        </w:rPr>
        <w:t>čtyř vrstev logického modelu</w:t>
      </w:r>
      <w:r>
        <w:t xml:space="preserve"> je znázorněn na obrázku 2. V </w:t>
      </w:r>
      <w:r>
        <w:rPr>
          <w:b/>
        </w:rPr>
        <w:t>1. vrstvě</w:t>
      </w:r>
      <w:r>
        <w:t xml:space="preserve"> schéma znázorňuje, jak vytvořit rámec pro hodnocení. Předpokladem je pochopit postavení dopadů v intervenční logice, dostupné ukazatele a jednotku posouzení. Ve </w:t>
      </w:r>
      <w:r>
        <w:rPr>
          <w:b/>
        </w:rPr>
        <w:t xml:space="preserve">2. vrstvě </w:t>
      </w:r>
      <w:r>
        <w:t xml:space="preserve">se určí možnosti hypotetického srovnávacího scénáře s ohledem na omezující faktory. </w:t>
      </w:r>
      <w:r>
        <w:rPr>
          <w:b/>
        </w:rPr>
        <w:t xml:space="preserve">3. vrstva </w:t>
      </w:r>
      <w:r>
        <w:t xml:space="preserve">rozvíjí možnosti na mikro- a makroekonomické úrovni za účelem posouzení čistých dopadů. Ve </w:t>
      </w:r>
      <w:r>
        <w:rPr>
          <w:b/>
        </w:rPr>
        <w:t>4. vrstvě</w:t>
      </w:r>
      <w:r>
        <w:t xml:space="preserve"> se pak kontroluje konzistentnost analýzy na mikro- a makroekonomické úrovni s cílem ověřit zjištění. </w:t>
      </w:r>
    </w:p>
    <w:p w:rsidR="00E93BEA" w:rsidRPr="001C6ACF" w:rsidRDefault="00E93BEA" w:rsidP="00E52947">
      <w:pPr>
        <w:pStyle w:val="HHeadingfigures"/>
      </w:pPr>
      <w:r>
        <w:t>Zjednodušený vývojový diagram vrstev logického modelu</w:t>
      </w:r>
    </w:p>
    <w:p w:rsidR="00E93BEA" w:rsidRPr="00571D58" w:rsidRDefault="00FC529E" w:rsidP="00E93BEA">
      <w:pPr>
        <w:pStyle w:val="HStandard"/>
        <w:jc w:val="center"/>
      </w:pPr>
      <w:r w:rsidRPr="00FC529E">
        <w:rPr>
          <w:noProof/>
        </w:rPr>
        <w:drawing>
          <wp:inline distT="0" distB="0" distL="0" distR="0" wp14:anchorId="59DFD84B" wp14:editId="7B799AD8">
            <wp:extent cx="5322498" cy="30562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9751" cy="3060445"/>
                    </a:xfrm>
                    <a:prstGeom prst="rect">
                      <a:avLst/>
                    </a:prstGeom>
                    <a:noFill/>
                    <a:ln>
                      <a:noFill/>
                    </a:ln>
                  </pic:spPr>
                </pic:pic>
              </a:graphicData>
            </a:graphic>
          </wp:inline>
        </w:drawing>
      </w:r>
    </w:p>
    <w:p w:rsidR="004F365B" w:rsidRPr="001C6ACF" w:rsidRDefault="004F365B" w:rsidP="004F365B">
      <w:pPr>
        <w:pStyle w:val="HSource"/>
        <w:rPr>
          <w:i w:val="0"/>
        </w:rPr>
      </w:pPr>
      <w:r>
        <w:t xml:space="preserve">Zdroj: Evropská asistenční služba pro účely hodnocení politiky rozvoje venkova (2018), upraveno z ENVIEVAL (2015): Metodická příručka pro hodnocení environmentálních dopadů programů rozvoje venkova: Zpráva D9.5. Brusel: Evropská Komise. </w:t>
      </w:r>
    </w:p>
    <w:p w:rsidR="00B52943" w:rsidRDefault="00B52943" w:rsidP="00AE216A">
      <w:pPr>
        <w:pStyle w:val="HStandard"/>
        <w:rPr>
          <w:rFonts w:cs="Arial"/>
        </w:rPr>
      </w:pPr>
    </w:p>
    <w:p w:rsidR="00AE216A" w:rsidRPr="001C6ACF" w:rsidRDefault="00AE216A" w:rsidP="00AE216A">
      <w:pPr>
        <w:pStyle w:val="HStandard"/>
        <w:rPr>
          <w:rFonts w:cs="Arial"/>
        </w:rPr>
      </w:pPr>
      <w:r>
        <w:t xml:space="preserve">Vrstvy logického modelu se používají jako referenční bod pro popis navrhovaných přístupů k hodnocení u ukazatelů dopadů na SZP (viz kapitoly 2.2–2.9). </w:t>
      </w:r>
    </w:p>
    <w:p w:rsidR="006B44E5" w:rsidRPr="001C6ACF" w:rsidRDefault="006B44E5">
      <w:pPr>
        <w:spacing w:before="0" w:after="0" w:line="240" w:lineRule="auto"/>
        <w:jc w:val="left"/>
        <w:rPr>
          <w:b/>
          <w:color w:val="57825E" w:themeColor="accent4"/>
          <w:sz w:val="20"/>
          <w:szCs w:val="20"/>
        </w:rPr>
      </w:pPr>
      <w:r>
        <w:br w:type="page"/>
      </w:r>
    </w:p>
    <w:p w:rsidR="00E93BEA" w:rsidRPr="001C6ACF" w:rsidRDefault="00E93BEA" w:rsidP="00E93BEA">
      <w:pPr>
        <w:pStyle w:val="HHeading4"/>
      </w:pPr>
      <w:r>
        <w:lastRenderedPageBreak/>
        <w:t>Vytvoření rámce pro posouzení (1. vrstva)</w:t>
      </w:r>
    </w:p>
    <w:p w:rsidR="00E93BEA" w:rsidRPr="007645B4" w:rsidRDefault="000B213F" w:rsidP="00E93BEA">
      <w:pPr>
        <w:pStyle w:val="HStandard"/>
        <w:rPr>
          <w:rFonts w:cs="Arial"/>
        </w:rPr>
      </w:pPr>
      <w:r>
        <w:rPr>
          <w:b/>
          <w:i/>
          <w:noProof/>
          <w:color w:val="F07E31" w:themeColor="accent1"/>
          <w:lang w:val="en-GB" w:eastAsia="en-GB" w:bidi="ar-SA"/>
        </w:rPr>
        <mc:AlternateContent>
          <mc:Choice Requires="wps">
            <w:drawing>
              <wp:anchor distT="0" distB="0" distL="114300" distR="114300" simplePos="0" relativeHeight="251729408" behindDoc="0" locked="0" layoutInCell="1" allowOverlap="1" wp14:anchorId="3D6FA40F" wp14:editId="7EF5A651">
                <wp:simplePos x="0" y="0"/>
                <wp:positionH relativeFrom="margin">
                  <wp:posOffset>-38100</wp:posOffset>
                </wp:positionH>
                <wp:positionV relativeFrom="paragraph">
                  <wp:posOffset>88900</wp:posOffset>
                </wp:positionV>
                <wp:extent cx="2286000" cy="2356485"/>
                <wp:effectExtent l="0" t="0" r="19050" b="24765"/>
                <wp:wrapThrough wrapText="bothSides">
                  <wp:wrapPolygon edited="0">
                    <wp:start x="900" y="0"/>
                    <wp:lineTo x="0" y="873"/>
                    <wp:lineTo x="0" y="21652"/>
                    <wp:lineTo x="20880" y="21652"/>
                    <wp:lineTo x="21600" y="20954"/>
                    <wp:lineTo x="21600" y="0"/>
                    <wp:lineTo x="900" y="0"/>
                  </wp:wrapPolygon>
                </wp:wrapThrough>
                <wp:docPr id="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356485"/>
                        </a:xfrm>
                        <a:prstGeom prst="round2DiagRect">
                          <a:avLst>
                            <a:gd name="adj1" fmla="val 8733"/>
                            <a:gd name="adj2" fmla="val 0"/>
                          </a:avLst>
                        </a:prstGeom>
                        <a:noFill/>
                        <a:ln w="25400" cap="flat" cmpd="sng" algn="ctr">
                          <a:solidFill>
                            <a:srgbClr val="BE4A35"/>
                          </a:solidFill>
                          <a:prstDash val="solid"/>
                        </a:ln>
                        <a:effectLst/>
                      </wps:spPr>
                      <wps:txbx>
                        <w:txbxContent>
                          <w:p w:rsidR="008F1326" w:rsidRPr="00044269" w:rsidRDefault="008F1326" w:rsidP="005166F3">
                            <w:pPr>
                              <w:pStyle w:val="HHeading4"/>
                              <w:spacing w:before="0"/>
                              <w:jc w:val="both"/>
                              <w:rPr>
                                <w:b w:val="0"/>
                                <w:i/>
                                <w:color w:val="F07E31" w:themeColor="accent1"/>
                                <w:sz w:val="18"/>
                              </w:rPr>
                            </w:pPr>
                            <w:r>
                              <w:rPr>
                                <w:noProof/>
                                <w:color w:val="373737"/>
                                <w:lang w:val="en-GB" w:eastAsia="en-GB" w:bidi="ar-SA"/>
                              </w:rPr>
                              <w:drawing>
                                <wp:inline distT="0" distB="0" distL="0" distR="0" wp14:anchorId="1186DBAE" wp14:editId="7DA64EF1">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Posouzení daného dopadu </w:t>
                            </w:r>
                            <w:r>
                              <w:rPr>
                                <w:b w:val="0"/>
                                <w:color w:val="373737" w:themeColor="text1"/>
                              </w:rPr>
                              <w:t>(odvětvového, environmentálního nebo sociálně-ekonomického) začíná nastavením konzistentního hodnoticího rámce. Ten pomáhá vyjasnit postavení dopadu v rámci intervenční logiky a objasňuje, jaké ukazatele a jednotky jsou dostupné k měření dopadu.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6FA40F" id="_x0000_s1031" style="position:absolute;left:0;text-align:left;margin-left:-3pt;margin-top:7pt;width:180pt;height:185.55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2286000,23564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" adj="-11796480,,5400" path="m199636,l2286000,r,l2286000,2156849v,110256,-89380,199636,-199636,199636l,2356485r,l,199636c,89380,89380,,199636,xe" filled="f" strokecolor="#be4a35" strokeweight="2pt">
                <v:stroke joinstyle="miter"/>
                <v:formulas/>
                <v:path arrowok="t" o:connecttype="custom" o:connectlocs="199636,0;2286000,0;2286000,0;2286000,2156849;2086364,2356485;0,2356485;0,2356485;0,199636;199636,0" o:connectangles="0,0,0,0,0,0,0,0,0" textboxrect="0,0,2286000,2356485"/>
                <v:textbox>
                  <w:txbxContent>
                    <w:p w:rsidR="008F1326" w:rsidRPr="00044269" w:rsidRDefault="008F1326" w:rsidP="005166F3">
                      <w:pPr>
                        <w:pStyle w:val="HHeading4"/>
                        <w:spacing w:before="0"/>
                        <w:jc w:val="both"/>
                        <w:rPr>
                          <w:b w:val="0"/>
                          <w:i/>
                          <w:color w:val="F07E31" w:themeColor="accent1"/>
                          <w:sz w:val="18"/>
                        </w:rPr>
                      </w:pPr>
                      <w:r>
                        <w:rPr>
                          <w:noProof/>
                          <w:color w:val="373737"/>
                          <w:lang w:val="en-GB" w:eastAsia="en-GB" w:bidi="ar-SA"/>
                        </w:rPr>
                        <w:drawing>
                          <wp:inline distT="0" distB="0" distL="0" distR="0" wp14:anchorId="1186DBAE" wp14:editId="7DA64EF1">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Posouzení daného dopadu </w:t>
                      </w:r>
                      <w:r>
                        <w:rPr>
                          <w:b w:val="0"/>
                          <w:color w:val="373737" w:themeColor="text1"/>
                        </w:rPr>
                        <w:t>(odvětvového, environmentálního nebo sociálně-ekonomického) začíná nastavením konzistentního hodnoticího rámce. Ten pomáhá vyjasnit postavení dopadu v rámci intervenční logiky a objasňuje, jaké ukazatele a jednotky jsou dostupné k měření dopadu.</w:t>
                      </w:r>
                    </w:p>
                  </w:txbxContent>
                </v:textbox>
                <w10:wrap type="through" anchorx="margin"/>
              </v:shape>
            </w:pict>
          </mc:Fallback>
        </mc:AlternateContent>
      </w:r>
      <w:r>
        <w:t>Rámec pro posouzení lze připravit následujícím postupem:</w:t>
      </w:r>
    </w:p>
    <w:p w:rsidR="00E93BEA" w:rsidRPr="001C6ACF" w:rsidRDefault="0084519A" w:rsidP="00E93BEA">
      <w:pPr>
        <w:pStyle w:val="HStandard"/>
        <w:rPr>
          <w:rFonts w:cs="Arial"/>
        </w:rPr>
      </w:pPr>
      <w:r>
        <w:rPr>
          <w:b/>
          <w:color w:val="F07E31" w:themeColor="accent1"/>
        </w:rPr>
        <w:t>Krok 1 –</w:t>
      </w:r>
      <w:r>
        <w:rPr>
          <w:i/>
        </w:rPr>
        <w:t xml:space="preserve"> </w:t>
      </w:r>
      <w:r>
        <w:rPr>
          <w:b/>
          <w:color w:val="F07E31" w:themeColor="accent1"/>
        </w:rPr>
        <w:t>Objasnění intervenční logiky společného systému monitorování a hodnocení:</w:t>
      </w:r>
      <w:r>
        <w:t xml:space="preserve"> Intervenční logika ukazuje hierarchii politických cílů vzhledem k příslušným </w:t>
      </w:r>
      <w:r w:rsidR="00253622">
        <w:t>hodnotic</w:t>
      </w:r>
      <w:r>
        <w:t>ím otázkám, opatřením a prioritním oblastem a </w:t>
      </w:r>
      <w:r>
        <w:rPr>
          <w:b/>
        </w:rPr>
        <w:t>ve vztahu k souvisejícím výstupům společného systému monitorování a hodnocení a k ukazatelům výsledků a dopadů.</w:t>
      </w:r>
      <w:r>
        <w:t xml:space="preserve"> Ukazatele se přezkoumávají v kontextu dostupných údajů.</w:t>
      </w:r>
    </w:p>
    <w:p w:rsidR="000C2540" w:rsidRPr="001C6ACF" w:rsidRDefault="0084519A" w:rsidP="000C2540">
      <w:pPr>
        <w:pStyle w:val="HStandard"/>
        <w:rPr>
          <w:rFonts w:cs="Arial"/>
          <w:bCs/>
        </w:rPr>
      </w:pPr>
      <w:r>
        <w:rPr>
          <w:b/>
          <w:color w:val="F07E31" w:themeColor="accent1"/>
        </w:rPr>
        <w:t xml:space="preserve">Krok 2 – Výběr doplňkových ukazatelů (výsledků nebo dopadů): </w:t>
      </w:r>
      <w:r>
        <w:t xml:space="preserve">Těmito ukazateli lze doplnit povinné ukazatele společného systému monitorování a hodnocení. </w:t>
      </w:r>
      <w:r>
        <w:rPr>
          <w:b/>
        </w:rPr>
        <w:t>Použití doplňkových ukazatelů je dobrovolné</w:t>
      </w:r>
      <w:r>
        <w:t xml:space="preserve"> a mělo se by se pečlivě zvážit s ohledem na náklady, dostupnost údajů, udržitelnost a přidanou hodnotu pro posouzení. Doplňkové ukazatele mohou být užitečné při vyčíslování čistých výsledků a dopadů, pokud není dostatek údajů pro společné ukazatele výsledků a dopadů nebo je-li v těchto ukazatelích třeba vyplnit mezery. Doplňkové ukazatele mohou být i kvalitativního charakteru (např. míra změny vnímaná zúčastněnými stranami podle Likertovy škály) a doplňovat kvantitativní podklady nebo je při absenci kvantifikovatelných alternativ nahrazovat. </w:t>
      </w:r>
    </w:p>
    <w:p w:rsidR="00560A1E" w:rsidRPr="001C6ACF" w:rsidRDefault="0084519A" w:rsidP="00E93BEA">
      <w:pPr>
        <w:pStyle w:val="HStandard"/>
        <w:rPr>
          <w:rFonts w:cs="Arial"/>
        </w:rPr>
      </w:pPr>
      <w:r>
        <w:rPr>
          <w:b/>
          <w:color w:val="F07E31" w:themeColor="accent1"/>
        </w:rPr>
        <w:t xml:space="preserve">Krok 3 – Definice jednotky analýzy (= „nejmenší část organizovaného systému“) pro posouzení na mikro- a makroekonomické úrovni (ve vhodných případech): </w:t>
      </w:r>
      <w:r>
        <w:t>Jednotkou analýzy na mikroekonomické úrovni mohou být hospodářství, pozemky, komunity či regiony, na makroekonomické úrovni pak povodí, regionální jednotky nebo celé území PRV. S pomocí stanovené jednotky analýzy může ukazatel měřit změny v obhospodařování půdy a environmentální, odvětvové a sociálně-ekonomické změny, které zásahy PRV způsobují. Příslušné údaje by se měly shromažďovat pro stejnou kategorii jednotek a zahrnovat příjemce programu i nepřijímající subjekty.</w:t>
      </w:r>
    </w:p>
    <w:p w:rsidR="00E93BEA" w:rsidRPr="001C6ACF" w:rsidRDefault="00E93BEA" w:rsidP="00E93BEA">
      <w:pPr>
        <w:pStyle w:val="HHeading4"/>
      </w:pPr>
      <w:r>
        <w:t>Stanovení hypotetického srovnávacího scénáře (2. vrstva)</w:t>
      </w:r>
    </w:p>
    <w:p w:rsidR="00391ECD" w:rsidRPr="001C6ACF" w:rsidRDefault="000B213F" w:rsidP="002D4AB7">
      <w:pPr>
        <w:pStyle w:val="HStandard"/>
        <w:rPr>
          <w:rFonts w:cs="Arial"/>
        </w:rPr>
      </w:pPr>
      <w:r>
        <w:rPr>
          <w:b/>
          <w:i/>
          <w:noProof/>
          <w:color w:val="F07E31" w:themeColor="accent1"/>
          <w:lang w:val="en-GB" w:eastAsia="en-GB" w:bidi="ar-SA"/>
        </w:rPr>
        <mc:AlternateContent>
          <mc:Choice Requires="wps">
            <w:drawing>
              <wp:anchor distT="0" distB="0" distL="114300" distR="114300" simplePos="0" relativeHeight="251730432" behindDoc="0" locked="0" layoutInCell="1" allowOverlap="1" wp14:anchorId="506E9707" wp14:editId="3DA4B6BE">
                <wp:simplePos x="0" y="0"/>
                <wp:positionH relativeFrom="column">
                  <wp:posOffset>3238500</wp:posOffset>
                </wp:positionH>
                <wp:positionV relativeFrom="paragraph">
                  <wp:posOffset>39370</wp:posOffset>
                </wp:positionV>
                <wp:extent cx="2447925" cy="1610995"/>
                <wp:effectExtent l="0" t="0" r="28575" b="27305"/>
                <wp:wrapThrough wrapText="bothSides">
                  <wp:wrapPolygon edited="0">
                    <wp:start x="336" y="0"/>
                    <wp:lineTo x="0" y="766"/>
                    <wp:lineTo x="0" y="21711"/>
                    <wp:lineTo x="21348" y="21711"/>
                    <wp:lineTo x="21684" y="21200"/>
                    <wp:lineTo x="21684" y="0"/>
                    <wp:lineTo x="336" y="0"/>
                  </wp:wrapPolygon>
                </wp:wrapThrough>
                <wp:docPr id="38"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610995"/>
                        </a:xfrm>
                        <a:prstGeom prst="round2DiagRect">
                          <a:avLst>
                            <a:gd name="adj1" fmla="val 8733"/>
                            <a:gd name="adj2" fmla="val 0"/>
                          </a:avLst>
                        </a:prstGeom>
                        <a:noFill/>
                        <a:ln w="25400" cap="flat" cmpd="sng" algn="ctr">
                          <a:solidFill>
                            <a:srgbClr val="BE4A35"/>
                          </a:solidFill>
                          <a:prstDash val="solid"/>
                        </a:ln>
                        <a:effectLst/>
                      </wps:spPr>
                      <wps:txbx>
                        <w:txbxContent>
                          <w:p w:rsidR="008F1326" w:rsidRPr="00044269" w:rsidRDefault="008F1326" w:rsidP="005166F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7E261D79" wp14:editId="1745AB89">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Účinky programu </w:t>
                            </w:r>
                            <w:r>
                              <w:rPr>
                                <w:b w:val="0"/>
                                <w:color w:val="373737" w:themeColor="text1"/>
                              </w:rPr>
                              <w:t>nelze nikdy pozorovat přímo, protože působí i další faktory, a proto je k jejich posouzení třeba použít analýzu na základě hypotetického srovnávacího scénáře.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6E9707" id="_x0000_s1032" style="position:absolute;left:0;text-align:left;margin-left:255pt;margin-top:3.1pt;width:192.75pt;height:126.8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47925,16109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" adj="-11796480,,5400" path="m140688,l2447925,r,l2447925,1470307v,77700,-62988,140688,-140688,140688l,1610995r,l,140688c,62988,62988,,140688,xe" filled="f" strokecolor="#be4a35" strokeweight="2pt">
                <v:stroke joinstyle="miter"/>
                <v:formulas/>
                <v:path arrowok="t" o:connecttype="custom" o:connectlocs="140688,0;2447925,0;2447925,0;2447925,1470307;2307237,1610995;0,1610995;0,1610995;0,140688;140688,0" o:connectangles="0,0,0,0,0,0,0,0,0" textboxrect="0,0,2447925,1610995"/>
                <v:textbox>
                  <w:txbxContent>
                    <w:p w:rsidR="008F1326" w:rsidRPr="00044269" w:rsidRDefault="008F1326" w:rsidP="005166F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7E261D79" wp14:editId="1745AB89">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Účinky programu </w:t>
                      </w:r>
                      <w:r>
                        <w:rPr>
                          <w:b w:val="0"/>
                          <w:color w:val="373737" w:themeColor="text1"/>
                        </w:rPr>
                        <w:t>nelze nikdy pozorovat přímo, protože působí i další faktory, a proto je k jejich posouzení třeba použít analýzu na základě hypotetického srovnávacího scénáře.</w:t>
                      </w:r>
                    </w:p>
                  </w:txbxContent>
                </v:textbox>
                <w10:wrap type="through"/>
              </v:shape>
            </w:pict>
          </mc:Fallback>
        </mc:AlternateContent>
      </w:r>
      <w:r>
        <w:t>Dopad programu je rozdíl v hodnotě konkrétního výsledku (např. hrubá přidaná hodnota či produktivita práce) u téže jednotky s programem a bez programu. Tato definice platí pro všechny jednotky analýzy (např. osoba, hospodářství, podnik, pozemek, komunita, vesnice, region, programová oblast nebo země) a všechny výsledky (vyjádřené formou odvětvových, environmentálních či sociálně-ekonomických ukazatelů), které mohou souviset s programem.</w:t>
      </w:r>
    </w:p>
    <w:p w:rsidR="002D4AB7" w:rsidRPr="001C6ACF" w:rsidRDefault="002D4AB7" w:rsidP="002D4AB7">
      <w:pPr>
        <w:pStyle w:val="HStandard"/>
        <w:rPr>
          <w:rFonts w:cs="Arial"/>
        </w:rPr>
      </w:pPr>
      <w:r>
        <w:t xml:space="preserve">Druhá vrstva pomáhá hodnotiteli určit typy hypotetických srovnávacích scénářů, které lze na základě dostupných údajů vytvořit. Zohledňuje několik omezujících faktorů (např. nedostatek údajů, krátkodobé smlouvy o hodnocení, omezená kapacitu pro hodnocení) a pomáhá také zjistit proveditelná druhá nejlepší řešení (např. pro posouzení environmentálních dopadů). Je důležité systematicky zkoumat možnosti návrhu hypotetického srovnávacího scénáře, i když chybí údaje. Získávající se tak cenné informace o tom, jaké podmínky je nutné splnit, aby se mohla provést spolehlivá analýza na základě hypotetického srovnávacího scénáře, a zjišťují alternativy (např. naivní porovnání skupin, kvalitativní posouzení). </w:t>
      </w:r>
    </w:p>
    <w:p w:rsidR="00A41C7D" w:rsidRPr="001C6ACF" w:rsidRDefault="00E93BEA" w:rsidP="000B6372">
      <w:pPr>
        <w:pStyle w:val="HStandard"/>
      </w:pPr>
      <w:r>
        <w:lastRenderedPageBreak/>
        <w:t xml:space="preserve">Hypotetický srovnávací scénář se v logickém modelu uplatňuje při posuzování na mikro- i makroekonomické úrovni a úzce souvisí s výběrem přístupu k hodnocení a metod hodnocení. </w:t>
      </w:r>
      <w:r>
        <w:rPr>
          <w:b/>
        </w:rPr>
        <w:t>Je na hodnotiteli programu, aby rozhodl, na jaké úrovni (mikro-/makroekonomické) se analýza dopadů programu bude provádět.</w:t>
      </w:r>
      <w:r>
        <w:t xml:space="preserve"> Toto rozhodnutí se odvíjí od dostupných údajů a je nutné provést jej před výběrem jednotky pro analýzu, pro niž se budou shromažďovat údaje (hospodářské, environmentální či sociálně-ekonomické). </w:t>
      </w:r>
    </w:p>
    <w:p w:rsidR="00A41C7D" w:rsidRPr="00571D58" w:rsidRDefault="00C87859">
      <w:pPr>
        <w:spacing w:before="0" w:after="0" w:line="240" w:lineRule="auto"/>
        <w:jc w:val="left"/>
        <w:rPr>
          <w:color w:val="373737" w:themeColor="text1"/>
          <w:sz w:val="20"/>
          <w:szCs w:val="20"/>
        </w:rPr>
      </w:pPr>
      <w:r>
        <w:rPr>
          <w:noProof/>
          <w:lang w:val="en-GB" w:eastAsia="en-GB" w:bidi="ar-SA"/>
        </w:rPr>
        <mc:AlternateContent>
          <mc:Choice Requires="wps">
            <w:drawing>
              <wp:anchor distT="0" distB="0" distL="114300" distR="114300" simplePos="0" relativeHeight="251732480" behindDoc="0" locked="0" layoutInCell="1" allowOverlap="1" wp14:anchorId="730370A3" wp14:editId="66050058">
                <wp:simplePos x="0" y="0"/>
                <wp:positionH relativeFrom="margin">
                  <wp:align>right</wp:align>
                </wp:positionH>
                <wp:positionV relativeFrom="paragraph">
                  <wp:posOffset>86360</wp:posOffset>
                </wp:positionV>
                <wp:extent cx="5731510" cy="1643743"/>
                <wp:effectExtent l="0" t="0" r="21590" b="13970"/>
                <wp:wrapNone/>
                <wp:docPr id="46"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643743"/>
                        </a:xfrm>
                        <a:prstGeom prst="round2DiagRect">
                          <a:avLst>
                            <a:gd name="adj1" fmla="val 8733"/>
                            <a:gd name="adj2" fmla="val 0"/>
                          </a:avLst>
                        </a:prstGeom>
                        <a:noFill/>
                        <a:ln w="25400" cap="flat" cmpd="sng" algn="ctr">
                          <a:solidFill>
                            <a:srgbClr val="BE4A35"/>
                          </a:solidFill>
                          <a:prstDash val="solid"/>
                        </a:ln>
                        <a:effectLst/>
                      </wps:spPr>
                      <wps:txbx>
                        <w:txbxContent>
                          <w:p w:rsidR="008F1326" w:rsidRPr="009B4B57" w:rsidRDefault="008F1326" w:rsidP="005166F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478A2C6A" wp14:editId="1AD6BF05">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Členské státy s více programy rozvoje venkova</w:t>
                            </w:r>
                            <w:r>
                              <w:rPr>
                                <w:b w:val="0"/>
                                <w:color w:val="373737" w:themeColor="text1"/>
                              </w:rPr>
                              <w:t xml:space="preserve"> mohou zjistit, že zdroje údajů EU (např. </w:t>
                            </w:r>
                            <w:r>
                              <w:rPr>
                                <w:b w:val="0"/>
                                <w:color w:val="373737" w:themeColor="text1"/>
                              </w:rPr>
                              <w:t xml:space="preserve">Eurostat) neposkytují hodnoty pro společné ukazatele dopadů na SZP na úrovni jednotlivých regionálních programů rozvoje venkova. </w:t>
                            </w:r>
                            <w:r>
                              <w:rPr>
                                <w:b w:val="0"/>
                                <w:color w:val="373737" w:themeColor="text1"/>
                              </w:rPr>
                              <w:t>V takovém případě lze regionální hodnotu ukazatele (NUTS 2) odhadnout na základě vnitrostátních údajů, případně shrnutím údajů vycházejících ze shromážděných jednotek v každém příslušném regionu (I.01, I.02, I.03).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0370A3" id="_x0000_s1033" style="position:absolute;margin-left:400.1pt;margin-top:6.8pt;width:451.3pt;height:129.45pt;z-index:25173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5731510,16437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" adj="-11796480,,5400" path="m143548,l5731510,r,l5731510,1500195v,79279,-64269,143548,-143548,143548l,1643743r,l,143548c,64269,64269,,143548,xe" filled="f" strokecolor="#be4a35" strokeweight="2pt">
                <v:stroke joinstyle="miter"/>
                <v:formulas/>
                <v:path arrowok="t" o:connecttype="custom" o:connectlocs="143548,0;5731510,0;5731510,0;5731510,1500195;5587962,1643743;0,1643743;0,1643743;0,143548;143548,0" o:connectangles="0,0,0,0,0,0,0,0,0" textboxrect="0,0,5731510,1643743"/>
                <v:textbox>
                  <w:txbxContent>
                    <w:p w:rsidR="008F1326" w:rsidRPr="009B4B57" w:rsidRDefault="008F1326" w:rsidP="005166F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478A2C6A" wp14:editId="1AD6BF05">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Členské státy s více programy rozvoje venkova</w:t>
                      </w:r>
                      <w:r>
                        <w:rPr>
                          <w:b w:val="0"/>
                          <w:color w:val="373737" w:themeColor="text1"/>
                        </w:rPr>
                        <w:t xml:space="preserve"> mohou zjistit, že zdroje údajů EU (např. </w:t>
                      </w:r>
                      <w:r>
                        <w:rPr>
                          <w:b w:val="0"/>
                          <w:color w:val="373737" w:themeColor="text1"/>
                        </w:rPr>
                        <w:t xml:space="preserve">Eurostat) neposkytují hodnoty pro společné ukazatele dopadů na SZP na úrovni jednotlivých regionálních programů rozvoje venkova. </w:t>
                      </w:r>
                      <w:r>
                        <w:rPr>
                          <w:b w:val="0"/>
                          <w:color w:val="373737" w:themeColor="text1"/>
                        </w:rPr>
                        <w:t>V takovém případě lze regionální hodnotu ukazatele (NUTS 2) odhadnout na základě vnitrostátních údajů, případně shrnutím údajů vycházejících ze shromážděných jednotek v každém příslušném regionu (I.01, I.02, I.03).</w:t>
                      </w:r>
                    </w:p>
                  </w:txbxContent>
                </v:textbox>
                <w10:wrap anchorx="margin"/>
              </v:shape>
            </w:pict>
          </mc:Fallback>
        </mc:AlternateContent>
      </w:r>
      <w:r>
        <w:br w:type="page"/>
      </w:r>
    </w:p>
    <w:p w:rsidR="00A41C7D" w:rsidRPr="00571D58" w:rsidRDefault="000B213F" w:rsidP="000B6372">
      <w:pPr>
        <w:pStyle w:val="HStandard"/>
        <w:rPr>
          <w:rFonts w:cs="Arial"/>
        </w:rPr>
      </w:pPr>
      <w:r>
        <w:rPr>
          <w:b/>
          <w:i/>
          <w:noProof/>
          <w:color w:val="F07E31" w:themeColor="accent1"/>
          <w:lang w:val="en-GB" w:eastAsia="en-GB" w:bidi="ar-SA"/>
        </w:rPr>
        <w:lastRenderedPageBreak/>
        <mc:AlternateContent>
          <mc:Choice Requires="wps">
            <w:drawing>
              <wp:anchor distT="0" distB="0" distL="114300" distR="114300" simplePos="0" relativeHeight="251733504" behindDoc="0" locked="0" layoutInCell="1" allowOverlap="1" wp14:anchorId="68EB15CB" wp14:editId="1DB0072E">
                <wp:simplePos x="0" y="0"/>
                <wp:positionH relativeFrom="column">
                  <wp:posOffset>-114300</wp:posOffset>
                </wp:positionH>
                <wp:positionV relativeFrom="paragraph">
                  <wp:posOffset>-103414</wp:posOffset>
                </wp:positionV>
                <wp:extent cx="6229350" cy="8714014"/>
                <wp:effectExtent l="0" t="0" r="19050" b="11430"/>
                <wp:wrapNone/>
                <wp:docPr id="946" name="Rectangle: Rounded Corners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0" cy="8714014"/>
                        </a:xfrm>
                        <a:prstGeom prst="roundRect">
                          <a:avLst>
                            <a:gd name="adj" fmla="val 456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05FA1" id="Rectangle: Rounded Corners 946" o:spid="_x0000_s1026" style="position:absolute;margin-left:-9pt;margin-top:-8.15pt;width:490.5pt;height:686.1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" filled="f" strokecolor="#be4a35 [3205]" strokeweight="2pt">
                <v:path arrowok="t"/>
              </v:roundrect>
            </w:pict>
          </mc:Fallback>
        </mc:AlternateContent>
      </w:r>
      <w:r>
        <w:rPr>
          <w:b/>
          <w:i/>
          <w:noProof/>
          <w:color w:val="F07E31" w:themeColor="accent1"/>
          <w:lang w:val="en-GB" w:eastAsia="en-GB" w:bidi="ar-SA"/>
        </w:rPr>
        <mc:AlternateContent>
          <mc:Choice Requires="wps">
            <w:drawing>
              <wp:inline distT="0" distB="0" distL="0" distR="0" wp14:anchorId="051041E9" wp14:editId="5BBD4516">
                <wp:extent cx="6093460" cy="2609850"/>
                <wp:effectExtent l="0" t="0" r="2540" b="0"/>
                <wp:docPr id="909"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3460" cy="2609850"/>
                        </a:xfrm>
                        <a:custGeom>
                          <a:avLst/>
                          <a:gdLst>
                            <a:gd name="T0" fmla="*/ 150406 w 6093460"/>
                            <a:gd name="T1" fmla="*/ 0 h 2609850"/>
                            <a:gd name="T2" fmla="*/ 6093460 w 6093460"/>
                            <a:gd name="T3" fmla="*/ 0 h 2609850"/>
                            <a:gd name="T4" fmla="*/ 6093460 w 6093460"/>
                            <a:gd name="T5" fmla="*/ 0 h 2609850"/>
                            <a:gd name="T6" fmla="*/ 6093460 w 6093460"/>
                            <a:gd name="T7" fmla="*/ 2459444 h 2609850"/>
                            <a:gd name="T8" fmla="*/ 5943054 w 6093460"/>
                            <a:gd name="T9" fmla="*/ 2609850 h 2609850"/>
                            <a:gd name="T10" fmla="*/ 0 w 6093460"/>
                            <a:gd name="T11" fmla="*/ 2609850 h 2609850"/>
                            <a:gd name="T12" fmla="*/ 0 w 6093460"/>
                            <a:gd name="T13" fmla="*/ 2609850 h 2609850"/>
                            <a:gd name="T14" fmla="*/ 0 w 6093460"/>
                            <a:gd name="T15" fmla="*/ 150406 h 2609850"/>
                            <a:gd name="T16" fmla="*/ 150406 w 6093460"/>
                            <a:gd name="T17" fmla="*/ 0 h 2609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093460"/>
                            <a:gd name="T28" fmla="*/ 0 h 2609850"/>
                            <a:gd name="T29" fmla="*/ 6093460 w 6093460"/>
                            <a:gd name="T30" fmla="*/ 2609850 h 2609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093460" h="2609850">
                              <a:moveTo>
                                <a:pt x="150406" y="0"/>
                              </a:moveTo>
                              <a:lnTo>
                                <a:pt x="6093460" y="0"/>
                              </a:lnTo>
                              <a:lnTo>
                                <a:pt x="6093460" y="2459444"/>
                              </a:lnTo>
                              <a:cubicBezTo>
                                <a:pt x="6093460" y="2542511"/>
                                <a:pt x="6026121" y="2609850"/>
                                <a:pt x="5943054" y="2609850"/>
                              </a:cubicBezTo>
                              <a:lnTo>
                                <a:pt x="0" y="2609850"/>
                              </a:lnTo>
                              <a:lnTo>
                                <a:pt x="0" y="150406"/>
                              </a:lnTo>
                              <a:cubicBezTo>
                                <a:pt x="0" y="67339"/>
                                <a:pt x="67339" y="0"/>
                                <a:pt x="150406" y="0"/>
                              </a:cubicBez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8F1326" w:rsidRDefault="008F1326" w:rsidP="005166F3">
                            <w:pPr>
                              <w:pStyle w:val="HHeading4"/>
                              <w:spacing w:before="0"/>
                              <w:jc w:val="both"/>
                              <w:rPr>
                                <w:rFonts w:cs="Arial"/>
                                <w:color w:val="373737"/>
                                <w:sz w:val="18"/>
                                <w:szCs w:val="18"/>
                              </w:rPr>
                            </w:pPr>
                            <w:r>
                              <w:rPr>
                                <w:noProof/>
                                <w:color w:val="373737"/>
                                <w:lang w:val="en-GB" w:eastAsia="en-GB" w:bidi="ar-SA"/>
                              </w:rPr>
                              <w:drawing>
                                <wp:inline distT="0" distB="0" distL="0" distR="0" wp14:anchorId="646353E3" wp14:editId="51960873">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RYCHLÝ PRŮVODCE č. 1: Jak pomocí logického modelu zjistit různé možnosti vytvoření hypotetického srovnávacího scénáře a rozhodnout o přístupu k hodnocení?</w:t>
                            </w:r>
                          </w:p>
                          <w:p w:rsidR="008F1326" w:rsidRPr="005D575A" w:rsidRDefault="008F1326" w:rsidP="005166F3">
                            <w:pPr>
                              <w:pStyle w:val="HStandard"/>
                              <w:spacing w:after="0"/>
                              <w:rPr>
                                <w:rFonts w:cs="Arial"/>
                                <w:sz w:val="18"/>
                              </w:rPr>
                            </w:pPr>
                            <w:r>
                              <w:rPr>
                                <w:sz w:val="18"/>
                              </w:rPr>
                              <w:t xml:space="preserve">Provedení kroků v rozhodovacím stromu ve vrstvě hypotetického srovnávacího scénáře poskytuje vodítko ke zodpovězení následujících klíčových otázek, které se týkají tvorby scénáře: </w:t>
                            </w:r>
                          </w:p>
                          <w:p w:rsidR="008F1326" w:rsidRPr="005D575A" w:rsidRDefault="008F1326" w:rsidP="005166F3">
                            <w:pPr>
                              <w:pStyle w:val="Hlistbullet"/>
                              <w:rPr>
                                <w:sz w:val="18"/>
                              </w:rPr>
                            </w:pPr>
                            <w:r>
                              <w:rPr>
                                <w:sz w:val="18"/>
                              </w:rPr>
                              <w:t>Jaké možnosti k sestavení hypotetického srovnávacího scénáře jsou k dispozici?</w:t>
                            </w:r>
                          </w:p>
                          <w:p w:rsidR="008F1326" w:rsidRPr="005D575A" w:rsidRDefault="008F1326" w:rsidP="005166F3">
                            <w:pPr>
                              <w:pStyle w:val="Hlistbullet"/>
                              <w:rPr>
                                <w:sz w:val="18"/>
                              </w:rPr>
                            </w:pPr>
                            <w:r>
                              <w:rPr>
                                <w:sz w:val="18"/>
                              </w:rPr>
                              <w:t>Umožňuje způsob provádění a míra využívání opatření vytvořit kontrolní skupinu?</w:t>
                            </w:r>
                          </w:p>
                          <w:p w:rsidR="008F1326" w:rsidRPr="005D575A" w:rsidRDefault="008F1326" w:rsidP="005166F3">
                            <w:pPr>
                              <w:pStyle w:val="Hlistbullet"/>
                              <w:rPr>
                                <w:sz w:val="18"/>
                              </w:rPr>
                            </w:pPr>
                            <w:r>
                              <w:rPr>
                                <w:sz w:val="18"/>
                              </w:rPr>
                              <w:t>Nakolik jsou dostupné údaje o dalších faktorech, které ovlivňují zvolené ukazatele?</w:t>
                            </w:r>
                          </w:p>
                          <w:p w:rsidR="008F1326" w:rsidRPr="005D575A" w:rsidRDefault="008F1326" w:rsidP="005166F3">
                            <w:pPr>
                              <w:pStyle w:val="Hlistbullet"/>
                              <w:rPr>
                                <w:sz w:val="18"/>
                              </w:rPr>
                            </w:pPr>
                            <w:r>
                              <w:rPr>
                                <w:sz w:val="18"/>
                              </w:rPr>
                              <w:t>Jsou pro zvolené ukazatele k dispozici údaje o příjemcích a nepřijímajících subjektech z různých období („před a po“)?</w:t>
                            </w:r>
                          </w:p>
                          <w:p w:rsidR="008F1326" w:rsidRPr="00A41C7D" w:rsidRDefault="008F1326" w:rsidP="005166F3">
                            <w:pPr>
                              <w:pStyle w:val="Hlistbullet"/>
                              <w:rPr>
                                <w:sz w:val="18"/>
                              </w:rPr>
                            </w:pPr>
                            <w:r>
                              <w:rPr>
                                <w:sz w:val="18"/>
                              </w:rPr>
                              <w:t>Lze pomocí spolehlivých statistických metod s přiměřenými náklady vyčíslit čisté dopady hodnocených opatření?</w:t>
                            </w:r>
                          </w:p>
                          <w:p w:rsidR="008F1326" w:rsidRPr="00C545E7" w:rsidRDefault="008F1326" w:rsidP="00010B08">
                            <w:pPr>
                              <w:pStyle w:val="Hlistbullet"/>
                              <w:numPr>
                                <w:ilvl w:val="0"/>
                                <w:numId w:val="0"/>
                              </w:numPr>
                              <w:spacing w:before="0" w:after="0" w:line="280" w:lineRule="atLeast"/>
                              <w:jc w:val="right"/>
                              <w:rPr>
                                <w:i/>
                                <w:color w:val="F07E31" w:themeColor="accent1"/>
                                <w:sz w:val="18"/>
                              </w:rPr>
                            </w:pPr>
                          </w:p>
                        </w:txbxContent>
                      </wps:txbx>
                      <wps:bodyPr rot="0" vert="horz" wrap="square" lIns="91440" tIns="45720" rIns="91440" bIns="45720" anchor="ctr" anchorCtr="0" upright="1">
                        <a:noAutofit/>
                      </wps:bodyPr>
                    </wps:wsp>
                  </a:graphicData>
                </a:graphic>
              </wp:inline>
            </w:drawing>
          </mc:Choice>
          <mc:Fallback>
            <w:pict>
              <v:shape w14:anchorId="051041E9" id="Rectangle: Diagonal Corners Rounded 90" o:spid="_x0000_s1034" style="width:479.8pt;height:205.5pt;visibility:visible;mso-wrap-style:square;mso-left-percent:-10001;mso-top-percent:-10001;mso-position-horizontal:absolute;mso-position-horizontal-relative:char;mso-position-vertical:absolute;mso-position-vertical-relative:line;mso-left-percent:-10001;mso-top-percent:-10001;v-text-anchor:middle" coordsize="6093460,2609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" adj="-11796480,,5400" path="m150406,l6093460,r,2459444c6093460,2542511,6026121,2609850,5943054,2609850l,2609850,,150406c,67339,67339,,150406,xe" filled="f" stroked="f" strokeweight="2pt">
                <v:stroke joinstyle="miter"/>
                <v:formulas/>
                <v:path arrowok="t" o:connecttype="custom" o:connectlocs="150406,0;6093460,0;6093460,0;6093460,2459444;5943054,2609850;0,2609850;0,2609850;0,150406;150406,0" o:connectangles="0,0,0,0,0,0,0,0,0" textboxrect="0,0,6093460,2609850"/>
                <v:textbox>
                  <w:txbxContent>
                    <w:p w:rsidR="008F1326" w:rsidRDefault="008F1326" w:rsidP="005166F3">
                      <w:pPr>
                        <w:pStyle w:val="HHeading4"/>
                        <w:spacing w:before="0"/>
                        <w:jc w:val="both"/>
                        <w:rPr>
                          <w:rFonts w:cs="Arial"/>
                          <w:color w:val="373737"/>
                          <w:sz w:val="18"/>
                          <w:szCs w:val="18"/>
                        </w:rPr>
                      </w:pPr>
                      <w:r>
                        <w:rPr>
                          <w:noProof/>
                          <w:color w:val="373737"/>
                          <w:lang w:val="en-GB" w:eastAsia="en-GB" w:bidi="ar-SA"/>
                        </w:rPr>
                        <w:drawing>
                          <wp:inline distT="0" distB="0" distL="0" distR="0" wp14:anchorId="646353E3" wp14:editId="51960873">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RYCHLÝ PRŮVODCE č. 1: Jak pomocí logického modelu zjistit různé možnosti vytvoření hypotetického srovnávacího scénáře a rozhodnout o přístupu k hodnocení?</w:t>
                      </w:r>
                    </w:p>
                    <w:p w:rsidR="008F1326" w:rsidRPr="005D575A" w:rsidRDefault="008F1326" w:rsidP="005166F3">
                      <w:pPr>
                        <w:pStyle w:val="HStandard"/>
                        <w:spacing w:after="0"/>
                        <w:rPr>
                          <w:rFonts w:cs="Arial"/>
                          <w:sz w:val="18"/>
                        </w:rPr>
                      </w:pPr>
                      <w:r>
                        <w:rPr>
                          <w:sz w:val="18"/>
                        </w:rPr>
                        <w:t xml:space="preserve">Provedení kroků v rozhodovacím stromu ve vrstvě hypotetického srovnávacího scénáře poskytuje vodítko ke zodpovězení následujících klíčových otázek, které se týkají tvorby scénáře: </w:t>
                      </w:r>
                    </w:p>
                    <w:p w:rsidR="008F1326" w:rsidRPr="005D575A" w:rsidRDefault="008F1326" w:rsidP="005166F3">
                      <w:pPr>
                        <w:pStyle w:val="Hlistbullet"/>
                        <w:rPr>
                          <w:sz w:val="18"/>
                        </w:rPr>
                      </w:pPr>
                      <w:r>
                        <w:rPr>
                          <w:sz w:val="18"/>
                        </w:rPr>
                        <w:t>Jaké možnosti k sestavení hypotetického srovnávacího scénáře jsou k dispozici?</w:t>
                      </w:r>
                    </w:p>
                    <w:p w:rsidR="008F1326" w:rsidRPr="005D575A" w:rsidRDefault="008F1326" w:rsidP="005166F3">
                      <w:pPr>
                        <w:pStyle w:val="Hlistbullet"/>
                        <w:rPr>
                          <w:sz w:val="18"/>
                        </w:rPr>
                      </w:pPr>
                      <w:r>
                        <w:rPr>
                          <w:sz w:val="18"/>
                        </w:rPr>
                        <w:t>Umožňuje způsob provádění a míra využívání opatření vytvořit kontrolní skupinu?</w:t>
                      </w:r>
                    </w:p>
                    <w:p w:rsidR="008F1326" w:rsidRPr="005D575A" w:rsidRDefault="008F1326" w:rsidP="005166F3">
                      <w:pPr>
                        <w:pStyle w:val="Hlistbullet"/>
                        <w:rPr>
                          <w:sz w:val="18"/>
                        </w:rPr>
                      </w:pPr>
                      <w:r>
                        <w:rPr>
                          <w:sz w:val="18"/>
                        </w:rPr>
                        <w:t>Nakolik jsou dostupné údaje o dalších faktorech, které ovlivňují zvolené ukazatele?</w:t>
                      </w:r>
                    </w:p>
                    <w:p w:rsidR="008F1326" w:rsidRPr="005D575A" w:rsidRDefault="008F1326" w:rsidP="005166F3">
                      <w:pPr>
                        <w:pStyle w:val="Hlistbullet"/>
                        <w:rPr>
                          <w:sz w:val="18"/>
                        </w:rPr>
                      </w:pPr>
                      <w:r>
                        <w:rPr>
                          <w:sz w:val="18"/>
                        </w:rPr>
                        <w:t>Jsou pro zvolené ukazatele k dispozici údaje o příjemcích a nepřijímajících subjektech z různých období („před a po“)?</w:t>
                      </w:r>
                    </w:p>
                    <w:p w:rsidR="008F1326" w:rsidRPr="00A41C7D" w:rsidRDefault="008F1326" w:rsidP="005166F3">
                      <w:pPr>
                        <w:pStyle w:val="Hlistbullet"/>
                        <w:rPr>
                          <w:sz w:val="18"/>
                        </w:rPr>
                      </w:pPr>
                      <w:r>
                        <w:rPr>
                          <w:sz w:val="18"/>
                        </w:rPr>
                        <w:t>Lze pomocí spolehlivých statistických metod s přiměřenými náklady vyčíslit čisté dopady hodnocených opatření?</w:t>
                      </w:r>
                    </w:p>
                    <w:p w:rsidR="008F1326" w:rsidRPr="00C545E7" w:rsidRDefault="008F1326" w:rsidP="00010B08">
                      <w:pPr>
                        <w:pStyle w:val="Hlistbullet"/>
                        <w:numPr>
                          <w:ilvl w:val="0"/>
                          <w:numId w:val="0"/>
                        </w:numPr>
                        <w:spacing w:before="0" w:after="0" w:line="280" w:lineRule="atLeast"/>
                        <w:jc w:val="right"/>
                        <w:rPr>
                          <w:i/>
                          <w:color w:val="F07E31" w:themeColor="accent1"/>
                          <w:sz w:val="18"/>
                        </w:rPr>
                      </w:pPr>
                    </w:p>
                  </w:txbxContent>
                </v:textbox>
                <w10:anchorlock/>
              </v:shape>
            </w:pict>
          </mc:Fallback>
        </mc:AlternateContent>
      </w:r>
    </w:p>
    <w:p w:rsidR="00EB120C" w:rsidRPr="005934AE" w:rsidRDefault="00EC01C3" w:rsidP="00EB120C">
      <w:pPr>
        <w:pStyle w:val="HHeadingfigures"/>
      </w:pPr>
      <w:r>
        <w:t>Logický model pro zjištění možností vytvoření hypotetického srovnávacího scénáře</w:t>
      </w:r>
    </w:p>
    <w:p w:rsidR="00727DDF" w:rsidRPr="00571D58" w:rsidRDefault="00FC529E" w:rsidP="00727DDF">
      <w:pPr>
        <w:pStyle w:val="HStandard"/>
      </w:pPr>
      <w:r w:rsidRPr="00FC529E">
        <w:rPr>
          <w:noProof/>
        </w:rPr>
        <w:drawing>
          <wp:inline distT="0" distB="0" distL="0" distR="0" wp14:anchorId="3444AB46" wp14:editId="496B76A5">
            <wp:extent cx="5731510" cy="3901551"/>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3901551"/>
                    </a:xfrm>
                    <a:prstGeom prst="rect">
                      <a:avLst/>
                    </a:prstGeom>
                    <a:noFill/>
                    <a:ln>
                      <a:noFill/>
                    </a:ln>
                  </pic:spPr>
                </pic:pic>
              </a:graphicData>
            </a:graphic>
          </wp:inline>
        </w:drawing>
      </w:r>
      <w:r w:rsidR="00EC01C3">
        <w:rPr>
          <w:noProof/>
          <w:color w:val="auto"/>
          <w:sz w:val="18"/>
        </w:rPr>
        <w:t xml:space="preserve"> </w:t>
      </w:r>
    </w:p>
    <w:p w:rsidR="00EB120C" w:rsidRPr="00AC6A80" w:rsidRDefault="00EB120C" w:rsidP="00B42D5D">
      <w:pPr>
        <w:pStyle w:val="HSource"/>
      </w:pPr>
      <w:r>
        <w:t>Zdroj: upraveno z ENVIEVAL (2015)</w:t>
      </w:r>
    </w:p>
    <w:p w:rsidR="00EB120C" w:rsidRPr="007645B4" w:rsidRDefault="00EB120C" w:rsidP="00EB120C">
      <w:pPr>
        <w:pStyle w:val="Hlistbullet"/>
        <w:numPr>
          <w:ilvl w:val="0"/>
          <w:numId w:val="0"/>
        </w:numPr>
        <w:spacing w:before="0" w:after="0" w:line="280" w:lineRule="atLeast"/>
        <w:rPr>
          <w:rFonts w:cs="Arial"/>
          <w:sz w:val="18"/>
        </w:rPr>
      </w:pPr>
      <w:r>
        <w:rPr>
          <w:sz w:val="18"/>
        </w:rPr>
        <w:t xml:space="preserve">Logický model začíná popisem využívání PRV a stavu údajů z hlediska dostupných ukazatelů dopadů (a výsledků) společného systému monitorování a hodnocení a případných zvolených doplňkových ukazatelů (plná tmavě šedá pole). Na základě série rozhodujících otázek (červená pole) se určí možnosti stanovení hypotetického srovnávacího scénáře (plná červená pole). </w:t>
      </w:r>
    </w:p>
    <w:p w:rsidR="00EB120C" w:rsidRPr="00571D58" w:rsidRDefault="00EB120C" w:rsidP="00B42D5D">
      <w:pPr>
        <w:pStyle w:val="Hlistbullet"/>
        <w:numPr>
          <w:ilvl w:val="0"/>
          <w:numId w:val="0"/>
        </w:numPr>
        <w:spacing w:before="0" w:after="0" w:line="280" w:lineRule="atLeast"/>
        <w:jc w:val="center"/>
        <w:rPr>
          <w:i/>
          <w:color w:val="F07E31" w:themeColor="accent1"/>
          <w:sz w:val="18"/>
        </w:rPr>
      </w:pPr>
      <w:r>
        <w:rPr>
          <w:i/>
          <w:color w:val="F07E31" w:themeColor="accent1"/>
          <w:sz w:val="18"/>
        </w:rPr>
        <w:t xml:space="preserve">Další informace o používání logických modelů jsou k dispozici ve </w:t>
      </w:r>
      <w:hyperlink r:id="rId40">
        <w:r>
          <w:rPr>
            <w:rStyle w:val="Hyperlink"/>
            <w:i/>
            <w:sz w:val="18"/>
          </w:rPr>
          <w:t>výzkumném projektu ENVIEVAL sedmého rámcového programu</w:t>
        </w:r>
      </w:hyperlink>
      <w:r>
        <w:rPr>
          <w:rStyle w:val="Hyperlink"/>
          <w:i/>
          <w:sz w:val="18"/>
          <w:u w:val="none"/>
        </w:rPr>
        <w:t xml:space="preserve"> a jeho</w:t>
      </w:r>
      <w:r>
        <w:rPr>
          <w:i/>
          <w:color w:val="F07E31" w:themeColor="accent1"/>
          <w:sz w:val="18"/>
        </w:rPr>
        <w:t xml:space="preserve"> </w:t>
      </w:r>
      <w:hyperlink r:id="rId41">
        <w:r>
          <w:rPr>
            <w:rStyle w:val="Hyperlink"/>
            <w:i/>
            <w:sz w:val="18"/>
          </w:rPr>
          <w:t>metodologické příručce pro hodnocení environmentálních dopadů programů rozvoje venkova</w:t>
        </w:r>
      </w:hyperlink>
      <w:r>
        <w:t>.</w:t>
      </w:r>
    </w:p>
    <w:p w:rsidR="00EB120C" w:rsidRPr="00336531" w:rsidRDefault="00EB120C" w:rsidP="00EB120C">
      <w:pPr>
        <w:pStyle w:val="HStandard"/>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D4194" w:rsidRPr="001C6ACF" w:rsidTr="00F74B7E">
        <w:tc>
          <w:tcPr>
            <w:tcW w:w="9026" w:type="dxa"/>
            <w:shd w:val="clear" w:color="auto" w:fill="auto"/>
          </w:tcPr>
          <w:p w:rsidR="006D4194" w:rsidRPr="00571D58" w:rsidRDefault="006D4194" w:rsidP="00010B08">
            <w:pPr>
              <w:pStyle w:val="Hlistbullet"/>
              <w:numPr>
                <w:ilvl w:val="0"/>
                <w:numId w:val="0"/>
              </w:numPr>
              <w:spacing w:before="0" w:after="0" w:line="280" w:lineRule="atLeast"/>
              <w:rPr>
                <w:sz w:val="18"/>
                <w:szCs w:val="18"/>
              </w:rPr>
            </w:pPr>
            <w:r>
              <w:lastRenderedPageBreak/>
              <w:br w:type="column"/>
            </w:r>
            <w:r>
              <w:rPr>
                <w:b/>
                <w:i/>
                <w:noProof/>
                <w:color w:val="F07E31" w:themeColor="accent1"/>
                <w:lang w:val="en-GB" w:eastAsia="en-GB" w:bidi="ar-SA"/>
              </w:rPr>
              <mc:AlternateContent>
                <mc:Choice Requires="wps">
                  <w:drawing>
                    <wp:inline distT="0" distB="0" distL="0" distR="0" wp14:anchorId="6E293742" wp14:editId="3E39D2E4">
                      <wp:extent cx="5567045" cy="8430986"/>
                      <wp:effectExtent l="0" t="0" r="14605" b="27305"/>
                      <wp:docPr id="90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7045" cy="8430986"/>
                              </a:xfrm>
                              <a:custGeom>
                                <a:avLst/>
                                <a:gdLst>
                                  <a:gd name="T0" fmla="*/ 276626 w 5567045"/>
                                  <a:gd name="T1" fmla="*/ 0 h 8401050"/>
                                  <a:gd name="T2" fmla="*/ 5567045 w 5567045"/>
                                  <a:gd name="T3" fmla="*/ 0 h 8401050"/>
                                  <a:gd name="T4" fmla="*/ 5567045 w 5567045"/>
                                  <a:gd name="T5" fmla="*/ 0 h 8401050"/>
                                  <a:gd name="T6" fmla="*/ 5567045 w 5567045"/>
                                  <a:gd name="T7" fmla="*/ 8124424 h 8401050"/>
                                  <a:gd name="T8" fmla="*/ 5290419 w 5567045"/>
                                  <a:gd name="T9" fmla="*/ 8401050 h 8401050"/>
                                  <a:gd name="T10" fmla="*/ 0 w 5567045"/>
                                  <a:gd name="T11" fmla="*/ 8401050 h 8401050"/>
                                  <a:gd name="T12" fmla="*/ 0 w 5567045"/>
                                  <a:gd name="T13" fmla="*/ 8401050 h 8401050"/>
                                  <a:gd name="T14" fmla="*/ 0 w 5567045"/>
                                  <a:gd name="T15" fmla="*/ 276626 h 8401050"/>
                                  <a:gd name="T16" fmla="*/ 276626 w 5567045"/>
                                  <a:gd name="T17" fmla="*/ 0 h 84010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67045"/>
                                  <a:gd name="T28" fmla="*/ 0 h 8401050"/>
                                  <a:gd name="T29" fmla="*/ 5567045 w 5567045"/>
                                  <a:gd name="T30" fmla="*/ 8401050 h 84010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67045" h="8401050">
                                    <a:moveTo>
                                      <a:pt x="276626" y="0"/>
                                    </a:moveTo>
                                    <a:lnTo>
                                      <a:pt x="5567045" y="0"/>
                                    </a:lnTo>
                                    <a:lnTo>
                                      <a:pt x="5567045" y="8124424"/>
                                    </a:lnTo>
                                    <a:cubicBezTo>
                                      <a:pt x="5567045" y="8277200"/>
                                      <a:pt x="5443195" y="8401050"/>
                                      <a:pt x="5290419" y="8401050"/>
                                    </a:cubicBezTo>
                                    <a:lnTo>
                                      <a:pt x="0" y="8401050"/>
                                    </a:lnTo>
                                    <a:lnTo>
                                      <a:pt x="0" y="276626"/>
                                    </a:lnTo>
                                    <a:cubicBezTo>
                                      <a:pt x="0" y="123850"/>
                                      <a:pt x="123850" y="0"/>
                                      <a:pt x="276626"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8F1326" w:rsidRPr="00391ECD" w:rsidRDefault="008F1326" w:rsidP="005C7C25">
                                  <w:pPr>
                                    <w:pStyle w:val="HHeading4"/>
                                  </w:pPr>
                                  <w:r>
                                    <w:rPr>
                                      <w:noProof/>
                                      <w:color w:val="373737"/>
                                      <w:lang w:val="en-GB" w:eastAsia="en-GB" w:bidi="ar-SA"/>
                                    </w:rPr>
                                    <w:drawing>
                                      <wp:inline distT="0" distB="0" distL="0" distR="0" wp14:anchorId="7CB4E264" wp14:editId="425E1508">
                                        <wp:extent cx="664845" cy="487680"/>
                                        <wp:effectExtent l="0" t="0" r="0" b="7620"/>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RYCHLÝ PRŮVODCE č. 2: Jak vytvořit kontrolní skupinu na mikroekonomické úrovni? </w:t>
                                  </w:r>
                                  <w:r>
                                    <w:t>(vztahuje se k 2. vrstvě)</w:t>
                                  </w:r>
                                </w:p>
                                <w:p w:rsidR="008F1326" w:rsidRPr="007008C0" w:rsidRDefault="008F1326" w:rsidP="005C7C25">
                                  <w:pPr>
                                    <w:pStyle w:val="HStandard"/>
                                    <w:spacing w:after="0"/>
                                    <w:rPr>
                                      <w:rFonts w:cs="Arial"/>
                                      <w:color w:val="373737"/>
                                      <w:sz w:val="18"/>
                                      <w:szCs w:val="18"/>
                                    </w:rPr>
                                  </w:pPr>
                                  <w:r>
                                    <w:rPr>
                                      <w:color w:val="373737"/>
                                      <w:sz w:val="18"/>
                                    </w:rPr>
                                    <w:t>Analýza na základě hypotetického scénáře na mikroekonomické úrovni by měla vycházet z porovnání mezi kontrolními skupinami příjemců programu a nepřijímajících subjektů, přičemž skupiny by se měly navzájem co nejvíce podobat (co do pozorovatelných i nepozorovatelných charakteristik). Jsou-li obě skupiny statisticky dostatečně podobné (tj. mají-li podobné charakteristiky), pak lze předpokládat, že důvodem rozdílů ve výsledcích je program. Analýza na základě hypotetického srovnávacího scénáře umožňuje stanovit příčinnou souvislost – přisoudit pozorované změny ve výsledcích programu a zároveň eliminovat zavádějící faktory.</w:t>
                                  </w:r>
                                </w:p>
                                <w:p w:rsidR="008F1326" w:rsidRPr="007008C0" w:rsidRDefault="008F1326" w:rsidP="005C7C25">
                                  <w:pPr>
                                    <w:pStyle w:val="HStandard"/>
                                    <w:spacing w:after="0"/>
                                    <w:rPr>
                                      <w:rFonts w:cs="Arial"/>
                                      <w:color w:val="373737"/>
                                      <w:sz w:val="18"/>
                                      <w:szCs w:val="18"/>
                                    </w:rPr>
                                  </w:pPr>
                                </w:p>
                                <w:p w:rsidR="008F1326" w:rsidRPr="007008C0" w:rsidRDefault="008F1326" w:rsidP="005C7C25">
                                  <w:pPr>
                                    <w:pStyle w:val="HStandard"/>
                                    <w:spacing w:after="0"/>
                                    <w:rPr>
                                      <w:rFonts w:cs="Arial"/>
                                      <w:color w:val="373737"/>
                                      <w:sz w:val="18"/>
                                      <w:szCs w:val="18"/>
                                    </w:rPr>
                                  </w:pPr>
                                  <w:r>
                                    <w:rPr>
                                      <w:color w:val="373737"/>
                                      <w:sz w:val="18"/>
                                    </w:rPr>
                                    <w:t xml:space="preserve">Vytvoření vhodné kontrolní skupiny může být náročný úkol </w:t>
                                  </w:r>
                                  <w:r>
                                    <w:rPr>
                                      <w:color w:val="373737"/>
                                      <w:sz w:val="18"/>
                                    </w:rPr>
                                    <w:t xml:space="preserve">z důvodu převažujícího samozařazování do programu a přísných pravidel programu pro způsobilost. Posuzovaní příjemci programu, tj. subjekty, které obdržely programovou podporu, se mohou značně lišit od nepřijímajících subjektů, a to jak strukturními rysy, tak hospodářskými, environmentálními a sociálně-ekonomickými výsledky. </w:t>
                                  </w:r>
                                </w:p>
                                <w:p w:rsidR="008F1326" w:rsidRPr="007008C0" w:rsidRDefault="008F1326" w:rsidP="005C7C25">
                                  <w:pPr>
                                    <w:pStyle w:val="HStandard"/>
                                    <w:spacing w:after="0"/>
                                    <w:rPr>
                                      <w:rFonts w:cs="Arial"/>
                                      <w:color w:val="373737"/>
                                      <w:sz w:val="18"/>
                                      <w:szCs w:val="18"/>
                                    </w:rPr>
                                  </w:pPr>
                                </w:p>
                                <w:p w:rsidR="008F1326" w:rsidRPr="007008C0" w:rsidRDefault="008F1326" w:rsidP="005C7C25">
                                  <w:pPr>
                                    <w:pStyle w:val="HStandard"/>
                                    <w:spacing w:after="0"/>
                                    <w:rPr>
                                      <w:rFonts w:cs="Arial"/>
                                      <w:color w:val="373737"/>
                                      <w:sz w:val="18"/>
                                      <w:szCs w:val="18"/>
                                    </w:rPr>
                                  </w:pPr>
                                  <w:r>
                                    <w:rPr>
                                      <w:color w:val="373737"/>
                                      <w:sz w:val="18"/>
                                    </w:rPr>
                                    <w:t>Vhodná kontrolní skupina se sestavuje takto:</w:t>
                                  </w:r>
                                </w:p>
                                <w:p w:rsidR="008F1326" w:rsidRPr="007008C0" w:rsidRDefault="008F1326" w:rsidP="005C7C25">
                                  <w:pPr>
                                    <w:pStyle w:val="Hlistbullet"/>
                                    <w:spacing w:before="0" w:after="0" w:line="280" w:lineRule="atLeast"/>
                                    <w:ind w:left="604" w:hanging="604"/>
                                    <w:rPr>
                                      <w:color w:val="373737"/>
                                      <w:sz w:val="18"/>
                                      <w:szCs w:val="18"/>
                                    </w:rPr>
                                  </w:pPr>
                                  <w:r>
                                    <w:rPr>
                                      <w:b/>
                                      <w:color w:val="F07E31" w:themeColor="accent1"/>
                                      <w:sz w:val="18"/>
                                    </w:rPr>
                                    <w:t>Krok 1:</w:t>
                                  </w:r>
                                  <w:r>
                                    <w:rPr>
                                      <w:color w:val="373737"/>
                                      <w:sz w:val="18"/>
                                    </w:rPr>
                                    <w:t xml:space="preserve"> V dostupné databázi (např. FADN) se vyhledají vhodní příjemci PRV (např. hospodářství, zemědělci, nezemědělské podniky, komunity, oblasti, regiony) a jako referenční bod se použije monitorovací systém (např. databáze platební agentury). </w:t>
                                  </w:r>
                                </w:p>
                                <w:p w:rsidR="008F1326" w:rsidRPr="00AF5661" w:rsidRDefault="008F1326" w:rsidP="005C7C25">
                                  <w:pPr>
                                    <w:pStyle w:val="Hlistbullet"/>
                                    <w:spacing w:before="0" w:after="0" w:line="280" w:lineRule="atLeast"/>
                                    <w:ind w:left="604" w:hanging="604"/>
                                    <w:rPr>
                                      <w:color w:val="373737"/>
                                      <w:sz w:val="18"/>
                                      <w:szCs w:val="18"/>
                                    </w:rPr>
                                  </w:pPr>
                                  <w:r>
                                    <w:rPr>
                                      <w:b/>
                                      <w:color w:val="F07E31" w:themeColor="accent1"/>
                                      <w:sz w:val="18"/>
                                    </w:rPr>
                                    <w:t>Krok 2:</w:t>
                                  </w:r>
                                  <w:r>
                                    <w:rPr>
                                      <w:color w:val="373737"/>
                                      <w:sz w:val="18"/>
                                    </w:rPr>
                                    <w:t xml:space="preserve"> Ze všech relevantních jednotek obsažených v databázi se vyberou ty, které za totéž období neobdržely podporu na základě opatření PRV (nepřijímající subjekty).</w:t>
                                  </w:r>
                                </w:p>
                                <w:p w:rsidR="008F1326" w:rsidRPr="00AF5661" w:rsidRDefault="008F1326" w:rsidP="005C7C25">
                                  <w:pPr>
                                    <w:pStyle w:val="Hlistbullet"/>
                                    <w:spacing w:before="0" w:after="0" w:line="280" w:lineRule="atLeast"/>
                                    <w:ind w:left="604" w:hanging="604"/>
                                    <w:rPr>
                                      <w:color w:val="373737"/>
                                      <w:sz w:val="18"/>
                                      <w:szCs w:val="18"/>
                                    </w:rPr>
                                  </w:pPr>
                                  <w:r>
                                    <w:rPr>
                                      <w:b/>
                                      <w:color w:val="F07E31" w:themeColor="accent1"/>
                                      <w:sz w:val="18"/>
                                    </w:rPr>
                                    <w:t>Krok 3:</w:t>
                                  </w:r>
                                  <w:r>
                                    <w:rPr>
                                      <w:color w:val="373737"/>
                                      <w:sz w:val="18"/>
                                    </w:rPr>
                                    <w:t xml:space="preserve"> Ze skupiny nepřijímajících subjektů se předběžně vyberou jednotky, které NESPLNILY podmínky způsobilosti k programu (kvůli vysokým příjmům, velikosti, umístění apod.), a vyřadí se z analýzy. </w:t>
                                  </w:r>
                                </w:p>
                                <w:p w:rsidR="008F1326" w:rsidRPr="007008C0" w:rsidRDefault="008F1326" w:rsidP="005C7C25">
                                  <w:pPr>
                                    <w:pStyle w:val="Hlistbullet"/>
                                    <w:spacing w:before="0" w:after="0" w:line="280" w:lineRule="atLeast"/>
                                    <w:ind w:left="604" w:hanging="604"/>
                                    <w:rPr>
                                      <w:color w:val="373737"/>
                                      <w:sz w:val="18"/>
                                      <w:szCs w:val="18"/>
                                    </w:rPr>
                                  </w:pPr>
                                  <w:r>
                                    <w:rPr>
                                      <w:b/>
                                      <w:color w:val="F07E31" w:themeColor="accent1"/>
                                      <w:sz w:val="18"/>
                                    </w:rPr>
                                    <w:t>Krok 4:</w:t>
                                  </w:r>
                                  <w:r>
                                    <w:rPr>
                                      <w:color w:val="373737"/>
                                      <w:sz w:val="18"/>
                                    </w:rPr>
                                    <w:t xml:space="preserve"> Ke všem jednotkám v obou skupinách (příjemci i nepřijímající subjekty) se shromáždí údaje o jejich hlavních charakteristikách (proměnné) za rok 2013 (tj. v období před programem). Proměnné zahrnuté do analýzy by měly mít vliv na výběr jednotky i na ukazatele vypočítávané na mikroekonomické úrovni (společné a doplňkové ukazatele dopadů). Jednou z navržených proměnných (která se používá jako důležitá kontrolní proměnná) může být: i) výše podpory, kterou daná jednotka (příjemce a nepřijímající subjekt) obdržela v průběhu předchozího programového období 2007–2013, a/nebo ii) výše podpory, kterou daná jednotka (příjemce a nepřijímající subjekt) v analyzovaném období obdržela z jiných veřejných zdrojů (např. strukturální fondy EU, pilíř I).</w:t>
                                  </w:r>
                                </w:p>
                                <w:p w:rsidR="008F1326" w:rsidRPr="00AF5661" w:rsidRDefault="008F1326" w:rsidP="005C7C25">
                                  <w:pPr>
                                    <w:pStyle w:val="Hlistbullet"/>
                                    <w:spacing w:before="0" w:after="0" w:line="280" w:lineRule="atLeast"/>
                                    <w:ind w:left="604" w:hanging="604"/>
                                    <w:rPr>
                                      <w:color w:val="373737"/>
                                      <w:sz w:val="18"/>
                                      <w:szCs w:val="18"/>
                                    </w:rPr>
                                  </w:pPr>
                                  <w:r>
                                    <w:rPr>
                                      <w:b/>
                                      <w:color w:val="F07E31" w:themeColor="accent1"/>
                                      <w:sz w:val="18"/>
                                    </w:rPr>
                                    <w:t>Krok 5:</w:t>
                                  </w:r>
                                  <w:r>
                                    <w:rPr>
                                      <w:color w:val="373737"/>
                                      <w:sz w:val="18"/>
                                    </w:rPr>
                                    <w:t xml:space="preserve"> Uplatní se vhodné techniky (např. párování), které umožní vyčlenit ze vzorku nepřijímajících subjektů (viz kroky 2–3) vhodnou kontrolní skupinu (některé nepřijímající subjekty i někteří příjemci budou z analýzy vyřazeni kvůli nedostatku odpovídajících kontrolních jednotek).</w:t>
                                  </w:r>
                                </w:p>
                                <w:p w:rsidR="008F1326" w:rsidRPr="0025164E" w:rsidRDefault="008F1326" w:rsidP="005C7C25">
                                  <w:pPr>
                                    <w:pStyle w:val="Hlistbullet"/>
                                    <w:spacing w:before="0" w:after="0" w:line="280" w:lineRule="atLeast"/>
                                    <w:ind w:left="604" w:hanging="604"/>
                                  </w:pPr>
                                  <w:r>
                                    <w:rPr>
                                      <w:b/>
                                      <w:color w:val="F07E31" w:themeColor="accent1"/>
                                      <w:sz w:val="18"/>
                                    </w:rPr>
                                    <w:t>Krok 6:</w:t>
                                  </w:r>
                                  <w:r>
                                    <w:rPr>
                                      <w:color w:val="373737"/>
                                      <w:sz w:val="18"/>
                                    </w:rPr>
                                    <w:t xml:space="preserve"> Statisticky se zkontroluje „podobnost“ obou skupin před obdržením podpory programu (např. provedením statistického testu na kovariáty zahrnuté v analýze). Průměrná hodnota jednotky ve skupině příjemců by se neměla významně lišit od příslušné jednotky v kontrolní skupině.</w:t>
                                  </w:r>
                                </w:p>
                                <w:p w:rsidR="008F1326" w:rsidRPr="0025164E" w:rsidRDefault="008F1326" w:rsidP="00735F08">
                                  <w:pPr>
                                    <w:pStyle w:val="Hlistbullet"/>
                                    <w:numPr>
                                      <w:ilvl w:val="0"/>
                                      <w:numId w:val="0"/>
                                    </w:numPr>
                                    <w:jc w:val="center"/>
                                    <w:rPr>
                                      <w:i/>
                                      <w:color w:val="F07E31" w:themeColor="accent1"/>
                                      <w:sz w:val="18"/>
                                      <w:szCs w:val="18"/>
                                    </w:rPr>
                                  </w:pPr>
                                  <w:r>
                                    <w:rPr>
                                      <w:i/>
                                      <w:color w:val="F07E31" w:themeColor="accent1"/>
                                      <w:sz w:val="18"/>
                                    </w:rPr>
                                    <w:t>Další informace o koncepci kontrolních skupin, párování apod. jsou k dispozici v </w:t>
                                  </w:r>
                                  <w:hyperlink r:id="rId42" w:history="1">
                                    <w:r>
                                      <w:rPr>
                                        <w:rStyle w:val="Hyperlink"/>
                                        <w:i/>
                                        <w:color w:val="F07E31" w:themeColor="accent1"/>
                                        <w:sz w:val="18"/>
                                      </w:rPr>
                                      <w:t>pokynech k hodnocení ex post programů rozvoje venkova 2007–2013</w:t>
                                    </w:r>
                                  </w:hyperlink>
                                  <w:r>
                                    <w:rPr>
                                      <w:rStyle w:val="Hyperlink"/>
                                      <w:i/>
                                      <w:color w:val="F07E31" w:themeColor="accent1"/>
                                      <w:sz w:val="18"/>
                                    </w:rPr>
                                    <w:t xml:space="preserve"> v kapitole 4.</w:t>
                                  </w:r>
                                </w:p>
                              </w:txbxContent>
                            </wps:txbx>
                            <wps:bodyPr rot="0" vert="horz" wrap="square" lIns="91440" tIns="45720" rIns="91440" bIns="45720" anchor="ctr" anchorCtr="0" upright="1">
                              <a:noAutofit/>
                            </wps:bodyPr>
                          </wps:wsp>
                        </a:graphicData>
                      </a:graphic>
                    </wp:inline>
                  </w:drawing>
                </mc:Choice>
                <mc:Fallback>
                  <w:pict>
                    <v:shape w14:anchorId="6E293742" id="AutoShape 67" o:spid="_x0000_s1035" style="width:438.35pt;height:663.85pt;visibility:visible;mso-wrap-style:square;mso-left-percent:-10001;mso-top-percent:-10001;mso-position-horizontal:absolute;mso-position-horizontal-relative:char;mso-position-vertical:absolute;mso-position-vertical-relative:line;mso-left-percent:-10001;mso-top-percent:-10001;v-text-anchor:middle" coordsize="5567045,8401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" adj="-11796480,,5400" path="m276626,l5567045,r,8124424c5567045,8277200,5443195,8401050,5290419,8401050l,8401050,,276626c,123850,123850,,276626,xe" filled="f" strokecolor="#be4a35" strokeweight="2pt">
                      <v:stroke joinstyle="miter"/>
                      <v:formulas/>
                      <v:path arrowok="t" o:connecttype="custom" o:connectlocs="276626,0;5567045,0;5567045,0;5567045,8153374;5290419,8430986;0,8430986;0,8430986;0,277612;276626,0" o:connectangles="0,0,0,0,0,0,0,0,0" textboxrect="0,0,5567045,8401050"/>
                      <v:textbox>
                        <w:txbxContent>
                          <w:p w:rsidR="008F1326" w:rsidRPr="00391ECD" w:rsidRDefault="008F1326" w:rsidP="005C7C25">
                            <w:pPr>
                              <w:pStyle w:val="HHeading4"/>
                            </w:pPr>
                            <w:r>
                              <w:rPr>
                                <w:noProof/>
                                <w:color w:val="373737"/>
                                <w:lang w:val="en-GB" w:eastAsia="en-GB" w:bidi="ar-SA"/>
                              </w:rPr>
                              <w:drawing>
                                <wp:inline distT="0" distB="0" distL="0" distR="0" wp14:anchorId="7CB4E264" wp14:editId="425E1508">
                                  <wp:extent cx="664845" cy="487680"/>
                                  <wp:effectExtent l="0" t="0" r="0" b="7620"/>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RYCHLÝ PRŮVODCE č. 2: Jak vytvořit kontrolní skupinu na mikroekonomické úrovni? </w:t>
                            </w:r>
                            <w:r>
                              <w:t>(vztahuje se k 2. vrstvě)</w:t>
                            </w:r>
                          </w:p>
                          <w:p w:rsidR="008F1326" w:rsidRPr="007008C0" w:rsidRDefault="008F1326" w:rsidP="005C7C25">
                            <w:pPr>
                              <w:pStyle w:val="HStandard"/>
                              <w:spacing w:after="0"/>
                              <w:rPr>
                                <w:rFonts w:cs="Arial"/>
                                <w:color w:val="373737"/>
                                <w:sz w:val="18"/>
                                <w:szCs w:val="18"/>
                              </w:rPr>
                            </w:pPr>
                            <w:r>
                              <w:rPr>
                                <w:color w:val="373737"/>
                                <w:sz w:val="18"/>
                              </w:rPr>
                              <w:t>Analýza na základě hypotetického scénáře na mikroekonomické úrovni by měla vycházet z porovnání mezi kontrolními skupinami příjemců programu a nepřijímajících subjektů, přičemž skupiny by se měly navzájem co nejvíce podobat (co do pozorovatelných i nepozorovatelných charakteristik). Jsou-li obě skupiny statisticky dostatečně podobné (tj. mají-li podobné charakteristiky), pak lze předpokládat, že důvodem rozdílů ve výsledcích je program. Analýza na základě hypotetického srovnávacího scénáře umožňuje stanovit příčinnou souvislost – přisoudit pozorované změny ve výsledcích programu a zároveň eliminovat zavádějící faktory.</w:t>
                            </w:r>
                          </w:p>
                          <w:p w:rsidR="008F1326" w:rsidRPr="007008C0" w:rsidRDefault="008F1326" w:rsidP="005C7C25">
                            <w:pPr>
                              <w:pStyle w:val="HStandard"/>
                              <w:spacing w:after="0"/>
                              <w:rPr>
                                <w:rFonts w:cs="Arial"/>
                                <w:color w:val="373737"/>
                                <w:sz w:val="18"/>
                                <w:szCs w:val="18"/>
                              </w:rPr>
                            </w:pPr>
                          </w:p>
                          <w:p w:rsidR="008F1326" w:rsidRPr="007008C0" w:rsidRDefault="008F1326" w:rsidP="005C7C25">
                            <w:pPr>
                              <w:pStyle w:val="HStandard"/>
                              <w:spacing w:after="0"/>
                              <w:rPr>
                                <w:rFonts w:cs="Arial"/>
                                <w:color w:val="373737"/>
                                <w:sz w:val="18"/>
                                <w:szCs w:val="18"/>
                              </w:rPr>
                            </w:pPr>
                            <w:r>
                              <w:rPr>
                                <w:color w:val="373737"/>
                                <w:sz w:val="18"/>
                              </w:rPr>
                              <w:t xml:space="preserve">Vytvoření vhodné kontrolní skupiny může být náročný úkol </w:t>
                            </w:r>
                            <w:r>
                              <w:rPr>
                                <w:color w:val="373737"/>
                                <w:sz w:val="18"/>
                              </w:rPr>
                              <w:t xml:space="preserve">z důvodu převažujícího samozařazování do programu a přísných pravidel programu pro způsobilost. Posuzovaní příjemci programu, tj. subjekty, které obdržely programovou podporu, se mohou značně lišit od nepřijímajících subjektů, a to jak strukturními rysy, tak hospodářskými, environmentálními a sociálně-ekonomickými výsledky. </w:t>
                            </w:r>
                          </w:p>
                          <w:p w:rsidR="008F1326" w:rsidRPr="007008C0" w:rsidRDefault="008F1326" w:rsidP="005C7C25">
                            <w:pPr>
                              <w:pStyle w:val="HStandard"/>
                              <w:spacing w:after="0"/>
                              <w:rPr>
                                <w:rFonts w:cs="Arial"/>
                                <w:color w:val="373737"/>
                                <w:sz w:val="18"/>
                                <w:szCs w:val="18"/>
                              </w:rPr>
                            </w:pPr>
                          </w:p>
                          <w:p w:rsidR="008F1326" w:rsidRPr="007008C0" w:rsidRDefault="008F1326" w:rsidP="005C7C25">
                            <w:pPr>
                              <w:pStyle w:val="HStandard"/>
                              <w:spacing w:after="0"/>
                              <w:rPr>
                                <w:rFonts w:cs="Arial"/>
                                <w:color w:val="373737"/>
                                <w:sz w:val="18"/>
                                <w:szCs w:val="18"/>
                              </w:rPr>
                            </w:pPr>
                            <w:r>
                              <w:rPr>
                                <w:color w:val="373737"/>
                                <w:sz w:val="18"/>
                              </w:rPr>
                              <w:t>Vhodná kontrolní skupina se sestavuje takto:</w:t>
                            </w:r>
                          </w:p>
                          <w:p w:rsidR="008F1326" w:rsidRPr="007008C0" w:rsidRDefault="008F1326" w:rsidP="005C7C25">
                            <w:pPr>
                              <w:pStyle w:val="Hlistbullet"/>
                              <w:spacing w:before="0" w:after="0" w:line="280" w:lineRule="atLeast"/>
                              <w:ind w:left="604" w:hanging="604"/>
                              <w:rPr>
                                <w:color w:val="373737"/>
                                <w:sz w:val="18"/>
                                <w:szCs w:val="18"/>
                              </w:rPr>
                            </w:pPr>
                            <w:r>
                              <w:rPr>
                                <w:b/>
                                <w:color w:val="F07E31" w:themeColor="accent1"/>
                                <w:sz w:val="18"/>
                              </w:rPr>
                              <w:t>Krok 1:</w:t>
                            </w:r>
                            <w:r>
                              <w:rPr>
                                <w:color w:val="373737"/>
                                <w:sz w:val="18"/>
                              </w:rPr>
                              <w:t xml:space="preserve"> V dostupné databázi (např. FADN) se vyhledají vhodní příjemci PRV (např. hospodářství, zemědělci, nezemědělské podniky, komunity, oblasti, regiony) a jako referenční bod se použije monitorovací systém (např. databáze platební agentury). </w:t>
                            </w:r>
                          </w:p>
                          <w:p w:rsidR="008F1326" w:rsidRPr="00AF5661" w:rsidRDefault="008F1326" w:rsidP="005C7C25">
                            <w:pPr>
                              <w:pStyle w:val="Hlistbullet"/>
                              <w:spacing w:before="0" w:after="0" w:line="280" w:lineRule="atLeast"/>
                              <w:ind w:left="604" w:hanging="604"/>
                              <w:rPr>
                                <w:color w:val="373737"/>
                                <w:sz w:val="18"/>
                                <w:szCs w:val="18"/>
                              </w:rPr>
                            </w:pPr>
                            <w:r>
                              <w:rPr>
                                <w:b/>
                                <w:color w:val="F07E31" w:themeColor="accent1"/>
                                <w:sz w:val="18"/>
                              </w:rPr>
                              <w:t>Krok 2:</w:t>
                            </w:r>
                            <w:r>
                              <w:rPr>
                                <w:color w:val="373737"/>
                                <w:sz w:val="18"/>
                              </w:rPr>
                              <w:t xml:space="preserve"> Ze všech relevantních jednotek obsažených v databázi se vyberou ty, které za totéž období neobdržely podporu na základě opatření PRV (nepřijímající subjekty).</w:t>
                            </w:r>
                          </w:p>
                          <w:p w:rsidR="008F1326" w:rsidRPr="00AF5661" w:rsidRDefault="008F1326" w:rsidP="005C7C25">
                            <w:pPr>
                              <w:pStyle w:val="Hlistbullet"/>
                              <w:spacing w:before="0" w:after="0" w:line="280" w:lineRule="atLeast"/>
                              <w:ind w:left="604" w:hanging="604"/>
                              <w:rPr>
                                <w:color w:val="373737"/>
                                <w:sz w:val="18"/>
                                <w:szCs w:val="18"/>
                              </w:rPr>
                            </w:pPr>
                            <w:r>
                              <w:rPr>
                                <w:b/>
                                <w:color w:val="F07E31" w:themeColor="accent1"/>
                                <w:sz w:val="18"/>
                              </w:rPr>
                              <w:t>Krok 3:</w:t>
                            </w:r>
                            <w:r>
                              <w:rPr>
                                <w:color w:val="373737"/>
                                <w:sz w:val="18"/>
                              </w:rPr>
                              <w:t xml:space="preserve"> Ze skupiny nepřijímajících subjektů se předběžně vyberou jednotky, které NESPLNILY podmínky způsobilosti k programu (kvůli vysokým příjmům, velikosti, umístění apod.), a vyřadí se z analýzy. </w:t>
                            </w:r>
                          </w:p>
                          <w:p w:rsidR="008F1326" w:rsidRPr="007008C0" w:rsidRDefault="008F1326" w:rsidP="005C7C25">
                            <w:pPr>
                              <w:pStyle w:val="Hlistbullet"/>
                              <w:spacing w:before="0" w:after="0" w:line="280" w:lineRule="atLeast"/>
                              <w:ind w:left="604" w:hanging="604"/>
                              <w:rPr>
                                <w:color w:val="373737"/>
                                <w:sz w:val="18"/>
                                <w:szCs w:val="18"/>
                              </w:rPr>
                            </w:pPr>
                            <w:r>
                              <w:rPr>
                                <w:b/>
                                <w:color w:val="F07E31" w:themeColor="accent1"/>
                                <w:sz w:val="18"/>
                              </w:rPr>
                              <w:t>Krok 4:</w:t>
                            </w:r>
                            <w:r>
                              <w:rPr>
                                <w:color w:val="373737"/>
                                <w:sz w:val="18"/>
                              </w:rPr>
                              <w:t xml:space="preserve"> Ke všem jednotkám v obou skupinách (příjemci i nepřijímající subjekty) se shromáždí údaje o jejich hlavních charakteristikách (proměnné) za rok 2013 (tj. v období před programem). Proměnné zahrnuté do analýzy by měly mít vliv na výběr jednotky i na ukazatele vypočítávané na mikroekonomické úrovni (společné a doplňkové ukazatele dopadů). Jednou z navržených proměnných (která se používá jako důležitá kontrolní proměnná) může být: i) výše podpory, kterou daná jednotka (příjemce a nepřijímající subjekt) obdržela v průběhu předchozího programového období 2007–2013, a/nebo ii) výše podpory, kterou daná jednotka (příjemce a nepřijímající subjekt) v analyzovaném období obdržela z jiných veřejných zdrojů (např. strukturální fondy EU, pilíř I).</w:t>
                            </w:r>
                          </w:p>
                          <w:p w:rsidR="008F1326" w:rsidRPr="00AF5661" w:rsidRDefault="008F1326" w:rsidP="005C7C25">
                            <w:pPr>
                              <w:pStyle w:val="Hlistbullet"/>
                              <w:spacing w:before="0" w:after="0" w:line="280" w:lineRule="atLeast"/>
                              <w:ind w:left="604" w:hanging="604"/>
                              <w:rPr>
                                <w:color w:val="373737"/>
                                <w:sz w:val="18"/>
                                <w:szCs w:val="18"/>
                              </w:rPr>
                            </w:pPr>
                            <w:r>
                              <w:rPr>
                                <w:b/>
                                <w:color w:val="F07E31" w:themeColor="accent1"/>
                                <w:sz w:val="18"/>
                              </w:rPr>
                              <w:t>Krok 5:</w:t>
                            </w:r>
                            <w:r>
                              <w:rPr>
                                <w:color w:val="373737"/>
                                <w:sz w:val="18"/>
                              </w:rPr>
                              <w:t xml:space="preserve"> Uplatní se vhodné techniky (např. párování), které umožní vyčlenit ze vzorku nepřijímajících subjektů (viz kroky 2–3) vhodnou kontrolní skupinu (některé nepřijímající subjekty i někteří příjemci budou z analýzy vyřazeni kvůli nedostatku odpovídajících kontrolních jednotek).</w:t>
                            </w:r>
                          </w:p>
                          <w:p w:rsidR="008F1326" w:rsidRPr="0025164E" w:rsidRDefault="008F1326" w:rsidP="005C7C25">
                            <w:pPr>
                              <w:pStyle w:val="Hlistbullet"/>
                              <w:spacing w:before="0" w:after="0" w:line="280" w:lineRule="atLeast"/>
                              <w:ind w:left="604" w:hanging="604"/>
                            </w:pPr>
                            <w:r>
                              <w:rPr>
                                <w:b/>
                                <w:color w:val="F07E31" w:themeColor="accent1"/>
                                <w:sz w:val="18"/>
                              </w:rPr>
                              <w:t>Krok 6:</w:t>
                            </w:r>
                            <w:r>
                              <w:rPr>
                                <w:color w:val="373737"/>
                                <w:sz w:val="18"/>
                              </w:rPr>
                              <w:t xml:space="preserve"> Statisticky se zkontroluje „podobnost“ obou skupin před obdržením podpory programu (např. provedením statistického testu na kovariáty zahrnuté v analýze). Průměrná hodnota jednotky ve skupině příjemců by se neměla významně lišit od příslušné jednotky v kontrolní skupině.</w:t>
                            </w:r>
                          </w:p>
                          <w:p w:rsidR="008F1326" w:rsidRPr="0025164E" w:rsidRDefault="008F1326" w:rsidP="00735F08">
                            <w:pPr>
                              <w:pStyle w:val="Hlistbullet"/>
                              <w:numPr>
                                <w:ilvl w:val="0"/>
                                <w:numId w:val="0"/>
                              </w:numPr>
                              <w:jc w:val="center"/>
                              <w:rPr>
                                <w:i/>
                                <w:color w:val="F07E31" w:themeColor="accent1"/>
                                <w:sz w:val="18"/>
                                <w:szCs w:val="18"/>
                              </w:rPr>
                            </w:pPr>
                            <w:r>
                              <w:rPr>
                                <w:i/>
                                <w:color w:val="F07E31" w:themeColor="accent1"/>
                                <w:sz w:val="18"/>
                              </w:rPr>
                              <w:t>Další informace o koncepci kontrolních skupin, párování apod. jsou k dispozici v </w:t>
                            </w:r>
                            <w:hyperlink r:id="rId43" w:history="1">
                              <w:r>
                                <w:rPr>
                                  <w:rStyle w:val="Hyperlink"/>
                                  <w:i/>
                                  <w:color w:val="F07E31" w:themeColor="accent1"/>
                                  <w:sz w:val="18"/>
                                </w:rPr>
                                <w:t>pokynech k hodnocení ex post programů rozvoje venkova 2007–2013</w:t>
                              </w:r>
                            </w:hyperlink>
                            <w:r>
                              <w:rPr>
                                <w:rStyle w:val="Hyperlink"/>
                                <w:i/>
                                <w:color w:val="F07E31" w:themeColor="accent1"/>
                                <w:sz w:val="18"/>
                              </w:rPr>
                              <w:t xml:space="preserve"> v kapitole 4.</w:t>
                            </w:r>
                          </w:p>
                        </w:txbxContent>
                      </v:textbox>
                      <w10:anchorlock/>
                    </v:shape>
                  </w:pict>
                </mc:Fallback>
              </mc:AlternateContent>
            </w:r>
          </w:p>
        </w:tc>
      </w:tr>
    </w:tbl>
    <w:p w:rsidR="00560A1E" w:rsidRPr="00571D58" w:rsidRDefault="000B213F" w:rsidP="00560A1E">
      <w:pPr>
        <w:pStyle w:val="HStandard"/>
      </w:pPr>
      <w:r>
        <w:rPr>
          <w:b/>
          <w:i/>
          <w:noProof/>
          <w:color w:val="F07E31" w:themeColor="accent1"/>
          <w:lang w:val="en-GB" w:eastAsia="en-GB" w:bidi="ar-SA"/>
        </w:rPr>
        <w:lastRenderedPageBreak/>
        <mc:AlternateContent>
          <mc:Choice Requires="wps">
            <w:drawing>
              <wp:inline distT="0" distB="0" distL="0" distR="0" wp14:anchorId="4B5C4EAB" wp14:editId="2F42C7CB">
                <wp:extent cx="5731510" cy="8479972"/>
                <wp:effectExtent l="0" t="0" r="21590" b="16510"/>
                <wp:docPr id="90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8479972"/>
                        </a:xfrm>
                        <a:custGeom>
                          <a:avLst/>
                          <a:gdLst>
                            <a:gd name="T0" fmla="*/ 290989 w 5731510"/>
                            <a:gd name="T1" fmla="*/ 0 h 8451850"/>
                            <a:gd name="T2" fmla="*/ 5731510 w 5731510"/>
                            <a:gd name="T3" fmla="*/ 0 h 8451850"/>
                            <a:gd name="T4" fmla="*/ 5731510 w 5731510"/>
                            <a:gd name="T5" fmla="*/ 0 h 8451850"/>
                            <a:gd name="T6" fmla="*/ 5731510 w 5731510"/>
                            <a:gd name="T7" fmla="*/ 8160861 h 8451850"/>
                            <a:gd name="T8" fmla="*/ 5440521 w 5731510"/>
                            <a:gd name="T9" fmla="*/ 8451850 h 8451850"/>
                            <a:gd name="T10" fmla="*/ 0 w 5731510"/>
                            <a:gd name="T11" fmla="*/ 8451850 h 8451850"/>
                            <a:gd name="T12" fmla="*/ 0 w 5731510"/>
                            <a:gd name="T13" fmla="*/ 8451850 h 8451850"/>
                            <a:gd name="T14" fmla="*/ 0 w 5731510"/>
                            <a:gd name="T15" fmla="*/ 290989 h 8451850"/>
                            <a:gd name="T16" fmla="*/ 290989 w 5731510"/>
                            <a:gd name="T17" fmla="*/ 0 h 8451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8451850"/>
                            <a:gd name="T29" fmla="*/ 5731510 w 5731510"/>
                            <a:gd name="T30" fmla="*/ 8451850 h 8451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8451850">
                              <a:moveTo>
                                <a:pt x="290989" y="0"/>
                              </a:moveTo>
                              <a:lnTo>
                                <a:pt x="5731510" y="0"/>
                              </a:lnTo>
                              <a:lnTo>
                                <a:pt x="5731510" y="8160861"/>
                              </a:lnTo>
                              <a:cubicBezTo>
                                <a:pt x="5731510" y="8321570"/>
                                <a:pt x="5601230" y="8451850"/>
                                <a:pt x="5440521" y="8451850"/>
                              </a:cubicBezTo>
                              <a:lnTo>
                                <a:pt x="0" y="8451850"/>
                              </a:lnTo>
                              <a:lnTo>
                                <a:pt x="0" y="290989"/>
                              </a:lnTo>
                              <a:cubicBezTo>
                                <a:pt x="0" y="130280"/>
                                <a:pt x="130280" y="0"/>
                                <a:pt x="290989"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8F1326" w:rsidRPr="00DD36A9" w:rsidRDefault="008F1326" w:rsidP="006D4194">
                            <w:pPr>
                              <w:pStyle w:val="HHeading4"/>
                            </w:pPr>
                            <w:r>
                              <w:rPr>
                                <w:noProof/>
                                <w:lang w:val="en-GB" w:eastAsia="en-GB" w:bidi="ar-SA"/>
                              </w:rPr>
                              <w:drawing>
                                <wp:inline distT="0" distB="0" distL="0" distR="0" wp14:anchorId="64B59EE0" wp14:editId="269CE599">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RYCHLÝ PRŮVODCE č. 3: Kompromisy při výběru metod hodnocení</w:t>
                            </w:r>
                          </w:p>
                          <w:p w:rsidR="008F1326" w:rsidRDefault="008F1326" w:rsidP="006D4194">
                            <w:pPr>
                              <w:pStyle w:val="HStandard"/>
                              <w:spacing w:after="0"/>
                              <w:rPr>
                                <w:rFonts w:cs="Arial"/>
                                <w:color w:val="373737"/>
                                <w:sz w:val="18"/>
                                <w:szCs w:val="18"/>
                              </w:rPr>
                            </w:pPr>
                            <w:r>
                              <w:rPr>
                                <w:color w:val="373737"/>
                                <w:sz w:val="18"/>
                              </w:rPr>
                              <w:t>Při hodnocení se často za hlavní omezení, které limituje výběr metod hodnocení, považuje nedostupnost údajů. Uplatní-li se však v takových případech „naivní“ techniky hodnocení (bez hypotetického srovnávacího scénáře), má to za následek značné nedostatky v metodické přesnosti, věrohodnosti, spolehlivosti a platnosti. Proto se zúčastněným stranám doporučuje zvážit kompromis mezi poptávkou po údajích a možným zkreslením výsledků při použití slabších metod. Metody hodnocení, které zajišťují vyšší kvalitu výsledků, mívají na údaje vyšší požadavky.</w:t>
                            </w:r>
                          </w:p>
                          <w:p w:rsidR="008F1326" w:rsidRPr="006D4194" w:rsidRDefault="008F1326" w:rsidP="006D4194">
                            <w:pPr>
                              <w:pStyle w:val="HStandard"/>
                              <w:spacing w:after="0"/>
                              <w:rPr>
                                <w:rFonts w:cs="Arial"/>
                                <w:color w:val="373737"/>
                                <w:sz w:val="18"/>
                                <w:szCs w:val="18"/>
                              </w:rPr>
                            </w:pPr>
                          </w:p>
                          <w:p w:rsidR="008F1326" w:rsidRPr="009866F7" w:rsidRDefault="008F1326" w:rsidP="006D4194">
                            <w:pPr>
                              <w:spacing w:before="0" w:after="0" w:line="240" w:lineRule="auto"/>
                              <w:rPr>
                                <w:rFonts w:cs="Arial"/>
                                <w:color w:val="373737"/>
                                <w:szCs w:val="18"/>
                                <w:highlight w:val="yellow"/>
                              </w:rPr>
                            </w:pPr>
                            <w:r>
                              <w:rPr>
                                <w:b/>
                                <w:color w:val="373737"/>
                              </w:rPr>
                              <w:t>Srovnání metod</w:t>
                            </w:r>
                            <w:r>
                              <w:rPr>
                                <w:color w:val="373737"/>
                              </w:rPr>
                              <w:t xml:space="preserve"> (legenda: +++++ = nejvyšší skóre, + = nejnižší skóre):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8F1326" w:rsidTr="00193050">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8F1326" w:rsidRPr="0025164E" w:rsidRDefault="008F1326" w:rsidP="009811C2">
                                  <w:pPr>
                                    <w:jc w:val="center"/>
                                    <w:rPr>
                                      <w:rFonts w:cs="Arial"/>
                                      <w:szCs w:val="18"/>
                                    </w:rPr>
                                  </w:pPr>
                                  <w:r>
                                    <w:t>Metoda</w:t>
                                  </w:r>
                                </w:p>
                              </w:tc>
                              <w:tc>
                                <w:tcPr>
                                  <w:tcW w:w="1701" w:type="dxa"/>
                                </w:tcPr>
                                <w:p w:rsidR="008F1326" w:rsidRPr="0025164E" w:rsidRDefault="008F1326"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Věrohodnost/přesnost, spolehlivost atd.</w:t>
                                  </w:r>
                                </w:p>
                              </w:tc>
                              <w:tc>
                                <w:tcPr>
                                  <w:tcW w:w="1701" w:type="dxa"/>
                                </w:tcPr>
                                <w:p w:rsidR="008F1326" w:rsidRPr="0025164E" w:rsidRDefault="008F1326"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Schopnost zmírnit výběrové a jiné zkreslení</w:t>
                                  </w:r>
                                </w:p>
                              </w:tc>
                              <w:tc>
                                <w:tcPr>
                                  <w:tcW w:w="1417" w:type="dxa"/>
                                </w:tcPr>
                                <w:p w:rsidR="008F1326" w:rsidRPr="0025164E" w:rsidRDefault="008F1326"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Kvalita hodnocení</w:t>
                                  </w:r>
                                </w:p>
                              </w:tc>
                              <w:tc>
                                <w:tcPr>
                                  <w:tcW w:w="1418" w:type="dxa"/>
                                </w:tcPr>
                                <w:p w:rsidR="008F1326" w:rsidRPr="0025164E" w:rsidRDefault="008F1326"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Požadavky na údaje</w:t>
                                  </w:r>
                                </w:p>
                              </w:tc>
                            </w:tr>
                            <w:tr w:rsidR="008F1326" w:rsidTr="00193050">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8F1326" w:rsidRPr="009811C2" w:rsidRDefault="008F1326" w:rsidP="00365997">
                                  <w:pPr>
                                    <w:jc w:val="left"/>
                                    <w:rPr>
                                      <w:rFonts w:cs="Arial"/>
                                      <w:szCs w:val="18"/>
                                    </w:rPr>
                                  </w:pPr>
                                  <w:r>
                                    <w:t>Experimentální přístup</w:t>
                                  </w:r>
                                </w:p>
                              </w:tc>
                              <w:tc>
                                <w:tcPr>
                                  <w:tcW w:w="1701"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8F1326" w:rsidTr="00193050">
                              <w:tc>
                                <w:tcPr>
                                  <w:cnfStyle w:val="001000000000" w:firstRow="0" w:lastRow="0" w:firstColumn="1" w:lastColumn="0" w:oddVBand="0" w:evenVBand="0" w:oddHBand="0" w:evenHBand="0" w:firstRowFirstColumn="0" w:firstRowLastColumn="0" w:lastRowFirstColumn="0" w:lastRowLastColumn="0"/>
                                  <w:tcW w:w="2093" w:type="dxa"/>
                                </w:tcPr>
                                <w:p w:rsidR="008F1326" w:rsidRPr="009811C2" w:rsidRDefault="008F1326" w:rsidP="00365997">
                                  <w:pPr>
                                    <w:jc w:val="left"/>
                                    <w:rPr>
                                      <w:rFonts w:cs="Arial"/>
                                      <w:szCs w:val="18"/>
                                    </w:rPr>
                                  </w:pPr>
                                  <w:r>
                                    <w:t>Kvaziexperimentální přístupy</w:t>
                                  </w:r>
                                </w:p>
                              </w:tc>
                              <w:tc>
                                <w:tcPr>
                                  <w:tcW w:w="1701" w:type="dxa"/>
                                </w:tcPr>
                                <w:p w:rsidR="008F1326" w:rsidRPr="00B9614C" w:rsidRDefault="008F1326"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8F1326" w:rsidRPr="00B9614C" w:rsidRDefault="008F1326"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8F1326" w:rsidRPr="00B9614C" w:rsidRDefault="008F1326"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8F1326" w:rsidRPr="00B9614C" w:rsidRDefault="008F1326"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8F1326" w:rsidTr="00193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8F1326" w:rsidRPr="009811C2" w:rsidRDefault="008F1326" w:rsidP="00365997">
                                  <w:pPr>
                                    <w:jc w:val="left"/>
                                    <w:rPr>
                                      <w:rFonts w:cs="Arial"/>
                                      <w:szCs w:val="18"/>
                                    </w:rPr>
                                  </w:pPr>
                                  <w:r>
                                    <w:t>Postupy párování (v kombinaci s metodou rozdílu mezi rozdíly)</w:t>
                                  </w:r>
                                </w:p>
                              </w:tc>
                              <w:tc>
                                <w:tcPr>
                                  <w:tcW w:w="1701"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8F1326" w:rsidTr="00193050">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8F1326" w:rsidRPr="009811C2" w:rsidRDefault="008F1326" w:rsidP="00365997">
                                  <w:pPr>
                                    <w:jc w:val="left"/>
                                    <w:rPr>
                                      <w:rFonts w:cs="Arial"/>
                                      <w:szCs w:val="18"/>
                                    </w:rPr>
                                  </w:pPr>
                                  <w:r>
                                    <w:t>Nespojitá regrese</w:t>
                                  </w:r>
                                </w:p>
                              </w:tc>
                              <w:tc>
                                <w:tcPr>
                                  <w:tcW w:w="1701" w:type="dxa"/>
                                </w:tcPr>
                                <w:p w:rsidR="008F1326" w:rsidRPr="00B9614C" w:rsidRDefault="008F1326"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8F1326" w:rsidRPr="00B9614C" w:rsidRDefault="008F1326"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8F1326" w:rsidRPr="00B9614C" w:rsidRDefault="008F1326"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8F1326" w:rsidRPr="00B9614C" w:rsidRDefault="008F1326"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8F1326" w:rsidTr="00193050">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8F1326" w:rsidRPr="009811C2" w:rsidRDefault="008F1326" w:rsidP="00365997">
                                  <w:pPr>
                                    <w:jc w:val="left"/>
                                    <w:rPr>
                                      <w:rFonts w:cs="Arial"/>
                                      <w:szCs w:val="18"/>
                                    </w:rPr>
                                  </w:pPr>
                                  <w:r>
                                    <w:t>Metoda instrumentálních proměnných</w:t>
                                  </w:r>
                                </w:p>
                              </w:tc>
                              <w:tc>
                                <w:tcPr>
                                  <w:tcW w:w="1701"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8F1326" w:rsidTr="00193050">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8F1326" w:rsidRPr="009811C2" w:rsidRDefault="008F1326" w:rsidP="00365997">
                                  <w:pPr>
                                    <w:jc w:val="left"/>
                                    <w:rPr>
                                      <w:rFonts w:cs="Arial"/>
                                      <w:szCs w:val="18"/>
                                    </w:rPr>
                                  </w:pPr>
                                  <w:r>
                                    <w:t>Metoda rozdílu mezi rozdíly</w:t>
                                  </w:r>
                                </w:p>
                              </w:tc>
                              <w:tc>
                                <w:tcPr>
                                  <w:tcW w:w="1701" w:type="dxa"/>
                                </w:tcPr>
                                <w:p w:rsidR="008F1326" w:rsidRPr="00B9614C" w:rsidRDefault="008F1326"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8F1326" w:rsidRPr="00B9614C" w:rsidRDefault="008F1326"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8F1326" w:rsidRPr="00B9614C" w:rsidRDefault="008F1326"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8F1326" w:rsidRPr="00B9614C" w:rsidRDefault="008F1326"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8F1326" w:rsidTr="00193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8F1326" w:rsidRPr="009811C2" w:rsidRDefault="008F1326" w:rsidP="00365997">
                                  <w:pPr>
                                    <w:jc w:val="left"/>
                                    <w:rPr>
                                      <w:rFonts w:cs="Arial"/>
                                      <w:szCs w:val="18"/>
                                    </w:rPr>
                                  </w:pPr>
                                  <w:r>
                                    <w:t>Srovnání s nepřijímajícími subjekty v daném období (naivní přístup)</w:t>
                                  </w:r>
                                </w:p>
                              </w:tc>
                              <w:tc>
                                <w:tcPr>
                                  <w:tcW w:w="1701"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8F1326" w:rsidTr="00193050">
                              <w:tc>
                                <w:tcPr>
                                  <w:cnfStyle w:val="001000000000" w:firstRow="0" w:lastRow="0" w:firstColumn="1" w:lastColumn="0" w:oddVBand="0" w:evenVBand="0" w:oddHBand="0" w:evenHBand="0" w:firstRowFirstColumn="0" w:firstRowLastColumn="0" w:lastRowFirstColumn="0" w:lastRowLastColumn="0"/>
                                  <w:tcW w:w="2093" w:type="dxa"/>
                                </w:tcPr>
                                <w:p w:rsidR="008F1326" w:rsidRPr="009811C2" w:rsidRDefault="008F1326" w:rsidP="00365997">
                                  <w:pPr>
                                    <w:jc w:val="left"/>
                                    <w:rPr>
                                      <w:rFonts w:cs="Arial"/>
                                      <w:szCs w:val="18"/>
                                    </w:rPr>
                                  </w:pPr>
                                  <w:r>
                                    <w:t>Srovnání příjemců programu v období „před a po“ (naivní přístup)</w:t>
                                  </w:r>
                                </w:p>
                              </w:tc>
                              <w:tc>
                                <w:tcPr>
                                  <w:tcW w:w="1701" w:type="dxa"/>
                                </w:tcPr>
                                <w:p w:rsidR="008F1326" w:rsidRPr="00B9614C" w:rsidRDefault="008F1326"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8F1326" w:rsidRPr="00B9614C" w:rsidRDefault="008F1326"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8F1326" w:rsidRPr="00B9614C" w:rsidRDefault="008F1326"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8F1326" w:rsidRPr="00B9614C" w:rsidRDefault="008F1326"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8F1326" w:rsidTr="00193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8F1326" w:rsidRPr="009811C2" w:rsidRDefault="008F1326" w:rsidP="00365997">
                                  <w:pPr>
                                    <w:jc w:val="left"/>
                                    <w:rPr>
                                      <w:rFonts w:cs="Arial"/>
                                      <w:szCs w:val="18"/>
                                    </w:rPr>
                                  </w:pPr>
                                  <w:r>
                                    <w:t>Uplatnění kvalitativních přístupů k odhadnutí výsledků/dopadů programu</w:t>
                                  </w:r>
                                </w:p>
                              </w:tc>
                              <w:tc>
                                <w:tcPr>
                                  <w:tcW w:w="1701"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8F1326" w:rsidRPr="00742E07" w:rsidRDefault="008F1326" w:rsidP="00735F08">
                            <w:pPr>
                              <w:pStyle w:val="HStandard"/>
                              <w:jc w:val="center"/>
                              <w:rPr>
                                <w:i/>
                                <w:color w:val="F07E31" w:themeColor="accent1"/>
                              </w:rPr>
                            </w:pPr>
                            <w:r>
                              <w:rPr>
                                <w:i/>
                                <w:color w:val="F07E31" w:themeColor="accent1"/>
                                <w:sz w:val="18"/>
                              </w:rPr>
                              <w:t>Další informace o kritériích pro výběr přístupů k hodnocení jsou k dispozici v </w:t>
                            </w:r>
                            <w:hyperlink r:id="rId44">
                              <w:r>
                                <w:rPr>
                                  <w:rStyle w:val="Hyperlink"/>
                                  <w:i/>
                                  <w:color w:val="F07E31" w:themeColor="accent1"/>
                                  <w:sz w:val="18"/>
                                </w:rPr>
                                <w:t>pokynech k hodnocení ex post programů rozvoje venkova 2007–2013</w:t>
                              </w:r>
                            </w:hyperlink>
                            <w:r>
                              <w:rPr>
                                <w:i/>
                                <w:color w:val="F07E31" w:themeColor="accent1"/>
                                <w:sz w:val="18"/>
                              </w:rPr>
                              <w:t>v kapitole 4.3.4.2.</w:t>
                            </w:r>
                          </w:p>
                        </w:txbxContent>
                      </wps:txbx>
                      <wps:bodyPr rot="0" vert="horz" wrap="square" lIns="91440" tIns="45720" rIns="91440" bIns="45720" anchor="ctr" anchorCtr="0" upright="1">
                        <a:noAutofit/>
                      </wps:bodyPr>
                    </wps:wsp>
                  </a:graphicData>
                </a:graphic>
              </wp:inline>
            </w:drawing>
          </mc:Choice>
          <mc:Fallback>
            <w:pict>
              <v:shape w14:anchorId="4B5C4EAB" id="AutoShape 66" o:spid="_x0000_s1036" style="width:451.3pt;height:667.7pt;visibility:visible;mso-wrap-style:square;mso-left-percent:-10001;mso-top-percent:-10001;mso-position-horizontal:absolute;mso-position-horizontal-relative:char;mso-position-vertical:absolute;mso-position-vertical-relative:line;mso-left-percent:-10001;mso-top-percent:-10001;v-text-anchor:middle" coordsize="5731510,8451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" adj="-11796480,,5400" path="m290989,l5731510,r,8160861c5731510,8321570,5601230,8451850,5440521,8451850l,8451850,,290989c,130280,130280,,290989,xe" filled="f" strokecolor="#be4a35" strokeweight="2pt">
                <v:stroke joinstyle="miter"/>
                <v:formulas/>
                <v:path arrowok="t" o:connecttype="custom" o:connectlocs="290989,0;5731510,0;5731510,0;5731510,8188015;5440521,8479972;0,8479972;0,8479972;0,291957;290989,0" o:connectangles="0,0,0,0,0,0,0,0,0" textboxrect="0,0,5731510,8451850"/>
                <v:textbox>
                  <w:txbxContent>
                    <w:p w:rsidR="008F1326" w:rsidRPr="00DD36A9" w:rsidRDefault="008F1326" w:rsidP="006D4194">
                      <w:pPr>
                        <w:pStyle w:val="HHeading4"/>
                      </w:pPr>
                      <w:r>
                        <w:rPr>
                          <w:noProof/>
                          <w:lang w:val="en-GB" w:eastAsia="en-GB" w:bidi="ar-SA"/>
                        </w:rPr>
                        <w:drawing>
                          <wp:inline distT="0" distB="0" distL="0" distR="0" wp14:anchorId="64B59EE0" wp14:editId="269CE599">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RYCHLÝ PRŮVODCE č. 3: Kompromisy při výběru metod hodnocení</w:t>
                      </w:r>
                    </w:p>
                    <w:p w:rsidR="008F1326" w:rsidRDefault="008F1326" w:rsidP="006D4194">
                      <w:pPr>
                        <w:pStyle w:val="HStandard"/>
                        <w:spacing w:after="0"/>
                        <w:rPr>
                          <w:rFonts w:cs="Arial"/>
                          <w:color w:val="373737"/>
                          <w:sz w:val="18"/>
                          <w:szCs w:val="18"/>
                        </w:rPr>
                      </w:pPr>
                      <w:r>
                        <w:rPr>
                          <w:color w:val="373737"/>
                          <w:sz w:val="18"/>
                        </w:rPr>
                        <w:t>Při hodnocení se často za hlavní omezení, které limituje výběr metod hodnocení, považuje nedostupnost údajů. Uplatní-li se však v takových případech „naivní“ techniky hodnocení (bez hypotetického srovnávacího scénáře), má to za následek značné nedostatky v metodické přesnosti, věrohodnosti, spolehlivosti a platnosti. Proto se zúčastněným stranám doporučuje zvážit kompromis mezi poptávkou po údajích a možným zkreslením výsledků při použití slabších metod. Metody hodnocení, které zajišťují vyšší kvalitu výsledků, mívají na údaje vyšší požadavky.</w:t>
                      </w:r>
                    </w:p>
                    <w:p w:rsidR="008F1326" w:rsidRPr="006D4194" w:rsidRDefault="008F1326" w:rsidP="006D4194">
                      <w:pPr>
                        <w:pStyle w:val="HStandard"/>
                        <w:spacing w:after="0"/>
                        <w:rPr>
                          <w:rFonts w:cs="Arial"/>
                          <w:color w:val="373737"/>
                          <w:sz w:val="18"/>
                          <w:szCs w:val="18"/>
                        </w:rPr>
                      </w:pPr>
                    </w:p>
                    <w:p w:rsidR="008F1326" w:rsidRPr="009866F7" w:rsidRDefault="008F1326" w:rsidP="006D4194">
                      <w:pPr>
                        <w:spacing w:before="0" w:after="0" w:line="240" w:lineRule="auto"/>
                        <w:rPr>
                          <w:rFonts w:cs="Arial"/>
                          <w:color w:val="373737"/>
                          <w:szCs w:val="18"/>
                          <w:highlight w:val="yellow"/>
                        </w:rPr>
                      </w:pPr>
                      <w:r>
                        <w:rPr>
                          <w:b/>
                          <w:color w:val="373737"/>
                        </w:rPr>
                        <w:t>Srovnání metod</w:t>
                      </w:r>
                      <w:r>
                        <w:rPr>
                          <w:color w:val="373737"/>
                        </w:rPr>
                        <w:t xml:space="preserve"> (legenda: +++++ = nejvyšší skóre, + = nejnižší skóre):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8F1326" w:rsidTr="00193050">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8F1326" w:rsidRPr="0025164E" w:rsidRDefault="008F1326" w:rsidP="009811C2">
                            <w:pPr>
                              <w:jc w:val="center"/>
                              <w:rPr>
                                <w:rFonts w:cs="Arial"/>
                                <w:szCs w:val="18"/>
                              </w:rPr>
                            </w:pPr>
                            <w:r>
                              <w:t>Metoda</w:t>
                            </w:r>
                          </w:p>
                        </w:tc>
                        <w:tc>
                          <w:tcPr>
                            <w:tcW w:w="1701" w:type="dxa"/>
                          </w:tcPr>
                          <w:p w:rsidR="008F1326" w:rsidRPr="0025164E" w:rsidRDefault="008F1326"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Věrohodnost/přesnost, spolehlivost atd.</w:t>
                            </w:r>
                          </w:p>
                        </w:tc>
                        <w:tc>
                          <w:tcPr>
                            <w:tcW w:w="1701" w:type="dxa"/>
                          </w:tcPr>
                          <w:p w:rsidR="008F1326" w:rsidRPr="0025164E" w:rsidRDefault="008F1326"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Schopnost zmírnit výběrové a jiné zkreslení</w:t>
                            </w:r>
                          </w:p>
                        </w:tc>
                        <w:tc>
                          <w:tcPr>
                            <w:tcW w:w="1417" w:type="dxa"/>
                          </w:tcPr>
                          <w:p w:rsidR="008F1326" w:rsidRPr="0025164E" w:rsidRDefault="008F1326"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Kvalita hodnocení</w:t>
                            </w:r>
                          </w:p>
                        </w:tc>
                        <w:tc>
                          <w:tcPr>
                            <w:tcW w:w="1418" w:type="dxa"/>
                          </w:tcPr>
                          <w:p w:rsidR="008F1326" w:rsidRPr="0025164E" w:rsidRDefault="008F1326"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Požadavky na údaje</w:t>
                            </w:r>
                          </w:p>
                        </w:tc>
                      </w:tr>
                      <w:tr w:rsidR="008F1326" w:rsidTr="00193050">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8F1326" w:rsidRPr="009811C2" w:rsidRDefault="008F1326" w:rsidP="00365997">
                            <w:pPr>
                              <w:jc w:val="left"/>
                              <w:rPr>
                                <w:rFonts w:cs="Arial"/>
                                <w:szCs w:val="18"/>
                              </w:rPr>
                            </w:pPr>
                            <w:r>
                              <w:t>Experimentální přístup</w:t>
                            </w:r>
                          </w:p>
                        </w:tc>
                        <w:tc>
                          <w:tcPr>
                            <w:tcW w:w="1701"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8F1326" w:rsidTr="00193050">
                        <w:tc>
                          <w:tcPr>
                            <w:cnfStyle w:val="001000000000" w:firstRow="0" w:lastRow="0" w:firstColumn="1" w:lastColumn="0" w:oddVBand="0" w:evenVBand="0" w:oddHBand="0" w:evenHBand="0" w:firstRowFirstColumn="0" w:firstRowLastColumn="0" w:lastRowFirstColumn="0" w:lastRowLastColumn="0"/>
                            <w:tcW w:w="2093" w:type="dxa"/>
                          </w:tcPr>
                          <w:p w:rsidR="008F1326" w:rsidRPr="009811C2" w:rsidRDefault="008F1326" w:rsidP="00365997">
                            <w:pPr>
                              <w:jc w:val="left"/>
                              <w:rPr>
                                <w:rFonts w:cs="Arial"/>
                                <w:szCs w:val="18"/>
                              </w:rPr>
                            </w:pPr>
                            <w:r>
                              <w:t>Kvaziexperimentální přístupy</w:t>
                            </w:r>
                          </w:p>
                        </w:tc>
                        <w:tc>
                          <w:tcPr>
                            <w:tcW w:w="1701" w:type="dxa"/>
                          </w:tcPr>
                          <w:p w:rsidR="008F1326" w:rsidRPr="00B9614C" w:rsidRDefault="008F1326"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8F1326" w:rsidRPr="00B9614C" w:rsidRDefault="008F1326"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8F1326" w:rsidRPr="00B9614C" w:rsidRDefault="008F1326"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8F1326" w:rsidRPr="00B9614C" w:rsidRDefault="008F1326"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8F1326" w:rsidTr="00193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8F1326" w:rsidRPr="009811C2" w:rsidRDefault="008F1326" w:rsidP="00365997">
                            <w:pPr>
                              <w:jc w:val="left"/>
                              <w:rPr>
                                <w:rFonts w:cs="Arial"/>
                                <w:szCs w:val="18"/>
                              </w:rPr>
                            </w:pPr>
                            <w:r>
                              <w:t>Postupy párování (v kombinaci s metodou rozdílu mezi rozdíly)</w:t>
                            </w:r>
                          </w:p>
                        </w:tc>
                        <w:tc>
                          <w:tcPr>
                            <w:tcW w:w="1701"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8F1326" w:rsidTr="00193050">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8F1326" w:rsidRPr="009811C2" w:rsidRDefault="008F1326" w:rsidP="00365997">
                            <w:pPr>
                              <w:jc w:val="left"/>
                              <w:rPr>
                                <w:rFonts w:cs="Arial"/>
                                <w:szCs w:val="18"/>
                              </w:rPr>
                            </w:pPr>
                            <w:r>
                              <w:t>Nespojitá regrese</w:t>
                            </w:r>
                          </w:p>
                        </w:tc>
                        <w:tc>
                          <w:tcPr>
                            <w:tcW w:w="1701" w:type="dxa"/>
                          </w:tcPr>
                          <w:p w:rsidR="008F1326" w:rsidRPr="00B9614C" w:rsidRDefault="008F1326"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8F1326" w:rsidRPr="00B9614C" w:rsidRDefault="008F1326"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8F1326" w:rsidRPr="00B9614C" w:rsidRDefault="008F1326"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8F1326" w:rsidRPr="00B9614C" w:rsidRDefault="008F1326"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8F1326" w:rsidTr="00193050">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8F1326" w:rsidRPr="009811C2" w:rsidRDefault="008F1326" w:rsidP="00365997">
                            <w:pPr>
                              <w:jc w:val="left"/>
                              <w:rPr>
                                <w:rFonts w:cs="Arial"/>
                                <w:szCs w:val="18"/>
                              </w:rPr>
                            </w:pPr>
                            <w:r>
                              <w:t>Metoda instrumentálních proměnných</w:t>
                            </w:r>
                          </w:p>
                        </w:tc>
                        <w:tc>
                          <w:tcPr>
                            <w:tcW w:w="1701"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8F1326" w:rsidTr="00193050">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8F1326" w:rsidRPr="009811C2" w:rsidRDefault="008F1326" w:rsidP="00365997">
                            <w:pPr>
                              <w:jc w:val="left"/>
                              <w:rPr>
                                <w:rFonts w:cs="Arial"/>
                                <w:szCs w:val="18"/>
                              </w:rPr>
                            </w:pPr>
                            <w:r>
                              <w:t>Metoda rozdílu mezi rozdíly</w:t>
                            </w:r>
                          </w:p>
                        </w:tc>
                        <w:tc>
                          <w:tcPr>
                            <w:tcW w:w="1701" w:type="dxa"/>
                          </w:tcPr>
                          <w:p w:rsidR="008F1326" w:rsidRPr="00B9614C" w:rsidRDefault="008F1326"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8F1326" w:rsidRPr="00B9614C" w:rsidRDefault="008F1326"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8F1326" w:rsidRPr="00B9614C" w:rsidRDefault="008F1326"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8F1326" w:rsidRPr="00B9614C" w:rsidRDefault="008F1326"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8F1326" w:rsidTr="00193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8F1326" w:rsidRPr="009811C2" w:rsidRDefault="008F1326" w:rsidP="00365997">
                            <w:pPr>
                              <w:jc w:val="left"/>
                              <w:rPr>
                                <w:rFonts w:cs="Arial"/>
                                <w:szCs w:val="18"/>
                              </w:rPr>
                            </w:pPr>
                            <w:r>
                              <w:t>Srovnání s nepřijímajícími subjekty v daném období (naivní přístup)</w:t>
                            </w:r>
                          </w:p>
                        </w:tc>
                        <w:tc>
                          <w:tcPr>
                            <w:tcW w:w="1701"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8F1326" w:rsidTr="00193050">
                        <w:tc>
                          <w:tcPr>
                            <w:cnfStyle w:val="001000000000" w:firstRow="0" w:lastRow="0" w:firstColumn="1" w:lastColumn="0" w:oddVBand="0" w:evenVBand="0" w:oddHBand="0" w:evenHBand="0" w:firstRowFirstColumn="0" w:firstRowLastColumn="0" w:lastRowFirstColumn="0" w:lastRowLastColumn="0"/>
                            <w:tcW w:w="2093" w:type="dxa"/>
                          </w:tcPr>
                          <w:p w:rsidR="008F1326" w:rsidRPr="009811C2" w:rsidRDefault="008F1326" w:rsidP="00365997">
                            <w:pPr>
                              <w:jc w:val="left"/>
                              <w:rPr>
                                <w:rFonts w:cs="Arial"/>
                                <w:szCs w:val="18"/>
                              </w:rPr>
                            </w:pPr>
                            <w:r>
                              <w:t>Srovnání příjemců programu v období „před a po“ (naivní přístup)</w:t>
                            </w:r>
                          </w:p>
                        </w:tc>
                        <w:tc>
                          <w:tcPr>
                            <w:tcW w:w="1701" w:type="dxa"/>
                          </w:tcPr>
                          <w:p w:rsidR="008F1326" w:rsidRPr="00B9614C" w:rsidRDefault="008F1326"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8F1326" w:rsidRPr="00B9614C" w:rsidRDefault="008F1326"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8F1326" w:rsidRPr="00B9614C" w:rsidRDefault="008F1326"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8F1326" w:rsidRPr="00B9614C" w:rsidRDefault="008F1326"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8F1326" w:rsidTr="00193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8F1326" w:rsidRPr="009811C2" w:rsidRDefault="008F1326" w:rsidP="00365997">
                            <w:pPr>
                              <w:jc w:val="left"/>
                              <w:rPr>
                                <w:rFonts w:cs="Arial"/>
                                <w:szCs w:val="18"/>
                              </w:rPr>
                            </w:pPr>
                            <w:r>
                              <w:t>Uplatnění kvalitativních přístupů k odhadnutí výsledků/dopadů programu</w:t>
                            </w:r>
                          </w:p>
                        </w:tc>
                        <w:tc>
                          <w:tcPr>
                            <w:tcW w:w="1701"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8F1326" w:rsidRPr="00B9614C" w:rsidRDefault="008F1326"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8F1326" w:rsidRPr="00742E07" w:rsidRDefault="008F1326" w:rsidP="00735F08">
                      <w:pPr>
                        <w:pStyle w:val="HStandard"/>
                        <w:jc w:val="center"/>
                        <w:rPr>
                          <w:i/>
                          <w:color w:val="F07E31" w:themeColor="accent1"/>
                        </w:rPr>
                      </w:pPr>
                      <w:r>
                        <w:rPr>
                          <w:i/>
                          <w:color w:val="F07E31" w:themeColor="accent1"/>
                          <w:sz w:val="18"/>
                        </w:rPr>
                        <w:t>Další informace o kritériích pro výběr přístupů k hodnocení jsou k dispozici v </w:t>
                      </w:r>
                      <w:hyperlink r:id="rId45">
                        <w:r>
                          <w:rPr>
                            <w:rStyle w:val="Hyperlink"/>
                            <w:i/>
                            <w:color w:val="F07E31" w:themeColor="accent1"/>
                            <w:sz w:val="18"/>
                          </w:rPr>
                          <w:t>pokynech k hodnocení ex post programů rozvoje venkova 2007–2013</w:t>
                        </w:r>
                      </w:hyperlink>
                      <w:r>
                        <w:rPr>
                          <w:i/>
                          <w:color w:val="F07E31" w:themeColor="accent1"/>
                          <w:sz w:val="18"/>
                        </w:rPr>
                        <w:t>v kapitole 4.3.4.2.</w:t>
                      </w:r>
                    </w:p>
                  </w:txbxContent>
                </v:textbox>
                <w10:anchorlock/>
              </v:shape>
            </w:pict>
          </mc:Fallback>
        </mc:AlternateContent>
      </w:r>
    </w:p>
    <w:p w:rsidR="00820050" w:rsidRPr="001C6ACF" w:rsidRDefault="004A3547" w:rsidP="00820050">
      <w:pPr>
        <w:pStyle w:val="HHeading4"/>
      </w:pPr>
      <w:r>
        <w:br w:type="column"/>
      </w:r>
      <w:r>
        <w:lastRenderedPageBreak/>
        <w:t>Posouzení na mikro- a makroekonomické úrovni a oddělení čistých dopadů (3. vrstva)</w:t>
      </w:r>
    </w:p>
    <w:p w:rsidR="00820050" w:rsidRPr="00863E73" w:rsidRDefault="00820050" w:rsidP="00820050">
      <w:pPr>
        <w:pStyle w:val="HStandard"/>
        <w:rPr>
          <w:rFonts w:cs="Arial"/>
        </w:rPr>
      </w:pPr>
      <w:r>
        <w:t xml:space="preserve">Dále v logickém modelu následuje </w:t>
      </w:r>
      <w:r>
        <w:rPr>
          <w:b/>
        </w:rPr>
        <w:t>mikro- a makroekonomická vrstva</w:t>
      </w:r>
      <w:r>
        <w:t xml:space="preserve">, na nichž jsou možnosti hodnocení dále rozvíjeny. Pracovní postup pro mikro- a makroekonomickou vrstvu navede hodnotitele k metodám, které podporují konzistentní posuzování </w:t>
      </w:r>
      <w:r>
        <w:rPr>
          <w:b/>
        </w:rPr>
        <w:t>čistých dopadů na mikro- a makroekonomické úrovni</w:t>
      </w:r>
      <w:r>
        <w:rPr>
          <w:rStyle w:val="FootnoteReference"/>
          <w:b/>
        </w:rPr>
        <w:footnoteReference w:id="28"/>
      </w:r>
      <w:r>
        <w:t xml:space="preserve">. U každého z návrhů hypotetického srovnávacího scénáře se vytvoří individuální logický model na mikroekonomické úrovni. U některých koncepcí jsou základem pro posouzení na makroekonomické úrovni zobecněná zjištění získaná na mikroekonomické úrovni. U jiných se hodnocení na mikro- a makroekonomické úrovni navzájem doplňují, což vyžaduje ověření konzistentnosti. </w:t>
      </w:r>
    </w:p>
    <w:p w:rsidR="00C545E7" w:rsidRPr="00571D58" w:rsidRDefault="000B213F" w:rsidP="00820050">
      <w:pPr>
        <w:pStyle w:val="HStandard"/>
        <w:spacing w:after="0"/>
        <w:rPr>
          <w:rFonts w:cs="Arial"/>
        </w:rPr>
      </w:pPr>
      <w:r>
        <w:rPr>
          <w:b/>
          <w:i/>
          <w:noProof/>
          <w:color w:val="F07E31" w:themeColor="accent1"/>
          <w:lang w:val="en-GB" w:eastAsia="en-GB" w:bidi="ar-SA"/>
        </w:rPr>
        <mc:AlternateContent>
          <mc:Choice Requires="wps">
            <w:drawing>
              <wp:inline distT="0" distB="0" distL="0" distR="0" wp14:anchorId="2FF79023" wp14:editId="47615CF1">
                <wp:extent cx="5731510" cy="1360715"/>
                <wp:effectExtent l="0" t="0" r="21590" b="11430"/>
                <wp:docPr id="90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360715"/>
                        </a:xfrm>
                        <a:custGeom>
                          <a:avLst/>
                          <a:gdLst>
                            <a:gd name="T0" fmla="*/ 126364 w 5731510"/>
                            <a:gd name="T1" fmla="*/ 0 h 1446971"/>
                            <a:gd name="T2" fmla="*/ 5731510 w 5731510"/>
                            <a:gd name="T3" fmla="*/ 0 h 1446971"/>
                            <a:gd name="T4" fmla="*/ 5731510 w 5731510"/>
                            <a:gd name="T5" fmla="*/ 0 h 1446971"/>
                            <a:gd name="T6" fmla="*/ 5731510 w 5731510"/>
                            <a:gd name="T7" fmla="*/ 1320607 h 1446971"/>
                            <a:gd name="T8" fmla="*/ 5605146 w 5731510"/>
                            <a:gd name="T9" fmla="*/ 1446971 h 1446971"/>
                            <a:gd name="T10" fmla="*/ 0 w 5731510"/>
                            <a:gd name="T11" fmla="*/ 1446971 h 1446971"/>
                            <a:gd name="T12" fmla="*/ 0 w 5731510"/>
                            <a:gd name="T13" fmla="*/ 1446971 h 1446971"/>
                            <a:gd name="T14" fmla="*/ 0 w 5731510"/>
                            <a:gd name="T15" fmla="*/ 126364 h 1446971"/>
                            <a:gd name="T16" fmla="*/ 126364 w 5731510"/>
                            <a:gd name="T17" fmla="*/ 0 h 14469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446971"/>
                            <a:gd name="T29" fmla="*/ 5731510 w 5731510"/>
                            <a:gd name="T30" fmla="*/ 1446971 h 144697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446971">
                              <a:moveTo>
                                <a:pt x="126364" y="0"/>
                              </a:moveTo>
                              <a:lnTo>
                                <a:pt x="5731510" y="0"/>
                              </a:lnTo>
                              <a:lnTo>
                                <a:pt x="5731510" y="1320607"/>
                              </a:lnTo>
                              <a:cubicBezTo>
                                <a:pt x="5731510" y="1390396"/>
                                <a:pt x="5674935" y="1446971"/>
                                <a:pt x="5605146" y="1446971"/>
                              </a:cubicBezTo>
                              <a:lnTo>
                                <a:pt x="0" y="1446971"/>
                              </a:lnTo>
                              <a:lnTo>
                                <a:pt x="0" y="126364"/>
                              </a:lnTo>
                              <a:cubicBezTo>
                                <a:pt x="0" y="56575"/>
                                <a:pt x="56575" y="0"/>
                                <a:pt x="126364"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8F1326" w:rsidRPr="00044269" w:rsidRDefault="008F1326"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201A80E7" wp14:editId="33CFF1D7">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Kvantitativní podklady je třeba interpretovat kriticky na základě kvalitativního posouzení.</w:t>
                            </w:r>
                            <w:r>
                              <w:rPr>
                                <w:b w:val="0"/>
                                <w:color w:val="373737" w:themeColor="text1"/>
                              </w:rPr>
                              <w:t xml:space="preserve"> Kvalitativní posouzení může navíc pomoci doplnit kvantitativní hodnocení pro účely: a) posouzení reprezentativnosti dostupných údajů, b) křížového ověření zjištění, c) zachycení různých rozměrů téhož jevu.</w:t>
                            </w:r>
                          </w:p>
                        </w:txbxContent>
                      </wps:txbx>
                      <wps:bodyPr rot="0" vert="horz" wrap="square" lIns="91440" tIns="45720" rIns="91440" bIns="45720" anchor="ctr" anchorCtr="0" upright="1">
                        <a:noAutofit/>
                      </wps:bodyPr>
                    </wps:wsp>
                  </a:graphicData>
                </a:graphic>
              </wp:inline>
            </w:drawing>
          </mc:Choice>
          <mc:Fallback>
            <w:pict>
              <v:shape w14:anchorId="2FF79023" id="AutoShape 65" o:spid="_x0000_s1037" style="width:451.3pt;height:107.15pt;visibility:visible;mso-wrap-style:square;mso-left-percent:-10001;mso-top-percent:-10001;mso-position-horizontal:absolute;mso-position-horizontal-relative:char;mso-position-vertical:absolute;mso-position-vertical-relative:line;mso-left-percent:-10001;mso-top-percent:-10001;v-text-anchor:middle" coordsize="5731510,14469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" adj="-11796480,,5400" path="m126364,l5731510,r,1320607c5731510,1390396,5674935,1446971,5605146,1446971l,1446971,,126364c,56575,56575,,126364,xe" filled="f" strokecolor="#be4a35" strokeweight="2pt">
                <v:stroke joinstyle="miter"/>
                <v:formulas/>
                <v:path arrowok="t" o:connecttype="custom" o:connectlocs="126364,0;5731510,0;5731510,0;5731510,1241884;5605146,1360715;0,1360715;0,1360715;0,118831;126364,0" o:connectangles="0,0,0,0,0,0,0,0,0" textboxrect="0,0,5731510,1446971"/>
                <v:textbox>
                  <w:txbxContent>
                    <w:p w:rsidR="008F1326" w:rsidRPr="00044269" w:rsidRDefault="008F1326"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201A80E7" wp14:editId="33CFF1D7">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Kvantitativní podklady je třeba interpretovat kriticky na základě kvalitativního posouzení.</w:t>
                      </w:r>
                      <w:r>
                        <w:rPr>
                          <w:b w:val="0"/>
                          <w:color w:val="373737" w:themeColor="text1"/>
                        </w:rPr>
                        <w:t xml:space="preserve"> Kvalitativní posouzení může navíc pomoci doplnit kvantitativní hodnocení pro účely: a) posouzení reprezentativnosti dostupných údajů, b) křížového ověření zjištění, c) zachycení různých rozměrů téhož jevu.</w:t>
                      </w:r>
                    </w:p>
                  </w:txbxContent>
                </v:textbox>
                <w10:anchorlock/>
              </v:shape>
            </w:pict>
          </mc:Fallback>
        </mc:AlternateContent>
      </w:r>
    </w:p>
    <w:p w:rsidR="00820050" w:rsidRPr="007645B4" w:rsidRDefault="00820050" w:rsidP="00820050">
      <w:pPr>
        <w:pStyle w:val="HStandard"/>
        <w:spacing w:after="0"/>
        <w:rPr>
          <w:rFonts w:cs="Arial"/>
        </w:rPr>
      </w:pPr>
      <w:r>
        <w:t>Provedení kroků v rozhodovacím stromu na mikro- a makroekonomické úrovni pomůže zodpovědět při navrhování přístupu k hodnocení následující otázky:</w:t>
      </w:r>
    </w:p>
    <w:p w:rsidR="00820050" w:rsidRPr="001C6ACF" w:rsidRDefault="00820050" w:rsidP="00C42303">
      <w:pPr>
        <w:pStyle w:val="Hlistbullet"/>
      </w:pPr>
      <w:r>
        <w:t>Je při uplatňování metod vycházejících z hypotetického srovnávacího scénáře nutné k vyčíslení změn v hodnotách ukazatelů uplatnit specifickou environmentální, odvětvovou (zemědělsko-hospodářskou) nebo sociálně-ekonomickou metodu, nebo lze hodnoty ukazatelů použít přímo?</w:t>
      </w:r>
    </w:p>
    <w:p w:rsidR="00820050" w:rsidRPr="001C6ACF" w:rsidRDefault="00820050" w:rsidP="00C42303">
      <w:pPr>
        <w:pStyle w:val="Hlistbullet"/>
      </w:pPr>
      <w:r>
        <w:t>Pokud by se měla aplikovat specifická metoda, jsou údaje vhodné pro uplatnění některé z metod dostupných k hodnocení environmentálních, odvětvových nebo sociálně-ekonomických dopadů?</w:t>
      </w:r>
    </w:p>
    <w:p w:rsidR="00820050" w:rsidRPr="001C6ACF" w:rsidRDefault="00820050" w:rsidP="00C42303">
      <w:pPr>
        <w:pStyle w:val="Hlistbullet"/>
      </w:pPr>
      <w:r>
        <w:t>Je nutné shromáždit pomocí statistického odběru vzorků nové primární údaje? Jak nákladné to bude?</w:t>
      </w:r>
    </w:p>
    <w:p w:rsidR="00820050" w:rsidRPr="001C6ACF" w:rsidRDefault="00820050" w:rsidP="00C42303">
      <w:pPr>
        <w:pStyle w:val="Hlistbullet"/>
      </w:pPr>
      <w:r>
        <w:t>Je třeba provést konkrétní úkoly v zájmu zlepšení kvality údajů z průzkumů/monitorování?</w:t>
      </w:r>
    </w:p>
    <w:p w:rsidR="00820050" w:rsidRPr="001C6ACF" w:rsidRDefault="00820050" w:rsidP="00C42303">
      <w:pPr>
        <w:pStyle w:val="Hlistbullet"/>
      </w:pPr>
      <w:r>
        <w:t>Pokud nelze změny v hodnotách ukazatelů vyčíslit nebo by to bylo příliš nákladné, jaké alternativní (kvalitativní) metody se nabízejí k posouzení změn v hodnotách ukazatelů?</w:t>
      </w:r>
    </w:p>
    <w:p w:rsidR="00B00451" w:rsidRPr="001C6ACF" w:rsidRDefault="00B00451" w:rsidP="003708EA">
      <w:pPr>
        <w:pStyle w:val="Hlistbullet"/>
        <w:numPr>
          <w:ilvl w:val="0"/>
          <w:numId w:val="0"/>
        </w:numPr>
      </w:pPr>
    </w:p>
    <w:p w:rsidR="006D6205" w:rsidRPr="001C6ACF" w:rsidRDefault="006D6205" w:rsidP="003708EA">
      <w:pPr>
        <w:pStyle w:val="Hlistbullet"/>
        <w:numPr>
          <w:ilvl w:val="0"/>
          <w:numId w:val="0"/>
        </w:numPr>
      </w:pPr>
    </w:p>
    <w:p w:rsidR="006D6205" w:rsidRPr="00571D58" w:rsidRDefault="006D6205" w:rsidP="003708EA">
      <w:pPr>
        <w:pStyle w:val="Hlistbullet"/>
        <w:numPr>
          <w:ilvl w:val="0"/>
          <w:numId w:val="0"/>
        </w:numPr>
      </w:pPr>
      <w:r>
        <w:br w:type="column"/>
      </w:r>
      <w:r>
        <w:rPr>
          <w:b/>
          <w:i/>
          <w:noProof/>
          <w:color w:val="F07E31" w:themeColor="accent1"/>
          <w:lang w:val="en-GB" w:eastAsia="en-GB" w:bidi="ar-SA"/>
        </w:rPr>
        <w:lastRenderedPageBreak/>
        <mc:AlternateContent>
          <mc:Choice Requires="wps">
            <w:drawing>
              <wp:inline distT="0" distB="0" distL="0" distR="0" wp14:anchorId="7D37554D" wp14:editId="4ED05D50">
                <wp:extent cx="5931535" cy="8425543"/>
                <wp:effectExtent l="0" t="0" r="12065" b="13970"/>
                <wp:docPr id="90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1535" cy="8425543"/>
                        </a:xfrm>
                        <a:custGeom>
                          <a:avLst/>
                          <a:gdLst>
                            <a:gd name="T0" fmla="*/ 518013 w 5931673"/>
                            <a:gd name="T1" fmla="*/ 0 h 8670814"/>
                            <a:gd name="T2" fmla="*/ 5931673 w 5931673"/>
                            <a:gd name="T3" fmla="*/ 0 h 8670814"/>
                            <a:gd name="T4" fmla="*/ 5931673 w 5931673"/>
                            <a:gd name="T5" fmla="*/ 0 h 8670814"/>
                            <a:gd name="T6" fmla="*/ 5931673 w 5931673"/>
                            <a:gd name="T7" fmla="*/ 8152801 h 8670814"/>
                            <a:gd name="T8" fmla="*/ 5413660 w 5931673"/>
                            <a:gd name="T9" fmla="*/ 8670814 h 8670814"/>
                            <a:gd name="T10" fmla="*/ 0 w 5931673"/>
                            <a:gd name="T11" fmla="*/ 8670814 h 8670814"/>
                            <a:gd name="T12" fmla="*/ 0 w 5931673"/>
                            <a:gd name="T13" fmla="*/ 8670814 h 8670814"/>
                            <a:gd name="T14" fmla="*/ 0 w 5931673"/>
                            <a:gd name="T15" fmla="*/ 518013 h 8670814"/>
                            <a:gd name="T16" fmla="*/ 518013 w 5931673"/>
                            <a:gd name="T17" fmla="*/ 0 h 86708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931673"/>
                            <a:gd name="T28" fmla="*/ 0 h 8670814"/>
                            <a:gd name="T29" fmla="*/ 5931673 w 5931673"/>
                            <a:gd name="T30" fmla="*/ 8670814 h 867081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931673" h="8670814">
                              <a:moveTo>
                                <a:pt x="518013" y="0"/>
                              </a:moveTo>
                              <a:lnTo>
                                <a:pt x="5931673" y="0"/>
                              </a:lnTo>
                              <a:lnTo>
                                <a:pt x="5931673" y="8152801"/>
                              </a:lnTo>
                              <a:cubicBezTo>
                                <a:pt x="5931673" y="8438892"/>
                                <a:pt x="5699751" y="8670814"/>
                                <a:pt x="5413660" y="8670814"/>
                              </a:cubicBezTo>
                              <a:lnTo>
                                <a:pt x="0" y="8670814"/>
                              </a:lnTo>
                              <a:lnTo>
                                <a:pt x="0" y="518013"/>
                              </a:lnTo>
                              <a:cubicBezTo>
                                <a:pt x="0" y="231922"/>
                                <a:pt x="231922" y="0"/>
                                <a:pt x="518013"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8F1326" w:rsidRPr="00DD36A9" w:rsidRDefault="008F1326" w:rsidP="006D6205">
                            <w:pPr>
                              <w:pStyle w:val="HHeading4"/>
                            </w:pPr>
                            <w:r>
                              <w:rPr>
                                <w:noProof/>
                                <w:lang w:val="en-GB" w:eastAsia="en-GB" w:bidi="ar-SA"/>
                              </w:rPr>
                              <w:drawing>
                                <wp:inline distT="0" distB="0" distL="0" distR="0" wp14:anchorId="33E860A4" wp14:editId="74D043E6">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RYCHLÝ PRŮVODCE č. 4: Jak posoudit čisté dopady PRV? (vztahuje se k 3. vrstvě)</w:t>
                            </w:r>
                          </w:p>
                          <w:p w:rsidR="008F1326" w:rsidRPr="00553149" w:rsidRDefault="008F1326" w:rsidP="00AC0E3D">
                            <w:pPr>
                              <w:pStyle w:val="HStandard"/>
                              <w:spacing w:after="0"/>
                              <w:rPr>
                                <w:rFonts w:cs="Arial"/>
                                <w:szCs w:val="16"/>
                              </w:rPr>
                            </w:pPr>
                            <w:r>
                              <w:t xml:space="preserve">Posoudit čisté dopady programu </w:t>
                            </w:r>
                            <w:r>
                              <w:rPr>
                                <w:b/>
                              </w:rPr>
                              <w:t>na</w:t>
                            </w:r>
                            <w:r>
                              <w:t xml:space="preserve"> </w:t>
                            </w:r>
                            <w:r>
                              <w:rPr>
                                <w:b/>
                              </w:rPr>
                              <w:t>makroekonomické úrovni nebo na úrovni programové oblasti</w:t>
                            </w:r>
                            <w:r>
                              <w:t xml:space="preserve"> pomocí analýzy využívající hypotetický srovnávací scénář lze pomocí dvou hlavních přístupů: </w:t>
                            </w:r>
                            <w:r>
                              <w:rPr>
                                <w:b/>
                              </w:rPr>
                              <w:t xml:space="preserve">První přístup </w:t>
                            </w:r>
                            <w:r>
                              <w:t xml:space="preserve">vychází z analýzy na mikroekonomické úrovni a z extrapolace výsledků na makroekonomickou úroveň (zobecnění). </w:t>
                            </w:r>
                            <w:r>
                              <w:rPr>
                                <w:b/>
                              </w:rPr>
                              <w:t xml:space="preserve">Druhý přístup </w:t>
                            </w:r>
                            <w:r>
                              <w:t xml:space="preserve">využívá analytické nástroje, jako jsou </w:t>
                            </w:r>
                            <w:hyperlink r:id="rId46">
                              <w:r>
                                <w:rPr>
                                  <w:rStyle w:val="Hyperlink"/>
                                </w:rPr>
                                <w:t>modely všeobecné rovnováhy</w:t>
                              </w:r>
                            </w:hyperlink>
                            <w:r>
                              <w:t>, modely částečné rovnováhy a ekonometrické modely a další techniky modelování, u nichž se příslušné parametry modelu (např. koeficienty produktivity nebo emisí) odhadují ekonometricky s </w:t>
                            </w:r>
                            <w:r>
                              <w:rPr>
                                <w:b/>
                              </w:rPr>
                              <w:t xml:space="preserve">přihlédnutím </w:t>
                            </w:r>
                            <w:r>
                              <w:t xml:space="preserve">ke spolehlivým příčinným souvislostem, </w:t>
                            </w:r>
                            <w:r>
                              <w:t>možnému výběrovému zkreslení, endogenitě a prostorovým závislostem. Tento přístup zahrnuje také kombinaci přístupu „shora dolů“ na makroekonomické úrovni (např. modely s celostátním nebo regionálním pokrytím), pomocí něhož se vyhodnocují dopady programu, s přístupem „zdola nahoru“ na mikroekonomické úrovni, kterým se posuzují čisté dopady různých opatření či kombinací opatření.</w:t>
                            </w:r>
                          </w:p>
                          <w:p w:rsidR="008F1326" w:rsidRPr="00553149" w:rsidRDefault="008F1326" w:rsidP="00AC0E3D">
                            <w:pPr>
                              <w:pStyle w:val="HStandard"/>
                              <w:spacing w:after="0"/>
                              <w:rPr>
                                <w:rFonts w:cs="Arial"/>
                                <w:szCs w:val="16"/>
                              </w:rPr>
                            </w:pPr>
                          </w:p>
                          <w:p w:rsidR="008F1326" w:rsidRPr="00553149" w:rsidRDefault="008F1326" w:rsidP="00AC0E3D">
                            <w:pPr>
                              <w:pStyle w:val="HStandard"/>
                              <w:spacing w:after="0"/>
                              <w:rPr>
                                <w:rFonts w:cs="Arial"/>
                                <w:szCs w:val="16"/>
                              </w:rPr>
                            </w:pPr>
                            <w:r>
                              <w:t xml:space="preserve">Je třeba poznamenat, že bez ohledu na zvolený přístup je analýza čistých dopadů PRV možná pouze tehdy, je-li k dispozici dostatek kvantitativních údajů a uplatní-li se vyspělé metodické techniky. Případné použití naivního přístupu k hodnocení (např. „před a po“, použití nevhodných kontrol apod.) může značně zkreslit získané výsledky „čistých dopadů“ v obou směrech (pozitivním i negativním). </w:t>
                            </w:r>
                          </w:p>
                          <w:p w:rsidR="008F1326" w:rsidRPr="00553149" w:rsidRDefault="008F1326" w:rsidP="00AC0E3D">
                            <w:pPr>
                              <w:pStyle w:val="HStandard"/>
                              <w:spacing w:after="0"/>
                              <w:rPr>
                                <w:rFonts w:cs="Arial"/>
                                <w:szCs w:val="16"/>
                              </w:rPr>
                            </w:pPr>
                          </w:p>
                          <w:p w:rsidR="008F1326" w:rsidRPr="00502017" w:rsidRDefault="008F1326" w:rsidP="00AC0E3D">
                            <w:pPr>
                              <w:pStyle w:val="HStandard"/>
                              <w:spacing w:after="0"/>
                              <w:rPr>
                                <w:rFonts w:cs="Arial"/>
                                <w:szCs w:val="16"/>
                              </w:rPr>
                            </w:pPr>
                            <w:r>
                              <w:t xml:space="preserve">Protože </w:t>
                            </w:r>
                            <w:r>
                              <w:rPr>
                                <w:b/>
                              </w:rPr>
                              <w:t xml:space="preserve">první přístup </w:t>
                            </w:r>
                            <w:r>
                              <w:t>(extrapolace analýzy na mikroekonomické úrovni na makroekonomickou úroveň programové oblasti) je jednodušší a nadějnější, níže jsou popsány jeho nejdůležitější kroky. Přístup sestává z pěti hlavních kroků, které platí pro odvětvové, environmentální i sociálně-ekonomické ukazatele dopadů. Základní rozdíl mezi analýzou čistého dopadu PRV provedenou v těchto třech oblastech spočívá v definici jednotek, z nichž analýza vychází: např. hospodářství (podniky) či správních oblastí (např. NUTS 4, NUTS 5 atd.) u odvětvových ukazatelů, pozemků nebo malých geografických oblastí (regionální prostorové údaje) u environmentálních ukazatelů a správních oblastí (např. NUTS 3, NUTS 4 nebo NUTS 5) u sociálně-ekonomických ukazatelů. Tyto kroky jsou následující:</w:t>
                            </w:r>
                          </w:p>
                          <w:p w:rsidR="008F1326" w:rsidRPr="00502017" w:rsidRDefault="008F1326" w:rsidP="00AC0E3D">
                            <w:pPr>
                              <w:pStyle w:val="HStandard"/>
                              <w:spacing w:after="0"/>
                              <w:rPr>
                                <w:rFonts w:cs="Arial"/>
                                <w:szCs w:val="16"/>
                              </w:rPr>
                            </w:pPr>
                          </w:p>
                          <w:p w:rsidR="008F1326" w:rsidRPr="00735F08" w:rsidRDefault="008F1326" w:rsidP="00AC0E3D">
                            <w:pPr>
                              <w:pStyle w:val="Hlistbullet"/>
                              <w:numPr>
                                <w:ilvl w:val="0"/>
                                <w:numId w:val="0"/>
                              </w:numPr>
                              <w:jc w:val="left"/>
                              <w:rPr>
                                <w:szCs w:val="16"/>
                              </w:rPr>
                            </w:pPr>
                            <w:r>
                              <w:rPr>
                                <w:b/>
                                <w:color w:val="F07E31" w:themeColor="accent1"/>
                              </w:rPr>
                              <w:t>Krok 1:</w:t>
                            </w:r>
                            <w:r>
                              <w:t xml:space="preserve"> Odhad </w:t>
                            </w:r>
                            <w:r>
                              <w:rPr>
                                <w:b/>
                              </w:rPr>
                              <w:t>přímých účinků</w:t>
                            </w:r>
                            <w:r>
                              <w:t xml:space="preserve"> PRV </w:t>
                            </w:r>
                            <w:r>
                              <w:rPr>
                                <w:b/>
                              </w:rPr>
                              <w:t>na příjemce na mikroekonomické úrovni</w:t>
                            </w:r>
                            <w:r>
                              <w:t>:</w:t>
                            </w:r>
                          </w:p>
                          <w:p w:rsidR="008F1326" w:rsidRPr="00553149" w:rsidRDefault="008F1326" w:rsidP="00EC01C3">
                            <w:pPr>
                              <w:pStyle w:val="HStandard"/>
                              <w:numPr>
                                <w:ilvl w:val="1"/>
                                <w:numId w:val="13"/>
                              </w:numPr>
                              <w:spacing w:after="0"/>
                              <w:ind w:left="924" w:hanging="357"/>
                              <w:rPr>
                                <w:rFonts w:cs="Arial"/>
                                <w:szCs w:val="16"/>
                              </w:rPr>
                            </w:pPr>
                            <w:r>
                              <w:t>Na mikroekonomické úrovni se pro skupinu příjemců a kontrolní skupinu vypočítá průměrná hodnota společných nebo doplňkových ukazatelů dopadů před poskytnutím podpory (např. v roce 2013) a po něm (např. v letech 2018 či 2019).</w:t>
                            </w:r>
                          </w:p>
                          <w:p w:rsidR="008F1326" w:rsidRPr="00553149" w:rsidRDefault="008F1326" w:rsidP="00EC01C3">
                            <w:pPr>
                              <w:pStyle w:val="HStandard"/>
                              <w:numPr>
                                <w:ilvl w:val="1"/>
                                <w:numId w:val="13"/>
                              </w:numPr>
                              <w:spacing w:after="0"/>
                              <w:ind w:left="924" w:hanging="357"/>
                              <w:rPr>
                                <w:rFonts w:cs="Arial"/>
                                <w:szCs w:val="16"/>
                              </w:rPr>
                            </w:pPr>
                            <w:r>
                              <w:t xml:space="preserve">Vypočítají se specifické politické ukazatele (např. průměrný účinek zásahu pro zasažené), přičemž jako výsledky se použijí příslušné společné nebo doplňkové ukazatele dopadů. Kombinací vypočteného účinku zásahu pro zasažené s metodou rozdílu mezi rozdíly se vypočítají </w:t>
                            </w:r>
                            <w:r>
                              <w:rPr>
                                <w:b/>
                              </w:rPr>
                              <w:t>čisté dopady</w:t>
                            </w:r>
                            <w:r>
                              <w:t xml:space="preserve"> PRV </w:t>
                            </w:r>
                            <w:r>
                              <w:rPr>
                                <w:b/>
                              </w:rPr>
                              <w:t>na výše uvedené ukazatele</w:t>
                            </w:r>
                            <w:r>
                              <w:t>.</w:t>
                            </w:r>
                          </w:p>
                          <w:p w:rsidR="008F1326" w:rsidRPr="00553149" w:rsidRDefault="008F1326" w:rsidP="00EC01C3">
                            <w:pPr>
                              <w:pStyle w:val="HStandard"/>
                              <w:numPr>
                                <w:ilvl w:val="1"/>
                                <w:numId w:val="13"/>
                              </w:numPr>
                              <w:spacing w:after="0"/>
                              <w:ind w:left="924" w:hanging="357"/>
                              <w:rPr>
                                <w:rFonts w:cs="Arial"/>
                                <w:szCs w:val="16"/>
                              </w:rPr>
                            </w:pPr>
                            <w:r>
                              <w:t>Provede se analýza citlivosti získaných výsledků.</w:t>
                            </w:r>
                          </w:p>
                          <w:p w:rsidR="008F1326" w:rsidRDefault="008F1326" w:rsidP="00AC0E3D">
                            <w:pPr>
                              <w:pStyle w:val="Hlistbullet"/>
                              <w:numPr>
                                <w:ilvl w:val="0"/>
                                <w:numId w:val="0"/>
                              </w:numPr>
                              <w:spacing w:before="0" w:after="120" w:line="280" w:lineRule="atLeast"/>
                              <w:rPr>
                                <w:rFonts w:cs="Arial"/>
                                <w:szCs w:val="16"/>
                              </w:rPr>
                            </w:pPr>
                            <w:r>
                              <w:rPr>
                                <w:b/>
                                <w:color w:val="F07E31" w:themeColor="accent1"/>
                              </w:rPr>
                              <w:t xml:space="preserve">Krok 2: </w:t>
                            </w:r>
                            <w:r>
                              <w:t xml:space="preserve">Odhadnou se </w:t>
                            </w:r>
                            <w:r>
                              <w:rPr>
                                <w:b/>
                              </w:rPr>
                              <w:t>nepřímé účinky</w:t>
                            </w:r>
                            <w:r>
                              <w:t xml:space="preserve"> PRV </w:t>
                            </w:r>
                            <w:r>
                              <w:rPr>
                                <w:b/>
                              </w:rPr>
                              <w:t>na příjemce na mikroekonomické úrovni</w:t>
                            </w:r>
                            <w:r>
                              <w:t>. Pozorovanou změnu v hodnotě ukazatelů je znovu třeba rozdělit na změny v důsledku programu (celkový dopad primárních a sekundárních zásahů) a změny způsobené jinými faktory.</w:t>
                            </w:r>
                            <w:r>
                              <w:rPr>
                                <w:color w:val="auto"/>
                              </w:rPr>
                              <w:t xml:space="preserve"> </w:t>
                            </w:r>
                            <w:r>
                              <w:t xml:space="preserve">Nepřímé účinky PRV (např. substituce, nahrazení, multiplikace) by se měly počítat a uvádět odděleně. </w:t>
                            </w:r>
                          </w:p>
                          <w:p w:rsidR="008F1326" w:rsidRPr="00027601" w:rsidRDefault="008F1326" w:rsidP="00027601">
                            <w:pPr>
                              <w:pStyle w:val="Hlistbullet"/>
                              <w:numPr>
                                <w:ilvl w:val="0"/>
                                <w:numId w:val="0"/>
                              </w:numPr>
                              <w:spacing w:before="0" w:after="120" w:line="280" w:lineRule="atLeast"/>
                              <w:rPr>
                                <w:i/>
                                <w:color w:val="F07E31" w:themeColor="accent1"/>
                                <w:sz w:val="16"/>
                                <w:szCs w:val="16"/>
                              </w:rPr>
                            </w:pPr>
                          </w:p>
                        </w:txbxContent>
                      </wps:txbx>
                      <wps:bodyPr rot="0" vert="horz" wrap="square" lIns="91440" tIns="45720" rIns="91440" bIns="45720" anchor="ctr" anchorCtr="0" upright="1">
                        <a:noAutofit/>
                      </wps:bodyPr>
                    </wps:wsp>
                  </a:graphicData>
                </a:graphic>
              </wp:inline>
            </w:drawing>
          </mc:Choice>
          <mc:Fallback>
            <w:pict>
              <v:shape w14:anchorId="7D37554D" id="AutoShape 64" o:spid="_x0000_s1038" style="width:467.05pt;height:663.45pt;visibility:visible;mso-wrap-style:square;mso-left-percent:-10001;mso-top-percent:-10001;mso-position-horizontal:absolute;mso-position-horizontal-relative:char;mso-position-vertical:absolute;mso-position-vertical-relative:line;mso-left-percent:-10001;mso-top-percent:-10001;v-text-anchor:middle" coordsize="5931673,8670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" adj="-11796480,,5400" path="m518013,l5931673,r,8152801c5931673,8438892,5699751,8670814,5413660,8670814l,8670814,,518013c,231922,231922,,518013,xe" filled="f" strokecolor="#be4a35" strokeweight="2pt">
                <v:stroke joinstyle="miter"/>
                <v:formulas/>
                <v:path arrowok="t" o:connecttype="custom" o:connectlocs="518001,0;5931535,0;5931535,0;5931535,7922183;5413534,8425543;0,8425543;0,8425543;0,503360;518001,0" o:connectangles="0,0,0,0,0,0,0,0,0" textboxrect="0,0,5931673,8670814"/>
                <v:textbox>
                  <w:txbxContent>
                    <w:p w:rsidR="008F1326" w:rsidRPr="00DD36A9" w:rsidRDefault="008F1326" w:rsidP="006D6205">
                      <w:pPr>
                        <w:pStyle w:val="HHeading4"/>
                      </w:pPr>
                      <w:r>
                        <w:rPr>
                          <w:noProof/>
                          <w:lang w:val="en-GB" w:eastAsia="en-GB" w:bidi="ar-SA"/>
                        </w:rPr>
                        <w:drawing>
                          <wp:inline distT="0" distB="0" distL="0" distR="0" wp14:anchorId="33E860A4" wp14:editId="74D043E6">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RYCHLÝ PRŮVODCE č. 4: Jak posoudit čisté dopady PRV? (vztahuje se k 3. vrstvě)</w:t>
                      </w:r>
                    </w:p>
                    <w:p w:rsidR="008F1326" w:rsidRPr="00553149" w:rsidRDefault="008F1326" w:rsidP="00AC0E3D">
                      <w:pPr>
                        <w:pStyle w:val="HStandard"/>
                        <w:spacing w:after="0"/>
                        <w:rPr>
                          <w:rFonts w:cs="Arial"/>
                          <w:szCs w:val="16"/>
                        </w:rPr>
                      </w:pPr>
                      <w:r>
                        <w:t xml:space="preserve">Posoudit čisté dopady programu </w:t>
                      </w:r>
                      <w:r>
                        <w:rPr>
                          <w:b/>
                        </w:rPr>
                        <w:t>na</w:t>
                      </w:r>
                      <w:r>
                        <w:t xml:space="preserve"> </w:t>
                      </w:r>
                      <w:r>
                        <w:rPr>
                          <w:b/>
                        </w:rPr>
                        <w:t>makroekonomické úrovni nebo na úrovni programové oblasti</w:t>
                      </w:r>
                      <w:r>
                        <w:t xml:space="preserve"> pomocí analýzy využívající hypotetický srovnávací scénář lze pomocí dvou hlavních přístupů: </w:t>
                      </w:r>
                      <w:r>
                        <w:rPr>
                          <w:b/>
                        </w:rPr>
                        <w:t xml:space="preserve">První přístup </w:t>
                      </w:r>
                      <w:r>
                        <w:t xml:space="preserve">vychází z analýzy na mikroekonomické úrovni a z extrapolace výsledků na makroekonomickou úroveň (zobecnění). </w:t>
                      </w:r>
                      <w:r>
                        <w:rPr>
                          <w:b/>
                        </w:rPr>
                        <w:t xml:space="preserve">Druhý přístup </w:t>
                      </w:r>
                      <w:r>
                        <w:t xml:space="preserve">využívá analytické nástroje, jako jsou </w:t>
                      </w:r>
                      <w:hyperlink r:id="rId47">
                        <w:r>
                          <w:rPr>
                            <w:rStyle w:val="Hyperlink"/>
                          </w:rPr>
                          <w:t>modely všeobecné rovnováhy</w:t>
                        </w:r>
                      </w:hyperlink>
                      <w:r>
                        <w:t>, modely částečné rovnováhy a ekonometrické modely a další techniky modelování, u nichž se příslušné parametry modelu (např. koeficienty produktivity nebo emisí) odhadují ekonometricky s </w:t>
                      </w:r>
                      <w:r>
                        <w:rPr>
                          <w:b/>
                        </w:rPr>
                        <w:t xml:space="preserve">přihlédnutím </w:t>
                      </w:r>
                      <w:r>
                        <w:t xml:space="preserve">ke spolehlivým příčinným souvislostem, </w:t>
                      </w:r>
                      <w:r>
                        <w:t>možnému výběrovému zkreslení, endogenitě a prostorovým závislostem. Tento přístup zahrnuje také kombinaci přístupu „shora dolů“ na makroekonomické úrovni (např. modely s celostátním nebo regionálním pokrytím), pomocí něhož se vyhodnocují dopady programu, s přístupem „zdola nahoru“ na mikroekonomické úrovni, kterým se posuzují čisté dopady různých opatření či kombinací opatření.</w:t>
                      </w:r>
                    </w:p>
                    <w:p w:rsidR="008F1326" w:rsidRPr="00553149" w:rsidRDefault="008F1326" w:rsidP="00AC0E3D">
                      <w:pPr>
                        <w:pStyle w:val="HStandard"/>
                        <w:spacing w:after="0"/>
                        <w:rPr>
                          <w:rFonts w:cs="Arial"/>
                          <w:szCs w:val="16"/>
                        </w:rPr>
                      </w:pPr>
                    </w:p>
                    <w:p w:rsidR="008F1326" w:rsidRPr="00553149" w:rsidRDefault="008F1326" w:rsidP="00AC0E3D">
                      <w:pPr>
                        <w:pStyle w:val="HStandard"/>
                        <w:spacing w:after="0"/>
                        <w:rPr>
                          <w:rFonts w:cs="Arial"/>
                          <w:szCs w:val="16"/>
                        </w:rPr>
                      </w:pPr>
                      <w:r>
                        <w:t xml:space="preserve">Je třeba poznamenat, že bez ohledu na zvolený přístup je analýza čistých dopadů PRV možná pouze tehdy, je-li k dispozici dostatek kvantitativních údajů a uplatní-li se vyspělé metodické techniky. Případné použití naivního přístupu k hodnocení (např. „před a po“, použití nevhodných kontrol apod.) může značně zkreslit získané výsledky „čistých dopadů“ v obou směrech (pozitivním i negativním). </w:t>
                      </w:r>
                    </w:p>
                    <w:p w:rsidR="008F1326" w:rsidRPr="00553149" w:rsidRDefault="008F1326" w:rsidP="00AC0E3D">
                      <w:pPr>
                        <w:pStyle w:val="HStandard"/>
                        <w:spacing w:after="0"/>
                        <w:rPr>
                          <w:rFonts w:cs="Arial"/>
                          <w:szCs w:val="16"/>
                        </w:rPr>
                      </w:pPr>
                    </w:p>
                    <w:p w:rsidR="008F1326" w:rsidRPr="00502017" w:rsidRDefault="008F1326" w:rsidP="00AC0E3D">
                      <w:pPr>
                        <w:pStyle w:val="HStandard"/>
                        <w:spacing w:after="0"/>
                        <w:rPr>
                          <w:rFonts w:cs="Arial"/>
                          <w:szCs w:val="16"/>
                        </w:rPr>
                      </w:pPr>
                      <w:r>
                        <w:t xml:space="preserve">Protože </w:t>
                      </w:r>
                      <w:r>
                        <w:rPr>
                          <w:b/>
                        </w:rPr>
                        <w:t xml:space="preserve">první přístup </w:t>
                      </w:r>
                      <w:r>
                        <w:t>(extrapolace analýzy na mikroekonomické úrovni na makroekonomickou úroveň programové oblasti) je jednodušší a nadějnější, níže jsou popsány jeho nejdůležitější kroky. Přístup sestává z pěti hlavních kroků, které platí pro odvětvové, environmentální i sociálně-ekonomické ukazatele dopadů. Základní rozdíl mezi analýzou čistého dopadu PRV provedenou v těchto třech oblastech spočívá v definici jednotek, z nichž analýza vychází: např. hospodářství (podniky) či správních oblastí (např. NUTS 4, NUTS 5 atd.) u odvětvových ukazatelů, pozemků nebo malých geografických oblastí (regionální prostorové údaje) u environmentálních ukazatelů a správních oblastí (např. NUTS 3, NUTS 4 nebo NUTS 5) u sociálně-ekonomických ukazatelů. Tyto kroky jsou následující:</w:t>
                      </w:r>
                    </w:p>
                    <w:p w:rsidR="008F1326" w:rsidRPr="00502017" w:rsidRDefault="008F1326" w:rsidP="00AC0E3D">
                      <w:pPr>
                        <w:pStyle w:val="HStandard"/>
                        <w:spacing w:after="0"/>
                        <w:rPr>
                          <w:rFonts w:cs="Arial"/>
                          <w:szCs w:val="16"/>
                        </w:rPr>
                      </w:pPr>
                    </w:p>
                    <w:p w:rsidR="008F1326" w:rsidRPr="00735F08" w:rsidRDefault="008F1326" w:rsidP="00AC0E3D">
                      <w:pPr>
                        <w:pStyle w:val="Hlistbullet"/>
                        <w:numPr>
                          <w:ilvl w:val="0"/>
                          <w:numId w:val="0"/>
                        </w:numPr>
                        <w:jc w:val="left"/>
                        <w:rPr>
                          <w:szCs w:val="16"/>
                        </w:rPr>
                      </w:pPr>
                      <w:r>
                        <w:rPr>
                          <w:b/>
                          <w:color w:val="F07E31" w:themeColor="accent1"/>
                        </w:rPr>
                        <w:t>Krok 1:</w:t>
                      </w:r>
                      <w:r>
                        <w:t xml:space="preserve"> Odhad </w:t>
                      </w:r>
                      <w:r>
                        <w:rPr>
                          <w:b/>
                        </w:rPr>
                        <w:t>přímých účinků</w:t>
                      </w:r>
                      <w:r>
                        <w:t xml:space="preserve"> PRV </w:t>
                      </w:r>
                      <w:r>
                        <w:rPr>
                          <w:b/>
                        </w:rPr>
                        <w:t>na příjemce na mikroekonomické úrovni</w:t>
                      </w:r>
                      <w:r>
                        <w:t>:</w:t>
                      </w:r>
                    </w:p>
                    <w:p w:rsidR="008F1326" w:rsidRPr="00553149" w:rsidRDefault="008F1326" w:rsidP="00EC01C3">
                      <w:pPr>
                        <w:pStyle w:val="HStandard"/>
                        <w:numPr>
                          <w:ilvl w:val="1"/>
                          <w:numId w:val="13"/>
                        </w:numPr>
                        <w:spacing w:after="0"/>
                        <w:ind w:left="924" w:hanging="357"/>
                        <w:rPr>
                          <w:rFonts w:cs="Arial"/>
                          <w:szCs w:val="16"/>
                        </w:rPr>
                      </w:pPr>
                      <w:r>
                        <w:t>Na mikroekonomické úrovni se pro skupinu příjemců a kontrolní skupinu vypočítá průměrná hodnota společných nebo doplňkových ukazatelů dopadů před poskytnutím podpory (např. v roce 2013) a po něm (např. v letech 2018 či 2019).</w:t>
                      </w:r>
                    </w:p>
                    <w:p w:rsidR="008F1326" w:rsidRPr="00553149" w:rsidRDefault="008F1326" w:rsidP="00EC01C3">
                      <w:pPr>
                        <w:pStyle w:val="HStandard"/>
                        <w:numPr>
                          <w:ilvl w:val="1"/>
                          <w:numId w:val="13"/>
                        </w:numPr>
                        <w:spacing w:after="0"/>
                        <w:ind w:left="924" w:hanging="357"/>
                        <w:rPr>
                          <w:rFonts w:cs="Arial"/>
                          <w:szCs w:val="16"/>
                        </w:rPr>
                      </w:pPr>
                      <w:r>
                        <w:t xml:space="preserve">Vypočítají se specifické politické ukazatele (např. průměrný účinek zásahu pro zasažené), přičemž jako výsledky se použijí příslušné společné nebo doplňkové ukazatele dopadů. Kombinací vypočteného účinku zásahu pro zasažené s metodou rozdílu mezi rozdíly se vypočítají </w:t>
                      </w:r>
                      <w:r>
                        <w:rPr>
                          <w:b/>
                        </w:rPr>
                        <w:t>čisté dopady</w:t>
                      </w:r>
                      <w:r>
                        <w:t xml:space="preserve"> PRV </w:t>
                      </w:r>
                      <w:r>
                        <w:rPr>
                          <w:b/>
                        </w:rPr>
                        <w:t>na výše uvedené ukazatele</w:t>
                      </w:r>
                      <w:r>
                        <w:t>.</w:t>
                      </w:r>
                    </w:p>
                    <w:p w:rsidR="008F1326" w:rsidRPr="00553149" w:rsidRDefault="008F1326" w:rsidP="00EC01C3">
                      <w:pPr>
                        <w:pStyle w:val="HStandard"/>
                        <w:numPr>
                          <w:ilvl w:val="1"/>
                          <w:numId w:val="13"/>
                        </w:numPr>
                        <w:spacing w:after="0"/>
                        <w:ind w:left="924" w:hanging="357"/>
                        <w:rPr>
                          <w:rFonts w:cs="Arial"/>
                          <w:szCs w:val="16"/>
                        </w:rPr>
                      </w:pPr>
                      <w:r>
                        <w:t>Provede se analýza citlivosti získaných výsledků.</w:t>
                      </w:r>
                    </w:p>
                    <w:p w:rsidR="008F1326" w:rsidRDefault="008F1326" w:rsidP="00AC0E3D">
                      <w:pPr>
                        <w:pStyle w:val="Hlistbullet"/>
                        <w:numPr>
                          <w:ilvl w:val="0"/>
                          <w:numId w:val="0"/>
                        </w:numPr>
                        <w:spacing w:before="0" w:after="120" w:line="280" w:lineRule="atLeast"/>
                        <w:rPr>
                          <w:rFonts w:cs="Arial"/>
                          <w:szCs w:val="16"/>
                        </w:rPr>
                      </w:pPr>
                      <w:r>
                        <w:rPr>
                          <w:b/>
                          <w:color w:val="F07E31" w:themeColor="accent1"/>
                        </w:rPr>
                        <w:t xml:space="preserve">Krok 2: </w:t>
                      </w:r>
                      <w:r>
                        <w:t xml:space="preserve">Odhadnou se </w:t>
                      </w:r>
                      <w:r>
                        <w:rPr>
                          <w:b/>
                        </w:rPr>
                        <w:t>nepřímé účinky</w:t>
                      </w:r>
                      <w:r>
                        <w:t xml:space="preserve"> PRV </w:t>
                      </w:r>
                      <w:r>
                        <w:rPr>
                          <w:b/>
                        </w:rPr>
                        <w:t>na příjemce na mikroekonomické úrovni</w:t>
                      </w:r>
                      <w:r>
                        <w:t>. Pozorovanou změnu v hodnotě ukazatelů je znovu třeba rozdělit na změny v důsledku programu (celkový dopad primárních a sekundárních zásahů) a změny způsobené jinými faktory.</w:t>
                      </w:r>
                      <w:r>
                        <w:rPr>
                          <w:color w:val="auto"/>
                        </w:rPr>
                        <w:t xml:space="preserve"> </w:t>
                      </w:r>
                      <w:r>
                        <w:t xml:space="preserve">Nepřímé účinky PRV (např. substituce, nahrazení, multiplikace) by se měly počítat a uvádět odděleně. </w:t>
                      </w:r>
                    </w:p>
                    <w:p w:rsidR="008F1326" w:rsidRPr="00027601" w:rsidRDefault="008F1326" w:rsidP="00027601">
                      <w:pPr>
                        <w:pStyle w:val="Hlistbullet"/>
                        <w:numPr>
                          <w:ilvl w:val="0"/>
                          <w:numId w:val="0"/>
                        </w:numPr>
                        <w:spacing w:before="0" w:after="120" w:line="280" w:lineRule="atLeast"/>
                        <w:rPr>
                          <w:i/>
                          <w:color w:val="F07E31" w:themeColor="accent1"/>
                          <w:sz w:val="16"/>
                          <w:szCs w:val="16"/>
                        </w:rPr>
                      </w:pPr>
                    </w:p>
                  </w:txbxContent>
                </v:textbox>
                <w10:anchorlock/>
              </v:shape>
            </w:pict>
          </mc:Fallback>
        </mc:AlternateContent>
      </w:r>
    </w:p>
    <w:p w:rsidR="00AC0E3D" w:rsidRPr="00571D58" w:rsidRDefault="00AC0E3D" w:rsidP="000B6372">
      <w:pPr>
        <w:pStyle w:val="HStandard"/>
      </w:pPr>
    </w:p>
    <w:p w:rsidR="00FC012D" w:rsidRPr="00336531" w:rsidRDefault="000B213F" w:rsidP="00FC012D">
      <w:pPr>
        <w:pStyle w:val="HHeading4"/>
      </w:pPr>
      <w:r>
        <w:rPr>
          <w:b w:val="0"/>
          <w:i/>
          <w:noProof/>
          <w:color w:val="F07E31" w:themeColor="accent1"/>
          <w:lang w:val="en-GB" w:eastAsia="en-GB" w:bidi="ar-SA"/>
        </w:rPr>
        <w:lastRenderedPageBreak/>
        <mc:AlternateContent>
          <mc:Choice Requires="wps">
            <w:drawing>
              <wp:inline distT="0" distB="0" distL="0" distR="0" wp14:anchorId="2A98A6F2" wp14:editId="3D49666F">
                <wp:extent cx="5731510" cy="4419600"/>
                <wp:effectExtent l="0" t="0" r="21590" b="19050"/>
                <wp:docPr id="90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4419600"/>
                        </a:xfrm>
                        <a:custGeom>
                          <a:avLst/>
                          <a:gdLst>
                            <a:gd name="T0" fmla="*/ 335330 w 5731510"/>
                            <a:gd name="T1" fmla="*/ 0 h 4712335"/>
                            <a:gd name="T2" fmla="*/ 5731510 w 5731510"/>
                            <a:gd name="T3" fmla="*/ 0 h 4712335"/>
                            <a:gd name="T4" fmla="*/ 5731510 w 5731510"/>
                            <a:gd name="T5" fmla="*/ 0 h 4712335"/>
                            <a:gd name="T6" fmla="*/ 5731510 w 5731510"/>
                            <a:gd name="T7" fmla="*/ 4377005 h 4712335"/>
                            <a:gd name="T8" fmla="*/ 5396180 w 5731510"/>
                            <a:gd name="T9" fmla="*/ 4712335 h 4712335"/>
                            <a:gd name="T10" fmla="*/ 0 w 5731510"/>
                            <a:gd name="T11" fmla="*/ 4712335 h 4712335"/>
                            <a:gd name="T12" fmla="*/ 0 w 5731510"/>
                            <a:gd name="T13" fmla="*/ 4712335 h 4712335"/>
                            <a:gd name="T14" fmla="*/ 0 w 5731510"/>
                            <a:gd name="T15" fmla="*/ 335330 h 4712335"/>
                            <a:gd name="T16" fmla="*/ 335330 w 5731510"/>
                            <a:gd name="T17" fmla="*/ 0 h 47123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4712335"/>
                            <a:gd name="T29" fmla="*/ 5731510 w 5731510"/>
                            <a:gd name="T30" fmla="*/ 4712335 h 471233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4712335">
                              <a:moveTo>
                                <a:pt x="335330" y="0"/>
                              </a:moveTo>
                              <a:lnTo>
                                <a:pt x="5731510" y="0"/>
                              </a:lnTo>
                              <a:lnTo>
                                <a:pt x="5731510" y="4377005"/>
                              </a:lnTo>
                              <a:cubicBezTo>
                                <a:pt x="5731510" y="4562203"/>
                                <a:pt x="5581378" y="4712335"/>
                                <a:pt x="5396180" y="4712335"/>
                              </a:cubicBezTo>
                              <a:lnTo>
                                <a:pt x="0" y="4712335"/>
                              </a:lnTo>
                              <a:lnTo>
                                <a:pt x="0" y="335330"/>
                              </a:lnTo>
                              <a:cubicBezTo>
                                <a:pt x="0" y="150132"/>
                                <a:pt x="150132" y="0"/>
                                <a:pt x="335330"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8F1326" w:rsidRPr="005945BB" w:rsidRDefault="008F1326" w:rsidP="00AC0E3D">
                            <w:pPr>
                              <w:pStyle w:val="Hlistbullet"/>
                              <w:numPr>
                                <w:ilvl w:val="0"/>
                                <w:numId w:val="0"/>
                              </w:numPr>
                              <w:spacing w:before="0" w:after="120" w:line="280" w:lineRule="atLeast"/>
                              <w:rPr>
                                <w:rFonts w:cs="Arial"/>
                                <w:szCs w:val="16"/>
                              </w:rPr>
                            </w:pPr>
                            <w:r>
                              <w:rPr>
                                <w:b/>
                                <w:color w:val="F07E31" w:themeColor="accent1"/>
                              </w:rPr>
                              <w:t xml:space="preserve">Krok 3: </w:t>
                            </w:r>
                            <w:r>
                              <w:t xml:space="preserve">Vypočítají se </w:t>
                            </w:r>
                            <w:r>
                              <w:rPr>
                                <w:b/>
                              </w:rPr>
                              <w:t>nepřímé účinky na nepřijímající subjekty na mikroekonomické úrovni</w:t>
                            </w:r>
                            <w:r>
                              <w:t xml:space="preserve">. Zde je rovněž třeba rozdělit pozorované změny v hodnotě ukazatelů na dvě složky: změny v důsledku programu (celkový účinek primárních a sekundárních příspěvků) a změny způsobené jinými faktory. Tato fáze vychází z předpokladu, že podpora obdržená příjemci opatření PRV může mít „očekávané/neočekávané“ účinky na všeobecnou rovnováhu (např. negativní účinky na nepřijímající subjekty sídlící v blízkém sousedství příjemců programu). </w:t>
                            </w:r>
                          </w:p>
                          <w:p w:rsidR="008F1326" w:rsidRPr="005945BB" w:rsidRDefault="008F1326" w:rsidP="00AC0E3D">
                            <w:pPr>
                              <w:pStyle w:val="HStandard"/>
                              <w:rPr>
                                <w:rFonts w:cs="Arial"/>
                                <w:szCs w:val="16"/>
                              </w:rPr>
                            </w:pPr>
                            <w:r>
                              <w:t>V této fázi hodnocení má zásadní význam předběžné kvalitativní posouzení, které může poskytnout cenný pohled zevnitř a vést k formulaci důležitých programově specifických hodnoticích otázek zaměřených na výkonnost programu, zejména pokud jde o jeho pozitivní, negativní, zamýšlené a nezamýšlené účinky na nepřijímající subjekty. Použití programově specifických hodnoticích otázek je dobrovolné, jakékoli zformulované otázky je však třeba zodpovědět. K předběžné analýze synergických nebo možných negativních průřezových účinků mohou hodnotitelé využít také nástroje kvalitativního posouzení.</w:t>
                            </w:r>
                          </w:p>
                          <w:p w:rsidR="008F1326" w:rsidRPr="005945BB" w:rsidRDefault="008F1326" w:rsidP="00AC0E3D">
                            <w:pPr>
                              <w:pStyle w:val="Hlistbullet"/>
                              <w:numPr>
                                <w:ilvl w:val="0"/>
                                <w:numId w:val="0"/>
                              </w:numPr>
                              <w:spacing w:before="0" w:after="120" w:line="280" w:lineRule="atLeast"/>
                              <w:rPr>
                                <w:rFonts w:cs="Arial"/>
                                <w:szCs w:val="16"/>
                              </w:rPr>
                            </w:pPr>
                            <w:r>
                              <w:rPr>
                                <w:b/>
                                <w:color w:val="F07E31" w:themeColor="accent1"/>
                              </w:rPr>
                              <w:t xml:space="preserve">Krok 4: </w:t>
                            </w:r>
                            <w:r>
                              <w:rPr>
                                <w:b/>
                              </w:rPr>
                              <w:t>Zjištění se shrnou a vypočítají se dopady PRV na analyzované ukazatele dopadů na mikro- a makroekonomické úrovni.</w:t>
                            </w:r>
                            <w:r>
                              <w:t xml:space="preserve"> V tomto kroku by hodnotitelé měli vypočítat čisté přímé účinky PRV na ukazatele dopadů na úrovni programové oblasti pomocí technik extrapolace (tj. vynásobením průměrných výsledků získaných na mikroekonomické úrovni počtem příjemců resp. nepřijímajících subjektů).</w:t>
                            </w:r>
                          </w:p>
                          <w:p w:rsidR="008F1326" w:rsidRPr="005945BB" w:rsidRDefault="008F1326" w:rsidP="00AC0E3D">
                            <w:pPr>
                              <w:pStyle w:val="HStandard"/>
                              <w:rPr>
                                <w:color w:val="auto"/>
                                <w:szCs w:val="16"/>
                              </w:rPr>
                            </w:pPr>
                            <w:r>
                              <w:rPr>
                                <w:b/>
                                <w:color w:val="F07E31" w:themeColor="accent1"/>
                              </w:rPr>
                              <w:t xml:space="preserve">Krok 5: </w:t>
                            </w:r>
                            <w:r>
                              <w:t xml:space="preserve">Získané výsledky se zkontrolují a ověří </w:t>
                            </w:r>
                            <w:r>
                              <w:rPr>
                                <w:b/>
                              </w:rPr>
                              <w:t>pomocí kvalitativních metod</w:t>
                            </w:r>
                            <w:r>
                              <w:t xml:space="preserve"> (triangulace).</w:t>
                            </w:r>
                          </w:p>
                          <w:p w:rsidR="008F1326" w:rsidRPr="005945BB" w:rsidRDefault="008F1326" w:rsidP="00735F08">
                            <w:pPr>
                              <w:pStyle w:val="Hlistbullet"/>
                              <w:numPr>
                                <w:ilvl w:val="0"/>
                                <w:numId w:val="0"/>
                              </w:numPr>
                              <w:jc w:val="center"/>
                              <w:rPr>
                                <w:i/>
                                <w:color w:val="F07E31" w:themeColor="accent1"/>
                                <w:szCs w:val="18"/>
                              </w:rPr>
                            </w:pPr>
                            <w:r>
                              <w:rPr>
                                <w:i/>
                                <w:color w:val="F07E31" w:themeColor="accent1"/>
                              </w:rPr>
                              <w:t>Další informace o oddělování čistých dopadů programu jsou k dispozici v </w:t>
                            </w:r>
                            <w:hyperlink r:id="rId48" w:history="1">
                              <w:r>
                                <w:rPr>
                                  <w:rStyle w:val="Hyperlink"/>
                                  <w:i/>
                                  <w:color w:val="F07E31" w:themeColor="accent1"/>
                                </w:rPr>
                                <w:t>pokynech k hodnocení ex post programů rozvoje venkova 2007–2013</w:t>
                              </w:r>
                            </w:hyperlink>
                            <w:r>
                              <w:rPr>
                                <w:rStyle w:val="Hyperlink"/>
                                <w:i/>
                                <w:color w:val="F07E31" w:themeColor="accent1"/>
                              </w:rPr>
                              <w:t xml:space="preserve"> v kapitole 4.2</w:t>
                            </w:r>
                            <w:r>
                              <w:rPr>
                                <w:i/>
                                <w:color w:val="F07E31" w:themeColor="accent1"/>
                              </w:rPr>
                              <w:t xml:space="preserve"> a o modelu všeobecné rovnováhy</w:t>
                            </w:r>
                            <w:hyperlink r:id="rId49" w:history="1">
                              <w:r>
                                <w:rPr>
                                  <w:rStyle w:val="Hyperlink"/>
                                  <w:i/>
                                  <w:color w:val="F07E31" w:themeColor="accent1"/>
                                </w:rPr>
                                <w:t xml:space="preserve"> v kapitole 4.3.3.</w:t>
                              </w:r>
                            </w:hyperlink>
                          </w:p>
                        </w:txbxContent>
                      </wps:txbx>
                      <wps:bodyPr rot="0" vert="horz" wrap="square" lIns="91440" tIns="45720" rIns="91440" bIns="45720" anchor="t" anchorCtr="0" upright="1">
                        <a:noAutofit/>
                      </wps:bodyPr>
                    </wps:wsp>
                  </a:graphicData>
                </a:graphic>
              </wp:inline>
            </w:drawing>
          </mc:Choice>
          <mc:Fallback>
            <w:pict>
              <v:shape w14:anchorId="2A98A6F2" id="AutoShape 63" o:spid="_x0000_s1039" style="width:451.3pt;height:348pt;visibility:visible;mso-wrap-style:square;mso-left-percent:-10001;mso-top-percent:-10001;mso-position-horizontal:absolute;mso-position-horizontal-relative:char;mso-position-vertical:absolute;mso-position-vertical-relative:line;mso-left-percent:-10001;mso-top-percent:-10001;v-text-anchor:top" coordsize="5731510,4712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" adj="-11796480,,5400" path="m335330,l5731510,r,4377005c5731510,4562203,5581378,4712335,5396180,4712335l,4712335,,335330c,150132,150132,,335330,xe" filled="f" strokecolor="#be4a35" strokeweight="2pt">
                <v:stroke joinstyle="miter"/>
                <v:formulas/>
                <v:path arrowok="t" o:connecttype="custom" o:connectlocs="335330,0;5731510,0;5731510,0;5731510,4105101;5396180,4419600;0,4419600;0,4419600;0,314499;335330,0" o:connectangles="0,0,0,0,0,0,0,0,0" textboxrect="0,0,5731510,4712335"/>
                <v:textbox>
                  <w:txbxContent>
                    <w:p w:rsidR="008F1326" w:rsidRPr="005945BB" w:rsidRDefault="008F1326" w:rsidP="00AC0E3D">
                      <w:pPr>
                        <w:pStyle w:val="Hlistbullet"/>
                        <w:numPr>
                          <w:ilvl w:val="0"/>
                          <w:numId w:val="0"/>
                        </w:numPr>
                        <w:spacing w:before="0" w:after="120" w:line="280" w:lineRule="atLeast"/>
                        <w:rPr>
                          <w:rFonts w:cs="Arial"/>
                          <w:szCs w:val="16"/>
                        </w:rPr>
                      </w:pPr>
                      <w:r>
                        <w:rPr>
                          <w:b/>
                          <w:color w:val="F07E31" w:themeColor="accent1"/>
                        </w:rPr>
                        <w:t xml:space="preserve">Krok 3: </w:t>
                      </w:r>
                      <w:r>
                        <w:t xml:space="preserve">Vypočítají se </w:t>
                      </w:r>
                      <w:r>
                        <w:rPr>
                          <w:b/>
                        </w:rPr>
                        <w:t>nepřímé účinky na nepřijímající subjekty na mikroekonomické úrovni</w:t>
                      </w:r>
                      <w:r>
                        <w:t xml:space="preserve">. Zde je rovněž třeba rozdělit pozorované změny v hodnotě ukazatelů na dvě složky: změny v důsledku programu (celkový účinek primárních a sekundárních příspěvků) a změny způsobené jinými faktory. Tato fáze vychází z předpokladu, že podpora obdržená příjemci opatření PRV může mít „očekávané/neočekávané“ účinky na všeobecnou rovnováhu (např. negativní účinky na nepřijímající subjekty sídlící v blízkém sousedství příjemců programu). </w:t>
                      </w:r>
                    </w:p>
                    <w:p w:rsidR="008F1326" w:rsidRPr="005945BB" w:rsidRDefault="008F1326" w:rsidP="00AC0E3D">
                      <w:pPr>
                        <w:pStyle w:val="HStandard"/>
                        <w:rPr>
                          <w:rFonts w:cs="Arial"/>
                          <w:szCs w:val="16"/>
                        </w:rPr>
                      </w:pPr>
                      <w:r>
                        <w:t>V této fázi hodnocení má zásadní význam předběžné kvalitativní posouzení, které může poskytnout cenný pohled zevnitř a vést k formulaci důležitých programově specifických hodnoticích otázek zaměřených na výkonnost programu, zejména pokud jde o jeho pozitivní, negativní, zamýšlené a nezamýšlené účinky na nepřijímající subjekty. Použití programově specifických hodnoticích otázek je dobrovolné, jakékoli zformulované otázky je však třeba zodpovědět. K předběžné analýze synergických nebo možných negativních průřezových účinků mohou hodnotitelé využít také nástroje kvalitativního posouzení.</w:t>
                      </w:r>
                    </w:p>
                    <w:p w:rsidR="008F1326" w:rsidRPr="005945BB" w:rsidRDefault="008F1326" w:rsidP="00AC0E3D">
                      <w:pPr>
                        <w:pStyle w:val="Hlistbullet"/>
                        <w:numPr>
                          <w:ilvl w:val="0"/>
                          <w:numId w:val="0"/>
                        </w:numPr>
                        <w:spacing w:before="0" w:after="120" w:line="280" w:lineRule="atLeast"/>
                        <w:rPr>
                          <w:rFonts w:cs="Arial"/>
                          <w:szCs w:val="16"/>
                        </w:rPr>
                      </w:pPr>
                      <w:r>
                        <w:rPr>
                          <w:b/>
                          <w:color w:val="F07E31" w:themeColor="accent1"/>
                        </w:rPr>
                        <w:t xml:space="preserve">Krok 4: </w:t>
                      </w:r>
                      <w:r>
                        <w:rPr>
                          <w:b/>
                        </w:rPr>
                        <w:t>Zjištění se shrnou a vypočítají se dopady PRV na analyzované ukazatele dopadů na mikro- a makroekonomické úrovni.</w:t>
                      </w:r>
                      <w:r>
                        <w:t xml:space="preserve"> V tomto kroku by hodnotitelé měli vypočítat čisté přímé účinky PRV na ukazatele dopadů na úrovni programové oblasti pomocí technik extrapolace (tj. vynásobením průměrných výsledků získaných na mikroekonomické úrovni počtem příjemců resp. nepřijímajících subjektů).</w:t>
                      </w:r>
                    </w:p>
                    <w:p w:rsidR="008F1326" w:rsidRPr="005945BB" w:rsidRDefault="008F1326" w:rsidP="00AC0E3D">
                      <w:pPr>
                        <w:pStyle w:val="HStandard"/>
                        <w:rPr>
                          <w:color w:val="auto"/>
                          <w:szCs w:val="16"/>
                        </w:rPr>
                      </w:pPr>
                      <w:r>
                        <w:rPr>
                          <w:b/>
                          <w:color w:val="F07E31" w:themeColor="accent1"/>
                        </w:rPr>
                        <w:t xml:space="preserve">Krok 5: </w:t>
                      </w:r>
                      <w:r>
                        <w:t xml:space="preserve">Získané výsledky se zkontrolují a ověří </w:t>
                      </w:r>
                      <w:r>
                        <w:rPr>
                          <w:b/>
                        </w:rPr>
                        <w:t>pomocí kvalitativních metod</w:t>
                      </w:r>
                      <w:r>
                        <w:t xml:space="preserve"> (triangulace).</w:t>
                      </w:r>
                    </w:p>
                    <w:p w:rsidR="008F1326" w:rsidRPr="005945BB" w:rsidRDefault="008F1326" w:rsidP="00735F08">
                      <w:pPr>
                        <w:pStyle w:val="Hlistbullet"/>
                        <w:numPr>
                          <w:ilvl w:val="0"/>
                          <w:numId w:val="0"/>
                        </w:numPr>
                        <w:jc w:val="center"/>
                        <w:rPr>
                          <w:i/>
                          <w:color w:val="F07E31" w:themeColor="accent1"/>
                          <w:szCs w:val="18"/>
                        </w:rPr>
                      </w:pPr>
                      <w:r>
                        <w:rPr>
                          <w:i/>
                          <w:color w:val="F07E31" w:themeColor="accent1"/>
                        </w:rPr>
                        <w:t>Další informace o oddělování čistých dopadů programu jsou k dispozici v </w:t>
                      </w:r>
                      <w:hyperlink r:id="rId50" w:history="1">
                        <w:r>
                          <w:rPr>
                            <w:rStyle w:val="Hyperlink"/>
                            <w:i/>
                            <w:color w:val="F07E31" w:themeColor="accent1"/>
                          </w:rPr>
                          <w:t>pokynech k hodnocení ex post programů rozvoje venkova 2007–2013</w:t>
                        </w:r>
                      </w:hyperlink>
                      <w:r>
                        <w:rPr>
                          <w:rStyle w:val="Hyperlink"/>
                          <w:i/>
                          <w:color w:val="F07E31" w:themeColor="accent1"/>
                        </w:rPr>
                        <w:t xml:space="preserve"> v kapitole 4.2</w:t>
                      </w:r>
                      <w:r>
                        <w:rPr>
                          <w:i/>
                          <w:color w:val="F07E31" w:themeColor="accent1"/>
                        </w:rPr>
                        <w:t xml:space="preserve"> a o modelu všeobecné rovnováhy</w:t>
                      </w:r>
                      <w:hyperlink r:id="rId51" w:history="1">
                        <w:r>
                          <w:rPr>
                            <w:rStyle w:val="Hyperlink"/>
                            <w:i/>
                            <w:color w:val="F07E31" w:themeColor="accent1"/>
                          </w:rPr>
                          <w:t xml:space="preserve"> v kapitole 4.3.3.</w:t>
                        </w:r>
                      </w:hyperlink>
                    </w:p>
                  </w:txbxContent>
                </v:textbox>
                <w10:anchorlock/>
              </v:shape>
            </w:pict>
          </mc:Fallback>
        </mc:AlternateContent>
      </w:r>
      <w:r>
        <w:br w:type="column"/>
      </w:r>
      <w:r>
        <w:lastRenderedPageBreak/>
        <w:t>Kontrola a ověření konzistentnosti mezi mikro- a makroekonomickou úrovní (4. vrstva)</w:t>
      </w:r>
    </w:p>
    <w:p w:rsidR="00FC012D" w:rsidRPr="00336531" w:rsidRDefault="000B213F" w:rsidP="00FC012D">
      <w:pPr>
        <w:pStyle w:val="HStandard"/>
        <w:rPr>
          <w:rFonts w:cs="Arial"/>
        </w:rPr>
      </w:pPr>
      <w:r>
        <w:rPr>
          <w:b/>
          <w:i/>
          <w:noProof/>
          <w:color w:val="F07E31" w:themeColor="accent1"/>
          <w:lang w:val="en-GB" w:eastAsia="en-GB" w:bidi="ar-SA"/>
        </w:rPr>
        <mc:AlternateContent>
          <mc:Choice Requires="wps">
            <w:drawing>
              <wp:inline distT="0" distB="0" distL="0" distR="0" wp14:anchorId="43EB85F8" wp14:editId="3D7F462C">
                <wp:extent cx="5731510" cy="1251857"/>
                <wp:effectExtent l="0" t="0" r="21590" b="24765"/>
                <wp:docPr id="89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51857"/>
                        </a:xfrm>
                        <a:custGeom>
                          <a:avLst/>
                          <a:gdLst>
                            <a:gd name="T0" fmla="*/ 106671 w 5731510"/>
                            <a:gd name="T1" fmla="*/ 0 h 1221469"/>
                            <a:gd name="T2" fmla="*/ 5731510 w 5731510"/>
                            <a:gd name="T3" fmla="*/ 0 h 1221469"/>
                            <a:gd name="T4" fmla="*/ 5731510 w 5731510"/>
                            <a:gd name="T5" fmla="*/ 0 h 1221469"/>
                            <a:gd name="T6" fmla="*/ 5731510 w 5731510"/>
                            <a:gd name="T7" fmla="*/ 1114798 h 1221469"/>
                            <a:gd name="T8" fmla="*/ 5624839 w 5731510"/>
                            <a:gd name="T9" fmla="*/ 1221469 h 1221469"/>
                            <a:gd name="T10" fmla="*/ 0 w 5731510"/>
                            <a:gd name="T11" fmla="*/ 1221469 h 1221469"/>
                            <a:gd name="T12" fmla="*/ 0 w 5731510"/>
                            <a:gd name="T13" fmla="*/ 1221469 h 1221469"/>
                            <a:gd name="T14" fmla="*/ 0 w 5731510"/>
                            <a:gd name="T15" fmla="*/ 106671 h 1221469"/>
                            <a:gd name="T16" fmla="*/ 106671 w 5731510"/>
                            <a:gd name="T17" fmla="*/ 0 h 122146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221469"/>
                            <a:gd name="T29" fmla="*/ 5731510 w 5731510"/>
                            <a:gd name="T30" fmla="*/ 1221469 h 122146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221469">
                              <a:moveTo>
                                <a:pt x="106671" y="0"/>
                              </a:moveTo>
                              <a:lnTo>
                                <a:pt x="5731510" y="0"/>
                              </a:lnTo>
                              <a:lnTo>
                                <a:pt x="5731510" y="1114798"/>
                              </a:lnTo>
                              <a:cubicBezTo>
                                <a:pt x="5731510" y="1173711"/>
                                <a:pt x="5683752" y="1221469"/>
                                <a:pt x="5624839" y="1221469"/>
                              </a:cubicBezTo>
                              <a:lnTo>
                                <a:pt x="0" y="1221469"/>
                              </a:lnTo>
                              <a:lnTo>
                                <a:pt x="0" y="106671"/>
                              </a:lnTo>
                              <a:cubicBezTo>
                                <a:pt x="0" y="47758"/>
                                <a:pt x="47758" y="0"/>
                                <a:pt x="106671"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8F1326" w:rsidRPr="00044269" w:rsidRDefault="008F1326"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6124E987" wp14:editId="601FC7D1">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U hodnocení čistých dopadů</w:t>
                            </w:r>
                            <w:r>
                              <w:rPr>
                                <w:b w:val="0"/>
                                <w:color w:val="373737" w:themeColor="text1"/>
                              </w:rPr>
                              <w:t xml:space="preserve"> je důležité zkontrolovat konzistentnost výsledků z hodnocení na mikro- a makroekonomické úrovni, aby je bylo možno ověřit. Konzistentnosti je dosaženo, když si zjištění na obou úrovních navzájem neodporují.</w:t>
                            </w:r>
                          </w:p>
                        </w:txbxContent>
                      </wps:txbx>
                      <wps:bodyPr rot="0" vert="horz" wrap="square" lIns="91440" tIns="45720" rIns="91440" bIns="45720" anchor="ctr" anchorCtr="0" upright="1">
                        <a:noAutofit/>
                      </wps:bodyPr>
                    </wps:wsp>
                  </a:graphicData>
                </a:graphic>
              </wp:inline>
            </w:drawing>
          </mc:Choice>
          <mc:Fallback>
            <w:pict>
              <v:shape w14:anchorId="43EB85F8" id="AutoShape 62" o:spid="_x0000_s1040" style="width:451.3pt;height:98.55pt;visibility:visible;mso-wrap-style:square;mso-left-percent:-10001;mso-top-percent:-10001;mso-position-horizontal:absolute;mso-position-horizontal-relative:char;mso-position-vertical:absolute;mso-position-vertical-relative:line;mso-left-percent:-10001;mso-top-percent:-10001;v-text-anchor:middle" coordsize="5731510,12214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" adj="-11796480,,5400" path="m106671,l5731510,r,1114798c5731510,1173711,5683752,1221469,5624839,1221469l,1221469,,106671c,47758,47758,,106671,xe" filled="f" strokecolor="#be4a35" strokeweight="2pt">
                <v:stroke joinstyle="miter"/>
                <v:formulas/>
                <v:path arrowok="t" o:connecttype="custom" o:connectlocs="106671,0;5731510,0;5731510,0;5731510,1142532;5624839,1251857;0,1251857;0,1251857;0,109325;106671,0" o:connectangles="0,0,0,0,0,0,0,0,0" textboxrect="0,0,5731510,1221469"/>
                <v:textbox>
                  <w:txbxContent>
                    <w:p w:rsidR="008F1326" w:rsidRPr="00044269" w:rsidRDefault="008F1326"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6124E987" wp14:editId="601FC7D1">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U hodnocení čistých dopadů</w:t>
                      </w:r>
                      <w:r>
                        <w:rPr>
                          <w:b w:val="0"/>
                          <w:color w:val="373737" w:themeColor="text1"/>
                        </w:rPr>
                        <w:t xml:space="preserve"> je důležité zkontrolovat konzistentnost výsledků z hodnocení na mikro- a makroekonomické úrovni, aby je bylo možno ověřit. Konzistentnosti je dosaženo, když si zjištění na obou úrovních navzájem neodporují.</w:t>
                      </w:r>
                    </w:p>
                  </w:txbxContent>
                </v:textbox>
                <w10:anchorlock/>
              </v:shape>
            </w:pict>
          </mc:Fallback>
        </mc:AlternateContent>
      </w:r>
      <w:r>
        <w:t xml:space="preserve">V případě kvantitativního hodnocení přístupem „zdola nahoru“ je konzistentnost zajištěna samotným zobecněním údajů z mikroekonomické úrovně na makroekonomickou. </w:t>
      </w:r>
    </w:p>
    <w:p w:rsidR="00FC012D" w:rsidRPr="001C6ACF" w:rsidRDefault="00FC012D" w:rsidP="001E5FC4">
      <w:pPr>
        <w:spacing w:after="120" w:line="280" w:lineRule="atLeast"/>
        <w:rPr>
          <w:rFonts w:cs="Arial"/>
          <w:color w:val="373737"/>
          <w:sz w:val="20"/>
          <w:szCs w:val="20"/>
        </w:rPr>
      </w:pPr>
      <w:r>
        <w:rPr>
          <w:color w:val="373737" w:themeColor="text1"/>
          <w:sz w:val="20"/>
        </w:rPr>
        <w:t>Pokud jde o </w:t>
      </w:r>
      <w:r>
        <w:rPr>
          <w:i/>
          <w:color w:val="373737" w:themeColor="text1"/>
          <w:sz w:val="20"/>
        </w:rPr>
        <w:t>přímé</w:t>
      </w:r>
      <w:r>
        <w:rPr>
          <w:color w:val="373737" w:themeColor="text1"/>
          <w:sz w:val="20"/>
        </w:rPr>
        <w:t xml:space="preserve"> dopady programu na podporované jednotky, měly by čisté přímé dopady programu vypočtené za použití </w:t>
      </w:r>
      <w:r>
        <w:rPr>
          <w:b/>
          <w:color w:val="373737" w:themeColor="text1"/>
          <w:sz w:val="20"/>
        </w:rPr>
        <w:t xml:space="preserve">ukazatelů výsledků </w:t>
      </w:r>
      <w:r w:rsidRPr="007E7C5E">
        <w:rPr>
          <w:color w:val="373737" w:themeColor="text1"/>
          <w:sz w:val="20"/>
        </w:rPr>
        <w:t>v</w:t>
      </w:r>
      <w:r>
        <w:rPr>
          <w:b/>
          <w:color w:val="373737" w:themeColor="text1"/>
          <w:sz w:val="20"/>
        </w:rPr>
        <w:t> </w:t>
      </w:r>
      <w:r>
        <w:rPr>
          <w:color w:val="373737" w:themeColor="text1"/>
          <w:sz w:val="20"/>
        </w:rPr>
        <w:t xml:space="preserve">zásadě být konzistentní s čistými účinky programu vypočtenými za použití </w:t>
      </w:r>
      <w:r w:rsidRPr="007E7C5E">
        <w:rPr>
          <w:color w:val="373737" w:themeColor="text1"/>
          <w:sz w:val="20"/>
        </w:rPr>
        <w:t>ukazatelů</w:t>
      </w:r>
      <w:r>
        <w:rPr>
          <w:color w:val="373737" w:themeColor="text1"/>
          <w:sz w:val="20"/>
        </w:rPr>
        <w:t xml:space="preserve"> </w:t>
      </w:r>
      <w:r>
        <w:rPr>
          <w:b/>
          <w:color w:val="373737" w:themeColor="text1"/>
          <w:sz w:val="20"/>
        </w:rPr>
        <w:t>dopadů</w:t>
      </w:r>
      <w:r>
        <w:rPr>
          <w:color w:val="373737" w:themeColor="text1"/>
          <w:sz w:val="20"/>
        </w:rPr>
        <w:t xml:space="preserve"> a vykazovat stejný trend. V závislosti na velikosti a směru nepřímých dopadů však mohou výsledky na makroekonomické úrovni obecně vykazovat i opačný směr dopadů než výsledky na mikroekonomické úrovni. V takových případech je nutné opačný směr dopadů objasnit na základě příčinné souvislosti či vyčíslených dokladů o nepřímých účincích. Ověření konzistentnosti výsledků na mikro- a makroekonomické úrovni je podmíněno dobrým pochopením klíčových faktorů ovlivňujících jednotlivé ukazatele.</w:t>
      </w:r>
    </w:p>
    <w:p w:rsidR="00FC012D" w:rsidRPr="001C6ACF" w:rsidRDefault="00FC012D" w:rsidP="00FC012D">
      <w:pPr>
        <w:pStyle w:val="HStandard"/>
        <w:rPr>
          <w:rFonts w:cs="Arial"/>
        </w:rPr>
      </w:pPr>
      <w:r>
        <w:t>Pokud jde o </w:t>
      </w:r>
      <w:r>
        <w:rPr>
          <w:i/>
        </w:rPr>
        <w:t>nepřímé</w:t>
      </w:r>
      <w:r>
        <w:t xml:space="preserve"> dopady programu na podporované a nepodporované zemědělské podniky, mohou mikroekonomická zjištění po shrnutí jen zhruba aproximovat škálu všech možných účinků PRV (včetně účinků vypočtených pomocí odvětvových modelů). Hlavním důvodem aproximativního charakteru je, že je obtížné modelovat </w:t>
      </w:r>
      <w:r>
        <w:rPr>
          <w:b/>
        </w:rPr>
        <w:t>všechny</w:t>
      </w:r>
      <w:r>
        <w:t xml:space="preserve"> možné nepřímé účinky, s nimiž se podporované a nepodporované jednotky mohly „přinejmenším teoreticky“ potýkat. </w:t>
      </w:r>
    </w:p>
    <w:p w:rsidR="00FC012D" w:rsidRPr="00571D58" w:rsidRDefault="00FC012D" w:rsidP="00FC012D">
      <w:pPr>
        <w:pStyle w:val="HStandard"/>
        <w:rPr>
          <w:rFonts w:cs="Arial"/>
        </w:rPr>
      </w:pPr>
      <w:r>
        <w:t>Přístup „zdola nahoru“, který je založen na shrnutí různých zdrojů údajů s různou metrikou a terminologií, může vést k nejednoznačnosti. Jedním z hlavním problémů při ověřování konzistentnosti na makro- a mikroekonomické úrovni je stanovení příčinné souvislosti mezi změnami a dopady měřenými na úrovni hospodářství či pozemku a změnami a dopady přesahujícími změnu hranice hospodářství (např. na úrovni NUTS 3 a programu).</w:t>
      </w:r>
      <w:r>
        <w:rPr>
          <w:color w:val="373737"/>
        </w:rPr>
        <w:t xml:space="preserve"> V této souvislosti je důležité, aby uplatňované jednotky analýzy a stupnice zohledňovaly, v jakém rozsahu a na jaké úrovni dopady pravděpodobně nastanou. Prostá aplikace pevných správních hranic může výsledky zkreslit. </w:t>
      </w:r>
      <w:r>
        <w:t>Lze usilovat o uplatňování metod odběru vzorků konzistentně v rozsahu polí, hospodářství a krajin, aby se zohlednily různé typy zkoumané taxonomie a interakce mezi proměnnými popisujícími klima, topografii, využití půdy a sociálně-ekonomické a půdní podmínky</w:t>
      </w:r>
      <w:r>
        <w:rPr>
          <w:rStyle w:val="FootnoteReference"/>
        </w:rPr>
        <w:footnoteReference w:id="29"/>
      </w:r>
      <w:r>
        <w:t>. Přístup „zdola nahoru“, který zkoumá oblast na úrovni pozemku nebo pole, umožňuje získat výsledky sběrem údajů z průzkumů provedených na místě ze zkušebních protokolů a extrapolovat je z mikroekonomické úrovně na makroekonomickou pomocí geografických informačních systémů, satelitních snímků nebo prostorové analýzy</w:t>
      </w:r>
      <w:r>
        <w:rPr>
          <w:rStyle w:val="FootnoteReference"/>
        </w:rPr>
        <w:footnoteReference w:id="30"/>
      </w:r>
      <w:r>
        <w:t>.</w:t>
      </w:r>
    </w:p>
    <w:p w:rsidR="00FC012D" w:rsidRPr="00571D58" w:rsidRDefault="00535279" w:rsidP="00FC012D">
      <w:pPr>
        <w:pStyle w:val="HStandard"/>
        <w:rPr>
          <w:rFonts w:cs="Arial"/>
        </w:rPr>
      </w:pPr>
      <w:r>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C012D" w:rsidRPr="001C6ACF" w:rsidTr="00FC012D">
        <w:tc>
          <w:tcPr>
            <w:tcW w:w="9016" w:type="dxa"/>
          </w:tcPr>
          <w:p w:rsidR="00FC012D" w:rsidRPr="00336531" w:rsidRDefault="00C938B1" w:rsidP="00EC01C3">
            <w:pPr>
              <w:pStyle w:val="HHeading4"/>
              <w:jc w:val="both"/>
              <w:rPr>
                <w:rFonts w:cs="Arial"/>
              </w:rPr>
            </w:pPr>
            <w:r>
              <w:rPr>
                <w:noProof/>
                <w:lang w:val="en-GB" w:eastAsia="en-GB" w:bidi="ar-SA"/>
              </w:rPr>
              <mc:AlternateContent>
                <mc:Choice Requires="wps">
                  <w:drawing>
                    <wp:anchor distT="0" distB="0" distL="114300" distR="114300" simplePos="0" relativeHeight="251673088" behindDoc="0" locked="0" layoutInCell="1" allowOverlap="1" wp14:anchorId="51795D3B" wp14:editId="37FA8EF4">
                      <wp:simplePos x="0" y="0"/>
                      <wp:positionH relativeFrom="column">
                        <wp:posOffset>-125186</wp:posOffset>
                      </wp:positionH>
                      <wp:positionV relativeFrom="paragraph">
                        <wp:posOffset>-52614</wp:posOffset>
                      </wp:positionV>
                      <wp:extent cx="6038850" cy="4811485"/>
                      <wp:effectExtent l="0" t="0" r="19050" b="27305"/>
                      <wp:wrapNone/>
                      <wp:docPr id="898" name="Rectangle: Diagonal Corners Rounded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4811485"/>
                              </a:xfrm>
                              <a:prstGeom prst="round2DiagRect">
                                <a:avLst>
                                  <a:gd name="adj1" fmla="val 8203"/>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43FF3" id="Rectangle: Diagonal Corners Rounded 15" o:spid="_x0000_s1026" style="position:absolute;margin-left:-9.85pt;margin-top:-4.15pt;width:475.5pt;height:378.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481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" path="m394686,l6038850,r,l6038850,4416799v,217979,-176707,394686,-394686,394686l,4811485r,l,394686c,176707,176707,,394686,xe" filled="f" strokecolor="#be4a35 [3205]" strokeweight="2pt">
                      <v:path arrowok="t" o:connecttype="custom" o:connectlocs="394686,0;6038850,0;6038850,0;6038850,4416799;5644164,4811485;0,4811485;0,4811485;0,394686;394686,0" o:connectangles="0,0,0,0,0,0,0,0,0"/>
                    </v:shape>
                  </w:pict>
                </mc:Fallback>
              </mc:AlternateContent>
            </w:r>
            <w:r w:rsidR="00FC012D">
              <w:rPr>
                <w:noProof/>
                <w:color w:val="373737"/>
                <w:lang w:val="en-GB" w:eastAsia="en-GB" w:bidi="ar-SA"/>
              </w:rPr>
              <w:drawing>
                <wp:inline distT="0" distB="0" distL="0" distR="0" wp14:anchorId="2DCC587E" wp14:editId="136BA561">
                  <wp:extent cx="664845" cy="487680"/>
                  <wp:effectExtent l="0" t="0" r="0" b="7620"/>
                  <wp:docPr id="1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00FC012D">
              <w:t xml:space="preserve"> RYCHLÝ PRŮVODCE č. 5: Jak co nejlépe využít kvalitativní přístupy?</w:t>
            </w:r>
          </w:p>
        </w:tc>
      </w:tr>
    </w:tbl>
    <w:p w:rsidR="00696B10" w:rsidRDefault="00696B10" w:rsidP="00EC01C3">
      <w:pPr>
        <w:pStyle w:val="HStandard"/>
        <w:spacing w:after="0"/>
        <w:ind w:left="709" w:hanging="709"/>
        <w:rPr>
          <w:rFonts w:cs="Arial"/>
          <w:sz w:val="18"/>
          <w:szCs w:val="18"/>
        </w:rPr>
      </w:pPr>
      <w:r>
        <w:rPr>
          <w:b/>
        </w:rPr>
        <w:t>Kvalitativní přístupy</w:t>
      </w:r>
      <w:r>
        <w:t xml:space="preserve"> lze uplatnit s trojím cílem:</w:t>
      </w:r>
    </w:p>
    <w:p w:rsidR="00310B39" w:rsidRPr="001C6ACF" w:rsidRDefault="00310B39" w:rsidP="00EC01C3">
      <w:pPr>
        <w:pStyle w:val="HStandard"/>
        <w:spacing w:after="0"/>
        <w:ind w:left="709" w:hanging="709"/>
        <w:rPr>
          <w:rFonts w:cs="Arial"/>
          <w:sz w:val="18"/>
          <w:szCs w:val="18"/>
        </w:rPr>
      </w:pPr>
    </w:p>
    <w:p w:rsidR="00696B10"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Jako alternativu ke kvantitativním metodám</w:t>
      </w:r>
      <w:r>
        <w:rPr>
          <w:rFonts w:ascii="Arial" w:hAnsi="Arial"/>
          <w:color w:val="373737" w:themeColor="text1"/>
          <w:sz w:val="18"/>
        </w:rPr>
        <w:t xml:space="preserve">, pokud chybějí údaje. Pomocí kvalitativního hodnocení na základě teorie lze například ukázat, jak a proč program bude fungovat a povede podle očekávání k zamýšleným výsledkům. Při kvalitativním hodnocení na základě teorie se sleduje každý krok intervenční logiky programu, přičemž se stanovují příčinné souvislosti a mechanismy změn, což vede k výsledkům a dopadům. Různá pojítka v intervenční logice lze analyzovat řadou metod. V těchto pokynech navrhujeme ohniskové skupiny (zejména metodu posouzení dopadů programu a projektu) a rozhovory se zúčastněnými stranami, resp. odborníky. </w:t>
      </w:r>
    </w:p>
    <w:p w:rsidR="00310B39" w:rsidRPr="00FB6C06" w:rsidRDefault="00310B39" w:rsidP="00EC01C3">
      <w:pPr>
        <w:pStyle w:val="ListParagraph"/>
        <w:autoSpaceDE w:val="0"/>
        <w:autoSpaceDN w:val="0"/>
        <w:adjustRightInd w:val="0"/>
        <w:spacing w:after="0" w:line="280" w:lineRule="atLeast"/>
        <w:ind w:left="426"/>
        <w:jc w:val="both"/>
        <w:rPr>
          <w:rFonts w:ascii="Arial" w:hAnsi="Arial" w:cs="Arial"/>
          <w:color w:val="373737" w:themeColor="text1"/>
          <w:sz w:val="18"/>
          <w:szCs w:val="18"/>
        </w:rPr>
      </w:pPr>
    </w:p>
    <w:p w:rsidR="00310B39"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Jako doplněk ke kvantitativnímu hodnocení vycházejícímu z hypotetického srovnávacího scénáře</w:t>
      </w:r>
      <w:r>
        <w:rPr>
          <w:rFonts w:ascii="Arial" w:hAnsi="Arial"/>
          <w:color w:val="373737" w:themeColor="text1"/>
          <w:sz w:val="18"/>
        </w:rPr>
        <w:t>, aby bylo možné lépe porozumět tomu, jaké dopady nastaly a proč. Je třeba poznamenat, že kvalitativním hodnocením na základě teorie nelze určit „čistý dopad“ (tj. nakolik lze pozorovanou změnu v programové oblasti přisoudit programu) ani odlišit účinky programu od příspěvků daných jinými faktory.</w:t>
      </w:r>
    </w:p>
    <w:p w:rsidR="00310B39" w:rsidRPr="00310B39" w:rsidRDefault="00310B39" w:rsidP="00EC01C3">
      <w:pPr>
        <w:pStyle w:val="ListParagraph"/>
        <w:jc w:val="both"/>
        <w:rPr>
          <w:rFonts w:ascii="Arial" w:hAnsi="Arial" w:cs="Arial"/>
          <w:color w:val="373737" w:themeColor="text1"/>
          <w:sz w:val="18"/>
          <w:szCs w:val="18"/>
        </w:rPr>
      </w:pPr>
    </w:p>
    <w:p w:rsidR="00696B10" w:rsidRPr="00310B39"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 xml:space="preserve">Jako součást triangulace </w:t>
      </w:r>
      <w:r>
        <w:rPr>
          <w:rFonts w:ascii="Arial" w:hAnsi="Arial"/>
          <w:color w:val="373737" w:themeColor="text1"/>
          <w:sz w:val="18"/>
        </w:rPr>
        <w:t>při ověřování zjištění získaných kvantitativními metodami.</w:t>
      </w:r>
    </w:p>
    <w:p w:rsidR="00310B39" w:rsidRPr="001C6ACF" w:rsidRDefault="00310B39" w:rsidP="00310B39">
      <w:pPr>
        <w:pStyle w:val="ListParagraph"/>
        <w:autoSpaceDE w:val="0"/>
        <w:autoSpaceDN w:val="0"/>
        <w:adjustRightInd w:val="0"/>
        <w:spacing w:after="0" w:line="280" w:lineRule="atLeast"/>
        <w:ind w:left="426"/>
        <w:rPr>
          <w:rFonts w:ascii="Arial" w:hAnsi="Arial" w:cs="Arial"/>
          <w:color w:val="373737" w:themeColor="text1"/>
          <w:sz w:val="18"/>
          <w:szCs w:val="18"/>
        </w:rPr>
      </w:pPr>
    </w:p>
    <w:p w:rsidR="0050142E" w:rsidRPr="001C6ACF" w:rsidRDefault="0050142E" w:rsidP="006A6A61">
      <w:pPr>
        <w:pStyle w:val="HStandard"/>
        <w:jc w:val="center"/>
        <w:rPr>
          <w:i/>
          <w:color w:val="F07E31" w:themeColor="accent1"/>
          <w:sz w:val="18"/>
        </w:rPr>
      </w:pPr>
      <w:r>
        <w:rPr>
          <w:i/>
          <w:color w:val="F07E31" w:themeColor="accent1"/>
          <w:sz w:val="18"/>
        </w:rPr>
        <w:t xml:space="preserve">Další informace o hodnocení na základě teorie jsou k dispozici v dokumentu </w:t>
      </w:r>
      <w:hyperlink r:id="rId52">
        <w:r>
          <w:rPr>
            <w:rStyle w:val="Hyperlink"/>
            <w:i/>
            <w:sz w:val="18"/>
          </w:rPr>
          <w:t>„Investment Support under Rural Development Policy“</w:t>
        </w:r>
      </w:hyperlink>
      <w:r>
        <w:t xml:space="preserve"> </w:t>
      </w:r>
      <w:r>
        <w:rPr>
          <w:i/>
          <w:color w:val="F07E31" w:themeColor="accent1"/>
          <w:sz w:val="18"/>
        </w:rPr>
        <w:t xml:space="preserve">(Investiční podpora v rámci rozvoje venkova) v kapitole 3.3.4 (EK, 2014) a o možnostech využití kvalitativních metod pro sběr kvantitativních údajů v dokumentu </w:t>
      </w:r>
      <w:hyperlink r:id="rId53" w:anchor="v=onepage&amp;amp;q=distinguishing%20between%20types%20of%20data%20and%20methods%20of%20collecting%20them%2C&amp;amp;f=false">
        <w:r>
          <w:rPr>
            <w:rStyle w:val="Hyperlink"/>
            <w:i/>
            <w:sz w:val="18"/>
          </w:rPr>
          <w:t>„Distinguishing Between Types of Data and Methods of Collecting Them</w:t>
        </w:r>
      </w:hyperlink>
      <w:r>
        <w:rPr>
          <w:i/>
          <w:color w:val="F07E31" w:themeColor="accent1"/>
          <w:sz w:val="18"/>
        </w:rPr>
        <w:t xml:space="preserve">“ (Rozlišování mezi typy údajů a metodami jejich sběru) (Hentschel, 1998). </w:t>
      </w:r>
    </w:p>
    <w:p w:rsidR="006D4194" w:rsidRPr="001C6ACF" w:rsidRDefault="006D4194" w:rsidP="006D4194">
      <w:pPr>
        <w:pStyle w:val="HStandard"/>
        <w:rPr>
          <w:sz w:val="22"/>
        </w:rPr>
      </w:pPr>
    </w:p>
    <w:p w:rsidR="00A24D39" w:rsidRPr="001C6ACF" w:rsidRDefault="0095652F" w:rsidP="00B63445">
      <w:pPr>
        <w:pStyle w:val="HHeading3"/>
      </w:pPr>
      <w:r>
        <w:t>Přehled doporučených přístupů k hodnocení při posuzování ukazatelů dopadů na SZP</w:t>
      </w:r>
    </w:p>
    <w:p w:rsidR="00186FCF" w:rsidRPr="00336531" w:rsidRDefault="00186FCF" w:rsidP="00186FCF">
      <w:pPr>
        <w:pStyle w:val="HStandard"/>
        <w:rPr>
          <w:rFonts w:cs="Arial"/>
        </w:rPr>
      </w:pPr>
      <w:r>
        <w:t>V programovém období 2014–2020 proběhne posouzení dopadů na SZP poprvé v roce 2019, tedy v době, kdy u různých programů rozvoje venkova mohou stále představovat problém nedostatky v údajích způsobené nízkou mírou či pozdějším zahájením využívání určitých opatření nebo nedostatkem statistických údajů pro hodnocení. Protože kvůli nedostatkům v údajích je velmi obtížné pozorovat dopady na PRV, jsou v těchto pokynech navrženy nejméně dva různé přístupy k výpočtu každého ze společných ukazatelů dopadů v pilíři II SZP:</w:t>
      </w:r>
    </w:p>
    <w:p w:rsidR="00186FCF" w:rsidRPr="00FB6C06" w:rsidRDefault="006A26E2" w:rsidP="00C42303">
      <w:pPr>
        <w:pStyle w:val="Hlistbullet"/>
      </w:pPr>
      <w:r>
        <w:rPr>
          <w:b/>
        </w:rPr>
        <w:t>p</w:t>
      </w:r>
      <w:r w:rsidR="00186FCF">
        <w:rPr>
          <w:b/>
        </w:rPr>
        <w:t>řístup A </w:t>
      </w:r>
      <w:r w:rsidR="00186FCF">
        <w:t xml:space="preserve">je příkladem </w:t>
      </w:r>
      <w:r w:rsidR="00186FCF">
        <w:rPr>
          <w:b/>
        </w:rPr>
        <w:t xml:space="preserve">přístupu k hodnocení při optimálním stavu údajů. </w:t>
      </w:r>
      <w:r w:rsidR="00186FCF">
        <w:t xml:space="preserve">Lze jej využít v roce 2019 i při hodnocení </w:t>
      </w:r>
      <w:r w:rsidR="00186FCF">
        <w:rPr>
          <w:i/>
        </w:rPr>
        <w:t>ex post</w:t>
      </w:r>
      <w:r w:rsidR="00186FCF">
        <w:t>. Přístup A je pokročilejší než přístup B a je také přesnější</w:t>
      </w:r>
      <w:r>
        <w:t>,</w:t>
      </w:r>
      <w:r w:rsidR="00186FCF">
        <w:t xml:space="preserve"> </w:t>
      </w:r>
    </w:p>
    <w:p w:rsidR="00186FCF" w:rsidRPr="001C6ACF" w:rsidRDefault="006A26E2" w:rsidP="00C42303">
      <w:pPr>
        <w:pStyle w:val="Hlistbullet"/>
      </w:pPr>
      <w:r>
        <w:rPr>
          <w:b/>
        </w:rPr>
        <w:t>p</w:t>
      </w:r>
      <w:r w:rsidR="00186FCF">
        <w:rPr>
          <w:b/>
        </w:rPr>
        <w:t xml:space="preserve">řístup B </w:t>
      </w:r>
      <w:r w:rsidR="00186FCF">
        <w:t>je příkladem</w:t>
      </w:r>
      <w:r w:rsidR="00186FCF">
        <w:rPr>
          <w:b/>
        </w:rPr>
        <w:t xml:space="preserve"> alternativního přístupu k hodnocení, který lze uplatnit v případě nedostatků v údajích </w:t>
      </w:r>
      <w:r w:rsidR="00186FCF">
        <w:t xml:space="preserve">(způsobených např. pomalým zaváděním programu, které neumožňuje pozorovat dopady PRV) nebo pokud uplatnění vyspělejšího přístupu brání jiné faktory (zdroje, čas, dovednosti). Přístup B obsahuje v několika případech kvalitativní složku. </w:t>
      </w:r>
    </w:p>
    <w:p w:rsidR="00186FCF" w:rsidRPr="00336531" w:rsidRDefault="00CB3881" w:rsidP="00186FCF">
      <w:pPr>
        <w:pStyle w:val="HStandard"/>
        <w:rPr>
          <w:rFonts w:cs="Arial"/>
        </w:rPr>
      </w:pPr>
      <w:r>
        <w:rPr>
          <w:b/>
        </w:rPr>
        <w:t>Přístupy A i B vyhovují standardům hodnocení</w:t>
      </w:r>
      <w:r>
        <w:t xml:space="preserve">. Přístup A je definován jako přístup poskytující nejspolehlivější výsledky hodnocení při ideálním stavu údajů. Vzhledem ke stavu údajů v roce 2019 se připouští, že u mnoha projektů pro rozvoj venkova nemusí být přístup A nejvhodnější volbou (viz tabulky týkající se přiměřenosti navrhovaných přístupů k hodnocení v kapitolách 4.1–4.7 v technické příloze). Další příklady metod hodnocení jsou znázorněny v příslušných schématech logických modelů u jednotlivých ukazatelů dopadů. </w:t>
      </w:r>
    </w:p>
    <w:p w:rsidR="0095652F" w:rsidRPr="001C6ACF" w:rsidRDefault="008F39E9" w:rsidP="00846EE3">
      <w:pPr>
        <w:pStyle w:val="HHeadingtables"/>
      </w:pPr>
      <w:r>
        <w:br w:type="column"/>
      </w:r>
      <w:r>
        <w:lastRenderedPageBreak/>
        <w:t xml:space="preserve">Příklady doporučených přístupů k hodnocení při posuzování ukazatelů dopadů na SZP </w:t>
      </w: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417"/>
        <w:gridCol w:w="1701"/>
        <w:gridCol w:w="1701"/>
        <w:gridCol w:w="1701"/>
        <w:gridCol w:w="1701"/>
      </w:tblGrid>
      <w:tr w:rsidR="00515FD4" w:rsidRPr="001C6ACF" w:rsidTr="005F69E8">
        <w:trPr>
          <w:trHeight w:val="289"/>
          <w:tblHeader/>
        </w:trPr>
        <w:tc>
          <w:tcPr>
            <w:tcW w:w="98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647A13" w:rsidP="00C202D0">
            <w:pPr>
              <w:pStyle w:val="HStandard"/>
              <w:jc w:val="center"/>
              <w:rPr>
                <w:b/>
                <w:bCs/>
                <w:color w:val="FFFFFF" w:themeColor="background1"/>
              </w:rPr>
            </w:pPr>
            <w:r>
              <w:rPr>
                <w:b/>
                <w:color w:val="FFFFFF" w:themeColor="background1"/>
                <w:sz w:val="16"/>
              </w:rPr>
              <w:t>Kód</w:t>
            </w:r>
          </w:p>
        </w:tc>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647A13" w:rsidP="00C202D0">
            <w:pPr>
              <w:pStyle w:val="HStandard"/>
              <w:jc w:val="center"/>
              <w:rPr>
                <w:b/>
                <w:bCs/>
                <w:color w:val="FFFFFF" w:themeColor="background1"/>
                <w:sz w:val="16"/>
              </w:rPr>
            </w:pPr>
            <w:r>
              <w:rPr>
                <w:b/>
                <w:color w:val="FFFFFF" w:themeColor="background1"/>
                <w:sz w:val="16"/>
              </w:rPr>
              <w:t>Ukazatel</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2D74F7" w:rsidP="008D4934">
            <w:pPr>
              <w:pStyle w:val="HStandard"/>
              <w:spacing w:line="240" w:lineRule="atLeast"/>
              <w:jc w:val="center"/>
              <w:rPr>
                <w:color w:val="FFFFFF" w:themeColor="background1"/>
                <w:sz w:val="16"/>
              </w:rPr>
            </w:pPr>
            <w:r>
              <w:rPr>
                <w:b/>
                <w:color w:val="FFFFFF" w:themeColor="background1"/>
              </w:rPr>
              <w:t>Přístup A</w:t>
            </w:r>
            <w:r>
              <w:rPr>
                <w:color w:val="FFFFFF" w:themeColor="background1"/>
              </w:rPr>
              <w:t xml:space="preserve"> </w:t>
            </w:r>
            <w:r>
              <w:rPr>
                <w:color w:val="FFFFFF" w:themeColor="background1"/>
                <w:sz w:val="16"/>
              </w:rPr>
              <w:br/>
              <w:t>Příklad přístupu při optimálním stavu údajů</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2D74F7" w:rsidP="0089010B">
            <w:pPr>
              <w:pStyle w:val="HStandard"/>
              <w:spacing w:line="240" w:lineRule="atLeast"/>
              <w:jc w:val="center"/>
              <w:rPr>
                <w:color w:val="FFFFFF" w:themeColor="background1"/>
                <w:sz w:val="16"/>
              </w:rPr>
            </w:pPr>
            <w:r>
              <w:rPr>
                <w:b/>
                <w:color w:val="FFFFFF" w:themeColor="background1"/>
              </w:rPr>
              <w:t>Přístup B</w:t>
            </w:r>
            <w:r>
              <w:rPr>
                <w:color w:val="FFFFFF" w:themeColor="background1"/>
              </w:rPr>
              <w:t xml:space="preserve"> </w:t>
            </w:r>
            <w:r>
              <w:rPr>
                <w:color w:val="FFFFFF" w:themeColor="background1"/>
              </w:rPr>
              <w:br/>
            </w:r>
            <w:r>
              <w:rPr>
                <w:color w:val="FFFFFF" w:themeColor="background1"/>
                <w:sz w:val="16"/>
              </w:rPr>
              <w:t>Příklad alternativního přístupu v případě nedostatků v údajích</w:t>
            </w:r>
          </w:p>
        </w:tc>
      </w:tr>
      <w:tr w:rsidR="00515FD4" w:rsidRPr="001C6ACF" w:rsidTr="005F69E8">
        <w:trPr>
          <w:trHeight w:val="289"/>
          <w:tblHeader/>
        </w:trPr>
        <w:tc>
          <w:tcPr>
            <w:tcW w:w="9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515FD4" w:rsidP="00C202D0">
            <w:pPr>
              <w:pStyle w:val="HStandard"/>
              <w:jc w:val="center"/>
              <w:rPr>
                <w:b/>
                <w:bCs/>
                <w:color w:val="FFFFFF" w:themeColor="background1"/>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515FD4" w:rsidP="00C202D0">
            <w:pPr>
              <w:pStyle w:val="HStandard"/>
              <w:jc w:val="center"/>
              <w:rPr>
                <w:b/>
                <w:bCs/>
                <w:color w:val="FFFFFF" w:themeColor="background1"/>
                <w:sz w:val="16"/>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Mikroekonomická úroveň</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Makroekonomická úroveň</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Mikroekonomická úroveň</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Makroekonomická úroveň</w:t>
            </w:r>
          </w:p>
        </w:tc>
      </w:tr>
      <w:tr w:rsidR="00515FD4" w:rsidRPr="001C6ACF" w:rsidTr="00670F92">
        <w:trPr>
          <w:trHeight w:val="255"/>
        </w:trPr>
        <w:tc>
          <w:tcPr>
            <w:tcW w:w="9209" w:type="dxa"/>
            <w:gridSpan w:val="6"/>
            <w:tcBorders>
              <w:top w:val="single" w:sz="4" w:space="0" w:color="FFFFFF" w:themeColor="background1"/>
            </w:tcBorders>
            <w:shd w:val="clear" w:color="auto" w:fill="BE4A35" w:themeFill="accent2"/>
            <w:hideMark/>
          </w:tcPr>
          <w:p w:rsidR="00515FD4" w:rsidRPr="001C6ACF" w:rsidRDefault="00515FD4" w:rsidP="008D4934">
            <w:pPr>
              <w:pStyle w:val="HStandard"/>
              <w:spacing w:line="240" w:lineRule="atLeast"/>
              <w:rPr>
                <w:b/>
                <w:bCs/>
                <w:color w:val="FFFFFF" w:themeColor="background1"/>
                <w:sz w:val="16"/>
              </w:rPr>
            </w:pPr>
            <w:r>
              <w:rPr>
                <w:b/>
                <w:color w:val="FFFFFF" w:themeColor="background1"/>
                <w:sz w:val="16"/>
              </w:rPr>
              <w:t>Odvětvové dopady</w:t>
            </w:r>
          </w:p>
        </w:tc>
      </w:tr>
      <w:tr w:rsidR="00515FD4" w:rsidRPr="001C6ACF" w:rsidTr="005F69E8">
        <w:trPr>
          <w:trHeight w:val="1193"/>
        </w:trPr>
        <w:tc>
          <w:tcPr>
            <w:tcW w:w="988" w:type="dxa"/>
            <w:tcBorders>
              <w:bottom w:val="single" w:sz="4" w:space="0" w:color="808080" w:themeColor="background1" w:themeShade="80"/>
              <w:right w:val="nil"/>
            </w:tcBorders>
            <w:hideMark/>
          </w:tcPr>
          <w:p w:rsidR="00515FD4" w:rsidRPr="00571D58" w:rsidRDefault="00515FD4" w:rsidP="00887886">
            <w:pPr>
              <w:pStyle w:val="HStandard"/>
              <w:jc w:val="center"/>
              <w:rPr>
                <w:b/>
                <w:bCs/>
                <w:color w:val="BE4A35" w:themeColor="accent2"/>
              </w:rPr>
            </w:pPr>
            <w:r>
              <w:rPr>
                <w:b/>
                <w:bCs/>
                <w:noProof/>
                <w:color w:val="BE4A35" w:themeColor="accent2"/>
                <w:lang w:val="en-GB" w:eastAsia="en-GB" w:bidi="ar-SA"/>
              </w:rPr>
              <w:drawing>
                <wp:anchor distT="0" distB="0" distL="114300" distR="114300" simplePos="0" relativeHeight="251713024" behindDoc="1" locked="0" layoutInCell="1" allowOverlap="1" wp14:anchorId="318FEB12" wp14:editId="7939DF16">
                  <wp:simplePos x="0" y="0"/>
                  <wp:positionH relativeFrom="column">
                    <wp:posOffset>-233</wp:posOffset>
                  </wp:positionH>
                  <wp:positionV relativeFrom="paragraph">
                    <wp:posOffset>185115</wp:posOffset>
                  </wp:positionV>
                  <wp:extent cx="489585" cy="489585"/>
                  <wp:effectExtent l="0" t="0" r="0" b="5715"/>
                  <wp:wrapTight wrapText="bothSides">
                    <wp:wrapPolygon edited="0">
                      <wp:start x="5043" y="0"/>
                      <wp:lineTo x="2521" y="2521"/>
                      <wp:lineTo x="840" y="8405"/>
                      <wp:lineTo x="1681" y="15969"/>
                      <wp:lineTo x="5883" y="21012"/>
                      <wp:lineTo x="8405" y="21012"/>
                      <wp:lineTo x="14288" y="21012"/>
                      <wp:lineTo x="15128" y="21012"/>
                      <wp:lineTo x="18490" y="13447"/>
                      <wp:lineTo x="19331" y="10926"/>
                      <wp:lineTo x="17650" y="3362"/>
                      <wp:lineTo x="14288" y="0"/>
                      <wp:lineTo x="5043"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0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BE4A35" w:themeColor="accent2"/>
              </w:rPr>
              <w:t>I.01</w:t>
            </w:r>
          </w:p>
        </w:tc>
        <w:tc>
          <w:tcPr>
            <w:tcW w:w="1417" w:type="dxa"/>
            <w:tcBorders>
              <w:left w:val="nil"/>
              <w:bottom w:val="single" w:sz="4" w:space="0" w:color="808080" w:themeColor="background1" w:themeShade="80"/>
            </w:tcBorders>
            <w:vAlign w:val="center"/>
            <w:hideMark/>
          </w:tcPr>
          <w:p w:rsidR="00515FD4" w:rsidRPr="00FB6C06" w:rsidRDefault="00515FD4" w:rsidP="007B323D">
            <w:pPr>
              <w:pStyle w:val="HStandard"/>
              <w:spacing w:after="0"/>
              <w:jc w:val="left"/>
              <w:rPr>
                <w:b/>
                <w:color w:val="BE4A35" w:themeColor="accent2"/>
                <w:sz w:val="16"/>
                <w:szCs w:val="18"/>
              </w:rPr>
            </w:pPr>
            <w:r>
              <w:rPr>
                <w:b/>
                <w:color w:val="BE4A35" w:themeColor="accent2"/>
                <w:sz w:val="16"/>
              </w:rPr>
              <w:t>Příjem ze zemědělské činnosti</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kombinace metod párování podle skóre náchylnosti s metodou rozdílu mezi rozdíly</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 xml:space="preserve">přístupy „zdola nahoru“ a zobecnění zjištění na mikroekonomické úrovni </w:t>
            </w:r>
            <w:r>
              <w:rPr>
                <w:sz w:val="16"/>
                <w:szCs w:val="18"/>
              </w:rPr>
              <w:br/>
            </w:r>
            <w:r>
              <w:rPr>
                <w:sz w:val="16"/>
                <w:szCs w:val="18"/>
              </w:rPr>
              <w:br/>
            </w:r>
            <w:r>
              <w:rPr>
                <w:sz w:val="16"/>
              </w:rPr>
              <w:t>uplatnění odvětvového modelu</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nespojitá regrese</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přístupy „zdola nahoru“ a zobecnění zjištění na mikroekonomické úrovni</w:t>
            </w:r>
          </w:p>
        </w:tc>
      </w:tr>
      <w:tr w:rsidR="00515FD4" w:rsidRPr="001C6ACF" w:rsidTr="005F69E8">
        <w:trPr>
          <w:trHeight w:val="1167"/>
        </w:trPr>
        <w:tc>
          <w:tcPr>
            <w:tcW w:w="988" w:type="dxa"/>
            <w:tcBorders>
              <w:right w:val="nil"/>
            </w:tcBorders>
            <w:hideMark/>
          </w:tcPr>
          <w:p w:rsidR="00515FD4" w:rsidRPr="00336531" w:rsidRDefault="008D4934" w:rsidP="008D4934">
            <w:pPr>
              <w:pStyle w:val="HStandard"/>
              <w:jc w:val="center"/>
              <w:rPr>
                <w:b/>
                <w:bCs/>
                <w:color w:val="BE4A35" w:themeColor="accent2"/>
              </w:rPr>
            </w:pPr>
            <w:r>
              <w:rPr>
                <w:b/>
                <w:bCs/>
                <w:noProof/>
                <w:color w:val="BE4A35" w:themeColor="accent2"/>
                <w:lang w:val="en-GB" w:eastAsia="en-GB" w:bidi="ar-SA"/>
              </w:rPr>
              <w:drawing>
                <wp:anchor distT="0" distB="0" distL="114300" distR="114300" simplePos="0" relativeHeight="251727360" behindDoc="0" locked="0" layoutInCell="1" allowOverlap="1" wp14:anchorId="3C304F1F" wp14:editId="245822F8">
                  <wp:simplePos x="0" y="0"/>
                  <wp:positionH relativeFrom="column">
                    <wp:posOffset>31750</wp:posOffset>
                  </wp:positionH>
                  <wp:positionV relativeFrom="paragraph">
                    <wp:posOffset>215394</wp:posOffset>
                  </wp:positionV>
                  <wp:extent cx="489600" cy="489600"/>
                  <wp:effectExtent l="0" t="0" r="5715"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0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Pr>
                <w:b/>
                <w:color w:val="BE4A35" w:themeColor="accent2"/>
              </w:rPr>
              <w:t>I.02</w:t>
            </w:r>
          </w:p>
        </w:tc>
        <w:tc>
          <w:tcPr>
            <w:tcW w:w="1417" w:type="dxa"/>
            <w:tcBorders>
              <w:left w:val="nil"/>
            </w:tcBorders>
            <w:vAlign w:val="center"/>
            <w:hideMark/>
          </w:tcPr>
          <w:p w:rsidR="00515FD4" w:rsidRPr="00336531" w:rsidRDefault="00515FD4" w:rsidP="00670F92">
            <w:pPr>
              <w:pStyle w:val="HStandard"/>
              <w:spacing w:after="0"/>
              <w:jc w:val="left"/>
              <w:rPr>
                <w:b/>
                <w:color w:val="BE4A35" w:themeColor="accent2"/>
                <w:sz w:val="16"/>
                <w:szCs w:val="18"/>
              </w:rPr>
            </w:pPr>
            <w:r>
              <w:rPr>
                <w:b/>
                <w:color w:val="BE4A35" w:themeColor="accent2"/>
                <w:sz w:val="16"/>
              </w:rPr>
              <w:t>Příjem ze zemědělské činnosti na výrobního činitele</w:t>
            </w: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r>
      <w:tr w:rsidR="00515FD4" w:rsidRPr="001C6ACF" w:rsidTr="005F69E8">
        <w:trPr>
          <w:trHeight w:val="1163"/>
        </w:trPr>
        <w:tc>
          <w:tcPr>
            <w:tcW w:w="988" w:type="dxa"/>
            <w:tcBorders>
              <w:right w:val="nil"/>
            </w:tcBorders>
            <w:hideMark/>
          </w:tcPr>
          <w:p w:rsidR="00515FD4" w:rsidRPr="00571D58" w:rsidRDefault="00515FD4" w:rsidP="004A2D39">
            <w:pPr>
              <w:pStyle w:val="HStandard"/>
              <w:jc w:val="center"/>
              <w:rPr>
                <w:b/>
                <w:bCs/>
                <w:color w:val="BE4A35" w:themeColor="accent2"/>
              </w:rPr>
            </w:pPr>
            <w:r>
              <w:rPr>
                <w:b/>
                <w:bCs/>
                <w:noProof/>
                <w:color w:val="BE4A35" w:themeColor="accent2"/>
                <w:lang w:val="en-GB" w:eastAsia="en-GB" w:bidi="ar-SA"/>
              </w:rPr>
              <w:drawing>
                <wp:anchor distT="0" distB="0" distL="114300" distR="114300" simplePos="0" relativeHeight="251712000" behindDoc="1" locked="0" layoutInCell="1" allowOverlap="1" wp14:anchorId="64423B3D" wp14:editId="5BE7875F">
                  <wp:simplePos x="0" y="0"/>
                  <wp:positionH relativeFrom="column">
                    <wp:posOffset>63428</wp:posOffset>
                  </wp:positionH>
                  <wp:positionV relativeFrom="paragraph">
                    <wp:posOffset>215900</wp:posOffset>
                  </wp:positionV>
                  <wp:extent cx="489585" cy="489585"/>
                  <wp:effectExtent l="0" t="0" r="0" b="5715"/>
                  <wp:wrapTight wrapText="bothSides">
                    <wp:wrapPolygon edited="0">
                      <wp:start x="6724" y="0"/>
                      <wp:lineTo x="5043" y="2521"/>
                      <wp:lineTo x="2521" y="14288"/>
                      <wp:lineTo x="5883" y="21012"/>
                      <wp:lineTo x="15128" y="21012"/>
                      <wp:lineTo x="18490" y="12607"/>
                      <wp:lineTo x="15969" y="2521"/>
                      <wp:lineTo x="14288" y="0"/>
                      <wp:lineTo x="672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03.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BE4A35" w:themeColor="accent2"/>
              </w:rPr>
              <w:t>I.03</w:t>
            </w:r>
          </w:p>
        </w:tc>
        <w:tc>
          <w:tcPr>
            <w:tcW w:w="1417" w:type="dxa"/>
            <w:tcBorders>
              <w:left w:val="nil"/>
            </w:tcBorders>
            <w:vAlign w:val="center"/>
            <w:hideMark/>
          </w:tcPr>
          <w:p w:rsidR="00515FD4" w:rsidRPr="00336531" w:rsidRDefault="00515FD4" w:rsidP="00670F92">
            <w:pPr>
              <w:pStyle w:val="HStandard"/>
              <w:spacing w:after="0"/>
              <w:jc w:val="left"/>
              <w:rPr>
                <w:b/>
                <w:color w:val="BE4A35" w:themeColor="accent2"/>
                <w:sz w:val="16"/>
                <w:szCs w:val="18"/>
              </w:rPr>
            </w:pPr>
            <w:r>
              <w:rPr>
                <w:b/>
                <w:color w:val="BE4A35" w:themeColor="accent2"/>
                <w:sz w:val="16"/>
              </w:rPr>
              <w:t>Souhrnná produktivita výrobních faktorů v zemědělství</w:t>
            </w: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r>
      <w:tr w:rsidR="00515FD4" w:rsidRPr="001C6ACF" w:rsidTr="00670F92">
        <w:trPr>
          <w:trHeight w:val="255"/>
        </w:trPr>
        <w:tc>
          <w:tcPr>
            <w:tcW w:w="9209" w:type="dxa"/>
            <w:gridSpan w:val="6"/>
            <w:shd w:val="clear" w:color="auto" w:fill="57825E" w:themeFill="accent4"/>
            <w:hideMark/>
          </w:tcPr>
          <w:p w:rsidR="00515FD4" w:rsidRPr="001C6ACF" w:rsidRDefault="00515FD4" w:rsidP="007008C0">
            <w:pPr>
              <w:pStyle w:val="HStandard"/>
              <w:spacing w:line="240" w:lineRule="auto"/>
              <w:rPr>
                <w:bCs/>
                <w:color w:val="FFFFFF" w:themeColor="background1"/>
                <w:sz w:val="16"/>
              </w:rPr>
            </w:pPr>
            <w:r>
              <w:rPr>
                <w:color w:val="FFFFFF" w:themeColor="background1"/>
                <w:sz w:val="16"/>
              </w:rPr>
              <w:t>Dopady na životní prostředí</w:t>
            </w:r>
          </w:p>
        </w:tc>
      </w:tr>
      <w:tr w:rsidR="00515FD4" w:rsidRPr="001C6ACF" w:rsidTr="005F69E8">
        <w:trPr>
          <w:trHeight w:val="1068"/>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4048" behindDoc="1" locked="0" layoutInCell="1" allowOverlap="1" wp14:anchorId="5C413D26" wp14:editId="4DD3BB63">
                  <wp:simplePos x="0" y="0"/>
                  <wp:positionH relativeFrom="column">
                    <wp:posOffset>63572</wp:posOffset>
                  </wp:positionH>
                  <wp:positionV relativeFrom="paragraph">
                    <wp:posOffset>202983</wp:posOffset>
                  </wp:positionV>
                  <wp:extent cx="489585" cy="489585"/>
                  <wp:effectExtent l="0" t="0" r="5715" b="0"/>
                  <wp:wrapTight wrapText="bothSides">
                    <wp:wrapPolygon edited="0">
                      <wp:start x="10086" y="1681"/>
                      <wp:lineTo x="0" y="10926"/>
                      <wp:lineTo x="0" y="19331"/>
                      <wp:lineTo x="21012" y="19331"/>
                      <wp:lineTo x="21012" y="9245"/>
                      <wp:lineTo x="17650" y="1681"/>
                      <wp:lineTo x="10086" y="168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07.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I.07</w:t>
            </w:r>
          </w:p>
        </w:tc>
        <w:tc>
          <w:tcPr>
            <w:tcW w:w="1417" w:type="dxa"/>
            <w:tcBorders>
              <w:left w:val="nil"/>
            </w:tcBorders>
            <w:vAlign w:val="center"/>
            <w:hideMark/>
          </w:tcPr>
          <w:p w:rsidR="00515FD4" w:rsidRPr="00336531" w:rsidRDefault="00515FD4" w:rsidP="00670F92">
            <w:pPr>
              <w:pStyle w:val="HStandard"/>
              <w:jc w:val="left"/>
              <w:rPr>
                <w:rFonts w:cs="Arial"/>
                <w:b/>
                <w:color w:val="57825E" w:themeColor="accent4"/>
                <w:sz w:val="16"/>
                <w:szCs w:val="18"/>
              </w:rPr>
            </w:pPr>
            <w:r>
              <w:rPr>
                <w:b/>
                <w:color w:val="57825E" w:themeColor="accent4"/>
                <w:sz w:val="16"/>
              </w:rPr>
              <w:t xml:space="preserve">Emise ze zemědělství </w:t>
            </w:r>
          </w:p>
        </w:tc>
        <w:tc>
          <w:tcPr>
            <w:tcW w:w="1701" w:type="dxa"/>
            <w:vAlign w:val="center"/>
            <w:hideMark/>
          </w:tcPr>
          <w:p w:rsidR="00515FD4" w:rsidRPr="007645B4" w:rsidRDefault="00BB68D4" w:rsidP="007008C0">
            <w:pPr>
              <w:pStyle w:val="HStandard"/>
              <w:spacing w:line="240" w:lineRule="auto"/>
              <w:jc w:val="center"/>
              <w:rPr>
                <w:rFonts w:cs="Arial"/>
                <w:sz w:val="16"/>
                <w:szCs w:val="18"/>
              </w:rPr>
            </w:pPr>
            <w:r>
              <w:rPr>
                <w:sz w:val="16"/>
              </w:rPr>
              <w:t>techniky regrese a párování</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zobecněné párování podle skóre náchylnosti pomocí NUTS 3 nebo jiných prostorových údajů</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žádný</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naivní porovnání </w:t>
            </w:r>
            <w:r>
              <w:rPr>
                <w:rFonts w:cs="Arial"/>
                <w:sz w:val="16"/>
                <w:szCs w:val="18"/>
              </w:rPr>
              <w:br/>
            </w:r>
            <w:r>
              <w:rPr>
                <w:sz w:val="16"/>
              </w:rPr>
              <w:t>s výchozí hodnotou (včetně kvalitativních metod)</w:t>
            </w:r>
          </w:p>
        </w:tc>
      </w:tr>
      <w:tr w:rsidR="00515FD4" w:rsidRPr="001C6ACF" w:rsidTr="005F69E8">
        <w:trPr>
          <w:trHeight w:val="630"/>
        </w:trPr>
        <w:tc>
          <w:tcPr>
            <w:tcW w:w="988" w:type="dxa"/>
            <w:tcBorders>
              <w:right w:val="nil"/>
            </w:tcBorders>
            <w:hideMark/>
          </w:tcPr>
          <w:p w:rsidR="00515FD4" w:rsidRPr="00571D58" w:rsidRDefault="008D493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0976" behindDoc="1" locked="0" layoutInCell="1" allowOverlap="1" wp14:anchorId="4EC8A3F9" wp14:editId="02476D97">
                  <wp:simplePos x="0" y="0"/>
                  <wp:positionH relativeFrom="column">
                    <wp:posOffset>34290</wp:posOffset>
                  </wp:positionH>
                  <wp:positionV relativeFrom="paragraph">
                    <wp:posOffset>215136</wp:posOffset>
                  </wp:positionV>
                  <wp:extent cx="489585" cy="489585"/>
                  <wp:effectExtent l="0" t="0" r="5715" b="5715"/>
                  <wp:wrapTight wrapText="bothSides">
                    <wp:wrapPolygon edited="0">
                      <wp:start x="14288" y="0"/>
                      <wp:lineTo x="0" y="5883"/>
                      <wp:lineTo x="0" y="8405"/>
                      <wp:lineTo x="8405" y="13447"/>
                      <wp:lineTo x="13447" y="21012"/>
                      <wp:lineTo x="14288" y="21012"/>
                      <wp:lineTo x="18490" y="21012"/>
                      <wp:lineTo x="15969" y="13447"/>
                      <wp:lineTo x="21012" y="3362"/>
                      <wp:lineTo x="21012" y="0"/>
                      <wp:lineTo x="18490" y="0"/>
                      <wp:lineTo x="1428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08.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I.08</w:t>
            </w:r>
          </w:p>
        </w:tc>
        <w:tc>
          <w:tcPr>
            <w:tcW w:w="1417" w:type="dxa"/>
            <w:tcBorders>
              <w:left w:val="nil"/>
            </w:tcBorders>
            <w:vAlign w:val="center"/>
            <w:hideMark/>
          </w:tcPr>
          <w:p w:rsidR="00515FD4" w:rsidRPr="00FB6C06" w:rsidRDefault="00515FD4" w:rsidP="00670F92">
            <w:pPr>
              <w:pStyle w:val="HStandard"/>
              <w:jc w:val="left"/>
              <w:rPr>
                <w:rFonts w:cs="Arial"/>
                <w:b/>
                <w:color w:val="57825E" w:themeColor="accent4"/>
                <w:sz w:val="16"/>
                <w:szCs w:val="18"/>
              </w:rPr>
            </w:pPr>
            <w:r>
              <w:rPr>
                <w:b/>
                <w:color w:val="57825E" w:themeColor="accent4"/>
                <w:sz w:val="16"/>
              </w:rPr>
              <w:t>Index polního ptactva</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párování podle skóre náchylnosti a metoda rozdílu mezi rozdíly</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párování podle skóre náchylnosti a metoda rozdílu mezi rozdíly</w:t>
            </w:r>
          </w:p>
          <w:p w:rsidR="00515FD4" w:rsidRPr="001C6ACF" w:rsidRDefault="00515FD4" w:rsidP="007008C0">
            <w:pPr>
              <w:pStyle w:val="HStandard"/>
              <w:spacing w:line="240" w:lineRule="auto"/>
              <w:jc w:val="center"/>
              <w:rPr>
                <w:rFonts w:cs="Arial"/>
                <w:sz w:val="16"/>
                <w:szCs w:val="18"/>
              </w:rPr>
            </w:pPr>
            <w:r>
              <w:rPr>
                <w:sz w:val="16"/>
              </w:rPr>
              <w:t>prostorové ekonometrické modely a biogeografické oblasti</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statistická analýza párových srovnání </w:t>
            </w:r>
            <w:r>
              <w:rPr>
                <w:i/>
                <w:sz w:val="16"/>
              </w:rPr>
              <w:t>ad hoc</w:t>
            </w:r>
            <w:r>
              <w:rPr>
                <w:sz w:val="16"/>
              </w:rPr>
              <w:t xml:space="preserve"> nebo více srovnávacích skupin s využitím metody rozdílu mezi rozdíly spolu s kvalitativním posouzením</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přístupy „zdola nahoru“ zobecňující zjištění na mikroekonomické úrovni spolu s kvalitativním posouzením</w:t>
            </w:r>
          </w:p>
        </w:tc>
      </w:tr>
      <w:tr w:rsidR="00515FD4" w:rsidRPr="001C6ACF" w:rsidTr="005F69E8">
        <w:trPr>
          <w:trHeight w:val="1083"/>
        </w:trPr>
        <w:tc>
          <w:tcPr>
            <w:tcW w:w="988" w:type="dxa"/>
            <w:tcBorders>
              <w:right w:val="nil"/>
            </w:tcBorders>
            <w:hideMark/>
          </w:tcPr>
          <w:p w:rsidR="00515FD4" w:rsidRPr="00571D58" w:rsidRDefault="00515FD4" w:rsidP="004A2D39">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09952" behindDoc="1" locked="0" layoutInCell="1" allowOverlap="1" wp14:anchorId="0943DD13" wp14:editId="0B84E39F">
                  <wp:simplePos x="0" y="0"/>
                  <wp:positionH relativeFrom="column">
                    <wp:posOffset>63500</wp:posOffset>
                  </wp:positionH>
                  <wp:positionV relativeFrom="paragraph">
                    <wp:posOffset>183627</wp:posOffset>
                  </wp:positionV>
                  <wp:extent cx="489585" cy="489585"/>
                  <wp:effectExtent l="0" t="0" r="5715" b="5715"/>
                  <wp:wrapTight wrapText="bothSides">
                    <wp:wrapPolygon edited="0">
                      <wp:start x="840" y="0"/>
                      <wp:lineTo x="0" y="5043"/>
                      <wp:lineTo x="0" y="18490"/>
                      <wp:lineTo x="14288" y="21012"/>
                      <wp:lineTo x="17650" y="21012"/>
                      <wp:lineTo x="21012" y="15969"/>
                      <wp:lineTo x="21012" y="1681"/>
                      <wp:lineTo x="6724" y="0"/>
                      <wp:lineTo x="84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09.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I.09</w:t>
            </w:r>
          </w:p>
        </w:tc>
        <w:tc>
          <w:tcPr>
            <w:tcW w:w="1417" w:type="dxa"/>
            <w:tcBorders>
              <w:left w:val="nil"/>
            </w:tcBorders>
            <w:vAlign w:val="center"/>
            <w:hideMark/>
          </w:tcPr>
          <w:p w:rsidR="00515FD4" w:rsidRPr="00336531" w:rsidRDefault="00515FD4" w:rsidP="00670F92">
            <w:pPr>
              <w:pStyle w:val="HStandard"/>
              <w:jc w:val="left"/>
              <w:rPr>
                <w:rFonts w:cs="Arial"/>
                <w:b/>
                <w:color w:val="57825E" w:themeColor="accent4"/>
                <w:sz w:val="16"/>
                <w:szCs w:val="18"/>
              </w:rPr>
            </w:pPr>
            <w:r>
              <w:rPr>
                <w:b/>
                <w:color w:val="57825E" w:themeColor="accent4"/>
                <w:sz w:val="16"/>
              </w:rPr>
              <w:t>Zemědělské činnosti s vysokou přírodní hodnotou</w:t>
            </w: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r>
      <w:tr w:rsidR="00273775" w:rsidRPr="001C6ACF" w:rsidTr="005F69E8">
        <w:trPr>
          <w:trHeight w:val="1082"/>
        </w:trPr>
        <w:tc>
          <w:tcPr>
            <w:tcW w:w="988" w:type="dxa"/>
            <w:tcBorders>
              <w:right w:val="nil"/>
            </w:tcBorders>
            <w:hideMark/>
          </w:tcPr>
          <w:p w:rsidR="00273775" w:rsidRPr="00571D58" w:rsidRDefault="00273775"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22240" behindDoc="1" locked="0" layoutInCell="1" allowOverlap="1" wp14:anchorId="041CFA56" wp14:editId="66BC6692">
                  <wp:simplePos x="0" y="0"/>
                  <wp:positionH relativeFrom="column">
                    <wp:posOffset>63572</wp:posOffset>
                  </wp:positionH>
                  <wp:positionV relativeFrom="paragraph">
                    <wp:posOffset>208481</wp:posOffset>
                  </wp:positionV>
                  <wp:extent cx="489585" cy="489585"/>
                  <wp:effectExtent l="0" t="0" r="5715" b="5715"/>
                  <wp:wrapTight wrapText="bothSides">
                    <wp:wrapPolygon edited="0">
                      <wp:start x="6724" y="0"/>
                      <wp:lineTo x="0" y="3362"/>
                      <wp:lineTo x="0" y="14288"/>
                      <wp:lineTo x="13447" y="21012"/>
                      <wp:lineTo x="14288" y="21012"/>
                      <wp:lineTo x="21012" y="21012"/>
                      <wp:lineTo x="21012" y="13447"/>
                      <wp:lineTo x="20171" y="7564"/>
                      <wp:lineTo x="15128" y="0"/>
                      <wp:lineTo x="6724" y="0"/>
                    </wp:wrapPolygon>
                  </wp:wrapTight>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10.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I.10</w:t>
            </w:r>
          </w:p>
        </w:tc>
        <w:tc>
          <w:tcPr>
            <w:tcW w:w="1417" w:type="dxa"/>
            <w:tcBorders>
              <w:left w:val="nil"/>
            </w:tcBorders>
            <w:vAlign w:val="center"/>
            <w:hideMark/>
          </w:tcPr>
          <w:p w:rsidR="00273775" w:rsidRPr="00336531" w:rsidRDefault="00273775" w:rsidP="00670F92">
            <w:pPr>
              <w:pStyle w:val="HStandard"/>
              <w:jc w:val="left"/>
              <w:rPr>
                <w:rFonts w:cs="Arial"/>
                <w:b/>
                <w:color w:val="57825E" w:themeColor="accent4"/>
                <w:sz w:val="16"/>
                <w:szCs w:val="18"/>
              </w:rPr>
            </w:pPr>
            <w:r>
              <w:rPr>
                <w:b/>
                <w:color w:val="57825E" w:themeColor="accent4"/>
                <w:sz w:val="16"/>
              </w:rPr>
              <w:t xml:space="preserve">Odběr vody v zemědělství </w:t>
            </w:r>
          </w:p>
        </w:tc>
        <w:tc>
          <w:tcPr>
            <w:tcW w:w="1701" w:type="dxa"/>
            <w:vMerge w:val="restart"/>
            <w:vAlign w:val="center"/>
            <w:hideMark/>
          </w:tcPr>
          <w:p w:rsidR="00273775" w:rsidRPr="001C6ACF" w:rsidRDefault="00273775" w:rsidP="007008C0">
            <w:pPr>
              <w:pStyle w:val="HStandard"/>
              <w:spacing w:line="240" w:lineRule="auto"/>
              <w:jc w:val="center"/>
              <w:rPr>
                <w:rFonts w:cs="Arial"/>
                <w:sz w:val="16"/>
                <w:szCs w:val="18"/>
              </w:rPr>
            </w:pPr>
            <w:r>
              <w:rPr>
                <w:sz w:val="16"/>
              </w:rPr>
              <w:t>techniky regrese a párování u I.10, I.11-1 a dle dostupnosti údajů u I.11-2</w:t>
            </w:r>
            <w:r>
              <w:rPr>
                <w:rFonts w:cs="Arial"/>
                <w:sz w:val="16"/>
                <w:szCs w:val="18"/>
              </w:rPr>
              <w:br/>
            </w:r>
            <w:r>
              <w:rPr>
                <w:sz w:val="16"/>
              </w:rPr>
              <w:t>simulace „případové studie“ oblasti povodí nebo její podjednotky – pouze u I.11-2</w:t>
            </w:r>
          </w:p>
        </w:tc>
        <w:tc>
          <w:tcPr>
            <w:tcW w:w="1701" w:type="dxa"/>
            <w:vMerge w:val="restart"/>
            <w:vAlign w:val="center"/>
            <w:hideMark/>
          </w:tcPr>
          <w:p w:rsidR="00273775" w:rsidRPr="001C6ACF" w:rsidRDefault="00273775" w:rsidP="007008C0">
            <w:pPr>
              <w:pStyle w:val="HStandard"/>
              <w:spacing w:line="240" w:lineRule="auto"/>
              <w:jc w:val="center"/>
              <w:rPr>
                <w:rFonts w:cs="Arial"/>
                <w:sz w:val="16"/>
                <w:szCs w:val="18"/>
              </w:rPr>
            </w:pPr>
            <w:r>
              <w:rPr>
                <w:sz w:val="16"/>
              </w:rPr>
              <w:t xml:space="preserve">zobecněné párování podle skóre náchylnosti </w:t>
            </w:r>
            <w:r>
              <w:rPr>
                <w:rFonts w:cs="Arial"/>
                <w:sz w:val="16"/>
                <w:szCs w:val="18"/>
              </w:rPr>
              <w:br/>
            </w:r>
            <w:r>
              <w:rPr>
                <w:rFonts w:cs="Arial"/>
                <w:sz w:val="16"/>
                <w:szCs w:val="18"/>
              </w:rPr>
              <w:br/>
            </w:r>
            <w:r>
              <w:rPr>
                <w:sz w:val="16"/>
              </w:rPr>
              <w:t>prostorově ekonometrické metody</w:t>
            </w:r>
          </w:p>
        </w:tc>
        <w:tc>
          <w:tcPr>
            <w:tcW w:w="1701" w:type="dxa"/>
            <w:vMerge w:val="restart"/>
            <w:vAlign w:val="center"/>
            <w:hideMark/>
          </w:tcPr>
          <w:p w:rsidR="00273775" w:rsidRPr="001C6ACF" w:rsidRDefault="00B9614C" w:rsidP="007008C0">
            <w:pPr>
              <w:pStyle w:val="HStandard"/>
              <w:spacing w:line="240" w:lineRule="auto"/>
              <w:jc w:val="center"/>
              <w:rPr>
                <w:rFonts w:cs="Arial"/>
                <w:sz w:val="16"/>
                <w:szCs w:val="18"/>
              </w:rPr>
            </w:pPr>
            <w:r>
              <w:rPr>
                <w:sz w:val="16"/>
              </w:rPr>
              <w:t>kvalitativní metody</w:t>
            </w:r>
          </w:p>
        </w:tc>
        <w:tc>
          <w:tcPr>
            <w:tcW w:w="1701" w:type="dxa"/>
            <w:vMerge w:val="restart"/>
            <w:vAlign w:val="center"/>
          </w:tcPr>
          <w:p w:rsidR="00273775" w:rsidRPr="001C6ACF" w:rsidRDefault="001043CE" w:rsidP="007008C0">
            <w:pPr>
              <w:pStyle w:val="HStandard"/>
              <w:spacing w:line="240" w:lineRule="auto"/>
              <w:jc w:val="center"/>
              <w:rPr>
                <w:rFonts w:cs="Arial"/>
                <w:sz w:val="16"/>
                <w:szCs w:val="18"/>
              </w:rPr>
            </w:pPr>
            <w:r>
              <w:rPr>
                <w:sz w:val="16"/>
              </w:rPr>
              <w:t>naivní porovnání skupin podpořené kvalitativními metodami</w:t>
            </w:r>
          </w:p>
        </w:tc>
      </w:tr>
      <w:tr w:rsidR="00273775" w:rsidRPr="001C6ACF" w:rsidTr="005F69E8">
        <w:trPr>
          <w:trHeight w:val="984"/>
        </w:trPr>
        <w:tc>
          <w:tcPr>
            <w:tcW w:w="988" w:type="dxa"/>
            <w:tcBorders>
              <w:right w:val="nil"/>
            </w:tcBorders>
            <w:hideMark/>
          </w:tcPr>
          <w:p w:rsidR="00273775" w:rsidRPr="00571D58" w:rsidRDefault="00273775"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21216" behindDoc="1" locked="0" layoutInCell="1" allowOverlap="1" wp14:anchorId="64B7E437" wp14:editId="7DBB0631">
                  <wp:simplePos x="0" y="0"/>
                  <wp:positionH relativeFrom="column">
                    <wp:posOffset>60960</wp:posOffset>
                  </wp:positionH>
                  <wp:positionV relativeFrom="paragraph">
                    <wp:posOffset>213360</wp:posOffset>
                  </wp:positionV>
                  <wp:extent cx="489585" cy="489585"/>
                  <wp:effectExtent l="0" t="0" r="5715" b="5715"/>
                  <wp:wrapTight wrapText="bothSides">
                    <wp:wrapPolygon edited="0">
                      <wp:start x="5043" y="0"/>
                      <wp:lineTo x="0" y="3362"/>
                      <wp:lineTo x="0" y="17650"/>
                      <wp:lineTo x="5043" y="21012"/>
                      <wp:lineTo x="15969" y="21012"/>
                      <wp:lineTo x="21012" y="17650"/>
                      <wp:lineTo x="21012" y="3362"/>
                      <wp:lineTo x="15969" y="0"/>
                      <wp:lineTo x="5043" y="0"/>
                    </wp:wrapPolygon>
                  </wp:wrapTight>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I.11.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I.11</w:t>
            </w:r>
          </w:p>
        </w:tc>
        <w:tc>
          <w:tcPr>
            <w:tcW w:w="1417" w:type="dxa"/>
            <w:tcBorders>
              <w:left w:val="nil"/>
            </w:tcBorders>
            <w:vAlign w:val="center"/>
            <w:hideMark/>
          </w:tcPr>
          <w:p w:rsidR="00273775" w:rsidRPr="00336531" w:rsidRDefault="00273775" w:rsidP="00670F92">
            <w:pPr>
              <w:pStyle w:val="HStandard"/>
              <w:jc w:val="left"/>
              <w:rPr>
                <w:rFonts w:cs="Arial"/>
                <w:b/>
                <w:color w:val="57825E" w:themeColor="accent4"/>
                <w:sz w:val="16"/>
                <w:szCs w:val="18"/>
              </w:rPr>
            </w:pPr>
            <w:r>
              <w:rPr>
                <w:b/>
                <w:color w:val="57825E" w:themeColor="accent4"/>
                <w:sz w:val="16"/>
              </w:rPr>
              <w:t xml:space="preserve">Kvalita vody </w:t>
            </w: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tcPr>
          <w:p w:rsidR="00273775" w:rsidRPr="001C6ACF" w:rsidRDefault="00273775" w:rsidP="007008C0">
            <w:pPr>
              <w:pStyle w:val="HStandard"/>
              <w:spacing w:line="240" w:lineRule="auto"/>
              <w:jc w:val="center"/>
              <w:rPr>
                <w:rFonts w:cs="Arial"/>
                <w:sz w:val="16"/>
                <w:szCs w:val="18"/>
              </w:rPr>
            </w:pPr>
          </w:p>
        </w:tc>
      </w:tr>
      <w:tr w:rsidR="00515FD4" w:rsidRPr="001C6ACF" w:rsidTr="005F69E8">
        <w:trPr>
          <w:trHeight w:val="1214"/>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ar-SA"/>
              </w:rPr>
              <w:lastRenderedPageBreak/>
              <w:drawing>
                <wp:anchor distT="0" distB="0" distL="114300" distR="114300" simplePos="0" relativeHeight="251715072" behindDoc="1" locked="0" layoutInCell="1" allowOverlap="1" wp14:anchorId="0AE97B71" wp14:editId="3A315845">
                  <wp:simplePos x="0" y="0"/>
                  <wp:positionH relativeFrom="column">
                    <wp:posOffset>33944</wp:posOffset>
                  </wp:positionH>
                  <wp:positionV relativeFrom="paragraph">
                    <wp:posOffset>247650</wp:posOffset>
                  </wp:positionV>
                  <wp:extent cx="489585" cy="489585"/>
                  <wp:effectExtent l="0" t="0" r="5715" b="5715"/>
                  <wp:wrapTight wrapText="bothSides">
                    <wp:wrapPolygon edited="0">
                      <wp:start x="4202" y="0"/>
                      <wp:lineTo x="0" y="840"/>
                      <wp:lineTo x="0" y="21012"/>
                      <wp:lineTo x="21012" y="21012"/>
                      <wp:lineTo x="21012" y="840"/>
                      <wp:lineTo x="16809" y="0"/>
                      <wp:lineTo x="4202"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12.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I.12</w:t>
            </w:r>
          </w:p>
        </w:tc>
        <w:tc>
          <w:tcPr>
            <w:tcW w:w="1417" w:type="dxa"/>
            <w:tcBorders>
              <w:left w:val="nil"/>
            </w:tcBorders>
            <w:vAlign w:val="center"/>
            <w:hideMark/>
          </w:tcPr>
          <w:p w:rsidR="00515FD4" w:rsidRPr="00336531" w:rsidRDefault="00515FD4" w:rsidP="001B04F9">
            <w:pPr>
              <w:pStyle w:val="HStandard"/>
              <w:jc w:val="left"/>
              <w:rPr>
                <w:rFonts w:cs="Arial"/>
                <w:b/>
                <w:color w:val="57825E" w:themeColor="accent4"/>
                <w:sz w:val="16"/>
                <w:szCs w:val="18"/>
              </w:rPr>
            </w:pPr>
            <w:r>
              <w:rPr>
                <w:b/>
                <w:color w:val="57825E" w:themeColor="accent4"/>
                <w:sz w:val="16"/>
              </w:rPr>
              <w:t xml:space="preserve">Produkce obnovitelné energie v zemědělství a lesnictví </w:t>
            </w:r>
          </w:p>
        </w:tc>
        <w:tc>
          <w:tcPr>
            <w:tcW w:w="1701" w:type="dxa"/>
            <w:vAlign w:val="center"/>
            <w:hideMark/>
          </w:tcPr>
          <w:p w:rsidR="00515FD4" w:rsidRPr="001C6ACF" w:rsidRDefault="00FF2060" w:rsidP="007008C0">
            <w:pPr>
              <w:pStyle w:val="HStandard"/>
              <w:spacing w:line="240" w:lineRule="auto"/>
              <w:jc w:val="center"/>
              <w:rPr>
                <w:rFonts w:cs="Arial"/>
                <w:sz w:val="16"/>
                <w:szCs w:val="18"/>
              </w:rPr>
            </w:pPr>
            <w:r>
              <w:rPr>
                <w:sz w:val="16"/>
              </w:rPr>
              <w:t>posouzení organické hmoty v orné půdě na základě půdy v hloubce 0–60 cm</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žádný</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posouzení organické hmoty v půdě </w:t>
            </w:r>
            <w:r>
              <w:rPr>
                <w:rFonts w:cs="Arial"/>
                <w:sz w:val="16"/>
                <w:szCs w:val="18"/>
              </w:rPr>
              <w:br/>
            </w:r>
            <w:r>
              <w:rPr>
                <w:sz w:val="16"/>
              </w:rPr>
              <w:t>na základě programů zjednodušeného monitorování půdy</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posouzení organické hmoty v půdě </w:t>
            </w:r>
            <w:r>
              <w:rPr>
                <w:rFonts w:cs="Arial"/>
                <w:sz w:val="16"/>
                <w:szCs w:val="18"/>
              </w:rPr>
              <w:br/>
            </w:r>
            <w:r>
              <w:rPr>
                <w:sz w:val="16"/>
              </w:rPr>
              <w:t>na základě databáze LUCAS</w:t>
            </w:r>
          </w:p>
        </w:tc>
      </w:tr>
      <w:tr w:rsidR="00515FD4" w:rsidRPr="001C6ACF" w:rsidTr="006A4FC1">
        <w:trPr>
          <w:trHeight w:val="43"/>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6096" behindDoc="1" locked="0" layoutInCell="1" allowOverlap="1" wp14:anchorId="12142E14" wp14:editId="2B387508">
                  <wp:simplePos x="0" y="0"/>
                  <wp:positionH relativeFrom="column">
                    <wp:posOffset>62881</wp:posOffset>
                  </wp:positionH>
                  <wp:positionV relativeFrom="paragraph">
                    <wp:posOffset>198321</wp:posOffset>
                  </wp:positionV>
                  <wp:extent cx="489585" cy="489585"/>
                  <wp:effectExtent l="0" t="0" r="5715" b="5715"/>
                  <wp:wrapTight wrapText="bothSides">
                    <wp:wrapPolygon edited="0">
                      <wp:start x="4202" y="0"/>
                      <wp:lineTo x="0" y="0"/>
                      <wp:lineTo x="0" y="21012"/>
                      <wp:lineTo x="21012" y="21012"/>
                      <wp:lineTo x="21012" y="12607"/>
                      <wp:lineTo x="15969" y="0"/>
                      <wp:lineTo x="420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13.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I.13</w:t>
            </w:r>
          </w:p>
        </w:tc>
        <w:tc>
          <w:tcPr>
            <w:tcW w:w="1417" w:type="dxa"/>
            <w:tcBorders>
              <w:left w:val="nil"/>
            </w:tcBorders>
            <w:vAlign w:val="center"/>
            <w:hideMark/>
          </w:tcPr>
          <w:p w:rsidR="006E3A77" w:rsidRPr="00FB6C06" w:rsidRDefault="00515FD4" w:rsidP="001B04F9">
            <w:pPr>
              <w:pStyle w:val="HStandard"/>
              <w:jc w:val="left"/>
              <w:rPr>
                <w:rFonts w:cs="Arial"/>
                <w:b/>
                <w:color w:val="57825E" w:themeColor="accent4"/>
                <w:sz w:val="16"/>
                <w:szCs w:val="18"/>
              </w:rPr>
            </w:pPr>
            <w:r>
              <w:rPr>
                <w:b/>
                <w:color w:val="57825E" w:themeColor="accent4"/>
                <w:sz w:val="16"/>
              </w:rPr>
              <w:t>Půdní eroze způsobená vodou</w:t>
            </w:r>
          </w:p>
        </w:tc>
        <w:tc>
          <w:tcPr>
            <w:tcW w:w="1701" w:type="dxa"/>
            <w:vAlign w:val="center"/>
            <w:hideMark/>
          </w:tcPr>
          <w:p w:rsidR="00515FD4" w:rsidRPr="00863E73" w:rsidRDefault="00BB68D4" w:rsidP="007008C0">
            <w:pPr>
              <w:pStyle w:val="NormalWeb"/>
              <w:jc w:val="center"/>
              <w:rPr>
                <w:rFonts w:ascii="Arial" w:hAnsi="Arial" w:cs="Arial"/>
                <w:color w:val="373737" w:themeColor="text1"/>
                <w:sz w:val="16"/>
                <w:szCs w:val="18"/>
              </w:rPr>
            </w:pPr>
            <w:r>
              <w:rPr>
                <w:rFonts w:ascii="Arial" w:hAnsi="Arial"/>
                <w:color w:val="373737" w:themeColor="text1"/>
                <w:sz w:val="16"/>
              </w:rPr>
              <w:t>statistické techniky hodnocení</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zobecněné párování podle skóre náchylnosti a prostorová ekonometrie podpořené metodou rozdílu mezi rozdíly</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naivní porovnání s výchozími hodnotami nebo mezi dynamickými skupinami</w:t>
            </w:r>
          </w:p>
        </w:tc>
        <w:tc>
          <w:tcPr>
            <w:tcW w:w="1701" w:type="dxa"/>
            <w:vAlign w:val="center"/>
            <w:hideMark/>
          </w:tcPr>
          <w:p w:rsidR="00B52E11" w:rsidRPr="001C6ACF" w:rsidRDefault="00515FD4" w:rsidP="007008C0">
            <w:pPr>
              <w:pStyle w:val="HStandard"/>
              <w:spacing w:line="240" w:lineRule="auto"/>
              <w:jc w:val="center"/>
              <w:rPr>
                <w:rFonts w:cs="Arial"/>
                <w:sz w:val="16"/>
                <w:szCs w:val="18"/>
              </w:rPr>
            </w:pPr>
            <w:r>
              <w:rPr>
                <w:sz w:val="16"/>
              </w:rPr>
              <w:t>kvantitativní naivní posouzení vztahu mezi prostorovými jednotkami a celostátním průměrem</w:t>
            </w:r>
          </w:p>
          <w:p w:rsidR="00735F08" w:rsidRPr="001C6ACF" w:rsidRDefault="00735F08" w:rsidP="007008C0">
            <w:pPr>
              <w:pStyle w:val="HStandard"/>
              <w:spacing w:line="240" w:lineRule="auto"/>
              <w:jc w:val="center"/>
              <w:rPr>
                <w:rFonts w:cs="Arial"/>
                <w:sz w:val="16"/>
                <w:szCs w:val="18"/>
              </w:rPr>
            </w:pPr>
          </w:p>
        </w:tc>
      </w:tr>
      <w:tr w:rsidR="00515FD4" w:rsidRPr="001C6ACF" w:rsidTr="00670F92">
        <w:trPr>
          <w:trHeight w:val="255"/>
        </w:trPr>
        <w:tc>
          <w:tcPr>
            <w:tcW w:w="9209" w:type="dxa"/>
            <w:gridSpan w:val="6"/>
            <w:tcBorders>
              <w:top w:val="single" w:sz="4" w:space="0" w:color="FFFFFF" w:themeColor="background1"/>
            </w:tcBorders>
            <w:shd w:val="clear" w:color="auto" w:fill="59638E" w:themeFill="accent3"/>
            <w:hideMark/>
          </w:tcPr>
          <w:p w:rsidR="00515FD4" w:rsidRPr="001C6ACF" w:rsidRDefault="00515FD4" w:rsidP="007008C0">
            <w:pPr>
              <w:pStyle w:val="HStandard"/>
              <w:spacing w:line="240" w:lineRule="auto"/>
              <w:rPr>
                <w:bCs/>
                <w:color w:val="FFFFFF" w:themeColor="background1"/>
                <w:sz w:val="16"/>
              </w:rPr>
            </w:pPr>
            <w:r>
              <w:rPr>
                <w:color w:val="FFFFFF" w:themeColor="background1"/>
                <w:sz w:val="16"/>
              </w:rPr>
              <w:t>Sociální a ekonomické dopady</w:t>
            </w:r>
          </w:p>
        </w:tc>
      </w:tr>
      <w:tr w:rsidR="00515FD4" w:rsidRPr="001C6ACF" w:rsidTr="005F69E8">
        <w:trPr>
          <w:trHeight w:val="1189"/>
        </w:trPr>
        <w:tc>
          <w:tcPr>
            <w:tcW w:w="988" w:type="dxa"/>
            <w:tcBorders>
              <w:right w:val="nil"/>
            </w:tcBorders>
            <w:hideMark/>
          </w:tcPr>
          <w:p w:rsidR="00515FD4" w:rsidRPr="00571D58" w:rsidRDefault="00515FD4" w:rsidP="00B91C1E">
            <w:pPr>
              <w:pStyle w:val="HStandard"/>
              <w:jc w:val="center"/>
              <w:rPr>
                <w:b/>
                <w:bCs/>
                <w:color w:val="59638E" w:themeColor="accent3"/>
              </w:rPr>
            </w:pPr>
            <w:r>
              <w:rPr>
                <w:b/>
                <w:bCs/>
                <w:noProof/>
                <w:color w:val="59638E" w:themeColor="accent3"/>
                <w:lang w:val="en-GB" w:eastAsia="en-GB" w:bidi="ar-SA"/>
              </w:rPr>
              <w:drawing>
                <wp:anchor distT="0" distB="0" distL="114300" distR="114300" simplePos="0" relativeHeight="251717120" behindDoc="1" locked="0" layoutInCell="1" allowOverlap="1" wp14:anchorId="2FEE7D7D" wp14:editId="6B50E61F">
                  <wp:simplePos x="0" y="0"/>
                  <wp:positionH relativeFrom="column">
                    <wp:posOffset>11414</wp:posOffset>
                  </wp:positionH>
                  <wp:positionV relativeFrom="paragraph">
                    <wp:posOffset>184351</wp:posOffset>
                  </wp:positionV>
                  <wp:extent cx="489585" cy="489585"/>
                  <wp:effectExtent l="0" t="0" r="5715" b="5715"/>
                  <wp:wrapTight wrapText="bothSides">
                    <wp:wrapPolygon edited="0">
                      <wp:start x="2521" y="0"/>
                      <wp:lineTo x="0" y="7564"/>
                      <wp:lineTo x="0" y="21012"/>
                      <wp:lineTo x="20171" y="21012"/>
                      <wp:lineTo x="21012" y="15969"/>
                      <wp:lineTo x="21012" y="13447"/>
                      <wp:lineTo x="9245" y="0"/>
                      <wp:lineTo x="2521" y="0"/>
                    </wp:wrapPolygon>
                  </wp:wrapTight>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14.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9638E" w:themeColor="accent3"/>
              </w:rPr>
              <w:t>I.14</w:t>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 xml:space="preserve">Míra zaměstnanosti ve venkovských oblastech </w:t>
            </w:r>
          </w:p>
        </w:tc>
        <w:tc>
          <w:tcPr>
            <w:tcW w:w="1701" w:type="dxa"/>
            <w:vMerge w:val="restart"/>
            <w:vAlign w:val="center"/>
            <w:hideMark/>
          </w:tcPr>
          <w:p w:rsidR="00515FD4" w:rsidRPr="00FB6C06" w:rsidRDefault="00515FD4" w:rsidP="007008C0">
            <w:pPr>
              <w:pStyle w:val="HStandard"/>
              <w:spacing w:line="240" w:lineRule="auto"/>
              <w:jc w:val="center"/>
              <w:rPr>
                <w:sz w:val="16"/>
                <w:szCs w:val="18"/>
              </w:rPr>
            </w:pPr>
            <w:r>
              <w:rPr>
                <w:sz w:val="16"/>
              </w:rPr>
              <w:t>žádný</w:t>
            </w:r>
          </w:p>
        </w:tc>
        <w:tc>
          <w:tcPr>
            <w:tcW w:w="1701" w:type="dxa"/>
            <w:vMerge w:val="restart"/>
            <w:vAlign w:val="center"/>
            <w:hideMark/>
          </w:tcPr>
          <w:p w:rsidR="00515FD4" w:rsidRPr="001C6ACF" w:rsidRDefault="00515FD4" w:rsidP="007008C0">
            <w:pPr>
              <w:pStyle w:val="HStandard"/>
              <w:spacing w:line="240" w:lineRule="auto"/>
              <w:jc w:val="center"/>
              <w:rPr>
                <w:sz w:val="16"/>
                <w:szCs w:val="18"/>
              </w:rPr>
            </w:pPr>
            <w:r>
              <w:rPr>
                <w:sz w:val="16"/>
              </w:rPr>
              <w:t xml:space="preserve">rekurzivně dynamický model všeobecné rovnováhy </w:t>
            </w:r>
            <w:r>
              <w:rPr>
                <w:sz w:val="16"/>
                <w:szCs w:val="18"/>
              </w:rPr>
              <w:br/>
            </w:r>
            <w:r>
              <w:rPr>
                <w:sz w:val="16"/>
                <w:szCs w:val="18"/>
              </w:rPr>
              <w:br/>
            </w:r>
            <w:r>
              <w:rPr>
                <w:sz w:val="16"/>
              </w:rPr>
              <w:t>párování podle skóre náchylnosti a zobecněné párování podle skóre náchylnosti</w:t>
            </w:r>
          </w:p>
        </w:tc>
        <w:tc>
          <w:tcPr>
            <w:tcW w:w="1701" w:type="dxa"/>
            <w:vMerge w:val="restart"/>
            <w:noWrap/>
            <w:vAlign w:val="center"/>
            <w:hideMark/>
          </w:tcPr>
          <w:p w:rsidR="00515FD4" w:rsidRPr="001C6ACF" w:rsidRDefault="00515FD4" w:rsidP="007008C0">
            <w:pPr>
              <w:pStyle w:val="HStandard"/>
              <w:spacing w:line="240" w:lineRule="auto"/>
              <w:jc w:val="center"/>
              <w:rPr>
                <w:sz w:val="16"/>
                <w:szCs w:val="18"/>
              </w:rPr>
            </w:pPr>
            <w:r>
              <w:rPr>
                <w:sz w:val="16"/>
              </w:rPr>
              <w:t>žádný</w:t>
            </w:r>
          </w:p>
        </w:tc>
        <w:tc>
          <w:tcPr>
            <w:tcW w:w="1701" w:type="dxa"/>
            <w:vMerge w:val="restart"/>
            <w:vAlign w:val="center"/>
            <w:hideMark/>
          </w:tcPr>
          <w:p w:rsidR="00515FD4" w:rsidRPr="001C6ACF" w:rsidRDefault="00515FD4" w:rsidP="007008C0">
            <w:pPr>
              <w:pStyle w:val="HStandard"/>
              <w:spacing w:line="240" w:lineRule="auto"/>
              <w:jc w:val="center"/>
              <w:rPr>
                <w:sz w:val="16"/>
                <w:szCs w:val="18"/>
              </w:rPr>
            </w:pPr>
            <w:r>
              <w:rPr>
                <w:sz w:val="16"/>
              </w:rPr>
              <w:t>analýza vstupů a výstupů</w:t>
            </w:r>
          </w:p>
          <w:p w:rsidR="00186FCF" w:rsidRPr="001C6ACF" w:rsidRDefault="00186FCF" w:rsidP="007008C0">
            <w:pPr>
              <w:pStyle w:val="HStandard"/>
              <w:spacing w:line="240" w:lineRule="auto"/>
              <w:jc w:val="center"/>
              <w:rPr>
                <w:sz w:val="16"/>
                <w:szCs w:val="18"/>
              </w:rPr>
            </w:pPr>
            <w:r>
              <w:rPr>
                <w:sz w:val="16"/>
              </w:rPr>
              <w:t>(podpořená kvalitativní analýzou)</w:t>
            </w:r>
          </w:p>
        </w:tc>
      </w:tr>
      <w:tr w:rsidR="00515FD4" w:rsidRPr="001C6ACF" w:rsidTr="005F69E8">
        <w:trPr>
          <w:trHeight w:val="1405"/>
        </w:trPr>
        <w:tc>
          <w:tcPr>
            <w:tcW w:w="988" w:type="dxa"/>
            <w:tcBorders>
              <w:right w:val="nil"/>
            </w:tcBorders>
            <w:hideMark/>
          </w:tcPr>
          <w:p w:rsidR="00515FD4" w:rsidRPr="00571D58" w:rsidRDefault="00515FD4" w:rsidP="00B91C1E">
            <w:pPr>
              <w:pStyle w:val="HStandard"/>
              <w:jc w:val="center"/>
              <w:rPr>
                <w:b/>
                <w:bCs/>
                <w:color w:val="59638E" w:themeColor="accent3"/>
              </w:rPr>
            </w:pPr>
            <w:r>
              <w:rPr>
                <w:b/>
                <w:color w:val="59638E" w:themeColor="accent3"/>
              </w:rPr>
              <w:t>I.15</w:t>
            </w:r>
            <w:r>
              <w:rPr>
                <w:b/>
                <w:bCs/>
                <w:noProof/>
                <w:color w:val="59638E" w:themeColor="accent3"/>
                <w:lang w:val="en-GB" w:eastAsia="en-GB" w:bidi="ar-SA"/>
              </w:rPr>
              <w:drawing>
                <wp:inline distT="0" distB="0" distL="0" distR="0" wp14:anchorId="19991891" wp14:editId="21503C55">
                  <wp:extent cx="490220" cy="490220"/>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1-feeding_Blue.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90220" cy="490220"/>
                          </a:xfrm>
                          <a:prstGeom prst="rect">
                            <a:avLst/>
                          </a:prstGeom>
                        </pic:spPr>
                      </pic:pic>
                    </a:graphicData>
                  </a:graphic>
                </wp:inline>
              </w:drawing>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Míra chudoby ve venkovských oblastech</w:t>
            </w: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r>
      <w:tr w:rsidR="00515FD4" w:rsidRPr="001C6ACF" w:rsidTr="005F69E8">
        <w:trPr>
          <w:trHeight w:val="1413"/>
        </w:trPr>
        <w:tc>
          <w:tcPr>
            <w:tcW w:w="988" w:type="dxa"/>
            <w:tcBorders>
              <w:right w:val="nil"/>
            </w:tcBorders>
            <w:hideMark/>
          </w:tcPr>
          <w:p w:rsidR="00515FD4" w:rsidRPr="00571D58" w:rsidRDefault="00515FD4" w:rsidP="00B91C1E">
            <w:pPr>
              <w:pStyle w:val="HStandard"/>
              <w:jc w:val="center"/>
              <w:rPr>
                <w:b/>
                <w:bCs/>
                <w:color w:val="59638E" w:themeColor="accent3"/>
              </w:rPr>
            </w:pPr>
            <w:r>
              <w:rPr>
                <w:b/>
                <w:bCs/>
                <w:noProof/>
                <w:color w:val="59638E" w:themeColor="accent3"/>
                <w:lang w:val="en-GB" w:eastAsia="en-GB" w:bidi="ar-SA"/>
              </w:rPr>
              <w:drawing>
                <wp:anchor distT="0" distB="0" distL="114300" distR="114300" simplePos="0" relativeHeight="251719168" behindDoc="1" locked="0" layoutInCell="1" allowOverlap="1" wp14:anchorId="1E275190" wp14:editId="6570BC21">
                  <wp:simplePos x="0" y="0"/>
                  <wp:positionH relativeFrom="column">
                    <wp:posOffset>63500</wp:posOffset>
                  </wp:positionH>
                  <wp:positionV relativeFrom="paragraph">
                    <wp:posOffset>224139</wp:posOffset>
                  </wp:positionV>
                  <wp:extent cx="489600" cy="489600"/>
                  <wp:effectExtent l="0" t="0" r="5715" b="5715"/>
                  <wp:wrapTight wrapText="bothSides">
                    <wp:wrapPolygon edited="0">
                      <wp:start x="0" y="0"/>
                      <wp:lineTo x="0" y="21012"/>
                      <wp:lineTo x="21012" y="21012"/>
                      <wp:lineTo x="21012" y="0"/>
                      <wp:lineTo x="0" y="0"/>
                    </wp:wrapPolygon>
                  </wp:wrapTight>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007-nail.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Pr>
                <w:b/>
                <w:color w:val="59638E" w:themeColor="accent3"/>
              </w:rPr>
              <w:t>I.16</w:t>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 xml:space="preserve">HDP na obyvatele ve venkovských oblastech </w:t>
            </w: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r>
    </w:tbl>
    <w:p w:rsidR="00186FCF" w:rsidRPr="001C6ACF" w:rsidRDefault="00186FCF" w:rsidP="00186FCF">
      <w:pPr>
        <w:pStyle w:val="HStandard"/>
        <w:rPr>
          <w:rFonts w:cs="Arial"/>
        </w:rPr>
      </w:pPr>
    </w:p>
    <w:p w:rsidR="00186FCF" w:rsidRPr="001C6ACF" w:rsidRDefault="00186FCF" w:rsidP="00186FCF">
      <w:pPr>
        <w:pStyle w:val="HStandard"/>
        <w:rPr>
          <w:rFonts w:cs="Arial"/>
        </w:rPr>
      </w:pPr>
      <w:r>
        <w:t xml:space="preserve">Tabulka uvádí ke každému z ukazatelů dopadů v pilíři II SZP přehled doporučených přístupů k hodnocení, které se uplatňují při posuzování na mikro- a makroekonomické úrovni. Tyto přístupy jsou podrobněji popsány v kapitolách 2.2–2.9 pokynů a v technické příloze. </w:t>
      </w:r>
    </w:p>
    <w:p w:rsidR="00186FCF" w:rsidRPr="001C6ACF" w:rsidRDefault="00186FCF"/>
    <w:p w:rsidR="008D4934" w:rsidRPr="00571D58" w:rsidRDefault="000B213F" w:rsidP="00B34DDC">
      <w:pPr>
        <w:pStyle w:val="HStandard"/>
        <w:jc w:val="center"/>
      </w:pPr>
      <w:bookmarkStart w:id="0" w:name="_GoBack"/>
      <w:r>
        <w:rPr>
          <w:b/>
          <w:i/>
          <w:noProof/>
          <w:color w:val="F07E31" w:themeColor="accent1"/>
          <w:lang w:val="en-GB" w:eastAsia="en-GB" w:bidi="ar-SA"/>
        </w:rPr>
        <w:lastRenderedPageBreak/>
        <mc:AlternateContent>
          <mc:Choice Requires="wps">
            <w:drawing>
              <wp:inline distT="0" distB="0" distL="0" distR="0" wp14:anchorId="30EE2E62" wp14:editId="3C762AC3">
                <wp:extent cx="5819775" cy="2623457"/>
                <wp:effectExtent l="0" t="0" r="28575" b="24765"/>
                <wp:docPr id="89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9775" cy="2623457"/>
                        </a:xfrm>
                        <a:custGeom>
                          <a:avLst/>
                          <a:gdLst>
                            <a:gd name="T0" fmla="*/ 157545 w 5819775"/>
                            <a:gd name="T1" fmla="*/ 0 h 1804016"/>
                            <a:gd name="T2" fmla="*/ 5819775 w 5819775"/>
                            <a:gd name="T3" fmla="*/ 0 h 1804016"/>
                            <a:gd name="T4" fmla="*/ 5819775 w 5819775"/>
                            <a:gd name="T5" fmla="*/ 0 h 1804016"/>
                            <a:gd name="T6" fmla="*/ 5819775 w 5819775"/>
                            <a:gd name="T7" fmla="*/ 1646471 h 1804016"/>
                            <a:gd name="T8" fmla="*/ 5662230 w 5819775"/>
                            <a:gd name="T9" fmla="*/ 1804016 h 1804016"/>
                            <a:gd name="T10" fmla="*/ 0 w 5819775"/>
                            <a:gd name="T11" fmla="*/ 1804016 h 1804016"/>
                            <a:gd name="T12" fmla="*/ 0 w 5819775"/>
                            <a:gd name="T13" fmla="*/ 1804016 h 1804016"/>
                            <a:gd name="T14" fmla="*/ 0 w 5819775"/>
                            <a:gd name="T15" fmla="*/ 157545 h 1804016"/>
                            <a:gd name="T16" fmla="*/ 157545 w 5819775"/>
                            <a:gd name="T17" fmla="*/ 0 h 18040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819775"/>
                            <a:gd name="T28" fmla="*/ 0 h 1804016"/>
                            <a:gd name="T29" fmla="*/ 5819775 w 5819775"/>
                            <a:gd name="T30" fmla="*/ 1804016 h 180401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819775" h="1804016">
                              <a:moveTo>
                                <a:pt x="157545" y="0"/>
                              </a:moveTo>
                              <a:lnTo>
                                <a:pt x="5819775" y="0"/>
                              </a:lnTo>
                              <a:lnTo>
                                <a:pt x="5819775" y="1646471"/>
                              </a:lnTo>
                              <a:cubicBezTo>
                                <a:pt x="5819775" y="1733481"/>
                                <a:pt x="5749240" y="1804016"/>
                                <a:pt x="5662230" y="1804016"/>
                              </a:cubicBezTo>
                              <a:lnTo>
                                <a:pt x="0" y="1804016"/>
                              </a:lnTo>
                              <a:lnTo>
                                <a:pt x="0" y="157545"/>
                              </a:lnTo>
                              <a:cubicBezTo>
                                <a:pt x="0" y="70535"/>
                                <a:pt x="70535" y="0"/>
                                <a:pt x="157545"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8F1326" w:rsidRPr="00D43E45" w:rsidRDefault="008F1326" w:rsidP="00EC01C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282A1A0F" wp14:editId="723689F0">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Přístupy k hodnocení</w:t>
                            </w:r>
                            <w:r>
                              <w:rPr>
                                <w:b w:val="0"/>
                                <w:color w:val="373737" w:themeColor="text1"/>
                              </w:rPr>
                              <w:t xml:space="preserve"> popisované v pokynech představují jen příklady možností. Jsou i jiné možnosti. V zájmu výběru nejlepší možnosti pro shromáždění spolehlivých podkladů a s ohledem na </w:t>
                            </w:r>
                            <w:r>
                              <w:rPr>
                                <w:color w:val="373737" w:themeColor="text1"/>
                              </w:rPr>
                              <w:t>stav PRV</w:t>
                            </w:r>
                            <w:r>
                              <w:rPr>
                                <w:b w:val="0"/>
                                <w:color w:val="373737" w:themeColor="text1"/>
                              </w:rPr>
                              <w:t xml:space="preserve"> mohou hodnotitelé zvolit i jiné přístupy k hodnocení dopadů PRV, přičemž je třeba zohlednit:</w:t>
                            </w:r>
                          </w:p>
                          <w:p w:rsidR="008F1326" w:rsidRPr="00D43E45" w:rsidRDefault="008F1326" w:rsidP="00EC01C3">
                            <w:pPr>
                              <w:pStyle w:val="Hlistbullet"/>
                              <w:rPr>
                                <w:i/>
                                <w:sz w:val="18"/>
                              </w:rPr>
                            </w:pPr>
                            <w:r>
                              <w:t xml:space="preserve">velikost PRV, </w:t>
                            </w:r>
                          </w:p>
                          <w:p w:rsidR="008F1326" w:rsidRPr="00D43E45" w:rsidRDefault="008F1326" w:rsidP="00EC01C3">
                            <w:pPr>
                              <w:pStyle w:val="Hlistbullet"/>
                              <w:rPr>
                                <w:i/>
                                <w:sz w:val="18"/>
                              </w:rPr>
                            </w:pPr>
                            <w:r>
                              <w:t xml:space="preserve">míru využívání PRV, </w:t>
                            </w:r>
                          </w:p>
                          <w:p w:rsidR="008F1326" w:rsidRPr="00D43E45" w:rsidRDefault="008F1326" w:rsidP="00EC01C3">
                            <w:pPr>
                              <w:pStyle w:val="Hlistbullet"/>
                              <w:rPr>
                                <w:i/>
                                <w:sz w:val="18"/>
                              </w:rPr>
                            </w:pPr>
                            <w:r>
                              <w:t>dostupnost a kvalitu údajů pro hodnocení.</w:t>
                            </w:r>
                          </w:p>
                          <w:p w:rsidR="008F1326" w:rsidRPr="00E53246" w:rsidRDefault="008F1326" w:rsidP="00EC01C3">
                            <w:pPr>
                              <w:pStyle w:val="HHeading4"/>
                              <w:spacing w:before="0"/>
                              <w:jc w:val="both"/>
                              <w:rPr>
                                <w:b w:val="0"/>
                                <w:color w:val="373737" w:themeColor="text1"/>
                              </w:rPr>
                            </w:pPr>
                            <w:r>
                              <w:rPr>
                                <w:b w:val="0"/>
                                <w:color w:val="373737" w:themeColor="text1"/>
                              </w:rPr>
                              <w:t>Logické modely představené v těchto pokynech by měly hodnotitelům posloužit jako užitečné nástroje při zjišťování možností hodnocení v příslušných reálných podmínkách.</w:t>
                            </w:r>
                          </w:p>
                        </w:txbxContent>
                      </wps:txbx>
                      <wps:bodyPr rot="0" vert="horz" wrap="square" lIns="91440" tIns="45720" rIns="91440" bIns="45720" anchor="ctr" anchorCtr="0" upright="1">
                        <a:noAutofit/>
                      </wps:bodyPr>
                    </wps:wsp>
                  </a:graphicData>
                </a:graphic>
              </wp:inline>
            </w:drawing>
          </mc:Choice>
          <mc:Fallback>
            <w:pict>
              <v:shape w14:anchorId="30EE2E62" id="AutoShape 61" o:spid="_x0000_s1041" style="width:458.25pt;height:206.55pt;visibility:visible;mso-wrap-style:square;mso-left-percent:-10001;mso-top-percent:-10001;mso-position-horizontal:absolute;mso-position-horizontal-relative:char;mso-position-vertical:absolute;mso-position-vertical-relative:line;mso-left-percent:-10001;mso-top-percent:-10001;v-text-anchor:middle" coordsize="5819775,18040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" adj="-11796480,,5400" path="m157545,l5819775,r,1646471c5819775,1733481,5749240,1804016,5662230,1804016l,1804016,,157545c,70535,70535,,157545,xe" filled="f" strokecolor="#be4a35" strokeweight="2pt">
                <v:stroke joinstyle="miter"/>
                <v:formulas/>
                <v:path arrowok="t" o:connecttype="custom" o:connectlocs="157545,0;5819775,0;5819775,0;5819775,2394350;5662230,2623457;0,2623457;0,2623457;0,229107;157545,0" o:connectangles="0,0,0,0,0,0,0,0,0" textboxrect="0,0,5819775,1804016"/>
                <v:textbox>
                  <w:txbxContent>
                    <w:p w:rsidR="008F1326" w:rsidRPr="00D43E45" w:rsidRDefault="008F1326" w:rsidP="00EC01C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282A1A0F" wp14:editId="723689F0">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Přístupy k hodnocení</w:t>
                      </w:r>
                      <w:r>
                        <w:rPr>
                          <w:b w:val="0"/>
                          <w:color w:val="373737" w:themeColor="text1"/>
                        </w:rPr>
                        <w:t xml:space="preserve"> popisované v pokynech představují jen příklady možností. Jsou i jiné možnosti. V zájmu výběru nejlepší možnosti pro shromáždění spolehlivých podkladů a s ohledem na </w:t>
                      </w:r>
                      <w:r>
                        <w:rPr>
                          <w:color w:val="373737" w:themeColor="text1"/>
                        </w:rPr>
                        <w:t>stav PRV</w:t>
                      </w:r>
                      <w:r>
                        <w:rPr>
                          <w:b w:val="0"/>
                          <w:color w:val="373737" w:themeColor="text1"/>
                        </w:rPr>
                        <w:t xml:space="preserve"> mohou hodnotitelé zvolit i jiné přístupy k hodnocení dopadů PRV, přičemž je třeba zohlednit:</w:t>
                      </w:r>
                    </w:p>
                    <w:p w:rsidR="008F1326" w:rsidRPr="00D43E45" w:rsidRDefault="008F1326" w:rsidP="00EC01C3">
                      <w:pPr>
                        <w:pStyle w:val="Hlistbullet"/>
                        <w:rPr>
                          <w:i/>
                          <w:sz w:val="18"/>
                        </w:rPr>
                      </w:pPr>
                      <w:r>
                        <w:t xml:space="preserve">velikost PRV, </w:t>
                      </w:r>
                    </w:p>
                    <w:p w:rsidR="008F1326" w:rsidRPr="00D43E45" w:rsidRDefault="008F1326" w:rsidP="00EC01C3">
                      <w:pPr>
                        <w:pStyle w:val="Hlistbullet"/>
                        <w:rPr>
                          <w:i/>
                          <w:sz w:val="18"/>
                        </w:rPr>
                      </w:pPr>
                      <w:r>
                        <w:t xml:space="preserve">míru využívání PRV, </w:t>
                      </w:r>
                    </w:p>
                    <w:p w:rsidR="008F1326" w:rsidRPr="00D43E45" w:rsidRDefault="008F1326" w:rsidP="00EC01C3">
                      <w:pPr>
                        <w:pStyle w:val="Hlistbullet"/>
                        <w:rPr>
                          <w:i/>
                          <w:sz w:val="18"/>
                        </w:rPr>
                      </w:pPr>
                      <w:r>
                        <w:t>dostupnost a kvalitu údajů pro hodnocení.</w:t>
                      </w:r>
                    </w:p>
                    <w:p w:rsidR="008F1326" w:rsidRPr="00E53246" w:rsidRDefault="008F1326" w:rsidP="00EC01C3">
                      <w:pPr>
                        <w:pStyle w:val="HHeading4"/>
                        <w:spacing w:before="0"/>
                        <w:jc w:val="both"/>
                        <w:rPr>
                          <w:b w:val="0"/>
                          <w:color w:val="373737" w:themeColor="text1"/>
                        </w:rPr>
                      </w:pPr>
                      <w:r>
                        <w:rPr>
                          <w:b w:val="0"/>
                          <w:color w:val="373737" w:themeColor="text1"/>
                        </w:rPr>
                        <w:t>Logické modely představené v těchto pokynech by měly hodnotitelům posloužit jako užitečné nástroje při zjišťování možností hodnocení v příslušných reálných podmínkách.</w:t>
                      </w:r>
                    </w:p>
                  </w:txbxContent>
                </v:textbox>
                <w10:anchorlock/>
              </v:shape>
            </w:pict>
          </mc:Fallback>
        </mc:AlternateContent>
      </w:r>
      <w:bookmarkEnd w:id="0"/>
    </w:p>
    <w:p w:rsidR="003F30B5" w:rsidRDefault="003F30B5">
      <w:pPr>
        <w:spacing w:before="0" w:after="0" w:line="240" w:lineRule="auto"/>
        <w:jc w:val="left"/>
        <w:rPr>
          <w:color w:val="373737" w:themeColor="text1"/>
          <w:sz w:val="20"/>
          <w:szCs w:val="20"/>
        </w:rPr>
      </w:pPr>
    </w:p>
    <w:sectPr w:rsidR="003F30B5" w:rsidSect="005F79DE">
      <w:headerReference w:type="default" r:id="rId67"/>
      <w:pgSz w:w="11906" w:h="16838" w:code="9"/>
      <w:pgMar w:top="1440" w:right="1440" w:bottom="1134" w:left="1440" w:header="567"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4973" w:rsidRDefault="00CC4973">
      <w:pPr>
        <w:spacing w:before="0" w:after="0" w:line="240" w:lineRule="auto"/>
      </w:pPr>
      <w:r>
        <w:separator/>
      </w:r>
    </w:p>
  </w:endnote>
  <w:endnote w:type="continuationSeparator" w:id="0">
    <w:p w:rsidR="00CC4973" w:rsidRDefault="00CC497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2427707"/>
      <w:docPartObj>
        <w:docPartGallery w:val="Page Numbers (Bottom of Page)"/>
        <w:docPartUnique/>
      </w:docPartObj>
    </w:sdtPr>
    <w:sdtEndPr>
      <w:rPr>
        <w:noProof/>
      </w:rPr>
    </w:sdtEndPr>
    <w:sdtContent>
      <w:p w:rsidR="008F1326" w:rsidRDefault="008F1326">
        <w:pPr>
          <w:pStyle w:val="Footer"/>
        </w:pPr>
        <w:r>
          <w:fldChar w:fldCharType="begin"/>
        </w:r>
        <w:r>
          <w:instrText xml:space="preserve"> PAGE   \* MERGEFORMAT </w:instrText>
        </w:r>
        <w:r>
          <w:fldChar w:fldCharType="separate"/>
        </w:r>
        <w:r w:rsidR="00C938B1">
          <w:rPr>
            <w:noProof/>
          </w:rPr>
          <w:t>1</w:t>
        </w:r>
        <w:r>
          <w:rPr>
            <w:noProof/>
          </w:rPr>
          <w:fldChar w:fldCharType="end"/>
        </w:r>
      </w:p>
    </w:sdtContent>
  </w:sdt>
  <w:p w:rsidR="008F1326" w:rsidRDefault="008F13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1326" w:rsidRDefault="008F1326">
    <w:pPr>
      <w:pStyle w:val="Footer"/>
    </w:pPr>
  </w:p>
  <w:p w:rsidR="008F1326" w:rsidRDefault="008F13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635045"/>
      <w:docPartObj>
        <w:docPartGallery w:val="Page Numbers (Bottom of Page)"/>
        <w:docPartUnique/>
      </w:docPartObj>
    </w:sdtPr>
    <w:sdtEndPr>
      <w:rPr>
        <w:noProof/>
      </w:rPr>
    </w:sdtEndPr>
    <w:sdtContent>
      <w:p w:rsidR="008F1326" w:rsidRDefault="008F1326">
        <w:pPr>
          <w:pStyle w:val="Footer"/>
        </w:pPr>
        <w:r>
          <w:fldChar w:fldCharType="begin"/>
        </w:r>
        <w:r>
          <w:instrText xml:space="preserve"> PAGE   \* MERGEFORMAT </w:instrText>
        </w:r>
        <w:r>
          <w:fldChar w:fldCharType="separate"/>
        </w:r>
        <w:r w:rsidR="00C938B1">
          <w:rPr>
            <w:noProof/>
          </w:rPr>
          <w:t>12</w:t>
        </w:r>
        <w:r>
          <w:rPr>
            <w:noProof/>
          </w:rPr>
          <w:fldChar w:fldCharType="end"/>
        </w:r>
      </w:p>
    </w:sdtContent>
  </w:sdt>
  <w:p w:rsidR="008F1326" w:rsidRDefault="008F13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0787632"/>
      <w:docPartObj>
        <w:docPartGallery w:val="Page Numbers (Bottom of Page)"/>
        <w:docPartUnique/>
      </w:docPartObj>
    </w:sdtPr>
    <w:sdtEndPr>
      <w:rPr>
        <w:noProof/>
      </w:rPr>
    </w:sdtEndPr>
    <w:sdtContent>
      <w:p w:rsidR="008F1326" w:rsidRDefault="008F1326">
        <w:pPr>
          <w:pStyle w:val="Footer"/>
        </w:pPr>
        <w:r>
          <w:fldChar w:fldCharType="begin"/>
        </w:r>
        <w:r>
          <w:instrText xml:space="preserve"> PAGE   \* MERGEFORMAT </w:instrText>
        </w:r>
        <w:r>
          <w:fldChar w:fldCharType="separate"/>
        </w:r>
        <w:r w:rsidR="00C938B1">
          <w:rPr>
            <w:noProof/>
          </w:rPr>
          <w:t>1</w:t>
        </w:r>
        <w:r>
          <w:rPr>
            <w:noProof/>
          </w:rPr>
          <w:fldChar w:fldCharType="end"/>
        </w:r>
      </w:p>
    </w:sdtContent>
  </w:sdt>
  <w:p w:rsidR="008F1326" w:rsidRDefault="008F13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4973" w:rsidRPr="005B2AAC" w:rsidRDefault="00CC4973">
      <w:pPr>
        <w:spacing w:before="0" w:after="0" w:line="240" w:lineRule="auto"/>
        <w:rPr>
          <w:color w:val="F07E31" w:themeColor="accent1"/>
        </w:rPr>
      </w:pPr>
      <w:r>
        <w:rPr>
          <w:color w:val="F07E31" w:themeColor="accent1"/>
        </w:rPr>
        <w:separator/>
      </w:r>
    </w:p>
  </w:footnote>
  <w:footnote w:type="continuationSeparator" w:id="0">
    <w:p w:rsidR="00CC4973" w:rsidRDefault="00CC4973">
      <w:pPr>
        <w:spacing w:before="0" w:after="0" w:line="240" w:lineRule="auto"/>
      </w:pPr>
      <w:r>
        <w:continuationSeparator/>
      </w:r>
    </w:p>
  </w:footnote>
  <w:footnote w:id="1">
    <w:p w:rsidR="008F1326" w:rsidRPr="003563F4" w:rsidRDefault="008F132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Článek 54 a čl. 56 odst. 3 nařízení (EU) č. 1303/2013.</w:t>
      </w:r>
    </w:p>
  </w:footnote>
  <w:footnote w:id="2">
    <w:p w:rsidR="008F1326" w:rsidRPr="00E53246" w:rsidRDefault="008F1326" w:rsidP="00CD63F6">
      <w:pPr>
        <w:pStyle w:val="FootnoteText"/>
      </w:pPr>
      <w:r>
        <w:rPr>
          <w:rStyle w:val="FootnoteReference"/>
          <w:color w:val="878787" w:themeColor="text2" w:themeTint="99"/>
        </w:rPr>
        <w:footnoteRef/>
      </w:r>
      <w:r>
        <w:rPr>
          <w:color w:val="878787" w:themeColor="text2" w:themeTint="99"/>
        </w:rPr>
        <w:t xml:space="preserve"> Příloha VII nařízení (EU) č. 808/2014.</w:t>
      </w:r>
    </w:p>
  </w:footnote>
  <w:footnote w:id="3">
    <w:p w:rsidR="008F1326" w:rsidRPr="003563F4" w:rsidRDefault="008F1326" w:rsidP="001C2076">
      <w:pPr>
        <w:pStyle w:val="FootnoteText"/>
        <w:rPr>
          <w:color w:val="878787" w:themeColor="text2" w:themeTint="99"/>
        </w:rPr>
      </w:pPr>
      <w:r>
        <w:rPr>
          <w:color w:val="878787" w:themeColor="text2" w:themeTint="99"/>
          <w:vertAlign w:val="superscript"/>
        </w:rPr>
        <w:footnoteRef/>
      </w:r>
      <w:r>
        <w:rPr>
          <w:color w:val="878787" w:themeColor="text2" w:themeTint="99"/>
        </w:rPr>
        <w:t xml:space="preserve"> Článek 75 </w:t>
      </w:r>
      <w:hyperlink r:id="rId1">
        <w:r>
          <w:rPr>
            <w:color w:val="878787" w:themeColor="text2" w:themeTint="99"/>
          </w:rPr>
          <w:t>nařízení (EU) č. 1305/2013</w:t>
        </w:r>
      </w:hyperlink>
      <w:r>
        <w:rPr>
          <w:color w:val="878787" w:themeColor="text2" w:themeTint="99"/>
        </w:rPr>
        <w:t>.</w:t>
      </w:r>
    </w:p>
  </w:footnote>
  <w:footnote w:id="4">
    <w:p w:rsidR="008F1326" w:rsidRPr="003563F4" w:rsidRDefault="008F1326" w:rsidP="00BA41C1">
      <w:pPr>
        <w:pStyle w:val="FootnoteText"/>
        <w:rPr>
          <w:color w:val="878787" w:themeColor="text2" w:themeTint="99"/>
        </w:rPr>
      </w:pPr>
      <w:r>
        <w:rPr>
          <w:color w:val="878787" w:themeColor="text2" w:themeTint="99"/>
          <w:vertAlign w:val="superscript"/>
        </w:rPr>
        <w:footnoteRef/>
      </w:r>
      <w:r>
        <w:rPr>
          <w:color w:val="878787" w:themeColor="text2" w:themeTint="99"/>
          <w:vertAlign w:val="superscript"/>
        </w:rPr>
        <w:t xml:space="preserve"> </w:t>
      </w:r>
      <w:hyperlink r:id="rId2">
        <w:r>
          <w:rPr>
            <w:rStyle w:val="Hyperlink"/>
            <w:color w:val="878787" w:themeColor="text2" w:themeTint="99"/>
            <w:sz w:val="16"/>
            <w:u w:val="none"/>
          </w:rPr>
          <w:t xml:space="preserve">Pokyny k vytvoření a provádění plánu hodnocení programů rozvoje venkova v období 2014–2020. </w:t>
        </w:r>
      </w:hyperlink>
    </w:p>
  </w:footnote>
  <w:footnote w:id="5">
    <w:p w:rsidR="008F1326" w:rsidRPr="003563F4" w:rsidRDefault="008F1326" w:rsidP="00BA41C1">
      <w:pPr>
        <w:pStyle w:val="FootnoteText"/>
        <w:rPr>
          <w:color w:val="878787" w:themeColor="text2" w:themeTint="99"/>
        </w:rPr>
      </w:pPr>
      <w:r>
        <w:rPr>
          <w:color w:val="878787" w:themeColor="text2" w:themeTint="99"/>
          <w:vertAlign w:val="superscript"/>
        </w:rPr>
        <w:footnoteRef/>
      </w:r>
      <w:r>
        <w:rPr>
          <w:color w:val="878787" w:themeColor="text2" w:themeTint="99"/>
        </w:rPr>
        <w:t xml:space="preserve"> </w:t>
      </w:r>
      <w:hyperlink r:id="rId3">
        <w:r>
          <w:rPr>
            <w:rStyle w:val="Hyperlink"/>
            <w:color w:val="878787" w:themeColor="text2" w:themeTint="99"/>
            <w:sz w:val="16"/>
            <w:u w:val="none"/>
          </w:rPr>
          <w:t>Prováděcí nařízení Komise (EU) č. 808/2014, příloha I, bod 9, a příloha VII, bod 7</w:t>
        </w:r>
      </w:hyperlink>
      <w:r>
        <w:rPr>
          <w:rStyle w:val="Hyperlink"/>
          <w:color w:val="878787" w:themeColor="text2" w:themeTint="99"/>
          <w:sz w:val="16"/>
          <w:u w:val="none"/>
        </w:rPr>
        <w:t>.</w:t>
      </w:r>
    </w:p>
  </w:footnote>
  <w:footnote w:id="6">
    <w:p w:rsidR="008F1326" w:rsidRPr="003563F4" w:rsidRDefault="008F1326" w:rsidP="000D3DB8">
      <w:pPr>
        <w:pStyle w:val="FootnoteText"/>
        <w:ind w:left="142" w:hanging="142"/>
        <w:rPr>
          <w:color w:val="878787" w:themeColor="text2" w:themeTint="99"/>
        </w:rPr>
      </w:pPr>
      <w:r>
        <w:rPr>
          <w:i/>
          <w:color w:val="878787" w:themeColor="text2" w:themeTint="99"/>
          <w:vertAlign w:val="superscript"/>
        </w:rPr>
        <w:footnoteRef/>
      </w:r>
      <w:r>
        <w:rPr>
          <w:color w:val="878787" w:themeColor="text2" w:themeTint="99"/>
          <w:vertAlign w:val="superscript"/>
        </w:rPr>
        <w:t xml:space="preserve"> </w:t>
      </w:r>
      <w:r>
        <w:t>Asistenční služba pro účely hodnocení shrnula zjištění výročních zpráv o provádění za rok 2017 v </w:t>
      </w:r>
      <w:hyperlink r:id="rId4">
        <w:r>
          <w:rPr>
            <w:color w:val="878787" w:themeColor="text2" w:themeTint="99"/>
          </w:rPr>
          <w:t>souhrnné zprávě „Synthesis of the Evaluation Components of the 2017 Enhanced AIR“ (Syntéza prvků hodnocení v rozšířené výroční zprávě o provádění za rok 2017) v kapitole 7</w:t>
        </w:r>
      </w:hyperlink>
      <w:r>
        <w:rPr>
          <w:color w:val="878787" w:themeColor="text2" w:themeTint="99"/>
        </w:rPr>
        <w:t>.</w:t>
      </w:r>
    </w:p>
  </w:footnote>
  <w:footnote w:id="7">
    <w:p w:rsidR="008F1326" w:rsidRPr="00E53246" w:rsidRDefault="008F1326">
      <w:pPr>
        <w:pStyle w:val="FootnoteText"/>
      </w:pPr>
      <w:r>
        <w:rPr>
          <w:i/>
          <w:color w:val="878787" w:themeColor="text2" w:themeTint="99"/>
          <w:vertAlign w:val="superscript"/>
        </w:rPr>
        <w:footnoteRef/>
      </w:r>
      <w:r>
        <w:rPr>
          <w:color w:val="878787" w:themeColor="text2" w:themeTint="99"/>
          <w:vertAlign w:val="superscript"/>
        </w:rPr>
        <w:t xml:space="preserve"> </w:t>
      </w:r>
      <w:r>
        <w:rPr>
          <w:color w:val="878787" w:themeColor="text2" w:themeTint="99"/>
        </w:rPr>
        <w:t>Příloha VII nařízení (EU) č. 808/2014.</w:t>
      </w:r>
    </w:p>
  </w:footnote>
  <w:footnote w:id="8">
    <w:p w:rsidR="008F1326" w:rsidRPr="003563F4" w:rsidRDefault="008F1326" w:rsidP="00BA41C1">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hyperlink r:id="rId5">
        <w:r>
          <w:rPr>
            <w:color w:val="878787" w:themeColor="text2" w:themeTint="99"/>
          </w:rPr>
          <w:t>Články 67–79 nařízení (EU) č. 1305/2014</w:t>
        </w:r>
      </w:hyperlink>
      <w:r>
        <w:rPr>
          <w:color w:val="878787" w:themeColor="text2" w:themeTint="99"/>
        </w:rPr>
        <w:t xml:space="preserve">, </w:t>
      </w:r>
      <w:hyperlink r:id="rId6">
        <w:r>
          <w:rPr>
            <w:color w:val="878787" w:themeColor="text2" w:themeTint="99"/>
          </w:rPr>
          <w:t>článek 110 nařízení (EU) č. 1306/2013,</w:t>
        </w:r>
      </w:hyperlink>
      <w:r>
        <w:rPr>
          <w:color w:val="878787" w:themeColor="text2" w:themeTint="99"/>
        </w:rPr>
        <w:t xml:space="preserve"> </w:t>
      </w:r>
      <w:hyperlink r:id="rId7">
        <w:r>
          <w:rPr>
            <w:color w:val="878787" w:themeColor="text2" w:themeTint="99"/>
          </w:rPr>
          <w:t>čl. 1 písm. a) a příloha I nařízení (EU) č. 834/2014</w:t>
        </w:r>
      </w:hyperlink>
      <w:r>
        <w:rPr>
          <w:color w:val="878787" w:themeColor="text2" w:themeTint="99"/>
        </w:rPr>
        <w:t xml:space="preserve"> , </w:t>
      </w:r>
      <w:hyperlink r:id="rId8">
        <w:r>
          <w:rPr>
            <w:color w:val="878787" w:themeColor="text2" w:themeTint="99"/>
          </w:rPr>
          <w:t>článek 14 a přílohy IV, V, VI a VII a nařízení (EU) č. 808/2014</w:t>
        </w:r>
      </w:hyperlink>
      <w:r>
        <w:rPr>
          <w:color w:val="878787" w:themeColor="text2" w:themeTint="99"/>
        </w:rPr>
        <w:t>.</w:t>
      </w:r>
    </w:p>
  </w:footnote>
  <w:footnote w:id="9">
    <w:p w:rsidR="008F1326" w:rsidRPr="003563F4" w:rsidRDefault="008F1326"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Článek 54 nařízení (EU) č. 1303/2013.</w:t>
      </w:r>
    </w:p>
  </w:footnote>
  <w:footnote w:id="10">
    <w:p w:rsidR="008F1326" w:rsidRPr="003563F4" w:rsidRDefault="008F1326"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Článek 56 nařízení (EU) č. 1303/2013.</w:t>
      </w:r>
    </w:p>
  </w:footnote>
  <w:footnote w:id="11">
    <w:p w:rsidR="008F1326" w:rsidRPr="003563F4" w:rsidRDefault="008F1326"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Článek 110 nařízení (EU) č. 1306/2013.</w:t>
      </w:r>
    </w:p>
  </w:footnote>
  <w:footnote w:id="12">
    <w:p w:rsidR="008F1326" w:rsidRPr="003563F4" w:rsidRDefault="008F1326"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Ustanovení čl. 110 odst. 3 a odst. 4 nařízení (EU) č. 1306/2013.</w:t>
      </w:r>
    </w:p>
  </w:footnote>
  <w:footnote w:id="13">
    <w:p w:rsidR="008F1326" w:rsidRPr="003563F4" w:rsidRDefault="008F1326"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Články 67 a 68 nařízení (EU) č. 1305/2013.</w:t>
      </w:r>
    </w:p>
  </w:footnote>
  <w:footnote w:id="14">
    <w:p w:rsidR="008F1326" w:rsidRPr="00E53246" w:rsidRDefault="008F1326" w:rsidP="001C2076">
      <w:pPr>
        <w:pStyle w:val="FootnoteText"/>
      </w:pPr>
      <w:r>
        <w:rPr>
          <w:rStyle w:val="FootnoteReference"/>
          <w:color w:val="878787" w:themeColor="text2" w:themeTint="99"/>
        </w:rPr>
        <w:footnoteRef/>
      </w:r>
      <w:r>
        <w:rPr>
          <w:color w:val="878787" w:themeColor="text2" w:themeTint="99"/>
        </w:rPr>
        <w:t xml:space="preserve"> Článek 69 nařízení (EU) č. 1305/2013.</w:t>
      </w:r>
    </w:p>
  </w:footnote>
  <w:footnote w:id="15">
    <w:p w:rsidR="008F1326" w:rsidRPr="003563F4" w:rsidRDefault="008F1326" w:rsidP="00693C0D">
      <w:pPr>
        <w:pStyle w:val="FootnoteText"/>
        <w:rPr>
          <w:color w:val="878787" w:themeColor="text2" w:themeTint="99"/>
        </w:rPr>
      </w:pPr>
      <w:r>
        <w:rPr>
          <w:rStyle w:val="FootnoteReference"/>
          <w:i w:val="0"/>
          <w:color w:val="878787" w:themeColor="text2" w:themeTint="99"/>
          <w:position w:val="0"/>
        </w:rPr>
        <w:footnoteRef/>
      </w:r>
      <w:r>
        <w:rPr>
          <w:color w:val="878787" w:themeColor="text2" w:themeTint="99"/>
        </w:rPr>
        <w:t xml:space="preserve"> </w:t>
      </w:r>
      <w:hyperlink r:id="rId9">
        <w:r>
          <w:rPr>
            <w:color w:val="878787" w:themeColor="text2" w:themeTint="99"/>
          </w:rPr>
          <w:t xml:space="preserve"> Technická příručka k monitorování a hodnocení společné zemědělské politiky 2014–2020, Evropská komise, červen 2017</w:t>
        </w:r>
      </w:hyperlink>
      <w:r>
        <w:rPr>
          <w:rStyle w:val="Hyperlink"/>
          <w:color w:val="878787" w:themeColor="text2" w:themeTint="99"/>
          <w:sz w:val="16"/>
          <w:u w:val="none"/>
        </w:rPr>
        <w:t>.</w:t>
      </w:r>
    </w:p>
  </w:footnote>
  <w:footnote w:id="16">
    <w:p w:rsidR="008F1326" w:rsidRPr="003563F4" w:rsidRDefault="008F1326"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Článek 14 nařízení (EU) č. 808/2014.</w:t>
      </w:r>
    </w:p>
  </w:footnote>
  <w:footnote w:id="17">
    <w:p w:rsidR="008F1326" w:rsidRPr="003563F4" w:rsidRDefault="008F1326"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Příloha IV nařízení (EU) č. 808/2014.</w:t>
      </w:r>
    </w:p>
  </w:footnote>
  <w:footnote w:id="18">
    <w:p w:rsidR="008F1326" w:rsidRPr="003563F4" w:rsidRDefault="008F1326"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Příloha V nařízení (EU) č. 808/2014.</w:t>
      </w:r>
    </w:p>
  </w:footnote>
  <w:footnote w:id="19">
    <w:p w:rsidR="008F1326" w:rsidRPr="003563F4" w:rsidRDefault="008F1326"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Bod 2 přílohy VII nařízení (EU) č. 808/2014.</w:t>
      </w:r>
    </w:p>
  </w:footnote>
  <w:footnote w:id="20">
    <w:p w:rsidR="008F1326" w:rsidRPr="003563F4" w:rsidRDefault="008F1326"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Příloha I, část I, bod 9 nařízení (EU) č. 808/2014.</w:t>
      </w:r>
    </w:p>
  </w:footnote>
  <w:footnote w:id="21">
    <w:p w:rsidR="008F1326" w:rsidRPr="003563F4" w:rsidRDefault="008F1326"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Bod 7 přílohy VII nařízení (EU) č. 808/2014.</w:t>
      </w:r>
    </w:p>
  </w:footnote>
  <w:footnote w:id="22">
    <w:p w:rsidR="008F1326" w:rsidRPr="00E53246" w:rsidRDefault="008F1326" w:rsidP="00FC0340">
      <w:pPr>
        <w:pStyle w:val="FootnoteText"/>
      </w:pPr>
      <w:r>
        <w:rPr>
          <w:rStyle w:val="FootnoteReference"/>
          <w:color w:val="878787" w:themeColor="text2" w:themeTint="99"/>
        </w:rPr>
        <w:footnoteRef/>
      </w:r>
      <w:r>
        <w:rPr>
          <w:color w:val="878787" w:themeColor="text2" w:themeTint="99"/>
        </w:rPr>
        <w:t xml:space="preserve"> Příloha VI nařízení (EU) č. 808/2014.</w:t>
      </w:r>
    </w:p>
  </w:footnote>
  <w:footnote w:id="23">
    <w:p w:rsidR="008F1326" w:rsidRPr="00E53246" w:rsidRDefault="008F1326">
      <w:pPr>
        <w:pStyle w:val="FootnoteText"/>
      </w:pPr>
      <w:r>
        <w:rPr>
          <w:rStyle w:val="FootnoteReference"/>
          <w:color w:val="878787" w:themeColor="text2" w:themeTint="99"/>
        </w:rPr>
        <w:footnoteRef/>
      </w:r>
      <w:r>
        <w:rPr>
          <w:color w:val="878787" w:themeColor="text2" w:themeTint="99"/>
        </w:rPr>
        <w:t xml:space="preserve"> </w:t>
      </w:r>
      <w:hyperlink r:id="rId10">
        <w:r>
          <w:rPr>
            <w:color w:val="878787" w:themeColor="text2" w:themeTint="99"/>
          </w:rPr>
          <w:t xml:space="preserve"> Technická příručka k monitorování a hodnocení společné zemědělské politiky 2014–2020, Evropská komise, červen 2017</w:t>
        </w:r>
      </w:hyperlink>
      <w:r>
        <w:rPr>
          <w:rStyle w:val="Hyperlink"/>
          <w:color w:val="878787" w:themeColor="text2" w:themeTint="99"/>
          <w:sz w:val="16"/>
          <w:u w:val="none"/>
        </w:rPr>
        <w:t>.</w:t>
      </w:r>
    </w:p>
  </w:footnote>
  <w:footnote w:id="24">
    <w:p w:rsidR="008F1326" w:rsidRPr="000D3DB8" w:rsidRDefault="008F1326" w:rsidP="00176032">
      <w:pPr>
        <w:pStyle w:val="FootnoteText"/>
        <w:rPr>
          <w:rStyle w:val="Hyperlink"/>
          <w:sz w:val="16"/>
          <w:szCs w:val="16"/>
        </w:rPr>
      </w:pPr>
      <w:r>
        <w:rPr>
          <w:rStyle w:val="FootnoteReference"/>
          <w:color w:val="878787" w:themeColor="text2" w:themeTint="99"/>
        </w:rPr>
        <w:footnoteRef/>
      </w:r>
      <w:r>
        <w:rPr>
          <w:color w:val="878787" w:themeColor="text2" w:themeTint="99"/>
        </w:rPr>
        <w:t xml:space="preserve"> </w:t>
      </w:r>
      <w:r>
        <w:t>Další informace o cyklu hodnocení jsou k dispozici v </w:t>
      </w:r>
      <w:hyperlink r:id="rId11">
        <w:r>
          <w:rPr>
            <w:rStyle w:val="Hyperlink"/>
            <w:sz w:val="16"/>
          </w:rPr>
          <w:t>pokynech k hodnocení výsledků PRV zaměřených na přípravu na podávání zpráv o hodnocení v roce 2017</w:t>
        </w:r>
      </w:hyperlink>
      <w:r>
        <w:rPr>
          <w:rStyle w:val="Hyperlink"/>
          <w:sz w:val="16"/>
        </w:rPr>
        <w:t>.</w:t>
      </w:r>
    </w:p>
  </w:footnote>
  <w:footnote w:id="25">
    <w:p w:rsidR="008F1326" w:rsidRPr="00E53246" w:rsidRDefault="008F1326" w:rsidP="000D3DB8">
      <w:pPr>
        <w:pStyle w:val="FootnoteText"/>
      </w:pPr>
      <w:r>
        <w:rPr>
          <w:rStyle w:val="FootnoteReference"/>
          <w:color w:val="878787" w:themeColor="text2" w:themeTint="99"/>
        </w:rPr>
        <w:footnoteRef/>
      </w:r>
      <w:r>
        <w:t xml:space="preserve"> ŘO – řídicí orgán, MV – monitorovací výbor, PA – platební agentura, HJ – hodnoticí jednotka, ŘSH – řídící skupina pro hodnocení, Ho – hodnotitelé, PÚ – poskytovatelé údajů, O – ostatní.</w:t>
      </w:r>
    </w:p>
  </w:footnote>
  <w:footnote w:id="26">
    <w:p w:rsidR="008F1326" w:rsidRPr="00274AB7" w:rsidRDefault="008F1326">
      <w:pPr>
        <w:pStyle w:val="FootnoteText"/>
      </w:pPr>
      <w:r>
        <w:rPr>
          <w:rStyle w:val="FootnoteReference"/>
          <w:color w:val="878787" w:themeColor="text2" w:themeTint="99"/>
        </w:rPr>
        <w:footnoteRef/>
      </w:r>
      <w:r>
        <w:rPr>
          <w:color w:val="878787" w:themeColor="text2" w:themeTint="99"/>
        </w:rPr>
        <w:t xml:space="preserve"> ENVIEVAL byl projekt kooperativního výzkumu EU (grantová dohoda č. 312071), který od ledna 2013 do prosince 2015 získával financování ze sedmého rámcového programu pro výzkum, technologický rozvoj a demonstrace Evropské unie.</w:t>
      </w:r>
    </w:p>
  </w:footnote>
  <w:footnote w:id="27">
    <w:p w:rsidR="008F1326" w:rsidRPr="00E53246" w:rsidRDefault="008F1326">
      <w:pPr>
        <w:pStyle w:val="FootnoteText"/>
      </w:pPr>
      <w:r>
        <w:rPr>
          <w:rStyle w:val="FootnoteReference"/>
          <w:color w:val="878787" w:themeColor="text2" w:themeTint="99"/>
        </w:rPr>
        <w:footnoteRef/>
      </w:r>
      <w:r>
        <w:t xml:space="preserve"> </w:t>
      </w:r>
      <w:r>
        <w:t xml:space="preserve">Metodická příručka pro hodnocení environmentálních dopadů programů rozvoje venkova: zpráva D9.5, projekt ENVIEVAL (grantová dohoda č. 312071). </w:t>
      </w:r>
      <w:r>
        <w:t>Brusel: Evropská komise, Morkvenas Z., Navickas K., Gulbinas J., Jefanovas A., Schwarz G., Wolff A., Offermann F., Osterburg B., Aalders I., Miller D., Morrice J., Vlahos G., Smyrniotopoulou A., Artell J., Aakkula J., Toikkanen H., Povellato A., Longhitano D., Lasorella V., Balazs K., et al. (2015), s. 152.</w:t>
      </w:r>
    </w:p>
  </w:footnote>
  <w:footnote w:id="28">
    <w:p w:rsidR="008F1326" w:rsidRPr="00E53246" w:rsidRDefault="008F1326" w:rsidP="00820050">
      <w:pPr>
        <w:pStyle w:val="FootnoteText"/>
      </w:pPr>
      <w:r>
        <w:rPr>
          <w:rStyle w:val="FootnoteReference"/>
          <w:color w:val="878787" w:themeColor="text2" w:themeTint="99"/>
        </w:rPr>
        <w:footnoteRef/>
      </w:r>
      <w:r>
        <w:rPr>
          <w:color w:val="878787" w:themeColor="text2" w:themeTint="99"/>
        </w:rPr>
        <w:t xml:space="preserve"> </w:t>
      </w:r>
      <w:r>
        <w:t>Kroky, které je třeba podniknout při hodnocení dopadů PRV, jsou podrobněji popsány v </w:t>
      </w:r>
      <w:hyperlink r:id="rId12">
        <w:r>
          <w:rPr>
            <w:rStyle w:val="Hyperlink"/>
            <w:sz w:val="16"/>
          </w:rPr>
          <w:t xml:space="preserve">pokynech k hodnocení </w:t>
        </w:r>
        <w:r>
          <w:rPr>
            <w:rStyle w:val="Hyperlink"/>
            <w:i/>
            <w:sz w:val="16"/>
          </w:rPr>
          <w:t>ex post</w:t>
        </w:r>
        <w:r>
          <w:rPr>
            <w:rStyle w:val="Hyperlink"/>
            <w:sz w:val="16"/>
          </w:rPr>
          <w:t xml:space="preserve"> PRV 2017–2013</w:t>
        </w:r>
      </w:hyperlink>
      <w:r>
        <w:t xml:space="preserve"> v kapitolách 4.2.3 a 4.2.4.</w:t>
      </w:r>
    </w:p>
  </w:footnote>
  <w:footnote w:id="29">
    <w:p w:rsidR="008F1326" w:rsidRPr="003563F4" w:rsidRDefault="008F1326" w:rsidP="00B9614C">
      <w:pPr>
        <w:pStyle w:val="FootnoteText"/>
      </w:pPr>
      <w:r>
        <w:rPr>
          <w:rStyle w:val="FootnoteReference"/>
          <w:color w:val="878787" w:themeColor="text2" w:themeTint="99"/>
        </w:rPr>
        <w:footnoteRef/>
      </w:r>
      <w:r>
        <w:t xml:space="preserve"> Další podrobnosti </w:t>
      </w:r>
      <w:r>
        <w:t xml:space="preserve">naleznete zde: „Landscape-moderated biodiversity effects of agri-environmental management: a meta-analysis“ (Krajinou ovlivňované účinky agroenvironmentálního řízení na biologickou rozmanitost: metaanalýza), sborník. Biological sciences / The Royal Society, 278(1713): 1894–1902, Batáry P., Báldi A., Kleijn D., Tscharntke T., (2011). </w:t>
      </w:r>
    </w:p>
  </w:footnote>
  <w:footnote w:id="30">
    <w:p w:rsidR="008F1326" w:rsidRPr="00E53246" w:rsidRDefault="008F1326" w:rsidP="00FC012D">
      <w:pPr>
        <w:pStyle w:val="FootnoteText"/>
      </w:pPr>
      <w:r>
        <w:rPr>
          <w:rStyle w:val="FootnoteReference"/>
          <w:color w:val="878787" w:themeColor="text2" w:themeTint="99"/>
        </w:rPr>
        <w:footnoteRef/>
      </w:r>
      <w:r>
        <w:rPr>
          <w:color w:val="878787" w:themeColor="text2" w:themeTint="99"/>
        </w:rPr>
        <w:t xml:space="preserve"> </w:t>
      </w:r>
      <w:r>
        <w:t xml:space="preserve">Další podrobnosti </w:t>
      </w:r>
      <w:r>
        <w:t xml:space="preserve">naleznete zde: „Organic farming at local and landscape scales benefits plant diversity“ (Biologické zemědělství v místním a krajinném měřítku prospívá rozmanitosti rostlin), Ecography 33(3): 514–522, Rundlöf M., Edlund M., Smith H. G. (2009).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1326" w:rsidRPr="00E4509B" w:rsidRDefault="008F1326" w:rsidP="008D52EA">
    <w:pPr>
      <w:pStyle w:val="Header"/>
    </w:pPr>
    <w:r>
      <w:tab/>
      <w:t>Část I – Jaké aspekty hodnocení je třeba uvést ve výroční zprávě o provádění v roce 2019</w:t>
    </w:r>
  </w:p>
  <w:p w:rsidR="008F1326" w:rsidRPr="002C3379" w:rsidRDefault="008F1326" w:rsidP="00E450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1326" w:rsidRDefault="00366CE8" w:rsidP="000412E5">
    <w:pPr>
      <w:pStyle w:val="Header"/>
      <w:tabs>
        <w:tab w:val="clear" w:pos="9072"/>
        <w:tab w:val="right" w:pos="14175"/>
      </w:tabs>
    </w:pPr>
    <w:r>
      <w:t xml:space="preserve">                                                              </w:t>
    </w:r>
    <w:r w:rsidR="008F1326">
      <w:t>Část III – Informační listy pro zodpovězení společných hodnoticích otázek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700E3"/>
    <w:multiLevelType w:val="hybridMultilevel"/>
    <w:tmpl w:val="4C805968"/>
    <w:lvl w:ilvl="0" w:tplc="12F6D094">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77E1094"/>
    <w:multiLevelType w:val="multilevel"/>
    <w:tmpl w:val="9552195C"/>
    <w:lvl w:ilvl="0">
      <w:start w:val="1"/>
      <w:numFmt w:val="decimal"/>
      <w:pStyle w:val="Subtitle"/>
      <w:lvlText w:val="Table %1"/>
      <w:lvlJc w:val="left"/>
      <w:pPr>
        <w:ind w:left="851" w:hanging="851"/>
      </w:pPr>
      <w:rPr>
        <w:rFonts w:ascii="Arial" w:hAnsi="Arial" w:cs="Times New Roman" w:hint="default"/>
        <w:b/>
        <w:bCs w:val="0"/>
        <w:i w:val="0"/>
        <w:iCs w:val="0"/>
        <w:caps w:val="0"/>
        <w:smallCaps w:val="0"/>
        <w:strike w:val="0"/>
        <w:dstrike w:val="0"/>
        <w:noProof w:val="0"/>
        <w:vanish w:val="0"/>
        <w:color w:val="000000"/>
        <w:spacing w:val="0"/>
        <w:kern w:val="0"/>
        <w:position w:val="0"/>
        <w:sz w:val="16"/>
        <w:szCs w:val="16"/>
        <w:u w:val="none"/>
        <w:effect w:val="none"/>
        <w:vertAlign w:val="baseline"/>
        <w:em w:val="none"/>
        <w:specVanish w:val="0"/>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3"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F342A9"/>
    <w:multiLevelType w:val="hybridMultilevel"/>
    <w:tmpl w:val="F04C2544"/>
    <w:lvl w:ilvl="0" w:tplc="8C24ADFE">
      <w:start w:val="1"/>
      <w:numFmt w:val="decimal"/>
      <w:lvlText w:val="%1."/>
      <w:lvlJc w:val="left"/>
      <w:pPr>
        <w:ind w:left="720" w:hanging="360"/>
      </w:pPr>
      <w:rPr>
        <w:rFonts w:hint="default"/>
        <w:u w:val="single"/>
      </w:rPr>
    </w:lvl>
    <w:lvl w:ilvl="1" w:tplc="041B0019">
      <w:start w:val="1"/>
      <w:numFmt w:val="lowerLetter"/>
      <w:lvlText w:val="%2."/>
      <w:lvlJc w:val="left"/>
      <w:pPr>
        <w:ind w:left="1440" w:hanging="360"/>
      </w:pPr>
    </w:lvl>
    <w:lvl w:ilvl="2" w:tplc="F7D8BF0E">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2CB28B3"/>
    <w:multiLevelType w:val="hybridMultilevel"/>
    <w:tmpl w:val="4A3C5D26"/>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7"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57825E"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373737"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027FC8"/>
    <w:multiLevelType w:val="hybridMultilevel"/>
    <w:tmpl w:val="FA02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A4DA5"/>
    <w:multiLevelType w:val="multilevel"/>
    <w:tmpl w:val="0E4CF658"/>
    <w:styleLink w:val="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113FF8"/>
    <w:multiLevelType w:val="hybridMultilevel"/>
    <w:tmpl w:val="B9964EBC"/>
    <w:lvl w:ilvl="0" w:tplc="041B0001">
      <w:start w:val="1"/>
      <w:numFmt w:val="bullet"/>
      <w:lvlText w:val=""/>
      <w:lvlJc w:val="left"/>
      <w:pPr>
        <w:ind w:left="775" w:hanging="360"/>
      </w:pPr>
      <w:rPr>
        <w:rFonts w:ascii="Symbol" w:hAnsi="Symbol" w:hint="default"/>
      </w:rPr>
    </w:lvl>
    <w:lvl w:ilvl="1" w:tplc="041B0003" w:tentative="1">
      <w:start w:val="1"/>
      <w:numFmt w:val="bullet"/>
      <w:lvlText w:val="o"/>
      <w:lvlJc w:val="left"/>
      <w:pPr>
        <w:ind w:left="1495" w:hanging="360"/>
      </w:pPr>
      <w:rPr>
        <w:rFonts w:ascii="Courier New" w:hAnsi="Courier New" w:cs="Courier New" w:hint="default"/>
      </w:rPr>
    </w:lvl>
    <w:lvl w:ilvl="2" w:tplc="041B0005" w:tentative="1">
      <w:start w:val="1"/>
      <w:numFmt w:val="bullet"/>
      <w:lvlText w:val=""/>
      <w:lvlJc w:val="left"/>
      <w:pPr>
        <w:ind w:left="2215" w:hanging="360"/>
      </w:pPr>
      <w:rPr>
        <w:rFonts w:ascii="Wingdings" w:hAnsi="Wingdings" w:hint="default"/>
      </w:rPr>
    </w:lvl>
    <w:lvl w:ilvl="3" w:tplc="041B0001" w:tentative="1">
      <w:start w:val="1"/>
      <w:numFmt w:val="bullet"/>
      <w:lvlText w:val=""/>
      <w:lvlJc w:val="left"/>
      <w:pPr>
        <w:ind w:left="2935" w:hanging="360"/>
      </w:pPr>
      <w:rPr>
        <w:rFonts w:ascii="Symbol" w:hAnsi="Symbol" w:hint="default"/>
      </w:rPr>
    </w:lvl>
    <w:lvl w:ilvl="4" w:tplc="041B0003" w:tentative="1">
      <w:start w:val="1"/>
      <w:numFmt w:val="bullet"/>
      <w:lvlText w:val="o"/>
      <w:lvlJc w:val="left"/>
      <w:pPr>
        <w:ind w:left="3655" w:hanging="360"/>
      </w:pPr>
      <w:rPr>
        <w:rFonts w:ascii="Courier New" w:hAnsi="Courier New" w:cs="Courier New" w:hint="default"/>
      </w:rPr>
    </w:lvl>
    <w:lvl w:ilvl="5" w:tplc="041B0005" w:tentative="1">
      <w:start w:val="1"/>
      <w:numFmt w:val="bullet"/>
      <w:lvlText w:val=""/>
      <w:lvlJc w:val="left"/>
      <w:pPr>
        <w:ind w:left="4375" w:hanging="360"/>
      </w:pPr>
      <w:rPr>
        <w:rFonts w:ascii="Wingdings" w:hAnsi="Wingdings" w:hint="default"/>
      </w:rPr>
    </w:lvl>
    <w:lvl w:ilvl="6" w:tplc="041B0001" w:tentative="1">
      <w:start w:val="1"/>
      <w:numFmt w:val="bullet"/>
      <w:lvlText w:val=""/>
      <w:lvlJc w:val="left"/>
      <w:pPr>
        <w:ind w:left="5095" w:hanging="360"/>
      </w:pPr>
      <w:rPr>
        <w:rFonts w:ascii="Symbol" w:hAnsi="Symbol" w:hint="default"/>
      </w:rPr>
    </w:lvl>
    <w:lvl w:ilvl="7" w:tplc="041B0003" w:tentative="1">
      <w:start w:val="1"/>
      <w:numFmt w:val="bullet"/>
      <w:lvlText w:val="o"/>
      <w:lvlJc w:val="left"/>
      <w:pPr>
        <w:ind w:left="5815" w:hanging="360"/>
      </w:pPr>
      <w:rPr>
        <w:rFonts w:ascii="Courier New" w:hAnsi="Courier New" w:cs="Courier New" w:hint="default"/>
      </w:rPr>
    </w:lvl>
    <w:lvl w:ilvl="8" w:tplc="041B0005" w:tentative="1">
      <w:start w:val="1"/>
      <w:numFmt w:val="bullet"/>
      <w:lvlText w:val=""/>
      <w:lvlJc w:val="left"/>
      <w:pPr>
        <w:ind w:left="6535" w:hanging="360"/>
      </w:pPr>
      <w:rPr>
        <w:rFonts w:ascii="Wingdings" w:hAnsi="Wingdings" w:hint="default"/>
      </w:rPr>
    </w:lvl>
  </w:abstractNum>
  <w:abstractNum w:abstractNumId="12" w15:restartNumberingAfterBreak="0">
    <w:nsid w:val="310547BD"/>
    <w:multiLevelType w:val="hybridMultilevel"/>
    <w:tmpl w:val="75E65F38"/>
    <w:lvl w:ilvl="0" w:tplc="BF8E1DEE">
      <w:start w:val="1"/>
      <w:numFmt w:val="decimal"/>
      <w:pStyle w:val="HHeadingfigures"/>
      <w:lvlText w:val="Diagram %1."/>
      <w:lvlJc w:val="left"/>
      <w:pPr>
        <w:tabs>
          <w:tab w:val="num" w:pos="964"/>
        </w:tabs>
        <w:ind w:left="964" w:hanging="964"/>
      </w:pPr>
      <w:rPr>
        <w:rFonts w:hint="default"/>
        <w:b/>
        <w:bCs w:val="0"/>
        <w:i w:val="0"/>
        <w:iCs w:val="0"/>
        <w:caps w:val="0"/>
        <w:smallCaps w:val="0"/>
        <w:strike w:val="0"/>
        <w:dstrike w:val="0"/>
        <w:noProof w:val="0"/>
        <w:vanish w:val="0"/>
        <w:color w:val="373737" w:themeColor="tex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BC6932"/>
    <w:multiLevelType w:val="hybridMultilevel"/>
    <w:tmpl w:val="BBBE01C4"/>
    <w:lvl w:ilvl="0" w:tplc="91608FB0">
      <w:start w:val="1"/>
      <w:numFmt w:val="bullet"/>
      <w:pStyle w:val="Hlistbullet"/>
      <w:lvlText w:val=""/>
      <w:lvlJc w:val="left"/>
      <w:pPr>
        <w:ind w:left="928" w:hanging="360"/>
      </w:pPr>
      <w:rPr>
        <w:rFonts w:ascii="Symbol" w:hAnsi="Symbol"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677474"/>
    <w:multiLevelType w:val="hybridMultilevel"/>
    <w:tmpl w:val="9DC66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1CA2D228"/>
    <w:lvl w:ilvl="0" w:tplc="817C0AF0">
      <w:start w:val="1"/>
      <w:numFmt w:val="decimal"/>
      <w:pStyle w:val="HHeadingtables"/>
      <w:lvlText w:val="Tabulka %1."/>
      <w:lvlJc w:val="left"/>
      <w:pPr>
        <w:ind w:left="360" w:hanging="360"/>
      </w:pPr>
      <w:rPr>
        <w:rFonts w:hint="default"/>
        <w:specVanish w:val="0"/>
      </w:rPr>
    </w:lvl>
    <w:lvl w:ilvl="1" w:tplc="04070019" w:tentative="1">
      <w:start w:val="1"/>
      <w:numFmt w:val="lowerLetter"/>
      <w:lvlText w:val="%2."/>
      <w:lvlJc w:val="left"/>
      <w:pPr>
        <w:ind w:left="-829" w:hanging="360"/>
      </w:pPr>
    </w:lvl>
    <w:lvl w:ilvl="2" w:tplc="0407001B" w:tentative="1">
      <w:start w:val="1"/>
      <w:numFmt w:val="lowerRoman"/>
      <w:lvlText w:val="%3."/>
      <w:lvlJc w:val="right"/>
      <w:pPr>
        <w:ind w:left="-109" w:hanging="180"/>
      </w:pPr>
    </w:lvl>
    <w:lvl w:ilvl="3" w:tplc="0407000F" w:tentative="1">
      <w:start w:val="1"/>
      <w:numFmt w:val="decimal"/>
      <w:lvlText w:val="%4."/>
      <w:lvlJc w:val="left"/>
      <w:pPr>
        <w:ind w:left="611" w:hanging="360"/>
      </w:pPr>
    </w:lvl>
    <w:lvl w:ilvl="4" w:tplc="04070019" w:tentative="1">
      <w:start w:val="1"/>
      <w:numFmt w:val="lowerLetter"/>
      <w:lvlText w:val="%5."/>
      <w:lvlJc w:val="left"/>
      <w:pPr>
        <w:ind w:left="1331" w:hanging="360"/>
      </w:pPr>
    </w:lvl>
    <w:lvl w:ilvl="5" w:tplc="0407001B" w:tentative="1">
      <w:start w:val="1"/>
      <w:numFmt w:val="lowerRoman"/>
      <w:lvlText w:val="%6."/>
      <w:lvlJc w:val="right"/>
      <w:pPr>
        <w:ind w:left="2051" w:hanging="180"/>
      </w:pPr>
    </w:lvl>
    <w:lvl w:ilvl="6" w:tplc="0407000F" w:tentative="1">
      <w:start w:val="1"/>
      <w:numFmt w:val="decimal"/>
      <w:lvlText w:val="%7."/>
      <w:lvlJc w:val="left"/>
      <w:pPr>
        <w:ind w:left="2771" w:hanging="360"/>
      </w:pPr>
    </w:lvl>
    <w:lvl w:ilvl="7" w:tplc="04070019" w:tentative="1">
      <w:start w:val="1"/>
      <w:numFmt w:val="lowerLetter"/>
      <w:lvlText w:val="%8."/>
      <w:lvlJc w:val="left"/>
      <w:pPr>
        <w:ind w:left="3491" w:hanging="360"/>
      </w:pPr>
    </w:lvl>
    <w:lvl w:ilvl="8" w:tplc="0407001B" w:tentative="1">
      <w:start w:val="1"/>
      <w:numFmt w:val="lowerRoman"/>
      <w:lvlText w:val="%9."/>
      <w:lvlJc w:val="right"/>
      <w:pPr>
        <w:ind w:left="4211" w:hanging="180"/>
      </w:pPr>
    </w:lvl>
  </w:abstractNum>
  <w:abstractNum w:abstractNumId="16" w15:restartNumberingAfterBreak="0">
    <w:nsid w:val="446B7352"/>
    <w:multiLevelType w:val="hybridMultilevel"/>
    <w:tmpl w:val="E758C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F8294A"/>
    <w:multiLevelType w:val="hybridMultilevel"/>
    <w:tmpl w:val="A61044DA"/>
    <w:lvl w:ilvl="0" w:tplc="C1BE37B8">
      <w:start w:val="1"/>
      <w:numFmt w:val="lowerLetter"/>
      <w:pStyle w:val="Hlistabc"/>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C663347"/>
    <w:multiLevelType w:val="hybridMultilevel"/>
    <w:tmpl w:val="BEE86F04"/>
    <w:lvl w:ilvl="0" w:tplc="EAF66E3A">
      <w:start w:val="1"/>
      <w:numFmt w:val="bullet"/>
      <w:pStyle w:val="Hlistbullet2"/>
      <w:lvlText w:val="o"/>
      <w:lvlJc w:val="left"/>
      <w:pPr>
        <w:ind w:left="720" w:hanging="360"/>
      </w:pPr>
      <w:rPr>
        <w:rFonts w:ascii="Courier New" w:hAnsi="Courier New" w:hint="default"/>
        <w:color w:val="F07E31"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933F93"/>
    <w:multiLevelType w:val="hybridMultilevel"/>
    <w:tmpl w:val="3EFCB27A"/>
    <w:lvl w:ilvl="0" w:tplc="0809000F">
      <w:start w:val="1"/>
      <w:numFmt w:val="decimal"/>
      <w:lvlText w:val="%1."/>
      <w:lvlJc w:val="left"/>
      <w:pPr>
        <w:ind w:left="928" w:hanging="360"/>
      </w:pPr>
      <w:rPr>
        <w:rFonts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E973CF"/>
    <w:multiLevelType w:val="hybridMultilevel"/>
    <w:tmpl w:val="471E9ED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3FC3597"/>
    <w:multiLevelType w:val="hybridMultilevel"/>
    <w:tmpl w:val="33407086"/>
    <w:lvl w:ilvl="0" w:tplc="041B000F">
      <w:start w:val="1"/>
      <w:numFmt w:val="decimal"/>
      <w:lvlText w:val="%1."/>
      <w:lvlJc w:val="left"/>
      <w:pPr>
        <w:ind w:left="1571" w:hanging="360"/>
      </w:p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22" w15:restartNumberingAfterBreak="0">
    <w:nsid w:val="66691E4D"/>
    <w:multiLevelType w:val="hybridMultilevel"/>
    <w:tmpl w:val="4FC82400"/>
    <w:lvl w:ilvl="0" w:tplc="663C7372">
      <w:numFmt w:val="bullet"/>
      <w:lvlText w:val=""/>
      <w:lvlJc w:val="left"/>
      <w:pPr>
        <w:ind w:left="720" w:hanging="360"/>
      </w:pPr>
      <w:rPr>
        <w:rFonts w:ascii="Wingdings 3" w:eastAsia="Times New Roman" w:hAnsi="Wingdings 3" w:cs="Times New Roman" w:hint="default"/>
        <w:color w:val="F07E3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F14428"/>
    <w:multiLevelType w:val="hybridMultilevel"/>
    <w:tmpl w:val="ED04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C72A78"/>
    <w:multiLevelType w:val="hybridMultilevel"/>
    <w:tmpl w:val="0A80453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5" w15:restartNumberingAfterBreak="0">
    <w:nsid w:val="6C4D270F"/>
    <w:multiLevelType w:val="hybridMultilevel"/>
    <w:tmpl w:val="5B761532"/>
    <w:lvl w:ilvl="0" w:tplc="C0A2A0CC">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8090001">
      <w:start w:val="1"/>
      <w:numFmt w:val="bullet"/>
      <w:lvlText w:val=""/>
      <w:lvlJc w:val="left"/>
      <w:pPr>
        <w:ind w:left="1457" w:hanging="180"/>
      </w:pPr>
      <w:rPr>
        <w:rFonts w:ascii="Symbol" w:hAnsi="Symbol" w:hint="default"/>
        <w:color w:val="F07E31" w:themeColor="accent1"/>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5B3440"/>
    <w:multiLevelType w:val="hybridMultilevel"/>
    <w:tmpl w:val="D624ACF8"/>
    <w:lvl w:ilvl="0" w:tplc="3BC8D07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0D15F02"/>
    <w:multiLevelType w:val="hybridMultilevel"/>
    <w:tmpl w:val="33743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916E6D"/>
    <w:multiLevelType w:val="hybridMultilevel"/>
    <w:tmpl w:val="19704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5D33D3"/>
    <w:multiLevelType w:val="multilevel"/>
    <w:tmpl w:val="EC66BD28"/>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146"/>
        </w:tabs>
        <w:ind w:left="426"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0" w15:restartNumberingAfterBreak="0">
    <w:nsid w:val="7E752836"/>
    <w:multiLevelType w:val="hybridMultilevel"/>
    <w:tmpl w:val="EA7050F0"/>
    <w:lvl w:ilvl="0" w:tplc="7A1AAC92">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17"/>
  </w:num>
  <w:num w:numId="4">
    <w:abstractNumId w:val="8"/>
  </w:num>
  <w:num w:numId="5">
    <w:abstractNumId w:val="30"/>
  </w:num>
  <w:num w:numId="6">
    <w:abstractNumId w:val="29"/>
  </w:num>
  <w:num w:numId="7">
    <w:abstractNumId w:val="15"/>
  </w:num>
  <w:num w:numId="8">
    <w:abstractNumId w:val="12"/>
  </w:num>
  <w:num w:numId="9">
    <w:abstractNumId w:val="3"/>
  </w:num>
  <w:num w:numId="10">
    <w:abstractNumId w:val="0"/>
  </w:num>
  <w:num w:numId="11">
    <w:abstractNumId w:val="7"/>
  </w:num>
  <w:num w:numId="12">
    <w:abstractNumId w:val="18"/>
  </w:num>
  <w:num w:numId="13">
    <w:abstractNumId w:val="4"/>
  </w:num>
  <w:num w:numId="14">
    <w:abstractNumId w:val="17"/>
    <w:lvlOverride w:ilvl="0">
      <w:startOverride w:val="1"/>
    </w:lvlOverride>
  </w:num>
  <w:num w:numId="15">
    <w:abstractNumId w:val="10"/>
  </w:num>
  <w:num w:numId="16">
    <w:abstractNumId w:val="1"/>
  </w:num>
  <w:num w:numId="17">
    <w:abstractNumId w:val="26"/>
  </w:num>
  <w:num w:numId="18">
    <w:abstractNumId w:val="25"/>
  </w:num>
  <w:num w:numId="19">
    <w:abstractNumId w:val="2"/>
  </w:num>
  <w:num w:numId="20">
    <w:abstractNumId w:val="5"/>
  </w:num>
  <w:num w:numId="21">
    <w:abstractNumId w:val="20"/>
  </w:num>
  <w:num w:numId="22">
    <w:abstractNumId w:val="12"/>
  </w:num>
  <w:num w:numId="23">
    <w:abstractNumId w:val="22"/>
  </w:num>
  <w:num w:numId="24">
    <w:abstractNumId w:val="21"/>
  </w:num>
  <w:num w:numId="25">
    <w:abstractNumId w:val="19"/>
  </w:num>
  <w:num w:numId="26">
    <w:abstractNumId w:val="9"/>
  </w:num>
  <w:num w:numId="27">
    <w:abstractNumId w:val="28"/>
  </w:num>
  <w:num w:numId="28">
    <w:abstractNumId w:val="23"/>
  </w:num>
  <w:num w:numId="29">
    <w:abstractNumId w:val="24"/>
  </w:num>
  <w:num w:numId="30">
    <w:abstractNumId w:val="27"/>
  </w:num>
  <w:num w:numId="31">
    <w:abstractNumId w:val="16"/>
  </w:num>
  <w:num w:numId="32">
    <w:abstractNumId w:val="14"/>
  </w:num>
  <w:num w:numId="33">
    <w:abstractNumId w:val="13"/>
  </w:num>
  <w:num w:numId="34">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WTEMPLATE_ORANGE_2017"/>
  </w:docVars>
  <w:rsids>
    <w:rsidRoot w:val="00CD63F6"/>
    <w:rsid w:val="0000007B"/>
    <w:rsid w:val="000001D4"/>
    <w:rsid w:val="0000104B"/>
    <w:rsid w:val="00002482"/>
    <w:rsid w:val="000026A3"/>
    <w:rsid w:val="00002A15"/>
    <w:rsid w:val="00002FFD"/>
    <w:rsid w:val="00003C64"/>
    <w:rsid w:val="00004E4F"/>
    <w:rsid w:val="000068EF"/>
    <w:rsid w:val="00006B47"/>
    <w:rsid w:val="00010136"/>
    <w:rsid w:val="00010901"/>
    <w:rsid w:val="00010981"/>
    <w:rsid w:val="00010A66"/>
    <w:rsid w:val="00010B08"/>
    <w:rsid w:val="00011CD6"/>
    <w:rsid w:val="00011DC7"/>
    <w:rsid w:val="0001214D"/>
    <w:rsid w:val="000128D8"/>
    <w:rsid w:val="00012BA4"/>
    <w:rsid w:val="00012F22"/>
    <w:rsid w:val="00013C3D"/>
    <w:rsid w:val="0001428E"/>
    <w:rsid w:val="000142AB"/>
    <w:rsid w:val="00015D95"/>
    <w:rsid w:val="00016061"/>
    <w:rsid w:val="00016C49"/>
    <w:rsid w:val="00017C34"/>
    <w:rsid w:val="000200FC"/>
    <w:rsid w:val="0002085D"/>
    <w:rsid w:val="0002086B"/>
    <w:rsid w:val="00021325"/>
    <w:rsid w:val="0002177B"/>
    <w:rsid w:val="0002182E"/>
    <w:rsid w:val="0002341F"/>
    <w:rsid w:val="00023F16"/>
    <w:rsid w:val="0002477B"/>
    <w:rsid w:val="00025015"/>
    <w:rsid w:val="00025148"/>
    <w:rsid w:val="00025E70"/>
    <w:rsid w:val="000266E6"/>
    <w:rsid w:val="00026F9F"/>
    <w:rsid w:val="0002704D"/>
    <w:rsid w:val="0002732C"/>
    <w:rsid w:val="00027601"/>
    <w:rsid w:val="00031E67"/>
    <w:rsid w:val="0003232A"/>
    <w:rsid w:val="000325AF"/>
    <w:rsid w:val="00032732"/>
    <w:rsid w:val="000330AD"/>
    <w:rsid w:val="0003333B"/>
    <w:rsid w:val="00033ACC"/>
    <w:rsid w:val="00033B15"/>
    <w:rsid w:val="0003500B"/>
    <w:rsid w:val="0003605E"/>
    <w:rsid w:val="00041200"/>
    <w:rsid w:val="000412E5"/>
    <w:rsid w:val="00041A27"/>
    <w:rsid w:val="000420F9"/>
    <w:rsid w:val="0004231E"/>
    <w:rsid w:val="00043C2A"/>
    <w:rsid w:val="00044397"/>
    <w:rsid w:val="00044CBB"/>
    <w:rsid w:val="00045382"/>
    <w:rsid w:val="000457A0"/>
    <w:rsid w:val="0004609A"/>
    <w:rsid w:val="00047532"/>
    <w:rsid w:val="00047872"/>
    <w:rsid w:val="000506E2"/>
    <w:rsid w:val="00050912"/>
    <w:rsid w:val="00050D72"/>
    <w:rsid w:val="00050EA9"/>
    <w:rsid w:val="00051E23"/>
    <w:rsid w:val="00051EEE"/>
    <w:rsid w:val="0005260E"/>
    <w:rsid w:val="00052870"/>
    <w:rsid w:val="0005382D"/>
    <w:rsid w:val="00054C75"/>
    <w:rsid w:val="00055507"/>
    <w:rsid w:val="000561D6"/>
    <w:rsid w:val="000574E7"/>
    <w:rsid w:val="00057D3C"/>
    <w:rsid w:val="000601FF"/>
    <w:rsid w:val="00060339"/>
    <w:rsid w:val="00060AFC"/>
    <w:rsid w:val="00061150"/>
    <w:rsid w:val="00061838"/>
    <w:rsid w:val="000624B0"/>
    <w:rsid w:val="00062CD2"/>
    <w:rsid w:val="00063251"/>
    <w:rsid w:val="00063276"/>
    <w:rsid w:val="00063B79"/>
    <w:rsid w:val="000650BF"/>
    <w:rsid w:val="000670A3"/>
    <w:rsid w:val="00067C10"/>
    <w:rsid w:val="00070475"/>
    <w:rsid w:val="0007095D"/>
    <w:rsid w:val="00072032"/>
    <w:rsid w:val="0007283B"/>
    <w:rsid w:val="00074916"/>
    <w:rsid w:val="00074F33"/>
    <w:rsid w:val="0007598A"/>
    <w:rsid w:val="00075CA3"/>
    <w:rsid w:val="00076652"/>
    <w:rsid w:val="00076C57"/>
    <w:rsid w:val="000771E1"/>
    <w:rsid w:val="0007726F"/>
    <w:rsid w:val="00077AF9"/>
    <w:rsid w:val="000804B0"/>
    <w:rsid w:val="00081280"/>
    <w:rsid w:val="00081736"/>
    <w:rsid w:val="000833CD"/>
    <w:rsid w:val="000836F2"/>
    <w:rsid w:val="00083705"/>
    <w:rsid w:val="0008418C"/>
    <w:rsid w:val="0008437E"/>
    <w:rsid w:val="00084915"/>
    <w:rsid w:val="00084CD6"/>
    <w:rsid w:val="00084EBA"/>
    <w:rsid w:val="000852E7"/>
    <w:rsid w:val="000856AA"/>
    <w:rsid w:val="00085EAA"/>
    <w:rsid w:val="00087412"/>
    <w:rsid w:val="00087931"/>
    <w:rsid w:val="00087ABB"/>
    <w:rsid w:val="00087F85"/>
    <w:rsid w:val="00090ACF"/>
    <w:rsid w:val="0009119D"/>
    <w:rsid w:val="00092C7D"/>
    <w:rsid w:val="000936B3"/>
    <w:rsid w:val="00093CBB"/>
    <w:rsid w:val="00096C99"/>
    <w:rsid w:val="00096E8E"/>
    <w:rsid w:val="0009736F"/>
    <w:rsid w:val="00097A53"/>
    <w:rsid w:val="000A1917"/>
    <w:rsid w:val="000A2A5A"/>
    <w:rsid w:val="000A3F19"/>
    <w:rsid w:val="000A428E"/>
    <w:rsid w:val="000A49DA"/>
    <w:rsid w:val="000A4B75"/>
    <w:rsid w:val="000A6EDF"/>
    <w:rsid w:val="000A72D0"/>
    <w:rsid w:val="000A7970"/>
    <w:rsid w:val="000A7E25"/>
    <w:rsid w:val="000B00DB"/>
    <w:rsid w:val="000B0B8B"/>
    <w:rsid w:val="000B1405"/>
    <w:rsid w:val="000B213F"/>
    <w:rsid w:val="000B2933"/>
    <w:rsid w:val="000B2A17"/>
    <w:rsid w:val="000B30FF"/>
    <w:rsid w:val="000B3BF2"/>
    <w:rsid w:val="000B3D31"/>
    <w:rsid w:val="000B434D"/>
    <w:rsid w:val="000B4920"/>
    <w:rsid w:val="000B4B84"/>
    <w:rsid w:val="000B567F"/>
    <w:rsid w:val="000B5726"/>
    <w:rsid w:val="000B5C67"/>
    <w:rsid w:val="000B5E5F"/>
    <w:rsid w:val="000B62C2"/>
    <w:rsid w:val="000B6372"/>
    <w:rsid w:val="000B7376"/>
    <w:rsid w:val="000C0BB1"/>
    <w:rsid w:val="000C2540"/>
    <w:rsid w:val="000C2567"/>
    <w:rsid w:val="000C3B60"/>
    <w:rsid w:val="000C3D9D"/>
    <w:rsid w:val="000C43F0"/>
    <w:rsid w:val="000C4695"/>
    <w:rsid w:val="000C499A"/>
    <w:rsid w:val="000C49F1"/>
    <w:rsid w:val="000C5796"/>
    <w:rsid w:val="000C5F42"/>
    <w:rsid w:val="000C65CB"/>
    <w:rsid w:val="000C6873"/>
    <w:rsid w:val="000C6FAB"/>
    <w:rsid w:val="000C7C56"/>
    <w:rsid w:val="000D01D5"/>
    <w:rsid w:val="000D07C2"/>
    <w:rsid w:val="000D1414"/>
    <w:rsid w:val="000D1B19"/>
    <w:rsid w:val="000D251E"/>
    <w:rsid w:val="000D3DB8"/>
    <w:rsid w:val="000D476B"/>
    <w:rsid w:val="000D57BD"/>
    <w:rsid w:val="000D5A8C"/>
    <w:rsid w:val="000D6488"/>
    <w:rsid w:val="000D6757"/>
    <w:rsid w:val="000D7A58"/>
    <w:rsid w:val="000D7AB8"/>
    <w:rsid w:val="000D7F4E"/>
    <w:rsid w:val="000E0A0A"/>
    <w:rsid w:val="000E223C"/>
    <w:rsid w:val="000E3057"/>
    <w:rsid w:val="000E31A7"/>
    <w:rsid w:val="000E375A"/>
    <w:rsid w:val="000E420E"/>
    <w:rsid w:val="000E436F"/>
    <w:rsid w:val="000E5513"/>
    <w:rsid w:val="000E6F6F"/>
    <w:rsid w:val="000E787D"/>
    <w:rsid w:val="000E7F1D"/>
    <w:rsid w:val="000F0463"/>
    <w:rsid w:val="000F07C1"/>
    <w:rsid w:val="000F086F"/>
    <w:rsid w:val="000F1DDC"/>
    <w:rsid w:val="000F3028"/>
    <w:rsid w:val="000F4BEA"/>
    <w:rsid w:val="000F4F4F"/>
    <w:rsid w:val="000F5315"/>
    <w:rsid w:val="000F570B"/>
    <w:rsid w:val="000F5CC2"/>
    <w:rsid w:val="000F5E15"/>
    <w:rsid w:val="000F77F0"/>
    <w:rsid w:val="000F7876"/>
    <w:rsid w:val="00100A1E"/>
    <w:rsid w:val="00100B02"/>
    <w:rsid w:val="0010132E"/>
    <w:rsid w:val="001018C4"/>
    <w:rsid w:val="001018DD"/>
    <w:rsid w:val="001028FE"/>
    <w:rsid w:val="00102C05"/>
    <w:rsid w:val="00102C6A"/>
    <w:rsid w:val="00103E79"/>
    <w:rsid w:val="001040A8"/>
    <w:rsid w:val="001040F8"/>
    <w:rsid w:val="001043CE"/>
    <w:rsid w:val="001061CD"/>
    <w:rsid w:val="00106C0A"/>
    <w:rsid w:val="001136FF"/>
    <w:rsid w:val="00113A37"/>
    <w:rsid w:val="00113F8C"/>
    <w:rsid w:val="00115ED4"/>
    <w:rsid w:val="0011661B"/>
    <w:rsid w:val="00116912"/>
    <w:rsid w:val="00116A79"/>
    <w:rsid w:val="00116CCB"/>
    <w:rsid w:val="001170FF"/>
    <w:rsid w:val="001174CF"/>
    <w:rsid w:val="00117E78"/>
    <w:rsid w:val="00120BAA"/>
    <w:rsid w:val="00120EA9"/>
    <w:rsid w:val="00121696"/>
    <w:rsid w:val="00122285"/>
    <w:rsid w:val="00123367"/>
    <w:rsid w:val="001247FE"/>
    <w:rsid w:val="00125341"/>
    <w:rsid w:val="00126224"/>
    <w:rsid w:val="00131592"/>
    <w:rsid w:val="001315A5"/>
    <w:rsid w:val="001316FD"/>
    <w:rsid w:val="0013249F"/>
    <w:rsid w:val="00132E89"/>
    <w:rsid w:val="0013332D"/>
    <w:rsid w:val="00133C0C"/>
    <w:rsid w:val="00134E3F"/>
    <w:rsid w:val="00134F6F"/>
    <w:rsid w:val="001355C4"/>
    <w:rsid w:val="00135778"/>
    <w:rsid w:val="00135951"/>
    <w:rsid w:val="00135B4A"/>
    <w:rsid w:val="0013678F"/>
    <w:rsid w:val="001367B9"/>
    <w:rsid w:val="00136C15"/>
    <w:rsid w:val="00137201"/>
    <w:rsid w:val="00137828"/>
    <w:rsid w:val="00140380"/>
    <w:rsid w:val="0014085A"/>
    <w:rsid w:val="00140A22"/>
    <w:rsid w:val="00140F4E"/>
    <w:rsid w:val="00141199"/>
    <w:rsid w:val="0014235A"/>
    <w:rsid w:val="00143D51"/>
    <w:rsid w:val="00144841"/>
    <w:rsid w:val="00146C75"/>
    <w:rsid w:val="00150D5B"/>
    <w:rsid w:val="00150E9E"/>
    <w:rsid w:val="00151F61"/>
    <w:rsid w:val="0015205D"/>
    <w:rsid w:val="001524F2"/>
    <w:rsid w:val="0015333B"/>
    <w:rsid w:val="00154C43"/>
    <w:rsid w:val="00156B10"/>
    <w:rsid w:val="0015708F"/>
    <w:rsid w:val="00157A50"/>
    <w:rsid w:val="00157DA4"/>
    <w:rsid w:val="00160E60"/>
    <w:rsid w:val="00161851"/>
    <w:rsid w:val="00162193"/>
    <w:rsid w:val="0016310E"/>
    <w:rsid w:val="001631F8"/>
    <w:rsid w:val="00164401"/>
    <w:rsid w:val="00164E60"/>
    <w:rsid w:val="00170920"/>
    <w:rsid w:val="00171AB2"/>
    <w:rsid w:val="00172554"/>
    <w:rsid w:val="00173923"/>
    <w:rsid w:val="00174DB8"/>
    <w:rsid w:val="00175DAE"/>
    <w:rsid w:val="00176032"/>
    <w:rsid w:val="0017622B"/>
    <w:rsid w:val="00176555"/>
    <w:rsid w:val="001773C8"/>
    <w:rsid w:val="00180B7A"/>
    <w:rsid w:val="001814C1"/>
    <w:rsid w:val="0018197E"/>
    <w:rsid w:val="00182991"/>
    <w:rsid w:val="00183503"/>
    <w:rsid w:val="00183988"/>
    <w:rsid w:val="00183DEC"/>
    <w:rsid w:val="00183FE7"/>
    <w:rsid w:val="00184AD2"/>
    <w:rsid w:val="0018534D"/>
    <w:rsid w:val="001854A1"/>
    <w:rsid w:val="001856B4"/>
    <w:rsid w:val="00185910"/>
    <w:rsid w:val="00185B1D"/>
    <w:rsid w:val="001862E5"/>
    <w:rsid w:val="00186543"/>
    <w:rsid w:val="00186A1A"/>
    <w:rsid w:val="00186FCF"/>
    <w:rsid w:val="00187445"/>
    <w:rsid w:val="00187945"/>
    <w:rsid w:val="00187DD0"/>
    <w:rsid w:val="001900F6"/>
    <w:rsid w:val="00190D63"/>
    <w:rsid w:val="00190F9A"/>
    <w:rsid w:val="00191106"/>
    <w:rsid w:val="00191253"/>
    <w:rsid w:val="00192333"/>
    <w:rsid w:val="00193050"/>
    <w:rsid w:val="00194978"/>
    <w:rsid w:val="00194BE6"/>
    <w:rsid w:val="0019588B"/>
    <w:rsid w:val="0019599B"/>
    <w:rsid w:val="001962E1"/>
    <w:rsid w:val="00196C94"/>
    <w:rsid w:val="00196DF6"/>
    <w:rsid w:val="00197783"/>
    <w:rsid w:val="00197E1C"/>
    <w:rsid w:val="001A088C"/>
    <w:rsid w:val="001A12ED"/>
    <w:rsid w:val="001A1ABF"/>
    <w:rsid w:val="001A2395"/>
    <w:rsid w:val="001A2E63"/>
    <w:rsid w:val="001A2EC3"/>
    <w:rsid w:val="001A3195"/>
    <w:rsid w:val="001A36F4"/>
    <w:rsid w:val="001A3B8C"/>
    <w:rsid w:val="001A424D"/>
    <w:rsid w:val="001A4A92"/>
    <w:rsid w:val="001A51C8"/>
    <w:rsid w:val="001B04F9"/>
    <w:rsid w:val="001B0B03"/>
    <w:rsid w:val="001B0E2D"/>
    <w:rsid w:val="001B1731"/>
    <w:rsid w:val="001B1831"/>
    <w:rsid w:val="001B1DC6"/>
    <w:rsid w:val="001B2DB2"/>
    <w:rsid w:val="001B383F"/>
    <w:rsid w:val="001B42E2"/>
    <w:rsid w:val="001B4DD3"/>
    <w:rsid w:val="001B53E3"/>
    <w:rsid w:val="001B5B15"/>
    <w:rsid w:val="001B5F5A"/>
    <w:rsid w:val="001B62AB"/>
    <w:rsid w:val="001B6888"/>
    <w:rsid w:val="001B6B1D"/>
    <w:rsid w:val="001B70AC"/>
    <w:rsid w:val="001B749E"/>
    <w:rsid w:val="001C10A8"/>
    <w:rsid w:val="001C159A"/>
    <w:rsid w:val="001C2076"/>
    <w:rsid w:val="001C2A72"/>
    <w:rsid w:val="001C31EB"/>
    <w:rsid w:val="001C4CA3"/>
    <w:rsid w:val="001C4D03"/>
    <w:rsid w:val="001C4E09"/>
    <w:rsid w:val="001C4F2E"/>
    <w:rsid w:val="001C6679"/>
    <w:rsid w:val="001C6ACF"/>
    <w:rsid w:val="001C704F"/>
    <w:rsid w:val="001C71BC"/>
    <w:rsid w:val="001C763B"/>
    <w:rsid w:val="001C7730"/>
    <w:rsid w:val="001D0014"/>
    <w:rsid w:val="001D1659"/>
    <w:rsid w:val="001D32F7"/>
    <w:rsid w:val="001D4EDE"/>
    <w:rsid w:val="001D5984"/>
    <w:rsid w:val="001D5A8C"/>
    <w:rsid w:val="001D644A"/>
    <w:rsid w:val="001D6736"/>
    <w:rsid w:val="001D74AA"/>
    <w:rsid w:val="001E0DCE"/>
    <w:rsid w:val="001E17B2"/>
    <w:rsid w:val="001E1E51"/>
    <w:rsid w:val="001E24F4"/>
    <w:rsid w:val="001E36C8"/>
    <w:rsid w:val="001E51CE"/>
    <w:rsid w:val="001E5FC4"/>
    <w:rsid w:val="001F126C"/>
    <w:rsid w:val="001F1A2D"/>
    <w:rsid w:val="001F1DD1"/>
    <w:rsid w:val="001F25E0"/>
    <w:rsid w:val="001F485E"/>
    <w:rsid w:val="001F4DFD"/>
    <w:rsid w:val="001F52E4"/>
    <w:rsid w:val="001F5F53"/>
    <w:rsid w:val="001F6320"/>
    <w:rsid w:val="001F6572"/>
    <w:rsid w:val="001F7942"/>
    <w:rsid w:val="001F7B17"/>
    <w:rsid w:val="002000FD"/>
    <w:rsid w:val="00200679"/>
    <w:rsid w:val="0020196C"/>
    <w:rsid w:val="002047BF"/>
    <w:rsid w:val="0020488A"/>
    <w:rsid w:val="0020546C"/>
    <w:rsid w:val="00206921"/>
    <w:rsid w:val="00207FC1"/>
    <w:rsid w:val="00211573"/>
    <w:rsid w:val="002118E2"/>
    <w:rsid w:val="0021206F"/>
    <w:rsid w:val="00212EFF"/>
    <w:rsid w:val="002132F1"/>
    <w:rsid w:val="00213571"/>
    <w:rsid w:val="00213D26"/>
    <w:rsid w:val="00214324"/>
    <w:rsid w:val="00214FBE"/>
    <w:rsid w:val="00217482"/>
    <w:rsid w:val="0021750E"/>
    <w:rsid w:val="00217A65"/>
    <w:rsid w:val="00217C27"/>
    <w:rsid w:val="002208C7"/>
    <w:rsid w:val="00220B99"/>
    <w:rsid w:val="00220D70"/>
    <w:rsid w:val="00221159"/>
    <w:rsid w:val="002212DB"/>
    <w:rsid w:val="0022256C"/>
    <w:rsid w:val="002227D4"/>
    <w:rsid w:val="00223B64"/>
    <w:rsid w:val="00224BEB"/>
    <w:rsid w:val="0022630A"/>
    <w:rsid w:val="00226826"/>
    <w:rsid w:val="00227C57"/>
    <w:rsid w:val="00231360"/>
    <w:rsid w:val="00231C9C"/>
    <w:rsid w:val="002331B4"/>
    <w:rsid w:val="00233DA6"/>
    <w:rsid w:val="00235026"/>
    <w:rsid w:val="00235402"/>
    <w:rsid w:val="00235C84"/>
    <w:rsid w:val="002419CA"/>
    <w:rsid w:val="002426BA"/>
    <w:rsid w:val="00244620"/>
    <w:rsid w:val="0024762A"/>
    <w:rsid w:val="002479D6"/>
    <w:rsid w:val="00247F5A"/>
    <w:rsid w:val="002506A5"/>
    <w:rsid w:val="00250C24"/>
    <w:rsid w:val="0025123F"/>
    <w:rsid w:val="0025164E"/>
    <w:rsid w:val="002520A7"/>
    <w:rsid w:val="00252E56"/>
    <w:rsid w:val="002535D9"/>
    <w:rsid w:val="00253622"/>
    <w:rsid w:val="00255388"/>
    <w:rsid w:val="002553C6"/>
    <w:rsid w:val="00255E6A"/>
    <w:rsid w:val="00256636"/>
    <w:rsid w:val="002573E7"/>
    <w:rsid w:val="00260D48"/>
    <w:rsid w:val="00261A45"/>
    <w:rsid w:val="00263267"/>
    <w:rsid w:val="002643D5"/>
    <w:rsid w:val="00264C41"/>
    <w:rsid w:val="0026686F"/>
    <w:rsid w:val="0026726B"/>
    <w:rsid w:val="00267555"/>
    <w:rsid w:val="002709BC"/>
    <w:rsid w:val="0027196C"/>
    <w:rsid w:val="0027225E"/>
    <w:rsid w:val="00272491"/>
    <w:rsid w:val="00272AD5"/>
    <w:rsid w:val="00272E24"/>
    <w:rsid w:val="002730B0"/>
    <w:rsid w:val="00273775"/>
    <w:rsid w:val="0027414F"/>
    <w:rsid w:val="00274AB7"/>
    <w:rsid w:val="00274FF5"/>
    <w:rsid w:val="002751CF"/>
    <w:rsid w:val="00275616"/>
    <w:rsid w:val="00275838"/>
    <w:rsid w:val="002762F1"/>
    <w:rsid w:val="00276DE0"/>
    <w:rsid w:val="00276E62"/>
    <w:rsid w:val="00277A78"/>
    <w:rsid w:val="00280163"/>
    <w:rsid w:val="00280314"/>
    <w:rsid w:val="002807CD"/>
    <w:rsid w:val="002807DC"/>
    <w:rsid w:val="002808E9"/>
    <w:rsid w:val="00281058"/>
    <w:rsid w:val="00281530"/>
    <w:rsid w:val="002826E2"/>
    <w:rsid w:val="002829E5"/>
    <w:rsid w:val="00282BE1"/>
    <w:rsid w:val="00284356"/>
    <w:rsid w:val="00285170"/>
    <w:rsid w:val="0028553B"/>
    <w:rsid w:val="002865CA"/>
    <w:rsid w:val="00287179"/>
    <w:rsid w:val="002904B1"/>
    <w:rsid w:val="002909D3"/>
    <w:rsid w:val="00294410"/>
    <w:rsid w:val="0029590F"/>
    <w:rsid w:val="002963CB"/>
    <w:rsid w:val="00296609"/>
    <w:rsid w:val="002A0062"/>
    <w:rsid w:val="002A09A3"/>
    <w:rsid w:val="002A0D72"/>
    <w:rsid w:val="002A164E"/>
    <w:rsid w:val="002A16B7"/>
    <w:rsid w:val="002A2B60"/>
    <w:rsid w:val="002A2CB4"/>
    <w:rsid w:val="002A326C"/>
    <w:rsid w:val="002A37A1"/>
    <w:rsid w:val="002A42D8"/>
    <w:rsid w:val="002A48A4"/>
    <w:rsid w:val="002A4913"/>
    <w:rsid w:val="002A535A"/>
    <w:rsid w:val="002A6107"/>
    <w:rsid w:val="002A67B2"/>
    <w:rsid w:val="002A72C5"/>
    <w:rsid w:val="002B13CC"/>
    <w:rsid w:val="002B2700"/>
    <w:rsid w:val="002B2AAB"/>
    <w:rsid w:val="002B2E53"/>
    <w:rsid w:val="002B3E82"/>
    <w:rsid w:val="002B4474"/>
    <w:rsid w:val="002B6205"/>
    <w:rsid w:val="002B62FD"/>
    <w:rsid w:val="002B680E"/>
    <w:rsid w:val="002C0CD1"/>
    <w:rsid w:val="002C0D68"/>
    <w:rsid w:val="002C1A6B"/>
    <w:rsid w:val="002C1B75"/>
    <w:rsid w:val="002C1EAB"/>
    <w:rsid w:val="002C3379"/>
    <w:rsid w:val="002C3BA0"/>
    <w:rsid w:val="002C57D4"/>
    <w:rsid w:val="002C5A13"/>
    <w:rsid w:val="002C60AE"/>
    <w:rsid w:val="002C6565"/>
    <w:rsid w:val="002D2801"/>
    <w:rsid w:val="002D2EB0"/>
    <w:rsid w:val="002D4AB7"/>
    <w:rsid w:val="002D4C66"/>
    <w:rsid w:val="002D6124"/>
    <w:rsid w:val="002D6766"/>
    <w:rsid w:val="002D74F7"/>
    <w:rsid w:val="002D778C"/>
    <w:rsid w:val="002E08CE"/>
    <w:rsid w:val="002E0F7E"/>
    <w:rsid w:val="002E13D1"/>
    <w:rsid w:val="002E14FE"/>
    <w:rsid w:val="002E1759"/>
    <w:rsid w:val="002E1E69"/>
    <w:rsid w:val="002E20C6"/>
    <w:rsid w:val="002E27EE"/>
    <w:rsid w:val="002E3569"/>
    <w:rsid w:val="002E46A5"/>
    <w:rsid w:val="002E5877"/>
    <w:rsid w:val="002E5EA6"/>
    <w:rsid w:val="002E6C3C"/>
    <w:rsid w:val="002E709A"/>
    <w:rsid w:val="002E7109"/>
    <w:rsid w:val="002E7348"/>
    <w:rsid w:val="002F172A"/>
    <w:rsid w:val="002F3E31"/>
    <w:rsid w:val="002F4800"/>
    <w:rsid w:val="002F5537"/>
    <w:rsid w:val="002F6F83"/>
    <w:rsid w:val="002F7855"/>
    <w:rsid w:val="002F7EA6"/>
    <w:rsid w:val="003005E4"/>
    <w:rsid w:val="00300A0C"/>
    <w:rsid w:val="00300C4A"/>
    <w:rsid w:val="00301751"/>
    <w:rsid w:val="00301CBD"/>
    <w:rsid w:val="003030C5"/>
    <w:rsid w:val="003039E0"/>
    <w:rsid w:val="00304630"/>
    <w:rsid w:val="003047C9"/>
    <w:rsid w:val="00304E6A"/>
    <w:rsid w:val="0030598E"/>
    <w:rsid w:val="00306F55"/>
    <w:rsid w:val="00307FDF"/>
    <w:rsid w:val="00310961"/>
    <w:rsid w:val="00310B39"/>
    <w:rsid w:val="00310EEB"/>
    <w:rsid w:val="00312415"/>
    <w:rsid w:val="0031268C"/>
    <w:rsid w:val="00313290"/>
    <w:rsid w:val="00313561"/>
    <w:rsid w:val="00314452"/>
    <w:rsid w:val="003146E6"/>
    <w:rsid w:val="0031628C"/>
    <w:rsid w:val="00317BC3"/>
    <w:rsid w:val="00320592"/>
    <w:rsid w:val="00320E03"/>
    <w:rsid w:val="0032154C"/>
    <w:rsid w:val="00321FB3"/>
    <w:rsid w:val="0032242C"/>
    <w:rsid w:val="0032258B"/>
    <w:rsid w:val="003234A8"/>
    <w:rsid w:val="0032386B"/>
    <w:rsid w:val="00325734"/>
    <w:rsid w:val="003262F1"/>
    <w:rsid w:val="00326630"/>
    <w:rsid w:val="003304E5"/>
    <w:rsid w:val="003304F7"/>
    <w:rsid w:val="003308AB"/>
    <w:rsid w:val="003322CE"/>
    <w:rsid w:val="0033248F"/>
    <w:rsid w:val="00332915"/>
    <w:rsid w:val="003334FB"/>
    <w:rsid w:val="00333D04"/>
    <w:rsid w:val="003342D8"/>
    <w:rsid w:val="003360F6"/>
    <w:rsid w:val="00336531"/>
    <w:rsid w:val="00336F23"/>
    <w:rsid w:val="0034132F"/>
    <w:rsid w:val="00341AC1"/>
    <w:rsid w:val="00342A8A"/>
    <w:rsid w:val="00342B5A"/>
    <w:rsid w:val="003433D2"/>
    <w:rsid w:val="003444BB"/>
    <w:rsid w:val="0034673C"/>
    <w:rsid w:val="00346A39"/>
    <w:rsid w:val="00347017"/>
    <w:rsid w:val="00350695"/>
    <w:rsid w:val="003506D4"/>
    <w:rsid w:val="00351B7E"/>
    <w:rsid w:val="003526FE"/>
    <w:rsid w:val="00352B28"/>
    <w:rsid w:val="00354817"/>
    <w:rsid w:val="003563F4"/>
    <w:rsid w:val="00357222"/>
    <w:rsid w:val="003604BB"/>
    <w:rsid w:val="00360775"/>
    <w:rsid w:val="00360800"/>
    <w:rsid w:val="003609A4"/>
    <w:rsid w:val="00362CC6"/>
    <w:rsid w:val="00362D7C"/>
    <w:rsid w:val="00362F04"/>
    <w:rsid w:val="0036326E"/>
    <w:rsid w:val="003646A8"/>
    <w:rsid w:val="0036483B"/>
    <w:rsid w:val="00364BFD"/>
    <w:rsid w:val="00364E0B"/>
    <w:rsid w:val="0036520B"/>
    <w:rsid w:val="00365997"/>
    <w:rsid w:val="003667BE"/>
    <w:rsid w:val="00366CE8"/>
    <w:rsid w:val="0036731C"/>
    <w:rsid w:val="003708EA"/>
    <w:rsid w:val="0037178D"/>
    <w:rsid w:val="003718F4"/>
    <w:rsid w:val="0037198A"/>
    <w:rsid w:val="00371D33"/>
    <w:rsid w:val="00372358"/>
    <w:rsid w:val="00372C7C"/>
    <w:rsid w:val="00372F8A"/>
    <w:rsid w:val="00373455"/>
    <w:rsid w:val="00373586"/>
    <w:rsid w:val="003742AF"/>
    <w:rsid w:val="003744E0"/>
    <w:rsid w:val="00374640"/>
    <w:rsid w:val="00374906"/>
    <w:rsid w:val="0037516F"/>
    <w:rsid w:val="0037519D"/>
    <w:rsid w:val="003754A1"/>
    <w:rsid w:val="00375DBD"/>
    <w:rsid w:val="00376861"/>
    <w:rsid w:val="003819D9"/>
    <w:rsid w:val="00383CF1"/>
    <w:rsid w:val="00386332"/>
    <w:rsid w:val="003865B0"/>
    <w:rsid w:val="00386750"/>
    <w:rsid w:val="00386E14"/>
    <w:rsid w:val="00386F36"/>
    <w:rsid w:val="0039118F"/>
    <w:rsid w:val="00391ECD"/>
    <w:rsid w:val="0039265F"/>
    <w:rsid w:val="003928D8"/>
    <w:rsid w:val="0039390F"/>
    <w:rsid w:val="00393D5C"/>
    <w:rsid w:val="00393ED7"/>
    <w:rsid w:val="0039432F"/>
    <w:rsid w:val="0039455E"/>
    <w:rsid w:val="00394B3E"/>
    <w:rsid w:val="00395B45"/>
    <w:rsid w:val="00397169"/>
    <w:rsid w:val="003A110E"/>
    <w:rsid w:val="003A1F60"/>
    <w:rsid w:val="003A2E83"/>
    <w:rsid w:val="003A2FDD"/>
    <w:rsid w:val="003A379A"/>
    <w:rsid w:val="003A3B66"/>
    <w:rsid w:val="003A3C55"/>
    <w:rsid w:val="003A49FD"/>
    <w:rsid w:val="003A4B15"/>
    <w:rsid w:val="003A5175"/>
    <w:rsid w:val="003A53D8"/>
    <w:rsid w:val="003A5C74"/>
    <w:rsid w:val="003A6298"/>
    <w:rsid w:val="003A6F22"/>
    <w:rsid w:val="003A6F67"/>
    <w:rsid w:val="003B2309"/>
    <w:rsid w:val="003B25C7"/>
    <w:rsid w:val="003B26C5"/>
    <w:rsid w:val="003B2A7B"/>
    <w:rsid w:val="003B2FA7"/>
    <w:rsid w:val="003B2FE5"/>
    <w:rsid w:val="003B357E"/>
    <w:rsid w:val="003B3CE9"/>
    <w:rsid w:val="003B3F22"/>
    <w:rsid w:val="003B4CB5"/>
    <w:rsid w:val="003B5787"/>
    <w:rsid w:val="003B6354"/>
    <w:rsid w:val="003B6B53"/>
    <w:rsid w:val="003B6E52"/>
    <w:rsid w:val="003B7B0F"/>
    <w:rsid w:val="003B7F5F"/>
    <w:rsid w:val="003C0D75"/>
    <w:rsid w:val="003C0F40"/>
    <w:rsid w:val="003C1C67"/>
    <w:rsid w:val="003C228A"/>
    <w:rsid w:val="003C2430"/>
    <w:rsid w:val="003C28C3"/>
    <w:rsid w:val="003C33F0"/>
    <w:rsid w:val="003C4B2B"/>
    <w:rsid w:val="003C4F13"/>
    <w:rsid w:val="003C5026"/>
    <w:rsid w:val="003C5FCE"/>
    <w:rsid w:val="003C6475"/>
    <w:rsid w:val="003D070A"/>
    <w:rsid w:val="003D1461"/>
    <w:rsid w:val="003D200A"/>
    <w:rsid w:val="003D3565"/>
    <w:rsid w:val="003D40C3"/>
    <w:rsid w:val="003D5AB8"/>
    <w:rsid w:val="003D6A06"/>
    <w:rsid w:val="003D7A70"/>
    <w:rsid w:val="003D7AFB"/>
    <w:rsid w:val="003E2691"/>
    <w:rsid w:val="003E5C3B"/>
    <w:rsid w:val="003F08B4"/>
    <w:rsid w:val="003F106A"/>
    <w:rsid w:val="003F117D"/>
    <w:rsid w:val="003F1454"/>
    <w:rsid w:val="003F1536"/>
    <w:rsid w:val="003F1EA5"/>
    <w:rsid w:val="003F30B5"/>
    <w:rsid w:val="003F3926"/>
    <w:rsid w:val="003F3E89"/>
    <w:rsid w:val="003F40E6"/>
    <w:rsid w:val="003F4AB9"/>
    <w:rsid w:val="003F4B4E"/>
    <w:rsid w:val="003F4E33"/>
    <w:rsid w:val="003F501D"/>
    <w:rsid w:val="003F5C2B"/>
    <w:rsid w:val="003F601B"/>
    <w:rsid w:val="003F61FF"/>
    <w:rsid w:val="003F6950"/>
    <w:rsid w:val="003F7DB2"/>
    <w:rsid w:val="00400A77"/>
    <w:rsid w:val="0040345E"/>
    <w:rsid w:val="00403E15"/>
    <w:rsid w:val="00404040"/>
    <w:rsid w:val="00404FC6"/>
    <w:rsid w:val="00406364"/>
    <w:rsid w:val="004067FF"/>
    <w:rsid w:val="00407ED8"/>
    <w:rsid w:val="0041033D"/>
    <w:rsid w:val="00410580"/>
    <w:rsid w:val="00411F48"/>
    <w:rsid w:val="00413AE5"/>
    <w:rsid w:val="00413BDA"/>
    <w:rsid w:val="00414AD9"/>
    <w:rsid w:val="0041616A"/>
    <w:rsid w:val="00416466"/>
    <w:rsid w:val="004173FB"/>
    <w:rsid w:val="0041795F"/>
    <w:rsid w:val="00421009"/>
    <w:rsid w:val="00421D80"/>
    <w:rsid w:val="00421DB0"/>
    <w:rsid w:val="00422EA8"/>
    <w:rsid w:val="00423424"/>
    <w:rsid w:val="00423A3A"/>
    <w:rsid w:val="00424BAF"/>
    <w:rsid w:val="00425D88"/>
    <w:rsid w:val="00426861"/>
    <w:rsid w:val="00426AED"/>
    <w:rsid w:val="00430AB4"/>
    <w:rsid w:val="00430DE3"/>
    <w:rsid w:val="004323A7"/>
    <w:rsid w:val="00432D50"/>
    <w:rsid w:val="00433112"/>
    <w:rsid w:val="004335B0"/>
    <w:rsid w:val="004345FA"/>
    <w:rsid w:val="00434BEF"/>
    <w:rsid w:val="0043501C"/>
    <w:rsid w:val="00435E8D"/>
    <w:rsid w:val="00435F02"/>
    <w:rsid w:val="00437273"/>
    <w:rsid w:val="00437B5C"/>
    <w:rsid w:val="0044050B"/>
    <w:rsid w:val="00441DEC"/>
    <w:rsid w:val="00443640"/>
    <w:rsid w:val="00443659"/>
    <w:rsid w:val="004439B8"/>
    <w:rsid w:val="004453B3"/>
    <w:rsid w:val="0044617D"/>
    <w:rsid w:val="004461C7"/>
    <w:rsid w:val="00446502"/>
    <w:rsid w:val="00446E89"/>
    <w:rsid w:val="0044721B"/>
    <w:rsid w:val="004473A6"/>
    <w:rsid w:val="004474CE"/>
    <w:rsid w:val="00447D01"/>
    <w:rsid w:val="00447E5C"/>
    <w:rsid w:val="00450EE6"/>
    <w:rsid w:val="00452515"/>
    <w:rsid w:val="004527EE"/>
    <w:rsid w:val="00452E3F"/>
    <w:rsid w:val="00454A07"/>
    <w:rsid w:val="00456C47"/>
    <w:rsid w:val="0046042F"/>
    <w:rsid w:val="00461FB0"/>
    <w:rsid w:val="00462B63"/>
    <w:rsid w:val="00463DC8"/>
    <w:rsid w:val="00463F10"/>
    <w:rsid w:val="0046410C"/>
    <w:rsid w:val="004649DE"/>
    <w:rsid w:val="00465025"/>
    <w:rsid w:val="00465153"/>
    <w:rsid w:val="004651E1"/>
    <w:rsid w:val="00465864"/>
    <w:rsid w:val="00466142"/>
    <w:rsid w:val="00466223"/>
    <w:rsid w:val="0046767D"/>
    <w:rsid w:val="00467BFC"/>
    <w:rsid w:val="004705CC"/>
    <w:rsid w:val="0047118A"/>
    <w:rsid w:val="00471DAE"/>
    <w:rsid w:val="00471F90"/>
    <w:rsid w:val="004755EF"/>
    <w:rsid w:val="00475EC5"/>
    <w:rsid w:val="00476117"/>
    <w:rsid w:val="004773BB"/>
    <w:rsid w:val="00477420"/>
    <w:rsid w:val="004777C4"/>
    <w:rsid w:val="00477FF9"/>
    <w:rsid w:val="004812F7"/>
    <w:rsid w:val="00481C2E"/>
    <w:rsid w:val="00482ABA"/>
    <w:rsid w:val="00483660"/>
    <w:rsid w:val="00483B02"/>
    <w:rsid w:val="00483FCD"/>
    <w:rsid w:val="00484705"/>
    <w:rsid w:val="00484D72"/>
    <w:rsid w:val="004865BD"/>
    <w:rsid w:val="0048695C"/>
    <w:rsid w:val="0048782B"/>
    <w:rsid w:val="00491794"/>
    <w:rsid w:val="00491B60"/>
    <w:rsid w:val="004925DA"/>
    <w:rsid w:val="00492C4D"/>
    <w:rsid w:val="00492FAE"/>
    <w:rsid w:val="004934E9"/>
    <w:rsid w:val="0049483C"/>
    <w:rsid w:val="00495BF0"/>
    <w:rsid w:val="004965AA"/>
    <w:rsid w:val="0049661F"/>
    <w:rsid w:val="00496FDC"/>
    <w:rsid w:val="00497784"/>
    <w:rsid w:val="00497CFD"/>
    <w:rsid w:val="004A0AB3"/>
    <w:rsid w:val="004A132E"/>
    <w:rsid w:val="004A16E0"/>
    <w:rsid w:val="004A24A5"/>
    <w:rsid w:val="004A2960"/>
    <w:rsid w:val="004A2D39"/>
    <w:rsid w:val="004A33E5"/>
    <w:rsid w:val="004A3547"/>
    <w:rsid w:val="004A3955"/>
    <w:rsid w:val="004A4352"/>
    <w:rsid w:val="004A43E8"/>
    <w:rsid w:val="004A5414"/>
    <w:rsid w:val="004A7896"/>
    <w:rsid w:val="004B10DA"/>
    <w:rsid w:val="004B1636"/>
    <w:rsid w:val="004B222D"/>
    <w:rsid w:val="004B2840"/>
    <w:rsid w:val="004B33E8"/>
    <w:rsid w:val="004B348E"/>
    <w:rsid w:val="004B4061"/>
    <w:rsid w:val="004B42AD"/>
    <w:rsid w:val="004B44AA"/>
    <w:rsid w:val="004B5DE7"/>
    <w:rsid w:val="004B6A60"/>
    <w:rsid w:val="004B77E4"/>
    <w:rsid w:val="004B7A61"/>
    <w:rsid w:val="004C06A1"/>
    <w:rsid w:val="004C08F8"/>
    <w:rsid w:val="004C1E98"/>
    <w:rsid w:val="004C3C30"/>
    <w:rsid w:val="004C44CE"/>
    <w:rsid w:val="004C4A52"/>
    <w:rsid w:val="004C4B4D"/>
    <w:rsid w:val="004C4F4C"/>
    <w:rsid w:val="004C59A4"/>
    <w:rsid w:val="004C5ACF"/>
    <w:rsid w:val="004C6EF8"/>
    <w:rsid w:val="004C6FF6"/>
    <w:rsid w:val="004C7653"/>
    <w:rsid w:val="004D0BAE"/>
    <w:rsid w:val="004D1723"/>
    <w:rsid w:val="004D2906"/>
    <w:rsid w:val="004D2B11"/>
    <w:rsid w:val="004D3447"/>
    <w:rsid w:val="004D4FF6"/>
    <w:rsid w:val="004D5689"/>
    <w:rsid w:val="004D5692"/>
    <w:rsid w:val="004D57FE"/>
    <w:rsid w:val="004D5C1F"/>
    <w:rsid w:val="004D6AC1"/>
    <w:rsid w:val="004D6E73"/>
    <w:rsid w:val="004D7345"/>
    <w:rsid w:val="004D79F3"/>
    <w:rsid w:val="004D7BB6"/>
    <w:rsid w:val="004E0319"/>
    <w:rsid w:val="004E0648"/>
    <w:rsid w:val="004E0724"/>
    <w:rsid w:val="004E091D"/>
    <w:rsid w:val="004E0985"/>
    <w:rsid w:val="004E19D7"/>
    <w:rsid w:val="004E29DD"/>
    <w:rsid w:val="004E3A6F"/>
    <w:rsid w:val="004E4636"/>
    <w:rsid w:val="004E527B"/>
    <w:rsid w:val="004E664A"/>
    <w:rsid w:val="004E7EDC"/>
    <w:rsid w:val="004F0150"/>
    <w:rsid w:val="004F0929"/>
    <w:rsid w:val="004F0BF4"/>
    <w:rsid w:val="004F10F5"/>
    <w:rsid w:val="004F1819"/>
    <w:rsid w:val="004F1D6E"/>
    <w:rsid w:val="004F2ED8"/>
    <w:rsid w:val="004F314E"/>
    <w:rsid w:val="004F322E"/>
    <w:rsid w:val="004F349E"/>
    <w:rsid w:val="004F365B"/>
    <w:rsid w:val="004F3B5C"/>
    <w:rsid w:val="004F4B67"/>
    <w:rsid w:val="004F4FDD"/>
    <w:rsid w:val="004F51AF"/>
    <w:rsid w:val="004F5BAA"/>
    <w:rsid w:val="004F6370"/>
    <w:rsid w:val="004F69B8"/>
    <w:rsid w:val="004F7020"/>
    <w:rsid w:val="004F7306"/>
    <w:rsid w:val="0050142E"/>
    <w:rsid w:val="0050158A"/>
    <w:rsid w:val="00501D64"/>
    <w:rsid w:val="00502017"/>
    <w:rsid w:val="00502B3F"/>
    <w:rsid w:val="00502C9E"/>
    <w:rsid w:val="00503332"/>
    <w:rsid w:val="00503F73"/>
    <w:rsid w:val="00503F99"/>
    <w:rsid w:val="005104CA"/>
    <w:rsid w:val="00510C28"/>
    <w:rsid w:val="005117EB"/>
    <w:rsid w:val="00512350"/>
    <w:rsid w:val="005138A3"/>
    <w:rsid w:val="00514A9F"/>
    <w:rsid w:val="00514AB5"/>
    <w:rsid w:val="00514D77"/>
    <w:rsid w:val="005158CE"/>
    <w:rsid w:val="00515ED6"/>
    <w:rsid w:val="00515FD4"/>
    <w:rsid w:val="00516483"/>
    <w:rsid w:val="005165F1"/>
    <w:rsid w:val="005166DD"/>
    <w:rsid w:val="005166F3"/>
    <w:rsid w:val="0051724E"/>
    <w:rsid w:val="005173D1"/>
    <w:rsid w:val="00517FEC"/>
    <w:rsid w:val="00520687"/>
    <w:rsid w:val="0052084B"/>
    <w:rsid w:val="00520B9D"/>
    <w:rsid w:val="00521895"/>
    <w:rsid w:val="005223AB"/>
    <w:rsid w:val="00522ECF"/>
    <w:rsid w:val="005239C9"/>
    <w:rsid w:val="005247AD"/>
    <w:rsid w:val="00524CF2"/>
    <w:rsid w:val="005255CD"/>
    <w:rsid w:val="00527888"/>
    <w:rsid w:val="00531500"/>
    <w:rsid w:val="00533757"/>
    <w:rsid w:val="00533777"/>
    <w:rsid w:val="00534340"/>
    <w:rsid w:val="00535279"/>
    <w:rsid w:val="00535481"/>
    <w:rsid w:val="005356E4"/>
    <w:rsid w:val="00536141"/>
    <w:rsid w:val="00536AFE"/>
    <w:rsid w:val="0053733F"/>
    <w:rsid w:val="00537B0D"/>
    <w:rsid w:val="00537EBC"/>
    <w:rsid w:val="00542440"/>
    <w:rsid w:val="00542EEC"/>
    <w:rsid w:val="00543013"/>
    <w:rsid w:val="0054567B"/>
    <w:rsid w:val="00545A56"/>
    <w:rsid w:val="00546E33"/>
    <w:rsid w:val="00547BB4"/>
    <w:rsid w:val="00550332"/>
    <w:rsid w:val="005507A6"/>
    <w:rsid w:val="0055345A"/>
    <w:rsid w:val="00553915"/>
    <w:rsid w:val="005546D1"/>
    <w:rsid w:val="00554A32"/>
    <w:rsid w:val="00555210"/>
    <w:rsid w:val="00555AA1"/>
    <w:rsid w:val="00555DA7"/>
    <w:rsid w:val="00556469"/>
    <w:rsid w:val="0055677E"/>
    <w:rsid w:val="00556A9A"/>
    <w:rsid w:val="00560A1E"/>
    <w:rsid w:val="00560DF5"/>
    <w:rsid w:val="00560ECF"/>
    <w:rsid w:val="0056161A"/>
    <w:rsid w:val="0056232B"/>
    <w:rsid w:val="0056274E"/>
    <w:rsid w:val="00562E1A"/>
    <w:rsid w:val="00562F2A"/>
    <w:rsid w:val="00563906"/>
    <w:rsid w:val="005641D5"/>
    <w:rsid w:val="005645FD"/>
    <w:rsid w:val="00564F7D"/>
    <w:rsid w:val="005650CE"/>
    <w:rsid w:val="00565101"/>
    <w:rsid w:val="005662B6"/>
    <w:rsid w:val="00571A15"/>
    <w:rsid w:val="00571D58"/>
    <w:rsid w:val="00571F7C"/>
    <w:rsid w:val="00572283"/>
    <w:rsid w:val="005733DB"/>
    <w:rsid w:val="00573780"/>
    <w:rsid w:val="00573DB8"/>
    <w:rsid w:val="00574AC5"/>
    <w:rsid w:val="00574BCD"/>
    <w:rsid w:val="00574CEA"/>
    <w:rsid w:val="005759B5"/>
    <w:rsid w:val="00576309"/>
    <w:rsid w:val="005766B3"/>
    <w:rsid w:val="00576C0B"/>
    <w:rsid w:val="00576CDF"/>
    <w:rsid w:val="0058036D"/>
    <w:rsid w:val="00581384"/>
    <w:rsid w:val="0058178E"/>
    <w:rsid w:val="00581970"/>
    <w:rsid w:val="00583DFB"/>
    <w:rsid w:val="00583F78"/>
    <w:rsid w:val="005840C7"/>
    <w:rsid w:val="00584712"/>
    <w:rsid w:val="00584CA5"/>
    <w:rsid w:val="005851EE"/>
    <w:rsid w:val="00585A51"/>
    <w:rsid w:val="00586808"/>
    <w:rsid w:val="00587E5C"/>
    <w:rsid w:val="0059176B"/>
    <w:rsid w:val="005931FB"/>
    <w:rsid w:val="005934AE"/>
    <w:rsid w:val="00593F3E"/>
    <w:rsid w:val="00594B8F"/>
    <w:rsid w:val="00595217"/>
    <w:rsid w:val="0059799F"/>
    <w:rsid w:val="005A048F"/>
    <w:rsid w:val="005A0806"/>
    <w:rsid w:val="005A0A03"/>
    <w:rsid w:val="005A0E07"/>
    <w:rsid w:val="005A1134"/>
    <w:rsid w:val="005A3078"/>
    <w:rsid w:val="005A45B5"/>
    <w:rsid w:val="005A56B7"/>
    <w:rsid w:val="005A71F2"/>
    <w:rsid w:val="005B08CA"/>
    <w:rsid w:val="005B1955"/>
    <w:rsid w:val="005B1DA4"/>
    <w:rsid w:val="005B24FC"/>
    <w:rsid w:val="005B2AAC"/>
    <w:rsid w:val="005B2BFA"/>
    <w:rsid w:val="005B2C04"/>
    <w:rsid w:val="005B3F06"/>
    <w:rsid w:val="005B450F"/>
    <w:rsid w:val="005B4B85"/>
    <w:rsid w:val="005B5382"/>
    <w:rsid w:val="005B59F7"/>
    <w:rsid w:val="005B6876"/>
    <w:rsid w:val="005B71CC"/>
    <w:rsid w:val="005B75BD"/>
    <w:rsid w:val="005C022E"/>
    <w:rsid w:val="005C053E"/>
    <w:rsid w:val="005C0884"/>
    <w:rsid w:val="005C0B4D"/>
    <w:rsid w:val="005C17CE"/>
    <w:rsid w:val="005C1A92"/>
    <w:rsid w:val="005C3975"/>
    <w:rsid w:val="005C3E53"/>
    <w:rsid w:val="005C69CB"/>
    <w:rsid w:val="005C7C25"/>
    <w:rsid w:val="005D10AC"/>
    <w:rsid w:val="005D1419"/>
    <w:rsid w:val="005D20AA"/>
    <w:rsid w:val="005D2B7D"/>
    <w:rsid w:val="005D2F03"/>
    <w:rsid w:val="005D303D"/>
    <w:rsid w:val="005D4437"/>
    <w:rsid w:val="005D50B8"/>
    <w:rsid w:val="005D575A"/>
    <w:rsid w:val="005D6100"/>
    <w:rsid w:val="005D64BE"/>
    <w:rsid w:val="005D68DC"/>
    <w:rsid w:val="005D719C"/>
    <w:rsid w:val="005E020E"/>
    <w:rsid w:val="005E0C8C"/>
    <w:rsid w:val="005E2953"/>
    <w:rsid w:val="005E2E87"/>
    <w:rsid w:val="005E2F7E"/>
    <w:rsid w:val="005E5238"/>
    <w:rsid w:val="005E56B0"/>
    <w:rsid w:val="005E7C4C"/>
    <w:rsid w:val="005F08B4"/>
    <w:rsid w:val="005F0BBB"/>
    <w:rsid w:val="005F125E"/>
    <w:rsid w:val="005F2572"/>
    <w:rsid w:val="005F296B"/>
    <w:rsid w:val="005F2B24"/>
    <w:rsid w:val="005F3260"/>
    <w:rsid w:val="005F4D75"/>
    <w:rsid w:val="005F600D"/>
    <w:rsid w:val="005F69E8"/>
    <w:rsid w:val="005F79DE"/>
    <w:rsid w:val="005F7E77"/>
    <w:rsid w:val="006007AE"/>
    <w:rsid w:val="00601615"/>
    <w:rsid w:val="00602346"/>
    <w:rsid w:val="00604D86"/>
    <w:rsid w:val="00604FC3"/>
    <w:rsid w:val="00605FBB"/>
    <w:rsid w:val="00606451"/>
    <w:rsid w:val="00606A41"/>
    <w:rsid w:val="00606DCB"/>
    <w:rsid w:val="00610036"/>
    <w:rsid w:val="00610A53"/>
    <w:rsid w:val="00610B5D"/>
    <w:rsid w:val="006111A3"/>
    <w:rsid w:val="00611A8A"/>
    <w:rsid w:val="006121F1"/>
    <w:rsid w:val="006123FE"/>
    <w:rsid w:val="00613C42"/>
    <w:rsid w:val="0061464F"/>
    <w:rsid w:val="00615E37"/>
    <w:rsid w:val="00620EFB"/>
    <w:rsid w:val="006219F7"/>
    <w:rsid w:val="00622514"/>
    <w:rsid w:val="00623751"/>
    <w:rsid w:val="00623CD7"/>
    <w:rsid w:val="006242C0"/>
    <w:rsid w:val="006242EF"/>
    <w:rsid w:val="00624ACE"/>
    <w:rsid w:val="00625658"/>
    <w:rsid w:val="00627378"/>
    <w:rsid w:val="00627ED3"/>
    <w:rsid w:val="0063100F"/>
    <w:rsid w:val="0063147F"/>
    <w:rsid w:val="0063201E"/>
    <w:rsid w:val="006335B8"/>
    <w:rsid w:val="006338F0"/>
    <w:rsid w:val="00634E9E"/>
    <w:rsid w:val="006358AC"/>
    <w:rsid w:val="006367A0"/>
    <w:rsid w:val="006379C4"/>
    <w:rsid w:val="0064109D"/>
    <w:rsid w:val="006412F3"/>
    <w:rsid w:val="0064136A"/>
    <w:rsid w:val="006421D1"/>
    <w:rsid w:val="00643528"/>
    <w:rsid w:val="006435F1"/>
    <w:rsid w:val="00643DCA"/>
    <w:rsid w:val="0064454A"/>
    <w:rsid w:val="00644B98"/>
    <w:rsid w:val="00646138"/>
    <w:rsid w:val="00647342"/>
    <w:rsid w:val="00647794"/>
    <w:rsid w:val="00647A13"/>
    <w:rsid w:val="00647EBC"/>
    <w:rsid w:val="006506D3"/>
    <w:rsid w:val="00650B4A"/>
    <w:rsid w:val="0065163C"/>
    <w:rsid w:val="006517A3"/>
    <w:rsid w:val="0065190E"/>
    <w:rsid w:val="00651C71"/>
    <w:rsid w:val="00651F5D"/>
    <w:rsid w:val="006521A8"/>
    <w:rsid w:val="00652E3C"/>
    <w:rsid w:val="00653F28"/>
    <w:rsid w:val="00654012"/>
    <w:rsid w:val="0065437A"/>
    <w:rsid w:val="00654617"/>
    <w:rsid w:val="00654806"/>
    <w:rsid w:val="0065484D"/>
    <w:rsid w:val="00654C8B"/>
    <w:rsid w:val="0065552B"/>
    <w:rsid w:val="00655B49"/>
    <w:rsid w:val="00656704"/>
    <w:rsid w:val="0065744E"/>
    <w:rsid w:val="00657CF0"/>
    <w:rsid w:val="0066121C"/>
    <w:rsid w:val="00662213"/>
    <w:rsid w:val="00662F9C"/>
    <w:rsid w:val="006634F6"/>
    <w:rsid w:val="00664D61"/>
    <w:rsid w:val="00665257"/>
    <w:rsid w:val="0066538B"/>
    <w:rsid w:val="00665508"/>
    <w:rsid w:val="006661B0"/>
    <w:rsid w:val="0066699D"/>
    <w:rsid w:val="00667A91"/>
    <w:rsid w:val="0067064D"/>
    <w:rsid w:val="00670F92"/>
    <w:rsid w:val="00671656"/>
    <w:rsid w:val="00671C08"/>
    <w:rsid w:val="00671EFB"/>
    <w:rsid w:val="00672205"/>
    <w:rsid w:val="006737B0"/>
    <w:rsid w:val="00673B14"/>
    <w:rsid w:val="00673C4B"/>
    <w:rsid w:val="0067602C"/>
    <w:rsid w:val="00676768"/>
    <w:rsid w:val="006768AF"/>
    <w:rsid w:val="00676E1E"/>
    <w:rsid w:val="00676E2A"/>
    <w:rsid w:val="00676ED9"/>
    <w:rsid w:val="0068328E"/>
    <w:rsid w:val="00683ACB"/>
    <w:rsid w:val="00683B09"/>
    <w:rsid w:val="00684343"/>
    <w:rsid w:val="00684545"/>
    <w:rsid w:val="006846E4"/>
    <w:rsid w:val="00684AD4"/>
    <w:rsid w:val="00685C36"/>
    <w:rsid w:val="0068669F"/>
    <w:rsid w:val="00690954"/>
    <w:rsid w:val="00691113"/>
    <w:rsid w:val="006931AA"/>
    <w:rsid w:val="00693C0D"/>
    <w:rsid w:val="00693C9C"/>
    <w:rsid w:val="00695596"/>
    <w:rsid w:val="00695607"/>
    <w:rsid w:val="0069580E"/>
    <w:rsid w:val="00695BC6"/>
    <w:rsid w:val="00696B10"/>
    <w:rsid w:val="006A01AD"/>
    <w:rsid w:val="006A10A9"/>
    <w:rsid w:val="006A172F"/>
    <w:rsid w:val="006A26E2"/>
    <w:rsid w:val="006A32A7"/>
    <w:rsid w:val="006A3698"/>
    <w:rsid w:val="006A43C7"/>
    <w:rsid w:val="006A4EF3"/>
    <w:rsid w:val="006A4FC1"/>
    <w:rsid w:val="006A5898"/>
    <w:rsid w:val="006A5F8D"/>
    <w:rsid w:val="006A6A61"/>
    <w:rsid w:val="006A770C"/>
    <w:rsid w:val="006A7EA5"/>
    <w:rsid w:val="006B0613"/>
    <w:rsid w:val="006B1712"/>
    <w:rsid w:val="006B1C2A"/>
    <w:rsid w:val="006B1E90"/>
    <w:rsid w:val="006B2F4C"/>
    <w:rsid w:val="006B2FFD"/>
    <w:rsid w:val="006B34F5"/>
    <w:rsid w:val="006B3651"/>
    <w:rsid w:val="006B4096"/>
    <w:rsid w:val="006B44E5"/>
    <w:rsid w:val="006B57C4"/>
    <w:rsid w:val="006B580F"/>
    <w:rsid w:val="006B5811"/>
    <w:rsid w:val="006B5C40"/>
    <w:rsid w:val="006B5CA2"/>
    <w:rsid w:val="006B61A8"/>
    <w:rsid w:val="006B623D"/>
    <w:rsid w:val="006B670E"/>
    <w:rsid w:val="006C1066"/>
    <w:rsid w:val="006C2E4F"/>
    <w:rsid w:val="006C3DD0"/>
    <w:rsid w:val="006C4F64"/>
    <w:rsid w:val="006C5178"/>
    <w:rsid w:val="006C533E"/>
    <w:rsid w:val="006C55AE"/>
    <w:rsid w:val="006C61B5"/>
    <w:rsid w:val="006C6762"/>
    <w:rsid w:val="006C695D"/>
    <w:rsid w:val="006C6F6B"/>
    <w:rsid w:val="006C7541"/>
    <w:rsid w:val="006C76B1"/>
    <w:rsid w:val="006D095D"/>
    <w:rsid w:val="006D33F1"/>
    <w:rsid w:val="006D4194"/>
    <w:rsid w:val="006D432C"/>
    <w:rsid w:val="006D43D4"/>
    <w:rsid w:val="006D4D90"/>
    <w:rsid w:val="006D5994"/>
    <w:rsid w:val="006D5DBE"/>
    <w:rsid w:val="006D5F02"/>
    <w:rsid w:val="006D6205"/>
    <w:rsid w:val="006D68BE"/>
    <w:rsid w:val="006D69A0"/>
    <w:rsid w:val="006D7ED3"/>
    <w:rsid w:val="006E2C24"/>
    <w:rsid w:val="006E34B1"/>
    <w:rsid w:val="006E3A77"/>
    <w:rsid w:val="006E5419"/>
    <w:rsid w:val="006E58A5"/>
    <w:rsid w:val="006E632E"/>
    <w:rsid w:val="006E651D"/>
    <w:rsid w:val="006E6649"/>
    <w:rsid w:val="006E71C3"/>
    <w:rsid w:val="006F00ED"/>
    <w:rsid w:val="006F01A9"/>
    <w:rsid w:val="006F0275"/>
    <w:rsid w:val="006F2EA7"/>
    <w:rsid w:val="006F3265"/>
    <w:rsid w:val="006F3E0A"/>
    <w:rsid w:val="006F4379"/>
    <w:rsid w:val="006F4A44"/>
    <w:rsid w:val="006F4D07"/>
    <w:rsid w:val="006F53A6"/>
    <w:rsid w:val="006F5D7B"/>
    <w:rsid w:val="006F62E2"/>
    <w:rsid w:val="006F6C7B"/>
    <w:rsid w:val="006F6FED"/>
    <w:rsid w:val="006F725C"/>
    <w:rsid w:val="006F7B85"/>
    <w:rsid w:val="006F7D30"/>
    <w:rsid w:val="006F7D93"/>
    <w:rsid w:val="00700012"/>
    <w:rsid w:val="007008C0"/>
    <w:rsid w:val="007008F8"/>
    <w:rsid w:val="00702686"/>
    <w:rsid w:val="00702AF0"/>
    <w:rsid w:val="00702C11"/>
    <w:rsid w:val="00702CBD"/>
    <w:rsid w:val="0070379D"/>
    <w:rsid w:val="0070385E"/>
    <w:rsid w:val="007038B3"/>
    <w:rsid w:val="00703CC0"/>
    <w:rsid w:val="00703FB7"/>
    <w:rsid w:val="00704161"/>
    <w:rsid w:val="007050D6"/>
    <w:rsid w:val="00705460"/>
    <w:rsid w:val="0070605E"/>
    <w:rsid w:val="00706487"/>
    <w:rsid w:val="00707145"/>
    <w:rsid w:val="0070747B"/>
    <w:rsid w:val="0071094A"/>
    <w:rsid w:val="0071097D"/>
    <w:rsid w:val="00710BFC"/>
    <w:rsid w:val="007110D0"/>
    <w:rsid w:val="00711A15"/>
    <w:rsid w:val="00711CF4"/>
    <w:rsid w:val="00713381"/>
    <w:rsid w:val="0071392E"/>
    <w:rsid w:val="00713AC3"/>
    <w:rsid w:val="007151E9"/>
    <w:rsid w:val="00715344"/>
    <w:rsid w:val="007165A2"/>
    <w:rsid w:val="00721DFD"/>
    <w:rsid w:val="00722FAD"/>
    <w:rsid w:val="00724332"/>
    <w:rsid w:val="00724B11"/>
    <w:rsid w:val="00724F65"/>
    <w:rsid w:val="00726C16"/>
    <w:rsid w:val="00726D43"/>
    <w:rsid w:val="007279B5"/>
    <w:rsid w:val="00727DDF"/>
    <w:rsid w:val="00731055"/>
    <w:rsid w:val="007316DC"/>
    <w:rsid w:val="0073197F"/>
    <w:rsid w:val="007339D3"/>
    <w:rsid w:val="00735F08"/>
    <w:rsid w:val="00735F2E"/>
    <w:rsid w:val="00735FEC"/>
    <w:rsid w:val="00736592"/>
    <w:rsid w:val="007375DC"/>
    <w:rsid w:val="00740973"/>
    <w:rsid w:val="00740E6F"/>
    <w:rsid w:val="0074191D"/>
    <w:rsid w:val="00741BFB"/>
    <w:rsid w:val="007421C8"/>
    <w:rsid w:val="007429E1"/>
    <w:rsid w:val="00742A43"/>
    <w:rsid w:val="00742D7A"/>
    <w:rsid w:val="00742E07"/>
    <w:rsid w:val="00743486"/>
    <w:rsid w:val="007434AB"/>
    <w:rsid w:val="007436A3"/>
    <w:rsid w:val="0074378F"/>
    <w:rsid w:val="007447D6"/>
    <w:rsid w:val="00744BAA"/>
    <w:rsid w:val="007452B3"/>
    <w:rsid w:val="00745B35"/>
    <w:rsid w:val="00747422"/>
    <w:rsid w:val="007477FD"/>
    <w:rsid w:val="007500A0"/>
    <w:rsid w:val="007512DA"/>
    <w:rsid w:val="00751824"/>
    <w:rsid w:val="00752FC6"/>
    <w:rsid w:val="007533F4"/>
    <w:rsid w:val="00753F39"/>
    <w:rsid w:val="0075510D"/>
    <w:rsid w:val="00755399"/>
    <w:rsid w:val="0075632C"/>
    <w:rsid w:val="0075637A"/>
    <w:rsid w:val="00756CDE"/>
    <w:rsid w:val="00756E9C"/>
    <w:rsid w:val="007575BF"/>
    <w:rsid w:val="007622B7"/>
    <w:rsid w:val="007624DE"/>
    <w:rsid w:val="0076284B"/>
    <w:rsid w:val="00762EF8"/>
    <w:rsid w:val="007634F7"/>
    <w:rsid w:val="00763B96"/>
    <w:rsid w:val="007644D1"/>
    <w:rsid w:val="007645B4"/>
    <w:rsid w:val="0076495A"/>
    <w:rsid w:val="0076613C"/>
    <w:rsid w:val="00766FA7"/>
    <w:rsid w:val="00767AF2"/>
    <w:rsid w:val="00770C7B"/>
    <w:rsid w:val="007710CE"/>
    <w:rsid w:val="00771E72"/>
    <w:rsid w:val="007725AF"/>
    <w:rsid w:val="00773056"/>
    <w:rsid w:val="007733E2"/>
    <w:rsid w:val="00773686"/>
    <w:rsid w:val="00774C1B"/>
    <w:rsid w:val="00774D15"/>
    <w:rsid w:val="00775F22"/>
    <w:rsid w:val="00782F62"/>
    <w:rsid w:val="00783798"/>
    <w:rsid w:val="00783B41"/>
    <w:rsid w:val="0078536C"/>
    <w:rsid w:val="007877F9"/>
    <w:rsid w:val="00790D8A"/>
    <w:rsid w:val="0079257D"/>
    <w:rsid w:val="00792E92"/>
    <w:rsid w:val="007935BE"/>
    <w:rsid w:val="00795D6E"/>
    <w:rsid w:val="00796464"/>
    <w:rsid w:val="00796F84"/>
    <w:rsid w:val="00797264"/>
    <w:rsid w:val="007A0961"/>
    <w:rsid w:val="007A0D59"/>
    <w:rsid w:val="007A14E2"/>
    <w:rsid w:val="007A2D1B"/>
    <w:rsid w:val="007A3053"/>
    <w:rsid w:val="007A38DA"/>
    <w:rsid w:val="007A462B"/>
    <w:rsid w:val="007A476A"/>
    <w:rsid w:val="007A5B50"/>
    <w:rsid w:val="007A7B3D"/>
    <w:rsid w:val="007B0646"/>
    <w:rsid w:val="007B1063"/>
    <w:rsid w:val="007B16A0"/>
    <w:rsid w:val="007B3004"/>
    <w:rsid w:val="007B323D"/>
    <w:rsid w:val="007B324B"/>
    <w:rsid w:val="007B3459"/>
    <w:rsid w:val="007B3943"/>
    <w:rsid w:val="007B3A43"/>
    <w:rsid w:val="007B3F8A"/>
    <w:rsid w:val="007B4B9E"/>
    <w:rsid w:val="007B6219"/>
    <w:rsid w:val="007B649C"/>
    <w:rsid w:val="007B68EC"/>
    <w:rsid w:val="007B6CE0"/>
    <w:rsid w:val="007B6D28"/>
    <w:rsid w:val="007B7117"/>
    <w:rsid w:val="007B736C"/>
    <w:rsid w:val="007B7505"/>
    <w:rsid w:val="007B7C9D"/>
    <w:rsid w:val="007C05B3"/>
    <w:rsid w:val="007C05D7"/>
    <w:rsid w:val="007C078B"/>
    <w:rsid w:val="007C18CD"/>
    <w:rsid w:val="007C2102"/>
    <w:rsid w:val="007C2542"/>
    <w:rsid w:val="007C2B67"/>
    <w:rsid w:val="007C34CA"/>
    <w:rsid w:val="007C52B9"/>
    <w:rsid w:val="007C6797"/>
    <w:rsid w:val="007C6889"/>
    <w:rsid w:val="007C6D6B"/>
    <w:rsid w:val="007C720D"/>
    <w:rsid w:val="007D0989"/>
    <w:rsid w:val="007D1462"/>
    <w:rsid w:val="007D1C1A"/>
    <w:rsid w:val="007D2A5B"/>
    <w:rsid w:val="007D2D54"/>
    <w:rsid w:val="007D3D53"/>
    <w:rsid w:val="007D4483"/>
    <w:rsid w:val="007D4491"/>
    <w:rsid w:val="007D61F5"/>
    <w:rsid w:val="007D69F2"/>
    <w:rsid w:val="007E07DC"/>
    <w:rsid w:val="007E13DC"/>
    <w:rsid w:val="007E290F"/>
    <w:rsid w:val="007E3721"/>
    <w:rsid w:val="007E3872"/>
    <w:rsid w:val="007E3E26"/>
    <w:rsid w:val="007E43FA"/>
    <w:rsid w:val="007E4498"/>
    <w:rsid w:val="007E49CF"/>
    <w:rsid w:val="007E4B02"/>
    <w:rsid w:val="007E4F4D"/>
    <w:rsid w:val="007E5C04"/>
    <w:rsid w:val="007E6A14"/>
    <w:rsid w:val="007E7041"/>
    <w:rsid w:val="007E7777"/>
    <w:rsid w:val="007E7C5E"/>
    <w:rsid w:val="007E7EF2"/>
    <w:rsid w:val="007F0985"/>
    <w:rsid w:val="007F12F3"/>
    <w:rsid w:val="007F1351"/>
    <w:rsid w:val="007F2C45"/>
    <w:rsid w:val="007F3054"/>
    <w:rsid w:val="007F39FE"/>
    <w:rsid w:val="007F3E39"/>
    <w:rsid w:val="007F4B2F"/>
    <w:rsid w:val="007F534C"/>
    <w:rsid w:val="007F581C"/>
    <w:rsid w:val="007F74D3"/>
    <w:rsid w:val="007F7915"/>
    <w:rsid w:val="00800238"/>
    <w:rsid w:val="00800928"/>
    <w:rsid w:val="00801FF1"/>
    <w:rsid w:val="00802368"/>
    <w:rsid w:val="008023B9"/>
    <w:rsid w:val="0080249A"/>
    <w:rsid w:val="00803687"/>
    <w:rsid w:val="00803D07"/>
    <w:rsid w:val="00803EED"/>
    <w:rsid w:val="00804913"/>
    <w:rsid w:val="00804EBE"/>
    <w:rsid w:val="00806A70"/>
    <w:rsid w:val="00806D92"/>
    <w:rsid w:val="00806E20"/>
    <w:rsid w:val="00806FAE"/>
    <w:rsid w:val="0080710F"/>
    <w:rsid w:val="00810B79"/>
    <w:rsid w:val="00810ED5"/>
    <w:rsid w:val="00810F54"/>
    <w:rsid w:val="00811E12"/>
    <w:rsid w:val="00811EF1"/>
    <w:rsid w:val="00812032"/>
    <w:rsid w:val="00812980"/>
    <w:rsid w:val="00812A5C"/>
    <w:rsid w:val="00813263"/>
    <w:rsid w:val="00814217"/>
    <w:rsid w:val="00814592"/>
    <w:rsid w:val="00814FCA"/>
    <w:rsid w:val="0081522B"/>
    <w:rsid w:val="00816043"/>
    <w:rsid w:val="008160E4"/>
    <w:rsid w:val="0081613A"/>
    <w:rsid w:val="008163CB"/>
    <w:rsid w:val="0081669B"/>
    <w:rsid w:val="00816EFC"/>
    <w:rsid w:val="008170B0"/>
    <w:rsid w:val="00817237"/>
    <w:rsid w:val="00820050"/>
    <w:rsid w:val="00820BFF"/>
    <w:rsid w:val="00821B60"/>
    <w:rsid w:val="00822DD4"/>
    <w:rsid w:val="00823352"/>
    <w:rsid w:val="00823607"/>
    <w:rsid w:val="0082371D"/>
    <w:rsid w:val="00823B14"/>
    <w:rsid w:val="00824489"/>
    <w:rsid w:val="00826293"/>
    <w:rsid w:val="00826FA6"/>
    <w:rsid w:val="0082797C"/>
    <w:rsid w:val="0083003D"/>
    <w:rsid w:val="00831B83"/>
    <w:rsid w:val="0083220B"/>
    <w:rsid w:val="00832880"/>
    <w:rsid w:val="00835497"/>
    <w:rsid w:val="008358D0"/>
    <w:rsid w:val="00836018"/>
    <w:rsid w:val="00840293"/>
    <w:rsid w:val="008403AC"/>
    <w:rsid w:val="00840478"/>
    <w:rsid w:val="00840779"/>
    <w:rsid w:val="00841958"/>
    <w:rsid w:val="00841F4D"/>
    <w:rsid w:val="0084215A"/>
    <w:rsid w:val="00843741"/>
    <w:rsid w:val="0084500E"/>
    <w:rsid w:val="0084519A"/>
    <w:rsid w:val="008454CC"/>
    <w:rsid w:val="00845742"/>
    <w:rsid w:val="00845BF4"/>
    <w:rsid w:val="00846A8C"/>
    <w:rsid w:val="00846D60"/>
    <w:rsid w:val="00846EE3"/>
    <w:rsid w:val="0084723F"/>
    <w:rsid w:val="008475AE"/>
    <w:rsid w:val="00847885"/>
    <w:rsid w:val="00850F78"/>
    <w:rsid w:val="00851B76"/>
    <w:rsid w:val="0085319F"/>
    <w:rsid w:val="008540CD"/>
    <w:rsid w:val="008547B5"/>
    <w:rsid w:val="008549B5"/>
    <w:rsid w:val="0085514C"/>
    <w:rsid w:val="008554F6"/>
    <w:rsid w:val="00855A8B"/>
    <w:rsid w:val="0085646F"/>
    <w:rsid w:val="00857789"/>
    <w:rsid w:val="00857AD5"/>
    <w:rsid w:val="0086075C"/>
    <w:rsid w:val="00860B72"/>
    <w:rsid w:val="00861000"/>
    <w:rsid w:val="0086165F"/>
    <w:rsid w:val="00861EDD"/>
    <w:rsid w:val="0086323E"/>
    <w:rsid w:val="00863E73"/>
    <w:rsid w:val="008645E4"/>
    <w:rsid w:val="00865CE8"/>
    <w:rsid w:val="008678CA"/>
    <w:rsid w:val="008700AC"/>
    <w:rsid w:val="00870C1B"/>
    <w:rsid w:val="00871756"/>
    <w:rsid w:val="008717E9"/>
    <w:rsid w:val="008725AE"/>
    <w:rsid w:val="0087374D"/>
    <w:rsid w:val="00873986"/>
    <w:rsid w:val="00874EF5"/>
    <w:rsid w:val="00875DF2"/>
    <w:rsid w:val="00876A9D"/>
    <w:rsid w:val="008773FA"/>
    <w:rsid w:val="00877BB8"/>
    <w:rsid w:val="00877EBC"/>
    <w:rsid w:val="00881422"/>
    <w:rsid w:val="0088157D"/>
    <w:rsid w:val="008816EC"/>
    <w:rsid w:val="00881C17"/>
    <w:rsid w:val="00882E85"/>
    <w:rsid w:val="00882F10"/>
    <w:rsid w:val="0088319B"/>
    <w:rsid w:val="00883275"/>
    <w:rsid w:val="00885AF0"/>
    <w:rsid w:val="008867A0"/>
    <w:rsid w:val="00887886"/>
    <w:rsid w:val="0089010B"/>
    <w:rsid w:val="00890A86"/>
    <w:rsid w:val="00891A93"/>
    <w:rsid w:val="00891C37"/>
    <w:rsid w:val="008926FB"/>
    <w:rsid w:val="00893C8A"/>
    <w:rsid w:val="00894165"/>
    <w:rsid w:val="008948E7"/>
    <w:rsid w:val="00894E4B"/>
    <w:rsid w:val="008967E1"/>
    <w:rsid w:val="0089697A"/>
    <w:rsid w:val="00897CED"/>
    <w:rsid w:val="00897ED5"/>
    <w:rsid w:val="00897F87"/>
    <w:rsid w:val="008A2110"/>
    <w:rsid w:val="008A21A5"/>
    <w:rsid w:val="008A3914"/>
    <w:rsid w:val="008A4C61"/>
    <w:rsid w:val="008A4D52"/>
    <w:rsid w:val="008A4EEC"/>
    <w:rsid w:val="008A59FC"/>
    <w:rsid w:val="008A5F03"/>
    <w:rsid w:val="008A5FF8"/>
    <w:rsid w:val="008A76D6"/>
    <w:rsid w:val="008B138B"/>
    <w:rsid w:val="008B13F7"/>
    <w:rsid w:val="008B316E"/>
    <w:rsid w:val="008B47C1"/>
    <w:rsid w:val="008B5BD5"/>
    <w:rsid w:val="008B5BF9"/>
    <w:rsid w:val="008B6121"/>
    <w:rsid w:val="008B66E3"/>
    <w:rsid w:val="008B67BF"/>
    <w:rsid w:val="008B6859"/>
    <w:rsid w:val="008B6E5C"/>
    <w:rsid w:val="008B7031"/>
    <w:rsid w:val="008B7331"/>
    <w:rsid w:val="008B75E1"/>
    <w:rsid w:val="008C185C"/>
    <w:rsid w:val="008C2595"/>
    <w:rsid w:val="008C3EB7"/>
    <w:rsid w:val="008C48AD"/>
    <w:rsid w:val="008C5541"/>
    <w:rsid w:val="008C71C8"/>
    <w:rsid w:val="008C7A75"/>
    <w:rsid w:val="008D011F"/>
    <w:rsid w:val="008D0703"/>
    <w:rsid w:val="008D2F75"/>
    <w:rsid w:val="008D31B4"/>
    <w:rsid w:val="008D4934"/>
    <w:rsid w:val="008D49FB"/>
    <w:rsid w:val="008D52EA"/>
    <w:rsid w:val="008D5C27"/>
    <w:rsid w:val="008D6245"/>
    <w:rsid w:val="008D6426"/>
    <w:rsid w:val="008D6D21"/>
    <w:rsid w:val="008D78B4"/>
    <w:rsid w:val="008D7C0C"/>
    <w:rsid w:val="008E0406"/>
    <w:rsid w:val="008E07ED"/>
    <w:rsid w:val="008E0A31"/>
    <w:rsid w:val="008E1F2E"/>
    <w:rsid w:val="008E34F5"/>
    <w:rsid w:val="008E3509"/>
    <w:rsid w:val="008E3909"/>
    <w:rsid w:val="008E391E"/>
    <w:rsid w:val="008E39C2"/>
    <w:rsid w:val="008E3ACB"/>
    <w:rsid w:val="008E4340"/>
    <w:rsid w:val="008E4D61"/>
    <w:rsid w:val="008E4E31"/>
    <w:rsid w:val="008E5031"/>
    <w:rsid w:val="008E579E"/>
    <w:rsid w:val="008E60E0"/>
    <w:rsid w:val="008E62F6"/>
    <w:rsid w:val="008E6964"/>
    <w:rsid w:val="008E728A"/>
    <w:rsid w:val="008E76DE"/>
    <w:rsid w:val="008F01D6"/>
    <w:rsid w:val="008F1018"/>
    <w:rsid w:val="008F11CC"/>
    <w:rsid w:val="008F1326"/>
    <w:rsid w:val="008F19BD"/>
    <w:rsid w:val="008F24F3"/>
    <w:rsid w:val="008F2A21"/>
    <w:rsid w:val="008F39E9"/>
    <w:rsid w:val="008F4482"/>
    <w:rsid w:val="008F55BD"/>
    <w:rsid w:val="008F63FC"/>
    <w:rsid w:val="008F664A"/>
    <w:rsid w:val="008F76E5"/>
    <w:rsid w:val="00901829"/>
    <w:rsid w:val="00901C55"/>
    <w:rsid w:val="00902B4C"/>
    <w:rsid w:val="00902F20"/>
    <w:rsid w:val="00903793"/>
    <w:rsid w:val="00903D92"/>
    <w:rsid w:val="009042D7"/>
    <w:rsid w:val="00905C30"/>
    <w:rsid w:val="0090648B"/>
    <w:rsid w:val="00906DAF"/>
    <w:rsid w:val="009076EE"/>
    <w:rsid w:val="00907E11"/>
    <w:rsid w:val="00910016"/>
    <w:rsid w:val="00911A16"/>
    <w:rsid w:val="00912337"/>
    <w:rsid w:val="00912CB0"/>
    <w:rsid w:val="00913068"/>
    <w:rsid w:val="00913101"/>
    <w:rsid w:val="009132CA"/>
    <w:rsid w:val="00913B0C"/>
    <w:rsid w:val="00913E07"/>
    <w:rsid w:val="0091414C"/>
    <w:rsid w:val="00914228"/>
    <w:rsid w:val="009147FE"/>
    <w:rsid w:val="00915531"/>
    <w:rsid w:val="00915B09"/>
    <w:rsid w:val="00915C4A"/>
    <w:rsid w:val="0091793B"/>
    <w:rsid w:val="00921603"/>
    <w:rsid w:val="009217AC"/>
    <w:rsid w:val="009217DB"/>
    <w:rsid w:val="00921B80"/>
    <w:rsid w:val="00923B78"/>
    <w:rsid w:val="0092477D"/>
    <w:rsid w:val="009249E9"/>
    <w:rsid w:val="00926467"/>
    <w:rsid w:val="00926E34"/>
    <w:rsid w:val="009270F6"/>
    <w:rsid w:val="00932C3E"/>
    <w:rsid w:val="00933009"/>
    <w:rsid w:val="00934FAE"/>
    <w:rsid w:val="00935496"/>
    <w:rsid w:val="009407AE"/>
    <w:rsid w:val="00940FD6"/>
    <w:rsid w:val="00941201"/>
    <w:rsid w:val="00941D2D"/>
    <w:rsid w:val="00946215"/>
    <w:rsid w:val="0095134D"/>
    <w:rsid w:val="009516DF"/>
    <w:rsid w:val="00951C79"/>
    <w:rsid w:val="0095356C"/>
    <w:rsid w:val="009543F6"/>
    <w:rsid w:val="0095480A"/>
    <w:rsid w:val="009553A7"/>
    <w:rsid w:val="0095652F"/>
    <w:rsid w:val="00956A0F"/>
    <w:rsid w:val="00962025"/>
    <w:rsid w:val="00963671"/>
    <w:rsid w:val="009642AA"/>
    <w:rsid w:val="009643A7"/>
    <w:rsid w:val="00964B93"/>
    <w:rsid w:val="00964EB7"/>
    <w:rsid w:val="009651E5"/>
    <w:rsid w:val="009662CA"/>
    <w:rsid w:val="0096656C"/>
    <w:rsid w:val="0096761D"/>
    <w:rsid w:val="00970698"/>
    <w:rsid w:val="009706EF"/>
    <w:rsid w:val="00970742"/>
    <w:rsid w:val="00970854"/>
    <w:rsid w:val="009709B6"/>
    <w:rsid w:val="00970A15"/>
    <w:rsid w:val="00973453"/>
    <w:rsid w:val="00973F37"/>
    <w:rsid w:val="00974278"/>
    <w:rsid w:val="00974946"/>
    <w:rsid w:val="00974BAC"/>
    <w:rsid w:val="009753AC"/>
    <w:rsid w:val="00975829"/>
    <w:rsid w:val="00975A45"/>
    <w:rsid w:val="00976690"/>
    <w:rsid w:val="00976923"/>
    <w:rsid w:val="0097763A"/>
    <w:rsid w:val="00977EEB"/>
    <w:rsid w:val="009803C5"/>
    <w:rsid w:val="009811C2"/>
    <w:rsid w:val="00982077"/>
    <w:rsid w:val="00982113"/>
    <w:rsid w:val="00983481"/>
    <w:rsid w:val="009835A7"/>
    <w:rsid w:val="00983F14"/>
    <w:rsid w:val="009863C8"/>
    <w:rsid w:val="009864F8"/>
    <w:rsid w:val="009866F7"/>
    <w:rsid w:val="00990290"/>
    <w:rsid w:val="009906F1"/>
    <w:rsid w:val="00993D47"/>
    <w:rsid w:val="00994E30"/>
    <w:rsid w:val="0099610E"/>
    <w:rsid w:val="00996C12"/>
    <w:rsid w:val="0099721E"/>
    <w:rsid w:val="0099756D"/>
    <w:rsid w:val="00997D4A"/>
    <w:rsid w:val="009A06B0"/>
    <w:rsid w:val="009A09FB"/>
    <w:rsid w:val="009A0BAC"/>
    <w:rsid w:val="009A1AB8"/>
    <w:rsid w:val="009A1C91"/>
    <w:rsid w:val="009A238C"/>
    <w:rsid w:val="009A29AB"/>
    <w:rsid w:val="009A29FE"/>
    <w:rsid w:val="009A2F79"/>
    <w:rsid w:val="009A3275"/>
    <w:rsid w:val="009A3C58"/>
    <w:rsid w:val="009A470E"/>
    <w:rsid w:val="009A60C8"/>
    <w:rsid w:val="009A74E8"/>
    <w:rsid w:val="009A7929"/>
    <w:rsid w:val="009A7B12"/>
    <w:rsid w:val="009B016B"/>
    <w:rsid w:val="009B0B1E"/>
    <w:rsid w:val="009B0E44"/>
    <w:rsid w:val="009B1843"/>
    <w:rsid w:val="009B22D1"/>
    <w:rsid w:val="009B2B9B"/>
    <w:rsid w:val="009B2BE5"/>
    <w:rsid w:val="009B2C0E"/>
    <w:rsid w:val="009B37D9"/>
    <w:rsid w:val="009B3E91"/>
    <w:rsid w:val="009B4489"/>
    <w:rsid w:val="009B4B57"/>
    <w:rsid w:val="009B4DE2"/>
    <w:rsid w:val="009B4E37"/>
    <w:rsid w:val="009B51BC"/>
    <w:rsid w:val="009B5325"/>
    <w:rsid w:val="009B6DCB"/>
    <w:rsid w:val="009B7558"/>
    <w:rsid w:val="009C15ED"/>
    <w:rsid w:val="009C197E"/>
    <w:rsid w:val="009C2207"/>
    <w:rsid w:val="009C23A6"/>
    <w:rsid w:val="009C25E3"/>
    <w:rsid w:val="009C3857"/>
    <w:rsid w:val="009C4DC3"/>
    <w:rsid w:val="009C4FEC"/>
    <w:rsid w:val="009C587D"/>
    <w:rsid w:val="009C6325"/>
    <w:rsid w:val="009C7073"/>
    <w:rsid w:val="009D0CA7"/>
    <w:rsid w:val="009D0DE7"/>
    <w:rsid w:val="009D196A"/>
    <w:rsid w:val="009D1A4C"/>
    <w:rsid w:val="009D22EB"/>
    <w:rsid w:val="009D24BA"/>
    <w:rsid w:val="009D264C"/>
    <w:rsid w:val="009D6CC8"/>
    <w:rsid w:val="009E0B6E"/>
    <w:rsid w:val="009E0DA1"/>
    <w:rsid w:val="009E1262"/>
    <w:rsid w:val="009E19FB"/>
    <w:rsid w:val="009E1AE9"/>
    <w:rsid w:val="009E209A"/>
    <w:rsid w:val="009E4FFA"/>
    <w:rsid w:val="009E68C2"/>
    <w:rsid w:val="009F2D87"/>
    <w:rsid w:val="009F3146"/>
    <w:rsid w:val="009F38AF"/>
    <w:rsid w:val="009F4965"/>
    <w:rsid w:val="009F4B4A"/>
    <w:rsid w:val="009F5116"/>
    <w:rsid w:val="009F68F2"/>
    <w:rsid w:val="009F7226"/>
    <w:rsid w:val="009F77FD"/>
    <w:rsid w:val="009F7952"/>
    <w:rsid w:val="00A0022A"/>
    <w:rsid w:val="00A003C5"/>
    <w:rsid w:val="00A00CF4"/>
    <w:rsid w:val="00A00EFF"/>
    <w:rsid w:val="00A01303"/>
    <w:rsid w:val="00A01A6C"/>
    <w:rsid w:val="00A01D40"/>
    <w:rsid w:val="00A0497F"/>
    <w:rsid w:val="00A05DFF"/>
    <w:rsid w:val="00A06287"/>
    <w:rsid w:val="00A063EE"/>
    <w:rsid w:val="00A07FF6"/>
    <w:rsid w:val="00A10F62"/>
    <w:rsid w:val="00A11DC0"/>
    <w:rsid w:val="00A13491"/>
    <w:rsid w:val="00A136C8"/>
    <w:rsid w:val="00A17B7D"/>
    <w:rsid w:val="00A20A24"/>
    <w:rsid w:val="00A21A87"/>
    <w:rsid w:val="00A222EC"/>
    <w:rsid w:val="00A228A7"/>
    <w:rsid w:val="00A23F87"/>
    <w:rsid w:val="00A24369"/>
    <w:rsid w:val="00A24D39"/>
    <w:rsid w:val="00A257DF"/>
    <w:rsid w:val="00A258ED"/>
    <w:rsid w:val="00A25D5A"/>
    <w:rsid w:val="00A27090"/>
    <w:rsid w:val="00A27406"/>
    <w:rsid w:val="00A276EE"/>
    <w:rsid w:val="00A30F51"/>
    <w:rsid w:val="00A315D9"/>
    <w:rsid w:val="00A31A25"/>
    <w:rsid w:val="00A31CB7"/>
    <w:rsid w:val="00A3244E"/>
    <w:rsid w:val="00A33444"/>
    <w:rsid w:val="00A334B5"/>
    <w:rsid w:val="00A33E5F"/>
    <w:rsid w:val="00A35031"/>
    <w:rsid w:val="00A35839"/>
    <w:rsid w:val="00A36606"/>
    <w:rsid w:val="00A3675E"/>
    <w:rsid w:val="00A3756D"/>
    <w:rsid w:val="00A40754"/>
    <w:rsid w:val="00A407D9"/>
    <w:rsid w:val="00A41C7D"/>
    <w:rsid w:val="00A42339"/>
    <w:rsid w:val="00A468DF"/>
    <w:rsid w:val="00A5011E"/>
    <w:rsid w:val="00A52C4B"/>
    <w:rsid w:val="00A5327A"/>
    <w:rsid w:val="00A53DBE"/>
    <w:rsid w:val="00A54255"/>
    <w:rsid w:val="00A54780"/>
    <w:rsid w:val="00A54CC1"/>
    <w:rsid w:val="00A55006"/>
    <w:rsid w:val="00A558D6"/>
    <w:rsid w:val="00A55F6C"/>
    <w:rsid w:val="00A56BD4"/>
    <w:rsid w:val="00A571DF"/>
    <w:rsid w:val="00A6140F"/>
    <w:rsid w:val="00A61D57"/>
    <w:rsid w:val="00A629E1"/>
    <w:rsid w:val="00A646E1"/>
    <w:rsid w:val="00A64991"/>
    <w:rsid w:val="00A65886"/>
    <w:rsid w:val="00A66146"/>
    <w:rsid w:val="00A6697D"/>
    <w:rsid w:val="00A67FA6"/>
    <w:rsid w:val="00A70778"/>
    <w:rsid w:val="00A70EBE"/>
    <w:rsid w:val="00A70F01"/>
    <w:rsid w:val="00A716B1"/>
    <w:rsid w:val="00A71B66"/>
    <w:rsid w:val="00A72C66"/>
    <w:rsid w:val="00A72DBD"/>
    <w:rsid w:val="00A73007"/>
    <w:rsid w:val="00A735AE"/>
    <w:rsid w:val="00A7389C"/>
    <w:rsid w:val="00A743E3"/>
    <w:rsid w:val="00A746BC"/>
    <w:rsid w:val="00A749E9"/>
    <w:rsid w:val="00A7573B"/>
    <w:rsid w:val="00A75E50"/>
    <w:rsid w:val="00A77FC8"/>
    <w:rsid w:val="00A81207"/>
    <w:rsid w:val="00A82180"/>
    <w:rsid w:val="00A82477"/>
    <w:rsid w:val="00A82E49"/>
    <w:rsid w:val="00A83837"/>
    <w:rsid w:val="00A83B80"/>
    <w:rsid w:val="00A84ADE"/>
    <w:rsid w:val="00A860E0"/>
    <w:rsid w:val="00A868F9"/>
    <w:rsid w:val="00A86F4F"/>
    <w:rsid w:val="00A8715C"/>
    <w:rsid w:val="00A87AC0"/>
    <w:rsid w:val="00A90103"/>
    <w:rsid w:val="00A903FC"/>
    <w:rsid w:val="00A90442"/>
    <w:rsid w:val="00A90ECB"/>
    <w:rsid w:val="00A91063"/>
    <w:rsid w:val="00A91BF8"/>
    <w:rsid w:val="00A92120"/>
    <w:rsid w:val="00A92AF5"/>
    <w:rsid w:val="00A94A1F"/>
    <w:rsid w:val="00A96133"/>
    <w:rsid w:val="00A9627E"/>
    <w:rsid w:val="00A962B9"/>
    <w:rsid w:val="00A9656F"/>
    <w:rsid w:val="00A968DA"/>
    <w:rsid w:val="00A96A87"/>
    <w:rsid w:val="00A9701C"/>
    <w:rsid w:val="00A975B5"/>
    <w:rsid w:val="00A97AB1"/>
    <w:rsid w:val="00AA00ED"/>
    <w:rsid w:val="00AA137E"/>
    <w:rsid w:val="00AA13B2"/>
    <w:rsid w:val="00AA14A5"/>
    <w:rsid w:val="00AA158B"/>
    <w:rsid w:val="00AA1D51"/>
    <w:rsid w:val="00AA2612"/>
    <w:rsid w:val="00AA2F84"/>
    <w:rsid w:val="00AA3A22"/>
    <w:rsid w:val="00AA5150"/>
    <w:rsid w:val="00AA75D2"/>
    <w:rsid w:val="00AB0051"/>
    <w:rsid w:val="00AB071D"/>
    <w:rsid w:val="00AB1231"/>
    <w:rsid w:val="00AB1834"/>
    <w:rsid w:val="00AB3450"/>
    <w:rsid w:val="00AB38AA"/>
    <w:rsid w:val="00AB3BA1"/>
    <w:rsid w:val="00AB3C43"/>
    <w:rsid w:val="00AB3FA1"/>
    <w:rsid w:val="00AB49EF"/>
    <w:rsid w:val="00AB5390"/>
    <w:rsid w:val="00AB59D1"/>
    <w:rsid w:val="00AB5C44"/>
    <w:rsid w:val="00AB5DD3"/>
    <w:rsid w:val="00AB7D82"/>
    <w:rsid w:val="00AC08AC"/>
    <w:rsid w:val="00AC0C2B"/>
    <w:rsid w:val="00AC0E3D"/>
    <w:rsid w:val="00AC1EBF"/>
    <w:rsid w:val="00AC3C7B"/>
    <w:rsid w:val="00AC6A80"/>
    <w:rsid w:val="00AC6B09"/>
    <w:rsid w:val="00AC75B8"/>
    <w:rsid w:val="00AD1743"/>
    <w:rsid w:val="00AD2675"/>
    <w:rsid w:val="00AD328A"/>
    <w:rsid w:val="00AD38D8"/>
    <w:rsid w:val="00AD4AAF"/>
    <w:rsid w:val="00AD4C39"/>
    <w:rsid w:val="00AD4D6E"/>
    <w:rsid w:val="00AD4DC6"/>
    <w:rsid w:val="00AD5402"/>
    <w:rsid w:val="00AD66CB"/>
    <w:rsid w:val="00AD7143"/>
    <w:rsid w:val="00AD7D6D"/>
    <w:rsid w:val="00AD7D8E"/>
    <w:rsid w:val="00AE1B08"/>
    <w:rsid w:val="00AE1EE4"/>
    <w:rsid w:val="00AE216A"/>
    <w:rsid w:val="00AE2329"/>
    <w:rsid w:val="00AE35E8"/>
    <w:rsid w:val="00AE3EC4"/>
    <w:rsid w:val="00AE4C09"/>
    <w:rsid w:val="00AE56D8"/>
    <w:rsid w:val="00AE5851"/>
    <w:rsid w:val="00AE58AC"/>
    <w:rsid w:val="00AE596C"/>
    <w:rsid w:val="00AE5E3B"/>
    <w:rsid w:val="00AE624B"/>
    <w:rsid w:val="00AE7080"/>
    <w:rsid w:val="00AE7E7B"/>
    <w:rsid w:val="00AF1EDE"/>
    <w:rsid w:val="00AF1FE8"/>
    <w:rsid w:val="00AF261D"/>
    <w:rsid w:val="00AF30BE"/>
    <w:rsid w:val="00AF3932"/>
    <w:rsid w:val="00AF3F78"/>
    <w:rsid w:val="00AF522C"/>
    <w:rsid w:val="00AF5661"/>
    <w:rsid w:val="00AF5927"/>
    <w:rsid w:val="00AF5B55"/>
    <w:rsid w:val="00AF6C6E"/>
    <w:rsid w:val="00AF6ED9"/>
    <w:rsid w:val="00AF6F00"/>
    <w:rsid w:val="00AF7190"/>
    <w:rsid w:val="00AF7D53"/>
    <w:rsid w:val="00B00451"/>
    <w:rsid w:val="00B013D7"/>
    <w:rsid w:val="00B02A70"/>
    <w:rsid w:val="00B030D7"/>
    <w:rsid w:val="00B03628"/>
    <w:rsid w:val="00B03933"/>
    <w:rsid w:val="00B066B9"/>
    <w:rsid w:val="00B0678D"/>
    <w:rsid w:val="00B067D5"/>
    <w:rsid w:val="00B07C72"/>
    <w:rsid w:val="00B101DF"/>
    <w:rsid w:val="00B11423"/>
    <w:rsid w:val="00B11721"/>
    <w:rsid w:val="00B11985"/>
    <w:rsid w:val="00B11AC8"/>
    <w:rsid w:val="00B130E3"/>
    <w:rsid w:val="00B134A0"/>
    <w:rsid w:val="00B13FF1"/>
    <w:rsid w:val="00B14756"/>
    <w:rsid w:val="00B1476E"/>
    <w:rsid w:val="00B147CC"/>
    <w:rsid w:val="00B14D8F"/>
    <w:rsid w:val="00B169CD"/>
    <w:rsid w:val="00B178EE"/>
    <w:rsid w:val="00B17CA3"/>
    <w:rsid w:val="00B17DCA"/>
    <w:rsid w:val="00B21618"/>
    <w:rsid w:val="00B21F48"/>
    <w:rsid w:val="00B22ACC"/>
    <w:rsid w:val="00B23107"/>
    <w:rsid w:val="00B23247"/>
    <w:rsid w:val="00B23750"/>
    <w:rsid w:val="00B24B39"/>
    <w:rsid w:val="00B25279"/>
    <w:rsid w:val="00B25390"/>
    <w:rsid w:val="00B254AC"/>
    <w:rsid w:val="00B25E40"/>
    <w:rsid w:val="00B25EB4"/>
    <w:rsid w:val="00B26038"/>
    <w:rsid w:val="00B26120"/>
    <w:rsid w:val="00B26B15"/>
    <w:rsid w:val="00B26CDF"/>
    <w:rsid w:val="00B26EC5"/>
    <w:rsid w:val="00B278DA"/>
    <w:rsid w:val="00B279DC"/>
    <w:rsid w:val="00B30948"/>
    <w:rsid w:val="00B315D2"/>
    <w:rsid w:val="00B335E5"/>
    <w:rsid w:val="00B34317"/>
    <w:rsid w:val="00B34830"/>
    <w:rsid w:val="00B34DDC"/>
    <w:rsid w:val="00B34E34"/>
    <w:rsid w:val="00B352F9"/>
    <w:rsid w:val="00B35826"/>
    <w:rsid w:val="00B35D61"/>
    <w:rsid w:val="00B377DB"/>
    <w:rsid w:val="00B37B0C"/>
    <w:rsid w:val="00B4036A"/>
    <w:rsid w:val="00B40D28"/>
    <w:rsid w:val="00B416C1"/>
    <w:rsid w:val="00B41B94"/>
    <w:rsid w:val="00B41C5F"/>
    <w:rsid w:val="00B41D0D"/>
    <w:rsid w:val="00B42D5D"/>
    <w:rsid w:val="00B43788"/>
    <w:rsid w:val="00B437C1"/>
    <w:rsid w:val="00B4418B"/>
    <w:rsid w:val="00B44440"/>
    <w:rsid w:val="00B45176"/>
    <w:rsid w:val="00B46A90"/>
    <w:rsid w:val="00B46B16"/>
    <w:rsid w:val="00B474B6"/>
    <w:rsid w:val="00B4757A"/>
    <w:rsid w:val="00B50856"/>
    <w:rsid w:val="00B51C23"/>
    <w:rsid w:val="00B52943"/>
    <w:rsid w:val="00B52E11"/>
    <w:rsid w:val="00B53833"/>
    <w:rsid w:val="00B55AF2"/>
    <w:rsid w:val="00B601C8"/>
    <w:rsid w:val="00B60630"/>
    <w:rsid w:val="00B6077D"/>
    <w:rsid w:val="00B60D77"/>
    <w:rsid w:val="00B613A4"/>
    <w:rsid w:val="00B62AB3"/>
    <w:rsid w:val="00B62D0F"/>
    <w:rsid w:val="00B63445"/>
    <w:rsid w:val="00B639A0"/>
    <w:rsid w:val="00B6403A"/>
    <w:rsid w:val="00B64CAF"/>
    <w:rsid w:val="00B65410"/>
    <w:rsid w:val="00B6629E"/>
    <w:rsid w:val="00B66885"/>
    <w:rsid w:val="00B66EEC"/>
    <w:rsid w:val="00B67307"/>
    <w:rsid w:val="00B676C9"/>
    <w:rsid w:val="00B67E19"/>
    <w:rsid w:val="00B707D2"/>
    <w:rsid w:val="00B70B5B"/>
    <w:rsid w:val="00B70BBA"/>
    <w:rsid w:val="00B70E25"/>
    <w:rsid w:val="00B710BA"/>
    <w:rsid w:val="00B718C8"/>
    <w:rsid w:val="00B718EA"/>
    <w:rsid w:val="00B71F2D"/>
    <w:rsid w:val="00B72BF7"/>
    <w:rsid w:val="00B72DBE"/>
    <w:rsid w:val="00B7623B"/>
    <w:rsid w:val="00B7634D"/>
    <w:rsid w:val="00B77675"/>
    <w:rsid w:val="00B777AC"/>
    <w:rsid w:val="00B818F0"/>
    <w:rsid w:val="00B81D2A"/>
    <w:rsid w:val="00B81EB9"/>
    <w:rsid w:val="00B82233"/>
    <w:rsid w:val="00B82C81"/>
    <w:rsid w:val="00B8326C"/>
    <w:rsid w:val="00B8359B"/>
    <w:rsid w:val="00B83DAB"/>
    <w:rsid w:val="00B8452B"/>
    <w:rsid w:val="00B84C45"/>
    <w:rsid w:val="00B84C71"/>
    <w:rsid w:val="00B84DCD"/>
    <w:rsid w:val="00B86A38"/>
    <w:rsid w:val="00B86C6A"/>
    <w:rsid w:val="00B86E9F"/>
    <w:rsid w:val="00B87E22"/>
    <w:rsid w:val="00B900E9"/>
    <w:rsid w:val="00B909DE"/>
    <w:rsid w:val="00B90FAC"/>
    <w:rsid w:val="00B910A4"/>
    <w:rsid w:val="00B915E6"/>
    <w:rsid w:val="00B917FC"/>
    <w:rsid w:val="00B91C1E"/>
    <w:rsid w:val="00B9390E"/>
    <w:rsid w:val="00B95349"/>
    <w:rsid w:val="00B9544C"/>
    <w:rsid w:val="00B9614C"/>
    <w:rsid w:val="00B9615E"/>
    <w:rsid w:val="00B9631F"/>
    <w:rsid w:val="00B9664F"/>
    <w:rsid w:val="00B96C21"/>
    <w:rsid w:val="00B978D8"/>
    <w:rsid w:val="00B97E47"/>
    <w:rsid w:val="00B97EA1"/>
    <w:rsid w:val="00BA00CB"/>
    <w:rsid w:val="00BA0267"/>
    <w:rsid w:val="00BA09E3"/>
    <w:rsid w:val="00BA11D3"/>
    <w:rsid w:val="00BA126D"/>
    <w:rsid w:val="00BA1544"/>
    <w:rsid w:val="00BA279F"/>
    <w:rsid w:val="00BA33B0"/>
    <w:rsid w:val="00BA3438"/>
    <w:rsid w:val="00BA37B3"/>
    <w:rsid w:val="00BA38A5"/>
    <w:rsid w:val="00BA3F91"/>
    <w:rsid w:val="00BA4119"/>
    <w:rsid w:val="00BA41C1"/>
    <w:rsid w:val="00BA5817"/>
    <w:rsid w:val="00BA59B8"/>
    <w:rsid w:val="00BA5F33"/>
    <w:rsid w:val="00BA6176"/>
    <w:rsid w:val="00BA66FC"/>
    <w:rsid w:val="00BA70D6"/>
    <w:rsid w:val="00BA770B"/>
    <w:rsid w:val="00BA7729"/>
    <w:rsid w:val="00BA7957"/>
    <w:rsid w:val="00BB067A"/>
    <w:rsid w:val="00BB1949"/>
    <w:rsid w:val="00BB1975"/>
    <w:rsid w:val="00BB21C0"/>
    <w:rsid w:val="00BB2D74"/>
    <w:rsid w:val="00BB339B"/>
    <w:rsid w:val="00BB38D2"/>
    <w:rsid w:val="00BB3C3B"/>
    <w:rsid w:val="00BB65CC"/>
    <w:rsid w:val="00BB68D4"/>
    <w:rsid w:val="00BB6B80"/>
    <w:rsid w:val="00BB6E28"/>
    <w:rsid w:val="00BB7221"/>
    <w:rsid w:val="00BB7A4E"/>
    <w:rsid w:val="00BC02B3"/>
    <w:rsid w:val="00BC03B8"/>
    <w:rsid w:val="00BC0D93"/>
    <w:rsid w:val="00BC23F1"/>
    <w:rsid w:val="00BC288F"/>
    <w:rsid w:val="00BC290D"/>
    <w:rsid w:val="00BC2DF4"/>
    <w:rsid w:val="00BC2EB8"/>
    <w:rsid w:val="00BC3BF6"/>
    <w:rsid w:val="00BC3C52"/>
    <w:rsid w:val="00BC5638"/>
    <w:rsid w:val="00BC631C"/>
    <w:rsid w:val="00BD09F4"/>
    <w:rsid w:val="00BD0CC5"/>
    <w:rsid w:val="00BD11CD"/>
    <w:rsid w:val="00BD11F8"/>
    <w:rsid w:val="00BD1253"/>
    <w:rsid w:val="00BD14E1"/>
    <w:rsid w:val="00BD16E8"/>
    <w:rsid w:val="00BD5F58"/>
    <w:rsid w:val="00BD63B3"/>
    <w:rsid w:val="00BD6F71"/>
    <w:rsid w:val="00BD7C99"/>
    <w:rsid w:val="00BE127B"/>
    <w:rsid w:val="00BE1545"/>
    <w:rsid w:val="00BE154E"/>
    <w:rsid w:val="00BE19D0"/>
    <w:rsid w:val="00BE1C8B"/>
    <w:rsid w:val="00BE24D1"/>
    <w:rsid w:val="00BE2630"/>
    <w:rsid w:val="00BE3115"/>
    <w:rsid w:val="00BE3378"/>
    <w:rsid w:val="00BE34DE"/>
    <w:rsid w:val="00BE44D5"/>
    <w:rsid w:val="00BE49CF"/>
    <w:rsid w:val="00BE5754"/>
    <w:rsid w:val="00BE6057"/>
    <w:rsid w:val="00BE6B62"/>
    <w:rsid w:val="00BE7366"/>
    <w:rsid w:val="00BE7C1D"/>
    <w:rsid w:val="00BF1B96"/>
    <w:rsid w:val="00BF23E9"/>
    <w:rsid w:val="00BF257B"/>
    <w:rsid w:val="00BF2796"/>
    <w:rsid w:val="00BF420E"/>
    <w:rsid w:val="00BF497E"/>
    <w:rsid w:val="00BF4B43"/>
    <w:rsid w:val="00BF4E4E"/>
    <w:rsid w:val="00BF5158"/>
    <w:rsid w:val="00BF629F"/>
    <w:rsid w:val="00BF64F6"/>
    <w:rsid w:val="00BF6798"/>
    <w:rsid w:val="00BF67BA"/>
    <w:rsid w:val="00BF7A9C"/>
    <w:rsid w:val="00C00076"/>
    <w:rsid w:val="00C0037D"/>
    <w:rsid w:val="00C008A4"/>
    <w:rsid w:val="00C031EB"/>
    <w:rsid w:val="00C036FD"/>
    <w:rsid w:val="00C03900"/>
    <w:rsid w:val="00C04203"/>
    <w:rsid w:val="00C04647"/>
    <w:rsid w:val="00C0663E"/>
    <w:rsid w:val="00C06953"/>
    <w:rsid w:val="00C10A77"/>
    <w:rsid w:val="00C1162C"/>
    <w:rsid w:val="00C11C29"/>
    <w:rsid w:val="00C1242D"/>
    <w:rsid w:val="00C12C15"/>
    <w:rsid w:val="00C12FE0"/>
    <w:rsid w:val="00C132D2"/>
    <w:rsid w:val="00C1477E"/>
    <w:rsid w:val="00C15A0D"/>
    <w:rsid w:val="00C15D11"/>
    <w:rsid w:val="00C168E0"/>
    <w:rsid w:val="00C16EB2"/>
    <w:rsid w:val="00C202D0"/>
    <w:rsid w:val="00C20814"/>
    <w:rsid w:val="00C208C8"/>
    <w:rsid w:val="00C20BE3"/>
    <w:rsid w:val="00C20CE4"/>
    <w:rsid w:val="00C2119B"/>
    <w:rsid w:val="00C21A1D"/>
    <w:rsid w:val="00C230B9"/>
    <w:rsid w:val="00C23154"/>
    <w:rsid w:val="00C2385E"/>
    <w:rsid w:val="00C23BD0"/>
    <w:rsid w:val="00C24083"/>
    <w:rsid w:val="00C248DB"/>
    <w:rsid w:val="00C24E94"/>
    <w:rsid w:val="00C30ECE"/>
    <w:rsid w:val="00C318E3"/>
    <w:rsid w:val="00C31B43"/>
    <w:rsid w:val="00C32AB4"/>
    <w:rsid w:val="00C332EC"/>
    <w:rsid w:val="00C3344B"/>
    <w:rsid w:val="00C34581"/>
    <w:rsid w:val="00C34981"/>
    <w:rsid w:val="00C35DC3"/>
    <w:rsid w:val="00C36C67"/>
    <w:rsid w:val="00C374D0"/>
    <w:rsid w:val="00C37F99"/>
    <w:rsid w:val="00C41521"/>
    <w:rsid w:val="00C4168D"/>
    <w:rsid w:val="00C41960"/>
    <w:rsid w:val="00C422C4"/>
    <w:rsid w:val="00C42303"/>
    <w:rsid w:val="00C43994"/>
    <w:rsid w:val="00C44748"/>
    <w:rsid w:val="00C4588A"/>
    <w:rsid w:val="00C4666E"/>
    <w:rsid w:val="00C47542"/>
    <w:rsid w:val="00C501F9"/>
    <w:rsid w:val="00C5083D"/>
    <w:rsid w:val="00C50D65"/>
    <w:rsid w:val="00C51747"/>
    <w:rsid w:val="00C5205A"/>
    <w:rsid w:val="00C5308A"/>
    <w:rsid w:val="00C545E7"/>
    <w:rsid w:val="00C55297"/>
    <w:rsid w:val="00C55C1C"/>
    <w:rsid w:val="00C56861"/>
    <w:rsid w:val="00C579BA"/>
    <w:rsid w:val="00C57B89"/>
    <w:rsid w:val="00C60AC1"/>
    <w:rsid w:val="00C60BB4"/>
    <w:rsid w:val="00C60D45"/>
    <w:rsid w:val="00C619DC"/>
    <w:rsid w:val="00C62304"/>
    <w:rsid w:val="00C62F80"/>
    <w:rsid w:val="00C63CFC"/>
    <w:rsid w:val="00C640EB"/>
    <w:rsid w:val="00C64376"/>
    <w:rsid w:val="00C6446B"/>
    <w:rsid w:val="00C64CE0"/>
    <w:rsid w:val="00C65525"/>
    <w:rsid w:val="00C66265"/>
    <w:rsid w:val="00C663C5"/>
    <w:rsid w:val="00C6655E"/>
    <w:rsid w:val="00C67211"/>
    <w:rsid w:val="00C67D97"/>
    <w:rsid w:val="00C702ED"/>
    <w:rsid w:val="00C70D1B"/>
    <w:rsid w:val="00C70EF6"/>
    <w:rsid w:val="00C7120E"/>
    <w:rsid w:val="00C7248A"/>
    <w:rsid w:val="00C744FC"/>
    <w:rsid w:val="00C74760"/>
    <w:rsid w:val="00C74837"/>
    <w:rsid w:val="00C76126"/>
    <w:rsid w:val="00C774F1"/>
    <w:rsid w:val="00C77C51"/>
    <w:rsid w:val="00C77F74"/>
    <w:rsid w:val="00C81B31"/>
    <w:rsid w:val="00C8205A"/>
    <w:rsid w:val="00C825E0"/>
    <w:rsid w:val="00C83559"/>
    <w:rsid w:val="00C83E26"/>
    <w:rsid w:val="00C85DA9"/>
    <w:rsid w:val="00C87083"/>
    <w:rsid w:val="00C87859"/>
    <w:rsid w:val="00C87D0C"/>
    <w:rsid w:val="00C9096C"/>
    <w:rsid w:val="00C90F3B"/>
    <w:rsid w:val="00C91303"/>
    <w:rsid w:val="00C915FE"/>
    <w:rsid w:val="00C91D15"/>
    <w:rsid w:val="00C927E7"/>
    <w:rsid w:val="00C92983"/>
    <w:rsid w:val="00C9311D"/>
    <w:rsid w:val="00C93310"/>
    <w:rsid w:val="00C938B1"/>
    <w:rsid w:val="00C941A8"/>
    <w:rsid w:val="00C944CF"/>
    <w:rsid w:val="00C9469B"/>
    <w:rsid w:val="00CA0528"/>
    <w:rsid w:val="00CA132B"/>
    <w:rsid w:val="00CA1C02"/>
    <w:rsid w:val="00CA1C21"/>
    <w:rsid w:val="00CA4F82"/>
    <w:rsid w:val="00CA5046"/>
    <w:rsid w:val="00CA66FD"/>
    <w:rsid w:val="00CB1537"/>
    <w:rsid w:val="00CB1E9F"/>
    <w:rsid w:val="00CB20AA"/>
    <w:rsid w:val="00CB20E7"/>
    <w:rsid w:val="00CB2FA8"/>
    <w:rsid w:val="00CB3290"/>
    <w:rsid w:val="00CB32D6"/>
    <w:rsid w:val="00CB36B5"/>
    <w:rsid w:val="00CB3881"/>
    <w:rsid w:val="00CB3CC9"/>
    <w:rsid w:val="00CB437A"/>
    <w:rsid w:val="00CB47F8"/>
    <w:rsid w:val="00CB6F46"/>
    <w:rsid w:val="00CB75E2"/>
    <w:rsid w:val="00CC00DA"/>
    <w:rsid w:val="00CC0D13"/>
    <w:rsid w:val="00CC1A78"/>
    <w:rsid w:val="00CC1E1C"/>
    <w:rsid w:val="00CC251A"/>
    <w:rsid w:val="00CC2F0B"/>
    <w:rsid w:val="00CC31BF"/>
    <w:rsid w:val="00CC34AB"/>
    <w:rsid w:val="00CC3828"/>
    <w:rsid w:val="00CC3A55"/>
    <w:rsid w:val="00CC3B2A"/>
    <w:rsid w:val="00CC4973"/>
    <w:rsid w:val="00CC507A"/>
    <w:rsid w:val="00CC5104"/>
    <w:rsid w:val="00CC6613"/>
    <w:rsid w:val="00CC6A57"/>
    <w:rsid w:val="00CC6C1D"/>
    <w:rsid w:val="00CC6C63"/>
    <w:rsid w:val="00CC78DE"/>
    <w:rsid w:val="00CD000C"/>
    <w:rsid w:val="00CD061B"/>
    <w:rsid w:val="00CD0800"/>
    <w:rsid w:val="00CD10A5"/>
    <w:rsid w:val="00CD134F"/>
    <w:rsid w:val="00CD1A2B"/>
    <w:rsid w:val="00CD220A"/>
    <w:rsid w:val="00CD39FF"/>
    <w:rsid w:val="00CD4276"/>
    <w:rsid w:val="00CD43ED"/>
    <w:rsid w:val="00CD5037"/>
    <w:rsid w:val="00CD6209"/>
    <w:rsid w:val="00CD63F6"/>
    <w:rsid w:val="00CD67A7"/>
    <w:rsid w:val="00CD6969"/>
    <w:rsid w:val="00CD6A87"/>
    <w:rsid w:val="00CD6C4E"/>
    <w:rsid w:val="00CD71A7"/>
    <w:rsid w:val="00CD74AA"/>
    <w:rsid w:val="00CE03B8"/>
    <w:rsid w:val="00CE0F6B"/>
    <w:rsid w:val="00CE1774"/>
    <w:rsid w:val="00CE4F6B"/>
    <w:rsid w:val="00CE51C5"/>
    <w:rsid w:val="00CE53B8"/>
    <w:rsid w:val="00CE5B3A"/>
    <w:rsid w:val="00CE7F28"/>
    <w:rsid w:val="00CF117B"/>
    <w:rsid w:val="00CF276A"/>
    <w:rsid w:val="00CF35B7"/>
    <w:rsid w:val="00CF36F0"/>
    <w:rsid w:val="00CF3874"/>
    <w:rsid w:val="00CF3F64"/>
    <w:rsid w:val="00CF4201"/>
    <w:rsid w:val="00CF4B95"/>
    <w:rsid w:val="00CF69EF"/>
    <w:rsid w:val="00CF7076"/>
    <w:rsid w:val="00D0058A"/>
    <w:rsid w:val="00D00753"/>
    <w:rsid w:val="00D0098D"/>
    <w:rsid w:val="00D00FC2"/>
    <w:rsid w:val="00D01C8A"/>
    <w:rsid w:val="00D0352B"/>
    <w:rsid w:val="00D03BCA"/>
    <w:rsid w:val="00D03E56"/>
    <w:rsid w:val="00D0456F"/>
    <w:rsid w:val="00D049C8"/>
    <w:rsid w:val="00D05839"/>
    <w:rsid w:val="00D06B6D"/>
    <w:rsid w:val="00D07465"/>
    <w:rsid w:val="00D07498"/>
    <w:rsid w:val="00D07B70"/>
    <w:rsid w:val="00D10287"/>
    <w:rsid w:val="00D108D3"/>
    <w:rsid w:val="00D111A9"/>
    <w:rsid w:val="00D11EC8"/>
    <w:rsid w:val="00D12136"/>
    <w:rsid w:val="00D121CC"/>
    <w:rsid w:val="00D121D7"/>
    <w:rsid w:val="00D1233B"/>
    <w:rsid w:val="00D12465"/>
    <w:rsid w:val="00D12AA8"/>
    <w:rsid w:val="00D15501"/>
    <w:rsid w:val="00D15B4F"/>
    <w:rsid w:val="00D16599"/>
    <w:rsid w:val="00D1669F"/>
    <w:rsid w:val="00D170B2"/>
    <w:rsid w:val="00D17545"/>
    <w:rsid w:val="00D2082D"/>
    <w:rsid w:val="00D20C97"/>
    <w:rsid w:val="00D21171"/>
    <w:rsid w:val="00D22D9B"/>
    <w:rsid w:val="00D24245"/>
    <w:rsid w:val="00D24401"/>
    <w:rsid w:val="00D24579"/>
    <w:rsid w:val="00D2492C"/>
    <w:rsid w:val="00D250FA"/>
    <w:rsid w:val="00D2524D"/>
    <w:rsid w:val="00D2618E"/>
    <w:rsid w:val="00D26403"/>
    <w:rsid w:val="00D300E9"/>
    <w:rsid w:val="00D304E4"/>
    <w:rsid w:val="00D310A5"/>
    <w:rsid w:val="00D31CFF"/>
    <w:rsid w:val="00D31E11"/>
    <w:rsid w:val="00D32538"/>
    <w:rsid w:val="00D32C94"/>
    <w:rsid w:val="00D3329B"/>
    <w:rsid w:val="00D33A5D"/>
    <w:rsid w:val="00D34140"/>
    <w:rsid w:val="00D3450D"/>
    <w:rsid w:val="00D370B7"/>
    <w:rsid w:val="00D37860"/>
    <w:rsid w:val="00D40776"/>
    <w:rsid w:val="00D40E89"/>
    <w:rsid w:val="00D41DB6"/>
    <w:rsid w:val="00D425EE"/>
    <w:rsid w:val="00D4279F"/>
    <w:rsid w:val="00D42EC7"/>
    <w:rsid w:val="00D434F9"/>
    <w:rsid w:val="00D43AA0"/>
    <w:rsid w:val="00D43E45"/>
    <w:rsid w:val="00D445BE"/>
    <w:rsid w:val="00D45542"/>
    <w:rsid w:val="00D46054"/>
    <w:rsid w:val="00D469B5"/>
    <w:rsid w:val="00D4780F"/>
    <w:rsid w:val="00D47DA8"/>
    <w:rsid w:val="00D50032"/>
    <w:rsid w:val="00D500C9"/>
    <w:rsid w:val="00D511AC"/>
    <w:rsid w:val="00D5175C"/>
    <w:rsid w:val="00D529CF"/>
    <w:rsid w:val="00D52AFB"/>
    <w:rsid w:val="00D52BF6"/>
    <w:rsid w:val="00D53EFF"/>
    <w:rsid w:val="00D54441"/>
    <w:rsid w:val="00D555BC"/>
    <w:rsid w:val="00D56C6D"/>
    <w:rsid w:val="00D57B2B"/>
    <w:rsid w:val="00D57C39"/>
    <w:rsid w:val="00D57E30"/>
    <w:rsid w:val="00D612E0"/>
    <w:rsid w:val="00D6134B"/>
    <w:rsid w:val="00D623D0"/>
    <w:rsid w:val="00D62FE7"/>
    <w:rsid w:val="00D6330E"/>
    <w:rsid w:val="00D63C02"/>
    <w:rsid w:val="00D6420F"/>
    <w:rsid w:val="00D650EB"/>
    <w:rsid w:val="00D664CE"/>
    <w:rsid w:val="00D66A89"/>
    <w:rsid w:val="00D66BE9"/>
    <w:rsid w:val="00D67549"/>
    <w:rsid w:val="00D67A66"/>
    <w:rsid w:val="00D67B5C"/>
    <w:rsid w:val="00D70A26"/>
    <w:rsid w:val="00D70BFE"/>
    <w:rsid w:val="00D71D66"/>
    <w:rsid w:val="00D71EA0"/>
    <w:rsid w:val="00D721F7"/>
    <w:rsid w:val="00D72F55"/>
    <w:rsid w:val="00D732D5"/>
    <w:rsid w:val="00D733B2"/>
    <w:rsid w:val="00D73D31"/>
    <w:rsid w:val="00D741BE"/>
    <w:rsid w:val="00D749E5"/>
    <w:rsid w:val="00D75828"/>
    <w:rsid w:val="00D75B85"/>
    <w:rsid w:val="00D76D1F"/>
    <w:rsid w:val="00D77354"/>
    <w:rsid w:val="00D773FB"/>
    <w:rsid w:val="00D81BDE"/>
    <w:rsid w:val="00D8204E"/>
    <w:rsid w:val="00D83C8B"/>
    <w:rsid w:val="00D84E77"/>
    <w:rsid w:val="00D8556D"/>
    <w:rsid w:val="00D85F6D"/>
    <w:rsid w:val="00D86514"/>
    <w:rsid w:val="00D86941"/>
    <w:rsid w:val="00D90325"/>
    <w:rsid w:val="00D90F03"/>
    <w:rsid w:val="00D9110D"/>
    <w:rsid w:val="00D93286"/>
    <w:rsid w:val="00D938C8"/>
    <w:rsid w:val="00D945BC"/>
    <w:rsid w:val="00D96689"/>
    <w:rsid w:val="00D96818"/>
    <w:rsid w:val="00D97AA5"/>
    <w:rsid w:val="00D97F9A"/>
    <w:rsid w:val="00DA10A7"/>
    <w:rsid w:val="00DA11C2"/>
    <w:rsid w:val="00DA1C8E"/>
    <w:rsid w:val="00DA263D"/>
    <w:rsid w:val="00DA29B4"/>
    <w:rsid w:val="00DA320D"/>
    <w:rsid w:val="00DA3493"/>
    <w:rsid w:val="00DA3569"/>
    <w:rsid w:val="00DA6B5F"/>
    <w:rsid w:val="00DA7CED"/>
    <w:rsid w:val="00DA7EA5"/>
    <w:rsid w:val="00DB0D38"/>
    <w:rsid w:val="00DB123A"/>
    <w:rsid w:val="00DB1F78"/>
    <w:rsid w:val="00DB2DEB"/>
    <w:rsid w:val="00DB309C"/>
    <w:rsid w:val="00DB689A"/>
    <w:rsid w:val="00DB73AF"/>
    <w:rsid w:val="00DB7DC1"/>
    <w:rsid w:val="00DB7F10"/>
    <w:rsid w:val="00DC1825"/>
    <w:rsid w:val="00DC19FE"/>
    <w:rsid w:val="00DC233B"/>
    <w:rsid w:val="00DC27A4"/>
    <w:rsid w:val="00DC2ED2"/>
    <w:rsid w:val="00DC3BB2"/>
    <w:rsid w:val="00DC3D13"/>
    <w:rsid w:val="00DC486E"/>
    <w:rsid w:val="00DC4AE5"/>
    <w:rsid w:val="00DC54B9"/>
    <w:rsid w:val="00DC5B5E"/>
    <w:rsid w:val="00DC5DE7"/>
    <w:rsid w:val="00DC5ECF"/>
    <w:rsid w:val="00DC77E8"/>
    <w:rsid w:val="00DC7EC0"/>
    <w:rsid w:val="00DD36A9"/>
    <w:rsid w:val="00DD385E"/>
    <w:rsid w:val="00DD4748"/>
    <w:rsid w:val="00DD4E21"/>
    <w:rsid w:val="00DD5318"/>
    <w:rsid w:val="00DD5611"/>
    <w:rsid w:val="00DD56B6"/>
    <w:rsid w:val="00DD6B6C"/>
    <w:rsid w:val="00DD707C"/>
    <w:rsid w:val="00DE0126"/>
    <w:rsid w:val="00DE03B0"/>
    <w:rsid w:val="00DE1B5E"/>
    <w:rsid w:val="00DE2C94"/>
    <w:rsid w:val="00DE2E91"/>
    <w:rsid w:val="00DE38D9"/>
    <w:rsid w:val="00DE3945"/>
    <w:rsid w:val="00DE65AB"/>
    <w:rsid w:val="00DE6A50"/>
    <w:rsid w:val="00DE6A89"/>
    <w:rsid w:val="00DE6BA3"/>
    <w:rsid w:val="00DE6D3D"/>
    <w:rsid w:val="00DE7890"/>
    <w:rsid w:val="00DF1056"/>
    <w:rsid w:val="00DF22D0"/>
    <w:rsid w:val="00DF257A"/>
    <w:rsid w:val="00DF3967"/>
    <w:rsid w:val="00DF425D"/>
    <w:rsid w:val="00DF4906"/>
    <w:rsid w:val="00DF49F5"/>
    <w:rsid w:val="00DF4B4F"/>
    <w:rsid w:val="00DF50FB"/>
    <w:rsid w:val="00DF66E5"/>
    <w:rsid w:val="00DF6828"/>
    <w:rsid w:val="00E00562"/>
    <w:rsid w:val="00E0074F"/>
    <w:rsid w:val="00E0186D"/>
    <w:rsid w:val="00E01F88"/>
    <w:rsid w:val="00E03798"/>
    <w:rsid w:val="00E037BD"/>
    <w:rsid w:val="00E043BC"/>
    <w:rsid w:val="00E051B5"/>
    <w:rsid w:val="00E05F85"/>
    <w:rsid w:val="00E06491"/>
    <w:rsid w:val="00E078EA"/>
    <w:rsid w:val="00E11612"/>
    <w:rsid w:val="00E127C2"/>
    <w:rsid w:val="00E16BC4"/>
    <w:rsid w:val="00E20077"/>
    <w:rsid w:val="00E20E01"/>
    <w:rsid w:val="00E2126E"/>
    <w:rsid w:val="00E21F39"/>
    <w:rsid w:val="00E22369"/>
    <w:rsid w:val="00E22A85"/>
    <w:rsid w:val="00E22EF0"/>
    <w:rsid w:val="00E2324D"/>
    <w:rsid w:val="00E23B4B"/>
    <w:rsid w:val="00E23B5D"/>
    <w:rsid w:val="00E2458E"/>
    <w:rsid w:val="00E24AA3"/>
    <w:rsid w:val="00E2522D"/>
    <w:rsid w:val="00E2575F"/>
    <w:rsid w:val="00E25E2D"/>
    <w:rsid w:val="00E2611C"/>
    <w:rsid w:val="00E274F4"/>
    <w:rsid w:val="00E27C7B"/>
    <w:rsid w:val="00E314BD"/>
    <w:rsid w:val="00E342FD"/>
    <w:rsid w:val="00E34CCF"/>
    <w:rsid w:val="00E35440"/>
    <w:rsid w:val="00E354B3"/>
    <w:rsid w:val="00E35D26"/>
    <w:rsid w:val="00E367F2"/>
    <w:rsid w:val="00E36960"/>
    <w:rsid w:val="00E36A12"/>
    <w:rsid w:val="00E37346"/>
    <w:rsid w:val="00E37C32"/>
    <w:rsid w:val="00E428A5"/>
    <w:rsid w:val="00E42E58"/>
    <w:rsid w:val="00E4350C"/>
    <w:rsid w:val="00E44649"/>
    <w:rsid w:val="00E44BAE"/>
    <w:rsid w:val="00E44C85"/>
    <w:rsid w:val="00E44FA5"/>
    <w:rsid w:val="00E4509B"/>
    <w:rsid w:val="00E456F1"/>
    <w:rsid w:val="00E45C1A"/>
    <w:rsid w:val="00E45C37"/>
    <w:rsid w:val="00E45D56"/>
    <w:rsid w:val="00E45FE9"/>
    <w:rsid w:val="00E4606D"/>
    <w:rsid w:val="00E461BD"/>
    <w:rsid w:val="00E464F2"/>
    <w:rsid w:val="00E465E1"/>
    <w:rsid w:val="00E472F4"/>
    <w:rsid w:val="00E47610"/>
    <w:rsid w:val="00E504BA"/>
    <w:rsid w:val="00E50A70"/>
    <w:rsid w:val="00E51571"/>
    <w:rsid w:val="00E51BF7"/>
    <w:rsid w:val="00E525D2"/>
    <w:rsid w:val="00E52947"/>
    <w:rsid w:val="00E52E73"/>
    <w:rsid w:val="00E53246"/>
    <w:rsid w:val="00E55123"/>
    <w:rsid w:val="00E55A72"/>
    <w:rsid w:val="00E579DC"/>
    <w:rsid w:val="00E60054"/>
    <w:rsid w:val="00E6029D"/>
    <w:rsid w:val="00E61D48"/>
    <w:rsid w:val="00E61F65"/>
    <w:rsid w:val="00E627BB"/>
    <w:rsid w:val="00E63196"/>
    <w:rsid w:val="00E63907"/>
    <w:rsid w:val="00E64196"/>
    <w:rsid w:val="00E67A77"/>
    <w:rsid w:val="00E715D6"/>
    <w:rsid w:val="00E72885"/>
    <w:rsid w:val="00E72DD0"/>
    <w:rsid w:val="00E73E78"/>
    <w:rsid w:val="00E7489B"/>
    <w:rsid w:val="00E76867"/>
    <w:rsid w:val="00E76949"/>
    <w:rsid w:val="00E801E9"/>
    <w:rsid w:val="00E801F1"/>
    <w:rsid w:val="00E813DB"/>
    <w:rsid w:val="00E8223B"/>
    <w:rsid w:val="00E828C2"/>
    <w:rsid w:val="00E839D1"/>
    <w:rsid w:val="00E83D84"/>
    <w:rsid w:val="00E83DFE"/>
    <w:rsid w:val="00E8422F"/>
    <w:rsid w:val="00E8493B"/>
    <w:rsid w:val="00E85112"/>
    <w:rsid w:val="00E85EC4"/>
    <w:rsid w:val="00E86170"/>
    <w:rsid w:val="00E86BA1"/>
    <w:rsid w:val="00E86DEF"/>
    <w:rsid w:val="00E879F5"/>
    <w:rsid w:val="00E90507"/>
    <w:rsid w:val="00E90544"/>
    <w:rsid w:val="00E915A7"/>
    <w:rsid w:val="00E9251C"/>
    <w:rsid w:val="00E925C4"/>
    <w:rsid w:val="00E928BC"/>
    <w:rsid w:val="00E92C0C"/>
    <w:rsid w:val="00E92CA1"/>
    <w:rsid w:val="00E92D52"/>
    <w:rsid w:val="00E93611"/>
    <w:rsid w:val="00E93BEA"/>
    <w:rsid w:val="00E95159"/>
    <w:rsid w:val="00E96D48"/>
    <w:rsid w:val="00E974CC"/>
    <w:rsid w:val="00EA026F"/>
    <w:rsid w:val="00EA128C"/>
    <w:rsid w:val="00EA1ADB"/>
    <w:rsid w:val="00EA4C06"/>
    <w:rsid w:val="00EA5043"/>
    <w:rsid w:val="00EA5348"/>
    <w:rsid w:val="00EA5FB4"/>
    <w:rsid w:val="00EA6819"/>
    <w:rsid w:val="00EA70AC"/>
    <w:rsid w:val="00EA74E0"/>
    <w:rsid w:val="00EB040A"/>
    <w:rsid w:val="00EB0534"/>
    <w:rsid w:val="00EB0A8F"/>
    <w:rsid w:val="00EB120C"/>
    <w:rsid w:val="00EB1DFA"/>
    <w:rsid w:val="00EB257E"/>
    <w:rsid w:val="00EB438E"/>
    <w:rsid w:val="00EB490C"/>
    <w:rsid w:val="00EB52D5"/>
    <w:rsid w:val="00EB5C52"/>
    <w:rsid w:val="00EB66FD"/>
    <w:rsid w:val="00EB6A40"/>
    <w:rsid w:val="00EC01C3"/>
    <w:rsid w:val="00EC13D0"/>
    <w:rsid w:val="00EC203F"/>
    <w:rsid w:val="00EC2080"/>
    <w:rsid w:val="00EC2883"/>
    <w:rsid w:val="00EC297A"/>
    <w:rsid w:val="00EC4111"/>
    <w:rsid w:val="00EC4815"/>
    <w:rsid w:val="00EC48FC"/>
    <w:rsid w:val="00EC53B0"/>
    <w:rsid w:val="00EC56EF"/>
    <w:rsid w:val="00EC5748"/>
    <w:rsid w:val="00EC6E67"/>
    <w:rsid w:val="00EC7E2D"/>
    <w:rsid w:val="00ED1513"/>
    <w:rsid w:val="00ED2318"/>
    <w:rsid w:val="00ED26CF"/>
    <w:rsid w:val="00ED2BDB"/>
    <w:rsid w:val="00ED30AF"/>
    <w:rsid w:val="00ED381E"/>
    <w:rsid w:val="00ED3BC9"/>
    <w:rsid w:val="00ED3F2A"/>
    <w:rsid w:val="00ED4BF4"/>
    <w:rsid w:val="00ED6A3E"/>
    <w:rsid w:val="00ED6C03"/>
    <w:rsid w:val="00ED76FB"/>
    <w:rsid w:val="00ED795C"/>
    <w:rsid w:val="00EE0DAB"/>
    <w:rsid w:val="00EE10EA"/>
    <w:rsid w:val="00EE2B41"/>
    <w:rsid w:val="00EE2ECB"/>
    <w:rsid w:val="00EE3C06"/>
    <w:rsid w:val="00EE407C"/>
    <w:rsid w:val="00EE4476"/>
    <w:rsid w:val="00EE499A"/>
    <w:rsid w:val="00EE4DC8"/>
    <w:rsid w:val="00EE5BCF"/>
    <w:rsid w:val="00EE61BF"/>
    <w:rsid w:val="00EE6717"/>
    <w:rsid w:val="00EE7408"/>
    <w:rsid w:val="00EF095A"/>
    <w:rsid w:val="00EF11FD"/>
    <w:rsid w:val="00EF1B9E"/>
    <w:rsid w:val="00EF2CE7"/>
    <w:rsid w:val="00EF2EFA"/>
    <w:rsid w:val="00EF343F"/>
    <w:rsid w:val="00EF5AA2"/>
    <w:rsid w:val="00EF64D3"/>
    <w:rsid w:val="00EF6D33"/>
    <w:rsid w:val="00F0026E"/>
    <w:rsid w:val="00F019D1"/>
    <w:rsid w:val="00F01BC8"/>
    <w:rsid w:val="00F01F4A"/>
    <w:rsid w:val="00F020F7"/>
    <w:rsid w:val="00F021F7"/>
    <w:rsid w:val="00F02D71"/>
    <w:rsid w:val="00F02F92"/>
    <w:rsid w:val="00F03569"/>
    <w:rsid w:val="00F0598C"/>
    <w:rsid w:val="00F068C3"/>
    <w:rsid w:val="00F077C8"/>
    <w:rsid w:val="00F104B6"/>
    <w:rsid w:val="00F10DBE"/>
    <w:rsid w:val="00F1243F"/>
    <w:rsid w:val="00F14A8E"/>
    <w:rsid w:val="00F14B9C"/>
    <w:rsid w:val="00F15219"/>
    <w:rsid w:val="00F16656"/>
    <w:rsid w:val="00F20815"/>
    <w:rsid w:val="00F20DEE"/>
    <w:rsid w:val="00F217AA"/>
    <w:rsid w:val="00F221B7"/>
    <w:rsid w:val="00F22472"/>
    <w:rsid w:val="00F224AB"/>
    <w:rsid w:val="00F229B7"/>
    <w:rsid w:val="00F2319B"/>
    <w:rsid w:val="00F237BC"/>
    <w:rsid w:val="00F241CA"/>
    <w:rsid w:val="00F26C16"/>
    <w:rsid w:val="00F300FF"/>
    <w:rsid w:val="00F302F8"/>
    <w:rsid w:val="00F31C11"/>
    <w:rsid w:val="00F31E4C"/>
    <w:rsid w:val="00F3450D"/>
    <w:rsid w:val="00F3487A"/>
    <w:rsid w:val="00F34DE2"/>
    <w:rsid w:val="00F359B7"/>
    <w:rsid w:val="00F3766F"/>
    <w:rsid w:val="00F377B5"/>
    <w:rsid w:val="00F40273"/>
    <w:rsid w:val="00F403ED"/>
    <w:rsid w:val="00F40B49"/>
    <w:rsid w:val="00F414C2"/>
    <w:rsid w:val="00F43283"/>
    <w:rsid w:val="00F43A9F"/>
    <w:rsid w:val="00F43BB1"/>
    <w:rsid w:val="00F44E29"/>
    <w:rsid w:val="00F453D0"/>
    <w:rsid w:val="00F477D1"/>
    <w:rsid w:val="00F508E9"/>
    <w:rsid w:val="00F50B53"/>
    <w:rsid w:val="00F50BA1"/>
    <w:rsid w:val="00F50E19"/>
    <w:rsid w:val="00F50F7D"/>
    <w:rsid w:val="00F514F3"/>
    <w:rsid w:val="00F515D2"/>
    <w:rsid w:val="00F51CBD"/>
    <w:rsid w:val="00F5357E"/>
    <w:rsid w:val="00F546E3"/>
    <w:rsid w:val="00F561BD"/>
    <w:rsid w:val="00F60499"/>
    <w:rsid w:val="00F60D7A"/>
    <w:rsid w:val="00F61399"/>
    <w:rsid w:val="00F64608"/>
    <w:rsid w:val="00F648BE"/>
    <w:rsid w:val="00F65593"/>
    <w:rsid w:val="00F657C9"/>
    <w:rsid w:val="00F65A7D"/>
    <w:rsid w:val="00F667FA"/>
    <w:rsid w:val="00F675C9"/>
    <w:rsid w:val="00F70AFB"/>
    <w:rsid w:val="00F70D42"/>
    <w:rsid w:val="00F70D73"/>
    <w:rsid w:val="00F71499"/>
    <w:rsid w:val="00F7157A"/>
    <w:rsid w:val="00F715B6"/>
    <w:rsid w:val="00F7195C"/>
    <w:rsid w:val="00F71D24"/>
    <w:rsid w:val="00F72497"/>
    <w:rsid w:val="00F72550"/>
    <w:rsid w:val="00F73CC0"/>
    <w:rsid w:val="00F74B7E"/>
    <w:rsid w:val="00F75EFD"/>
    <w:rsid w:val="00F7627D"/>
    <w:rsid w:val="00F7755C"/>
    <w:rsid w:val="00F80444"/>
    <w:rsid w:val="00F811BF"/>
    <w:rsid w:val="00F812BB"/>
    <w:rsid w:val="00F815DF"/>
    <w:rsid w:val="00F8206E"/>
    <w:rsid w:val="00F8391B"/>
    <w:rsid w:val="00F83CA0"/>
    <w:rsid w:val="00F83F5B"/>
    <w:rsid w:val="00F84576"/>
    <w:rsid w:val="00F8589F"/>
    <w:rsid w:val="00F90663"/>
    <w:rsid w:val="00F90F5A"/>
    <w:rsid w:val="00F92046"/>
    <w:rsid w:val="00F92742"/>
    <w:rsid w:val="00F936F2"/>
    <w:rsid w:val="00F9395F"/>
    <w:rsid w:val="00F93EFA"/>
    <w:rsid w:val="00F946EB"/>
    <w:rsid w:val="00F94FCF"/>
    <w:rsid w:val="00F95262"/>
    <w:rsid w:val="00F95A32"/>
    <w:rsid w:val="00F95D1F"/>
    <w:rsid w:val="00F96565"/>
    <w:rsid w:val="00FA00E5"/>
    <w:rsid w:val="00FA15AA"/>
    <w:rsid w:val="00FA16AE"/>
    <w:rsid w:val="00FA188D"/>
    <w:rsid w:val="00FA1AC4"/>
    <w:rsid w:val="00FA1CFE"/>
    <w:rsid w:val="00FA27E6"/>
    <w:rsid w:val="00FA38D1"/>
    <w:rsid w:val="00FA509D"/>
    <w:rsid w:val="00FA5BC8"/>
    <w:rsid w:val="00FA6E10"/>
    <w:rsid w:val="00FA7537"/>
    <w:rsid w:val="00FA7E7B"/>
    <w:rsid w:val="00FB11A4"/>
    <w:rsid w:val="00FB1CA8"/>
    <w:rsid w:val="00FB2C56"/>
    <w:rsid w:val="00FB3DD4"/>
    <w:rsid w:val="00FB4006"/>
    <w:rsid w:val="00FB4609"/>
    <w:rsid w:val="00FB4617"/>
    <w:rsid w:val="00FB5A40"/>
    <w:rsid w:val="00FB5E30"/>
    <w:rsid w:val="00FB6B39"/>
    <w:rsid w:val="00FB6C06"/>
    <w:rsid w:val="00FC012D"/>
    <w:rsid w:val="00FC0340"/>
    <w:rsid w:val="00FC067A"/>
    <w:rsid w:val="00FC13EB"/>
    <w:rsid w:val="00FC1879"/>
    <w:rsid w:val="00FC2BC5"/>
    <w:rsid w:val="00FC2CFE"/>
    <w:rsid w:val="00FC337E"/>
    <w:rsid w:val="00FC4396"/>
    <w:rsid w:val="00FC43BA"/>
    <w:rsid w:val="00FC46A6"/>
    <w:rsid w:val="00FC4D76"/>
    <w:rsid w:val="00FC529E"/>
    <w:rsid w:val="00FC5F1E"/>
    <w:rsid w:val="00FC6A16"/>
    <w:rsid w:val="00FC7FCE"/>
    <w:rsid w:val="00FD00D6"/>
    <w:rsid w:val="00FD024B"/>
    <w:rsid w:val="00FD073B"/>
    <w:rsid w:val="00FD0E91"/>
    <w:rsid w:val="00FD22EB"/>
    <w:rsid w:val="00FD2E05"/>
    <w:rsid w:val="00FD58E8"/>
    <w:rsid w:val="00FD730B"/>
    <w:rsid w:val="00FD7415"/>
    <w:rsid w:val="00FD743E"/>
    <w:rsid w:val="00FD7B53"/>
    <w:rsid w:val="00FE268E"/>
    <w:rsid w:val="00FE31BD"/>
    <w:rsid w:val="00FE3FE1"/>
    <w:rsid w:val="00FE491B"/>
    <w:rsid w:val="00FE4EB3"/>
    <w:rsid w:val="00FE69C7"/>
    <w:rsid w:val="00FE6D66"/>
    <w:rsid w:val="00FE7A8B"/>
    <w:rsid w:val="00FE7C76"/>
    <w:rsid w:val="00FF1274"/>
    <w:rsid w:val="00FF13C7"/>
    <w:rsid w:val="00FF192C"/>
    <w:rsid w:val="00FF2060"/>
    <w:rsid w:val="00FF222D"/>
    <w:rsid w:val="00FF327B"/>
    <w:rsid w:val="00FF3A25"/>
    <w:rsid w:val="00FF4127"/>
    <w:rsid w:val="00FF4A6D"/>
    <w:rsid w:val="00FF69FC"/>
    <w:rsid w:val="00FF6BF2"/>
    <w:rsid w:val="00FF6E42"/>
    <w:rsid w:val="00FF71CC"/>
    <w:rsid w:val="00FF7633"/>
    <w:rsid w:val="00FF7F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18B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cs-CZ"/>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F300FF"/>
    <w:pPr>
      <w:spacing w:before="60" w:after="140" w:line="220" w:lineRule="atLeast"/>
      <w:jc w:val="both"/>
    </w:pPr>
    <w:rPr>
      <w:rFonts w:ascii="Arial" w:hAnsi="Arial"/>
      <w:sz w:val="18"/>
      <w:szCs w:val="24"/>
    </w:rPr>
  </w:style>
  <w:style w:type="paragraph" w:styleId="Heading1">
    <w:name w:val="heading 1"/>
    <w:basedOn w:val="Normal"/>
    <w:next w:val="Normal"/>
    <w:semiHidden/>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basedOn w:val="Normal"/>
    <w:next w:val="Normal"/>
    <w:semiHidden/>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semiHidden/>
    <w:qFormat/>
    <w:rsid w:val="00E465E1"/>
    <w:pPr>
      <w:suppressAutoHyphens/>
      <w:spacing w:before="200" w:after="100"/>
      <w:jc w:val="left"/>
      <w:outlineLvl w:val="4"/>
    </w:pPr>
    <w:rPr>
      <w:b/>
      <w:bCs/>
      <w:iCs/>
      <w:color w:val="5F5F5F"/>
      <w:szCs w:val="26"/>
    </w:rPr>
  </w:style>
  <w:style w:type="paragraph" w:styleId="Heading6">
    <w:name w:val="heading 6"/>
    <w:basedOn w:val="Normal"/>
    <w:next w:val="Normal"/>
    <w:semiHidden/>
    <w:qFormat/>
    <w:rsid w:val="00E465E1"/>
    <w:pPr>
      <w:suppressAutoHyphens/>
      <w:spacing w:before="140" w:line="200" w:lineRule="exact"/>
      <w:jc w:val="left"/>
      <w:outlineLvl w:val="5"/>
    </w:pPr>
    <w:rPr>
      <w:b/>
      <w:bCs/>
      <w:color w:val="808080"/>
      <w:sz w:val="16"/>
      <w:szCs w:val="22"/>
    </w:rPr>
  </w:style>
  <w:style w:type="paragraph" w:styleId="Heading7">
    <w:name w:val="heading 7"/>
    <w:basedOn w:val="Normal"/>
    <w:next w:val="Normal"/>
    <w:qFormat/>
    <w:rsid w:val="00E465E1"/>
    <w:pPr>
      <w:suppressAutoHyphens/>
      <w:spacing w:before="140" w:line="200" w:lineRule="exact"/>
      <w:jc w:val="left"/>
      <w:outlineLvl w:val="6"/>
    </w:pPr>
    <w:rPr>
      <w:b/>
      <w:color w:val="808080"/>
      <w:sz w:val="16"/>
    </w:rPr>
  </w:style>
  <w:style w:type="paragraph" w:styleId="Heading8">
    <w:name w:val="heading 8"/>
    <w:basedOn w:val="Normal"/>
    <w:next w:val="Normal"/>
    <w:qFormat/>
    <w:rsid w:val="00E465E1"/>
    <w:pPr>
      <w:suppressAutoHyphens/>
      <w:spacing w:before="140" w:line="200" w:lineRule="exact"/>
      <w:jc w:val="left"/>
      <w:outlineLvl w:val="7"/>
    </w:pPr>
    <w:rPr>
      <w:b/>
      <w:iCs/>
      <w:color w:val="808080"/>
      <w:sz w:val="16"/>
    </w:rPr>
  </w:style>
  <w:style w:type="paragraph" w:styleId="Heading9">
    <w:name w:val="heading 9"/>
    <w:basedOn w:val="Heading1"/>
    <w:next w:val="Normal"/>
    <w:semiHidden/>
    <w:qFormat/>
    <w:rsid w:val="00E465E1"/>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rsid w:val="00364BFD"/>
    <w:pPr>
      <w:tabs>
        <w:tab w:val="left" w:pos="454"/>
        <w:tab w:val="right" w:leader="dot" w:pos="9072"/>
      </w:tabs>
      <w:suppressAutoHyphens/>
      <w:spacing w:before="60" w:line="280" w:lineRule="exact"/>
      <w:ind w:left="454" w:hanging="454"/>
    </w:pPr>
    <w:rPr>
      <w:rFonts w:ascii="Arial" w:hAnsi="Arial"/>
      <w:color w:val="373737" w:themeColor="text1"/>
      <w:szCs w:val="22"/>
    </w:rPr>
  </w:style>
  <w:style w:type="paragraph" w:styleId="Header">
    <w:name w:val="header"/>
    <w:rsid w:val="00BD09F4"/>
    <w:pPr>
      <w:tabs>
        <w:tab w:val="right" w:pos="9072"/>
      </w:tabs>
      <w:spacing w:before="60"/>
    </w:pPr>
    <w:rPr>
      <w:rFonts w:ascii="Arial" w:hAnsi="Arial"/>
      <w:color w:val="F07E31" w:themeColor="accent1"/>
      <w:sz w:val="18"/>
    </w:rPr>
  </w:style>
  <w:style w:type="paragraph" w:styleId="Footer">
    <w:name w:val="footer"/>
    <w:link w:val="FooterChar"/>
    <w:uiPriority w:val="99"/>
    <w:rsid w:val="00D86941"/>
    <w:pPr>
      <w:tabs>
        <w:tab w:val="right" w:pos="8618"/>
      </w:tabs>
      <w:ind w:left="-907" w:right="-907"/>
      <w:jc w:val="center"/>
    </w:pPr>
    <w:rPr>
      <w:rFonts w:ascii="Arial" w:hAnsi="Arial"/>
      <w:color w:val="373737"/>
      <w:sz w:val="22"/>
    </w:rPr>
  </w:style>
  <w:style w:type="character" w:styleId="PageNumber">
    <w:name w:val="page number"/>
    <w:basedOn w:val="DefaultParagraphFont"/>
    <w:semiHidden/>
    <w:rsid w:val="00E465E1"/>
    <w:rPr>
      <w:rFonts w:ascii="Arial" w:hAnsi="Arial"/>
      <w:color w:val="808080"/>
      <w:sz w:val="18"/>
    </w:rPr>
  </w:style>
  <w:style w:type="paragraph" w:customStyle="1" w:styleId="HTitle2">
    <w:name w:val="H_Title2"/>
    <w:basedOn w:val="Normal"/>
    <w:qFormat/>
    <w:rsid w:val="00364BFD"/>
    <w:pPr>
      <w:autoSpaceDE w:val="0"/>
      <w:autoSpaceDN w:val="0"/>
      <w:adjustRightInd w:val="0"/>
      <w:spacing w:before="0" w:after="120" w:line="280" w:lineRule="atLeast"/>
      <w:jc w:val="left"/>
    </w:pPr>
    <w:rPr>
      <w:smallCaps/>
      <w:color w:val="373737" w:themeColor="text1"/>
      <w:sz w:val="44"/>
      <w:szCs w:val="52"/>
    </w:rPr>
  </w:style>
  <w:style w:type="paragraph" w:customStyle="1" w:styleId="Hlistbullet">
    <w:name w:val="H_list_bullet"/>
    <w:rsid w:val="00C42303"/>
    <w:pPr>
      <w:numPr>
        <w:numId w:val="2"/>
      </w:numPr>
      <w:spacing w:before="60" w:after="60" w:line="220" w:lineRule="atLeast"/>
      <w:ind w:left="567" w:hanging="567"/>
      <w:jc w:val="both"/>
    </w:pPr>
    <w:rPr>
      <w:rFonts w:ascii="Arial" w:hAnsi="Arial"/>
      <w:color w:val="373737" w:themeColor="text1"/>
    </w:rPr>
  </w:style>
  <w:style w:type="paragraph" w:customStyle="1" w:styleId="Hlistbullet2">
    <w:name w:val="H_list_bullet2"/>
    <w:basedOn w:val="Hlistbullet"/>
    <w:next w:val="HStandard"/>
    <w:rsid w:val="00735F08"/>
    <w:pPr>
      <w:numPr>
        <w:numId w:val="12"/>
      </w:numPr>
      <w:ind w:left="1134" w:hanging="567"/>
    </w:pPr>
  </w:style>
  <w:style w:type="paragraph" w:customStyle="1" w:styleId="Hlistabc">
    <w:name w:val="H_list_abc"/>
    <w:rsid w:val="00364BFD"/>
    <w:pPr>
      <w:numPr>
        <w:numId w:val="3"/>
      </w:numPr>
      <w:spacing w:before="60" w:after="60" w:line="220" w:lineRule="atLeast"/>
      <w:jc w:val="both"/>
    </w:pPr>
    <w:rPr>
      <w:rFonts w:ascii="Arial" w:hAnsi="Arial"/>
      <w:color w:val="373737" w:themeColor="text1"/>
    </w:rPr>
  </w:style>
  <w:style w:type="paragraph" w:customStyle="1" w:styleId="Hlistabc2">
    <w:name w:val="H_list_abc_2"/>
    <w:basedOn w:val="Hlistabc"/>
    <w:next w:val="HStandard"/>
    <w:rsid w:val="00801FF1"/>
    <w:pPr>
      <w:spacing w:after="140"/>
      <w:ind w:left="1134"/>
    </w:pPr>
  </w:style>
  <w:style w:type="paragraph" w:customStyle="1" w:styleId="HTitle1">
    <w:name w:val="H_Title1"/>
    <w:basedOn w:val="Normal"/>
    <w:rsid w:val="00364BFD"/>
    <w:pPr>
      <w:autoSpaceDE w:val="0"/>
      <w:autoSpaceDN w:val="0"/>
      <w:adjustRightInd w:val="0"/>
      <w:spacing w:before="0" w:after="120" w:line="280" w:lineRule="atLeast"/>
    </w:pPr>
    <w:rPr>
      <w:bCs/>
      <w:smallCaps/>
      <w:color w:val="F07E31" w:themeColor="accent1"/>
      <w:sz w:val="60"/>
      <w:szCs w:val="32"/>
    </w:rPr>
  </w:style>
  <w:style w:type="paragraph" w:customStyle="1" w:styleId="Autor">
    <w:name w:val="Autor"/>
    <w:basedOn w:val="Normal"/>
    <w:rsid w:val="00EE61BF"/>
    <w:pPr>
      <w:spacing w:before="0" w:after="0" w:line="280" w:lineRule="exact"/>
      <w:jc w:val="left"/>
    </w:pPr>
    <w:rPr>
      <w:sz w:val="20"/>
    </w:rPr>
  </w:style>
  <w:style w:type="paragraph" w:customStyle="1" w:styleId="HTitle3">
    <w:name w:val="H_Title3"/>
    <w:basedOn w:val="Autor"/>
    <w:rsid w:val="00364BFD"/>
    <w:rPr>
      <w:smallCaps/>
      <w:color w:val="373737" w:themeColor="text1"/>
      <w:sz w:val="28"/>
    </w:rPr>
  </w:style>
  <w:style w:type="paragraph" w:styleId="TOC1">
    <w:name w:val="toc 1"/>
    <w:next w:val="Normal"/>
    <w:uiPriority w:val="39"/>
    <w:rsid w:val="002807DC"/>
    <w:pPr>
      <w:tabs>
        <w:tab w:val="left" w:pos="454"/>
        <w:tab w:val="right" w:leader="dot" w:pos="9072"/>
      </w:tabs>
      <w:suppressAutoHyphens/>
      <w:spacing w:before="60" w:line="280" w:lineRule="exact"/>
      <w:ind w:left="454" w:hanging="454"/>
    </w:pPr>
    <w:rPr>
      <w:rFonts w:ascii="Arial" w:hAnsi="Arial"/>
      <w:noProof/>
      <w:color w:val="373737" w:themeColor="text1"/>
    </w:rPr>
  </w:style>
  <w:style w:type="paragraph" w:styleId="TOC3">
    <w:name w:val="toc 3"/>
    <w:next w:val="Normal"/>
    <w:uiPriority w:val="39"/>
    <w:rsid w:val="00364BFD"/>
    <w:pPr>
      <w:tabs>
        <w:tab w:val="left" w:pos="1021"/>
        <w:tab w:val="right" w:leader="dot" w:pos="9072"/>
      </w:tabs>
      <w:suppressAutoHyphens/>
      <w:spacing w:before="60" w:line="280" w:lineRule="exact"/>
      <w:ind w:left="1021" w:hanging="567"/>
    </w:pPr>
    <w:rPr>
      <w:rFonts w:ascii="Arial" w:hAnsi="Arial"/>
      <w:color w:val="373737" w:themeColor="text1"/>
      <w:sz w:val="18"/>
    </w:rPr>
  </w:style>
  <w:style w:type="paragraph" w:customStyle="1" w:styleId="Fuzeilequerformat">
    <w:name w:val="Fußzeile_querformat"/>
    <w:basedOn w:val="Footer"/>
    <w:rsid w:val="00EE61BF"/>
    <w:pPr>
      <w:tabs>
        <w:tab w:val="clear" w:pos="8618"/>
        <w:tab w:val="right" w:pos="12871"/>
      </w:tabs>
    </w:pPr>
  </w:style>
  <w:style w:type="paragraph" w:styleId="TableofFigures">
    <w:name w:val="table of figures"/>
    <w:next w:val="HStandard"/>
    <w:uiPriority w:val="99"/>
    <w:rsid w:val="000B6372"/>
    <w:pPr>
      <w:tabs>
        <w:tab w:val="left" w:pos="851"/>
        <w:tab w:val="right" w:leader="dot" w:pos="7711"/>
      </w:tabs>
      <w:suppressAutoHyphens/>
      <w:spacing w:before="60" w:line="280" w:lineRule="exact"/>
      <w:ind w:left="851" w:right="284" w:hanging="851"/>
    </w:pPr>
    <w:rPr>
      <w:rFonts w:ascii="Arial" w:hAnsi="Arial"/>
      <w:color w:val="373737" w:themeColor="text1"/>
    </w:rPr>
  </w:style>
  <w:style w:type="paragraph" w:customStyle="1" w:styleId="Hlistline3">
    <w:name w:val="H_list_line3"/>
    <w:rsid w:val="00BD09F4"/>
    <w:pPr>
      <w:numPr>
        <w:numId w:val="4"/>
      </w:numPr>
      <w:spacing w:before="60" w:after="60" w:line="220" w:lineRule="atLeast"/>
      <w:ind w:left="851" w:hanging="284"/>
    </w:pPr>
    <w:rPr>
      <w:rFonts w:ascii="Arial" w:hAnsi="Arial"/>
      <w:color w:val="373737" w:themeColor="text1"/>
    </w:rPr>
  </w:style>
  <w:style w:type="paragraph" w:customStyle="1" w:styleId="Hlistline4">
    <w:name w:val="H_list_line4"/>
    <w:basedOn w:val="Hlistline3"/>
    <w:next w:val="HStandard"/>
    <w:rsid w:val="00BD09F4"/>
    <w:pPr>
      <w:ind w:left="1135"/>
    </w:pPr>
  </w:style>
  <w:style w:type="paragraph" w:customStyle="1" w:styleId="HSource">
    <w:name w:val="H_Source"/>
    <w:next w:val="HStandard"/>
    <w:rsid w:val="008D52EA"/>
    <w:pPr>
      <w:suppressAutoHyphens/>
      <w:spacing w:before="60" w:after="60"/>
      <w:jc w:val="center"/>
    </w:pPr>
    <w:rPr>
      <w:rFonts w:ascii="Arial" w:hAnsi="Arial"/>
      <w:i/>
      <w:color w:val="373737"/>
      <w:sz w:val="16"/>
    </w:rPr>
  </w:style>
  <w:style w:type="paragraph" w:customStyle="1" w:styleId="Htableleft">
    <w:name w:val="H_table_left"/>
    <w:rsid w:val="00BD09F4"/>
    <w:pPr>
      <w:suppressAutoHyphens/>
      <w:spacing w:before="40" w:after="40"/>
    </w:pPr>
    <w:rPr>
      <w:rFonts w:ascii="Arial" w:hAnsi="Arial"/>
      <w:color w:val="373737" w:themeColor="text1"/>
      <w:sz w:val="18"/>
    </w:rPr>
  </w:style>
  <w:style w:type="paragraph" w:customStyle="1" w:styleId="Htablecentered">
    <w:name w:val="H_table_centered"/>
    <w:basedOn w:val="Htableleft"/>
    <w:rsid w:val="00EE61BF"/>
    <w:pPr>
      <w:jc w:val="center"/>
    </w:pPr>
  </w:style>
  <w:style w:type="paragraph" w:customStyle="1" w:styleId="Htableleftbolt">
    <w:name w:val="H_table_left_bolt"/>
    <w:basedOn w:val="Htableleft"/>
    <w:rsid w:val="00EE61BF"/>
    <w:rPr>
      <w:b/>
      <w:color w:val="FFFFFF" w:themeColor="background1"/>
    </w:rPr>
  </w:style>
  <w:style w:type="paragraph" w:customStyle="1" w:styleId="Htablecenteredbolt">
    <w:name w:val="H_table_centered_bolt"/>
    <w:basedOn w:val="Htablecentered"/>
    <w:rsid w:val="00BD09F4"/>
    <w:rPr>
      <w:b/>
      <w:color w:val="FFFFFF"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0D3DB8"/>
    <w:pPr>
      <w:spacing w:line="180" w:lineRule="exact"/>
      <w:ind w:left="170" w:hanging="170"/>
      <w:jc w:val="both"/>
    </w:pPr>
    <w:rPr>
      <w:rFonts w:ascii="Arial" w:hAnsi="Arial"/>
      <w:color w:val="808080"/>
      <w:sz w:val="16"/>
    </w:rPr>
  </w:style>
  <w:style w:type="paragraph" w:customStyle="1" w:styleId="Htablebullet">
    <w:name w:val="H_table_bullet"/>
    <w:basedOn w:val="Htableleft"/>
    <w:rsid w:val="00BD09F4"/>
    <w:pPr>
      <w:numPr>
        <w:numId w:val="5"/>
      </w:numPr>
      <w:ind w:left="170" w:hanging="170"/>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sid w:val="00364BFD"/>
    <w:rPr>
      <w:rFonts w:ascii="Arial" w:hAnsi="Arial"/>
      <w:i/>
      <w:dstrike w:val="0"/>
      <w:color w:val="373737" w:themeColor="text1"/>
      <w:position w:val="6"/>
      <w:sz w:val="12"/>
      <w:vertAlign w:val="baseline"/>
      <w:lang w:val="cs-CZ"/>
    </w:rPr>
  </w:style>
  <w:style w:type="paragraph" w:customStyle="1" w:styleId="HContent">
    <w:name w:val="H_Content"/>
    <w:basedOn w:val="Heading1"/>
    <w:next w:val="HStandard"/>
    <w:rsid w:val="00364BFD"/>
    <w:pPr>
      <w:pageBreakBefore/>
      <w:framePr w:hSpace="0" w:vSpace="0" w:wrap="auto" w:vAnchor="margin" w:hAnchor="text" w:yAlign="inline"/>
      <w:numPr>
        <w:numId w:val="0"/>
      </w:numPr>
      <w:pBdr>
        <w:left w:val="none" w:sz="0" w:space="0" w:color="auto"/>
      </w:pBdr>
      <w:spacing w:before="360" w:after="360" w:line="280" w:lineRule="atLeast"/>
    </w:pPr>
    <w:rPr>
      <w:caps/>
      <w:color w:val="F07E31" w:themeColor="accent1"/>
      <w:sz w:val="20"/>
    </w:rPr>
  </w:style>
  <w:style w:type="paragraph" w:customStyle="1" w:styleId="HHeading1">
    <w:name w:val="H_Heading 1"/>
    <w:next w:val="HStandard"/>
    <w:rsid w:val="008D52EA"/>
    <w:pPr>
      <w:keepNext/>
      <w:keepLines/>
      <w:pageBreakBefore/>
      <w:numPr>
        <w:numId w:val="6"/>
      </w:numPr>
      <w:tabs>
        <w:tab w:val="left" w:pos="567"/>
      </w:tabs>
      <w:spacing w:before="360" w:after="360" w:line="280" w:lineRule="atLeast"/>
      <w:ind w:left="567" w:hanging="567"/>
      <w:outlineLvl w:val="0"/>
    </w:pPr>
    <w:rPr>
      <w:rFonts w:ascii="Arial" w:hAnsi="Arial"/>
      <w:b/>
      <w:caps/>
      <w:color w:val="F07E31" w:themeColor="accent1"/>
    </w:rPr>
  </w:style>
  <w:style w:type="paragraph" w:customStyle="1" w:styleId="HHeading2">
    <w:name w:val="H_Heading 2"/>
    <w:next w:val="HStandard"/>
    <w:rsid w:val="007B4B9E"/>
    <w:pPr>
      <w:keepNext/>
      <w:keepLines/>
      <w:numPr>
        <w:ilvl w:val="1"/>
        <w:numId w:val="6"/>
      </w:numPr>
      <w:tabs>
        <w:tab w:val="left" w:pos="567"/>
      </w:tabs>
      <w:spacing w:before="240" w:after="140" w:line="260" w:lineRule="exact"/>
      <w:ind w:left="567" w:hanging="567"/>
      <w:outlineLvl w:val="1"/>
    </w:pPr>
    <w:rPr>
      <w:rFonts w:ascii="Arial" w:hAnsi="Arial"/>
      <w:b/>
      <w:color w:val="373737" w:themeColor="text1"/>
    </w:rPr>
  </w:style>
  <w:style w:type="paragraph" w:customStyle="1" w:styleId="HHeading3">
    <w:name w:val="H_Heading 3"/>
    <w:next w:val="HStandard"/>
    <w:rsid w:val="00B63445"/>
    <w:pPr>
      <w:keepNext/>
      <w:keepLines/>
      <w:numPr>
        <w:ilvl w:val="2"/>
        <w:numId w:val="6"/>
      </w:numPr>
      <w:tabs>
        <w:tab w:val="clear" w:pos="1146"/>
        <w:tab w:val="num" w:pos="709"/>
      </w:tabs>
      <w:spacing w:before="240" w:after="140" w:line="240" w:lineRule="exact"/>
      <w:ind w:left="709" w:hanging="709"/>
      <w:outlineLvl w:val="2"/>
    </w:pPr>
    <w:rPr>
      <w:rFonts w:ascii="Arial" w:hAnsi="Arial"/>
      <w:color w:val="F07E31" w:themeColor="accent1"/>
    </w:rPr>
  </w:style>
  <w:style w:type="paragraph" w:customStyle="1" w:styleId="HHeading4">
    <w:name w:val="H_Heading 4"/>
    <w:next w:val="HStandard"/>
    <w:rsid w:val="00364BFD"/>
    <w:pPr>
      <w:keepNext/>
      <w:keepLines/>
      <w:tabs>
        <w:tab w:val="left" w:pos="680"/>
      </w:tabs>
      <w:spacing w:before="240" w:after="240" w:line="280" w:lineRule="atLeast"/>
      <w:outlineLvl w:val="3"/>
    </w:pPr>
    <w:rPr>
      <w:rFonts w:ascii="Arial" w:hAnsi="Arial"/>
      <w:b/>
      <w:color w:val="57825E" w:themeColor="accent4"/>
    </w:rPr>
  </w:style>
  <w:style w:type="character" w:styleId="Hyperlink">
    <w:name w:val="Hyperlink"/>
    <w:basedOn w:val="DefaultParagraphFont"/>
    <w:uiPriority w:val="99"/>
    <w:rsid w:val="00BD09F4"/>
    <w:rPr>
      <w:rFonts w:ascii="Arial" w:hAnsi="Arial"/>
      <w:color w:val="F07E31"/>
      <w:sz w:val="20"/>
      <w:u w:val="single"/>
      <w:lang w:val="cs-CZ"/>
    </w:rPr>
  </w:style>
  <w:style w:type="paragraph" w:customStyle="1" w:styleId="HStandard">
    <w:name w:val="H_Standard"/>
    <w:link w:val="HStandardCar"/>
    <w:rsid w:val="00364BFD"/>
    <w:pPr>
      <w:spacing w:after="120" w:line="280" w:lineRule="atLeast"/>
      <w:jc w:val="both"/>
    </w:pPr>
    <w:rPr>
      <w:rFonts w:ascii="Arial" w:hAnsi="Arial"/>
      <w:color w:val="373737" w:themeColor="text1"/>
    </w:rPr>
  </w:style>
  <w:style w:type="paragraph" w:styleId="DocumentMap">
    <w:name w:val="Document Map"/>
    <w:basedOn w:val="Normal"/>
    <w:semiHidden/>
    <w:rsid w:val="00E465E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641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10C"/>
    <w:rPr>
      <w:rFonts w:ascii="Tahoma" w:hAnsi="Tahoma" w:cs="Tahoma"/>
      <w:sz w:val="16"/>
      <w:szCs w:val="16"/>
      <w:lang w:val="cs-CZ"/>
    </w:rPr>
  </w:style>
  <w:style w:type="table" w:styleId="TableGrid">
    <w:name w:val="Table Grid"/>
    <w:basedOn w:val="TableNormal"/>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BD09F4"/>
    <w:pPr>
      <w:numPr>
        <w:numId w:val="7"/>
      </w:numPr>
      <w:spacing w:before="200" w:after="140"/>
    </w:pPr>
    <w:rPr>
      <w:rFonts w:ascii="Arial" w:hAnsi="Arial"/>
      <w:b/>
      <w:color w:val="373737" w:themeColor="text1"/>
      <w:sz w:val="16"/>
    </w:rPr>
  </w:style>
  <w:style w:type="paragraph" w:customStyle="1" w:styleId="HHeadingfigures">
    <w:name w:val="H_Heading_figures"/>
    <w:basedOn w:val="HHeadingtables"/>
    <w:next w:val="HStandard"/>
    <w:qFormat/>
    <w:rsid w:val="00E52947"/>
    <w:pPr>
      <w:keepNext/>
      <w:keepLines/>
      <w:numPr>
        <w:numId w:val="22"/>
      </w:numPr>
      <w:spacing w:before="240"/>
    </w:pPr>
  </w:style>
  <w:style w:type="paragraph" w:customStyle="1" w:styleId="HHeadingmaps">
    <w:name w:val="H_Heading_maps"/>
    <w:basedOn w:val="HHeadingtables"/>
    <w:next w:val="HStandard"/>
    <w:qFormat/>
    <w:rsid w:val="005B4B85"/>
    <w:pPr>
      <w:keepNext/>
      <w:keepLines/>
      <w:numPr>
        <w:numId w:val="9"/>
      </w:numPr>
      <w:outlineLvl w:val="5"/>
    </w:pPr>
  </w:style>
  <w:style w:type="paragraph" w:customStyle="1" w:styleId="HHeadingboxes">
    <w:name w:val="H_Heading_boxes"/>
    <w:basedOn w:val="HHeadingtables"/>
    <w:next w:val="HStandard"/>
    <w:qFormat/>
    <w:rsid w:val="00BD09F4"/>
    <w:pPr>
      <w:numPr>
        <w:numId w:val="10"/>
      </w:numPr>
      <w:ind w:left="851" w:hanging="851"/>
    </w:pPr>
  </w:style>
  <w:style w:type="paragraph" w:customStyle="1" w:styleId="HBox">
    <w:name w:val="H_Box"/>
    <w:next w:val="HStandard"/>
    <w:qFormat/>
    <w:rsid w:val="00BD09F4"/>
    <w:pPr>
      <w:pBdr>
        <w:top w:val="single" w:sz="4" w:space="4" w:color="F07E31"/>
        <w:left w:val="single" w:sz="4" w:space="4" w:color="F07E31"/>
        <w:bottom w:val="single" w:sz="4" w:space="4" w:color="F07E31"/>
        <w:right w:val="single" w:sz="4" w:space="4" w:color="F07E31"/>
      </w:pBdr>
      <w:shd w:val="clear" w:color="auto" w:fill="FCE5D5"/>
      <w:jc w:val="both"/>
    </w:pPr>
    <w:rPr>
      <w:rFonts w:ascii="Arial" w:hAnsi="Arial"/>
      <w:color w:val="373737" w:themeColor="text1"/>
    </w:rPr>
  </w:style>
  <w:style w:type="paragraph" w:customStyle="1" w:styleId="HBoxbullet">
    <w:name w:val="H_Box_bullet"/>
    <w:next w:val="HStandard"/>
    <w:qFormat/>
    <w:rsid w:val="00BD09F4"/>
    <w:pPr>
      <w:numPr>
        <w:numId w:val="11"/>
      </w:numPr>
      <w:pBdr>
        <w:top w:val="single" w:sz="4" w:space="4" w:color="F07E31"/>
        <w:left w:val="single" w:sz="4" w:space="8" w:color="F07E31"/>
        <w:bottom w:val="single" w:sz="4" w:space="4" w:color="F07E31"/>
        <w:right w:val="single" w:sz="4" w:space="4" w:color="F07E31"/>
      </w:pBdr>
      <w:shd w:val="clear" w:color="auto" w:fill="FCE5D5" w:themeFill="accent1" w:themeFillTint="33"/>
      <w:ind w:left="363" w:hanging="284"/>
      <w:jc w:val="both"/>
    </w:pPr>
    <w:rPr>
      <w:rFonts w:ascii="Arial" w:hAnsi="Arial"/>
      <w:color w:val="373737" w:themeColor="text1"/>
    </w:rPr>
  </w:style>
  <w:style w:type="paragraph" w:customStyle="1" w:styleId="Hdisclaimer">
    <w:name w:val="H_disclaimer"/>
    <w:qFormat/>
    <w:rsid w:val="00364BFD"/>
    <w:pPr>
      <w:spacing w:after="120" w:line="280" w:lineRule="atLeast"/>
      <w:jc w:val="both"/>
    </w:pPr>
    <w:rPr>
      <w:rFonts w:ascii="Arial" w:hAnsi="Arial" w:cs="Arial"/>
      <w:color w:val="373737" w:themeColor="text1"/>
      <w:sz w:val="18"/>
      <w:szCs w:val="18"/>
    </w:rPr>
  </w:style>
  <w:style w:type="paragraph" w:styleId="EndnoteText">
    <w:name w:val="endnote text"/>
    <w:basedOn w:val="Normal"/>
    <w:link w:val="EndnoteTextChar"/>
    <w:uiPriority w:val="99"/>
    <w:semiHidden/>
    <w:unhideWhenUsed/>
    <w:rsid w:val="00F1521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15219"/>
    <w:rPr>
      <w:rFonts w:ascii="Arial" w:hAnsi="Arial"/>
      <w:lang w:val="cs-CZ"/>
    </w:rPr>
  </w:style>
  <w:style w:type="character" w:styleId="EndnoteReference">
    <w:name w:val="endnote reference"/>
    <w:basedOn w:val="DefaultParagraphFont"/>
    <w:uiPriority w:val="99"/>
    <w:semiHidden/>
    <w:unhideWhenUsed/>
    <w:rsid w:val="00F15219"/>
    <w:rPr>
      <w:vertAlign w:val="superscript"/>
    </w:rPr>
  </w:style>
  <w:style w:type="character" w:styleId="CommentReference">
    <w:name w:val="annotation reference"/>
    <w:basedOn w:val="DefaultParagraphFont"/>
    <w:uiPriority w:val="99"/>
    <w:semiHidden/>
    <w:unhideWhenUsed/>
    <w:rsid w:val="006C1066"/>
    <w:rPr>
      <w:sz w:val="16"/>
      <w:szCs w:val="16"/>
    </w:rPr>
  </w:style>
  <w:style w:type="paragraph" w:styleId="CommentText">
    <w:name w:val="annotation text"/>
    <w:basedOn w:val="Normal"/>
    <w:link w:val="CommentTextChar"/>
    <w:uiPriority w:val="99"/>
    <w:unhideWhenUsed/>
    <w:rsid w:val="006C1066"/>
    <w:pPr>
      <w:spacing w:line="240" w:lineRule="auto"/>
    </w:pPr>
    <w:rPr>
      <w:sz w:val="20"/>
      <w:szCs w:val="20"/>
    </w:rPr>
  </w:style>
  <w:style w:type="character" w:customStyle="1" w:styleId="CommentTextChar">
    <w:name w:val="Comment Text Char"/>
    <w:basedOn w:val="DefaultParagraphFont"/>
    <w:link w:val="CommentText"/>
    <w:uiPriority w:val="99"/>
    <w:rsid w:val="006C1066"/>
    <w:rPr>
      <w:rFonts w:ascii="Arial" w:hAnsi="Arial"/>
      <w:lang w:val="cs-CZ"/>
    </w:rPr>
  </w:style>
  <w:style w:type="paragraph" w:styleId="CommentSubject">
    <w:name w:val="annotation subject"/>
    <w:basedOn w:val="CommentText"/>
    <w:next w:val="CommentText"/>
    <w:link w:val="CommentSubjectChar"/>
    <w:uiPriority w:val="99"/>
    <w:semiHidden/>
    <w:unhideWhenUsed/>
    <w:rsid w:val="006C1066"/>
    <w:rPr>
      <w:b/>
      <w:bCs/>
    </w:rPr>
  </w:style>
  <w:style w:type="character" w:customStyle="1" w:styleId="CommentSubjectChar">
    <w:name w:val="Comment Subject Char"/>
    <w:basedOn w:val="CommentTextChar"/>
    <w:link w:val="CommentSubject"/>
    <w:uiPriority w:val="99"/>
    <w:semiHidden/>
    <w:rsid w:val="006C1066"/>
    <w:rPr>
      <w:rFonts w:ascii="Arial" w:hAnsi="Arial"/>
      <w:b/>
      <w:bCs/>
      <w:lang w:val="cs-CZ"/>
    </w:rPr>
  </w:style>
  <w:style w:type="paragraph" w:styleId="ListParagraph">
    <w:name w:val="List Paragraph"/>
    <w:basedOn w:val="Normal"/>
    <w:uiPriority w:val="34"/>
    <w:qFormat/>
    <w:rsid w:val="00CD63F6"/>
    <w:pPr>
      <w:spacing w:before="0" w:after="160" w:line="259" w:lineRule="auto"/>
      <w:ind w:left="720"/>
      <w:contextualSpacing/>
      <w:jc w:val="left"/>
    </w:pPr>
    <w:rPr>
      <w:rFonts w:asciiTheme="minorHAnsi" w:eastAsiaTheme="minorHAnsi" w:hAnsiTheme="minorHAnsi" w:cstheme="minorBidi"/>
      <w:sz w:val="22"/>
      <w:szCs w:val="22"/>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0D3DB8"/>
    <w:rPr>
      <w:rFonts w:ascii="Arial" w:hAnsi="Arial"/>
      <w:color w:val="808080"/>
      <w:sz w:val="16"/>
      <w:lang w:val="cs-CZ"/>
    </w:rPr>
  </w:style>
  <w:style w:type="paragraph" w:styleId="Title">
    <w:name w:val="Title"/>
    <w:basedOn w:val="Normal"/>
    <w:next w:val="Normal"/>
    <w:link w:val="TitleChar"/>
    <w:uiPriority w:val="10"/>
    <w:qFormat/>
    <w:rsid w:val="00CD63F6"/>
    <w:pPr>
      <w:spacing w:before="0"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63F6"/>
    <w:rPr>
      <w:rFonts w:asciiTheme="majorHAnsi" w:eastAsiaTheme="majorEastAsia" w:hAnsiTheme="majorHAnsi" w:cstheme="majorBidi"/>
      <w:spacing w:val="-10"/>
      <w:kern w:val="28"/>
      <w:sz w:val="56"/>
      <w:szCs w:val="56"/>
      <w:lang w:val="cs-CZ" w:eastAsia="cs-CZ"/>
    </w:rPr>
  </w:style>
  <w:style w:type="paragraph" w:customStyle="1" w:styleId="CM1">
    <w:name w:val="CM1"/>
    <w:basedOn w:val="Normal"/>
    <w:next w:val="Normal"/>
    <w:uiPriority w:val="99"/>
    <w:rsid w:val="001C2076"/>
    <w:pPr>
      <w:autoSpaceDE w:val="0"/>
      <w:autoSpaceDN w:val="0"/>
      <w:adjustRightInd w:val="0"/>
      <w:spacing w:before="0" w:after="0" w:line="240" w:lineRule="auto"/>
      <w:jc w:val="left"/>
    </w:pPr>
    <w:rPr>
      <w:rFonts w:ascii="EUAlbertina" w:eastAsiaTheme="minorHAnsi" w:hAnsi="EUAlbertina" w:cstheme="minorBidi"/>
      <w:sz w:val="24"/>
    </w:rPr>
  </w:style>
  <w:style w:type="paragraph" w:styleId="Caption">
    <w:name w:val="caption"/>
    <w:basedOn w:val="Normal"/>
    <w:next w:val="Normal"/>
    <w:uiPriority w:val="35"/>
    <w:unhideWhenUsed/>
    <w:qFormat/>
    <w:rsid w:val="001C2076"/>
    <w:pPr>
      <w:spacing w:before="0" w:after="200" w:line="240" w:lineRule="auto"/>
      <w:jc w:val="left"/>
    </w:pPr>
    <w:rPr>
      <w:rFonts w:asciiTheme="minorHAnsi" w:eastAsiaTheme="minorHAnsi" w:hAnsiTheme="minorHAnsi" w:cstheme="minorBidi"/>
      <w:i/>
      <w:iCs/>
      <w:color w:val="373737" w:themeColor="text2"/>
      <w:szCs w:val="18"/>
    </w:rPr>
  </w:style>
  <w:style w:type="table" w:customStyle="1" w:styleId="Tabukasmriekou5tmavzvraznenie61">
    <w:name w:val="Tabuľka s mriežkou 5 – tmavá – zvýraznenie 61"/>
    <w:basedOn w:val="TableNormal"/>
    <w:uiPriority w:val="50"/>
    <w:rsid w:val="00932C3E"/>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E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BAB8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BAB8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BAB8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BAB80" w:themeFill="accent6"/>
      </w:tcPr>
    </w:tblStylePr>
    <w:tblStylePr w:type="band1Vert">
      <w:tblPr/>
      <w:tcPr>
        <w:shd w:val="clear" w:color="auto" w:fill="D0DDCC" w:themeFill="accent6" w:themeFillTint="66"/>
      </w:tcPr>
    </w:tblStylePr>
    <w:tblStylePr w:type="band1Horz">
      <w:tblPr/>
      <w:tcPr>
        <w:shd w:val="clear" w:color="auto" w:fill="D0DDCC" w:themeFill="accent6" w:themeFillTint="66"/>
      </w:tcPr>
    </w:tblStylePr>
  </w:style>
  <w:style w:type="character" w:customStyle="1" w:styleId="FooterChar">
    <w:name w:val="Footer Char"/>
    <w:basedOn w:val="DefaultParagraphFont"/>
    <w:link w:val="Footer"/>
    <w:uiPriority w:val="99"/>
    <w:rsid w:val="00D52AFB"/>
    <w:rPr>
      <w:rFonts w:ascii="Arial" w:hAnsi="Arial"/>
      <w:color w:val="373737"/>
      <w:sz w:val="22"/>
      <w:lang w:val="cs-CZ"/>
    </w:rPr>
  </w:style>
  <w:style w:type="paragraph" w:styleId="Revision">
    <w:name w:val="Revision"/>
    <w:hidden/>
    <w:uiPriority w:val="99"/>
    <w:semiHidden/>
    <w:rsid w:val="003B25C7"/>
    <w:rPr>
      <w:rFonts w:ascii="Arial" w:hAnsi="Arial"/>
      <w:sz w:val="18"/>
      <w:szCs w:val="24"/>
    </w:rPr>
  </w:style>
  <w:style w:type="paragraph" w:customStyle="1" w:styleId="Pavpage3">
    <w:name w:val="Pavé page 3"/>
    <w:basedOn w:val="Normal"/>
    <w:qFormat/>
    <w:rsid w:val="003C228A"/>
    <w:pPr>
      <w:spacing w:before="0" w:after="120" w:line="280" w:lineRule="atLeast"/>
      <w:jc w:val="left"/>
    </w:pPr>
    <w:rPr>
      <w:rFonts w:ascii="Helvetica" w:hAnsi="Helvetica" w:cs="Arial"/>
      <w:smallCaps/>
      <w:color w:val="DF6532"/>
      <w:sz w:val="44"/>
      <w:szCs w:val="44"/>
    </w:rPr>
  </w:style>
  <w:style w:type="character" w:styleId="FollowedHyperlink">
    <w:name w:val="FollowedHyperlink"/>
    <w:basedOn w:val="DefaultParagraphFont"/>
    <w:uiPriority w:val="99"/>
    <w:semiHidden/>
    <w:unhideWhenUsed/>
    <w:rsid w:val="00810ED5"/>
    <w:rPr>
      <w:color w:val="F07E31" w:themeColor="followedHyperlink"/>
      <w:u w:val="single"/>
    </w:rPr>
  </w:style>
  <w:style w:type="character" w:customStyle="1" w:styleId="shorttext">
    <w:name w:val="short_text"/>
    <w:basedOn w:val="DefaultParagraphFont"/>
    <w:rsid w:val="00190D63"/>
  </w:style>
  <w:style w:type="character" w:styleId="Emphasis">
    <w:name w:val="Emphasis"/>
    <w:basedOn w:val="DefaultParagraphFont"/>
    <w:uiPriority w:val="20"/>
    <w:qFormat/>
    <w:rsid w:val="00744BAA"/>
    <w:rPr>
      <w:i/>
      <w:iCs/>
    </w:rPr>
  </w:style>
  <w:style w:type="paragraph" w:styleId="HTMLPreformatted">
    <w:name w:val="HTML Preformatted"/>
    <w:basedOn w:val="Normal"/>
    <w:link w:val="HTMLPreformattedChar"/>
    <w:uiPriority w:val="99"/>
    <w:semiHidden/>
    <w:unhideWhenUsed/>
    <w:rsid w:val="00C36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36C67"/>
    <w:rPr>
      <w:rFonts w:ascii="Courier New" w:hAnsi="Courier New" w:cs="Courier New"/>
      <w:lang w:val="cs-CZ" w:eastAsia="cs-CZ"/>
    </w:rPr>
  </w:style>
  <w:style w:type="character" w:customStyle="1" w:styleId="NichtaufgelsteErwhnung1">
    <w:name w:val="Nicht aufgelöste Erwähnung1"/>
    <w:basedOn w:val="DefaultParagraphFont"/>
    <w:uiPriority w:val="99"/>
    <w:semiHidden/>
    <w:unhideWhenUsed/>
    <w:rsid w:val="005B75BD"/>
    <w:rPr>
      <w:color w:val="808080"/>
      <w:shd w:val="clear" w:color="auto" w:fill="E6E6E6"/>
    </w:rPr>
  </w:style>
  <w:style w:type="character" w:customStyle="1" w:styleId="UnresolvedMention1">
    <w:name w:val="Unresolved Mention1"/>
    <w:basedOn w:val="DefaultParagraphFont"/>
    <w:uiPriority w:val="99"/>
    <w:semiHidden/>
    <w:unhideWhenUsed/>
    <w:rsid w:val="001D32F7"/>
    <w:rPr>
      <w:color w:val="808080"/>
      <w:shd w:val="clear" w:color="auto" w:fill="E6E6E6"/>
    </w:rPr>
  </w:style>
  <w:style w:type="paragraph" w:customStyle="1" w:styleId="Normal12PTcouleurgris">
    <w:name w:val="Normal + 12PT couleur gris"/>
    <w:basedOn w:val="Normal"/>
    <w:qFormat/>
    <w:rsid w:val="00041A27"/>
    <w:pPr>
      <w:spacing w:before="0" w:after="0" w:line="259" w:lineRule="auto"/>
    </w:pPr>
    <w:rPr>
      <w:rFonts w:eastAsiaTheme="minorHAnsi" w:cs="Arial"/>
      <w:color w:val="6F6F6F"/>
      <w:sz w:val="24"/>
      <w:szCs w:val="18"/>
    </w:rPr>
  </w:style>
  <w:style w:type="table" w:customStyle="1" w:styleId="11">
    <w:name w:val="Πίνακας 1 με ανοιχτόχρωμο πλέγμα1"/>
    <w:basedOn w:val="TableNormal"/>
    <w:uiPriority w:val="46"/>
    <w:rsid w:val="00C1242D"/>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numbering" w:customStyle="1" w:styleId="1">
    <w:name w:val="Στυλ1"/>
    <w:uiPriority w:val="99"/>
    <w:rsid w:val="00801FF1"/>
    <w:pPr>
      <w:numPr>
        <w:numId w:val="15"/>
      </w:numPr>
    </w:pPr>
  </w:style>
  <w:style w:type="table" w:customStyle="1" w:styleId="Tabukasmriekou1svetl1">
    <w:name w:val="Tabuľka s mriežkou 1 – svetlá1"/>
    <w:basedOn w:val="TableNormal"/>
    <w:uiPriority w:val="46"/>
    <w:rsid w:val="00B25279"/>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paragraph" w:customStyle="1" w:styleId="H-Titre2">
    <w:name w:val="H-Titre 2"/>
    <w:basedOn w:val="Normal"/>
    <w:qFormat/>
    <w:rsid w:val="0004609A"/>
    <w:pPr>
      <w:spacing w:before="0" w:after="120" w:line="280" w:lineRule="atLeast"/>
      <w:jc w:val="left"/>
    </w:pPr>
    <w:rPr>
      <w:rFonts w:cs="Arial"/>
      <w:b/>
      <w:bCs/>
      <w:color w:val="FFFFFF" w:themeColor="background2"/>
      <w:szCs w:val="44"/>
    </w:rPr>
  </w:style>
  <w:style w:type="paragraph" w:customStyle="1" w:styleId="H-Titre1">
    <w:name w:val="H-Titre 1"/>
    <w:basedOn w:val="Normal"/>
    <w:qFormat/>
    <w:rsid w:val="00BC03B8"/>
    <w:pPr>
      <w:spacing w:before="0" w:after="120" w:line="280" w:lineRule="atLeast"/>
      <w:jc w:val="left"/>
    </w:pPr>
    <w:rPr>
      <w:rFonts w:cs="Arial"/>
      <w:b/>
      <w:color w:val="373737" w:themeColor="text1"/>
      <w:szCs w:val="60"/>
    </w:rPr>
  </w:style>
  <w:style w:type="paragraph" w:styleId="NormalWeb">
    <w:name w:val="Normal (Web)"/>
    <w:basedOn w:val="Normal"/>
    <w:uiPriority w:val="99"/>
    <w:unhideWhenUsed/>
    <w:rsid w:val="00BB68D4"/>
    <w:pPr>
      <w:spacing w:before="100" w:beforeAutospacing="1" w:after="100" w:afterAutospacing="1" w:line="240" w:lineRule="auto"/>
      <w:jc w:val="left"/>
    </w:pPr>
    <w:rPr>
      <w:rFonts w:ascii="Times New Roman" w:eastAsiaTheme="minorHAnsi" w:hAnsi="Times New Roman"/>
      <w:sz w:val="24"/>
    </w:rPr>
  </w:style>
  <w:style w:type="paragraph" w:styleId="Subtitle">
    <w:name w:val="Subtitle"/>
    <w:basedOn w:val="Normal"/>
    <w:link w:val="SubtitleChar"/>
    <w:uiPriority w:val="11"/>
    <w:qFormat/>
    <w:rsid w:val="00C008A4"/>
    <w:pPr>
      <w:numPr>
        <w:numId w:val="19"/>
      </w:numPr>
      <w:spacing w:before="120" w:after="120" w:line="280" w:lineRule="atLeast"/>
      <w:outlineLvl w:val="1"/>
    </w:pPr>
    <w:rPr>
      <w:b/>
      <w:sz w:val="16"/>
      <w:szCs w:val="16"/>
    </w:rPr>
  </w:style>
  <w:style w:type="character" w:customStyle="1" w:styleId="SubtitleChar">
    <w:name w:val="Subtitle Char"/>
    <w:basedOn w:val="DefaultParagraphFont"/>
    <w:link w:val="Subtitle"/>
    <w:uiPriority w:val="11"/>
    <w:rsid w:val="00C008A4"/>
    <w:rPr>
      <w:rFonts w:ascii="Arial" w:hAnsi="Arial"/>
      <w:b/>
      <w:sz w:val="16"/>
      <w:szCs w:val="16"/>
      <w:lang w:val="cs-CZ"/>
    </w:rPr>
  </w:style>
  <w:style w:type="character" w:customStyle="1" w:styleId="Heading4Char2Char1">
    <w:name w:val="Heading 4 Char2 Char1"/>
    <w:basedOn w:val="DefaultParagraphFont"/>
    <w:uiPriority w:val="99"/>
    <w:rsid w:val="00123367"/>
    <w:rPr>
      <w:rFonts w:ascii="Arial" w:hAnsi="Arial"/>
      <w:i/>
      <w:dstrike w:val="0"/>
      <w:color w:val="373737"/>
      <w:position w:val="6"/>
      <w:sz w:val="12"/>
      <w:vertAlign w:val="baseline"/>
      <w:lang w:val="cs-CZ"/>
    </w:rPr>
  </w:style>
  <w:style w:type="character" w:styleId="Strong">
    <w:name w:val="Strong"/>
    <w:basedOn w:val="DefaultParagraphFont"/>
    <w:uiPriority w:val="22"/>
    <w:qFormat/>
    <w:rsid w:val="00753F39"/>
    <w:rPr>
      <w:b/>
      <w:bCs/>
    </w:rPr>
  </w:style>
  <w:style w:type="table" w:customStyle="1" w:styleId="Mriekatabuky1">
    <w:name w:val="Mriežka tabuľky1"/>
    <w:basedOn w:val="TableNormal"/>
    <w:next w:val="TableGrid"/>
    <w:uiPriority w:val="39"/>
    <w:rsid w:val="00D12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TableNormal"/>
    <w:next w:val="TableGrid"/>
    <w:uiPriority w:val="39"/>
    <w:rsid w:val="009B2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TableNormal"/>
    <w:next w:val="TableGrid"/>
    <w:uiPriority w:val="39"/>
    <w:rsid w:val="00676E1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TableNormal"/>
    <w:next w:val="TableGrid"/>
    <w:uiPriority w:val="39"/>
    <w:rsid w:val="00546E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DefaultParagraphFont"/>
    <w:uiPriority w:val="99"/>
    <w:semiHidden/>
    <w:unhideWhenUsed/>
    <w:rsid w:val="00E828C2"/>
    <w:rPr>
      <w:color w:val="808080"/>
      <w:shd w:val="clear" w:color="auto" w:fill="E6E6E6"/>
    </w:rPr>
  </w:style>
  <w:style w:type="table" w:customStyle="1" w:styleId="Tabukasmriekou5tmavzvraznenie11">
    <w:name w:val="Tabuľka s mriežkou 5 – tmavá – zvýraznenie 11"/>
    <w:basedOn w:val="TableNormal"/>
    <w:uiPriority w:val="50"/>
    <w:rsid w:val="0036599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5D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E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E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E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E31" w:themeFill="accent1"/>
      </w:tcPr>
    </w:tblStylePr>
    <w:tblStylePr w:type="band1Vert">
      <w:tblPr/>
      <w:tcPr>
        <w:shd w:val="clear" w:color="auto" w:fill="F9CBAC" w:themeFill="accent1" w:themeFillTint="66"/>
      </w:tcPr>
    </w:tblStylePr>
    <w:tblStylePr w:type="band1Horz">
      <w:tblPr/>
      <w:tcPr>
        <w:shd w:val="clear" w:color="auto" w:fill="F9CBAC" w:themeFill="accent1" w:themeFillTint="66"/>
      </w:tcPr>
    </w:tblStylePr>
  </w:style>
  <w:style w:type="character" w:styleId="PlaceholderText">
    <w:name w:val="Placeholder Text"/>
    <w:basedOn w:val="DefaultParagraphFont"/>
    <w:uiPriority w:val="99"/>
    <w:semiHidden/>
    <w:rsid w:val="00C2385E"/>
    <w:rPr>
      <w:color w:val="808080"/>
    </w:rPr>
  </w:style>
  <w:style w:type="character" w:customStyle="1" w:styleId="NichtaufgelsteErwhnung3">
    <w:name w:val="Nicht aufgelöste Erwähnung3"/>
    <w:basedOn w:val="DefaultParagraphFont"/>
    <w:uiPriority w:val="99"/>
    <w:semiHidden/>
    <w:unhideWhenUsed/>
    <w:rsid w:val="00F83CA0"/>
    <w:rPr>
      <w:color w:val="808080"/>
      <w:shd w:val="clear" w:color="auto" w:fill="E6E6E6"/>
    </w:rPr>
  </w:style>
  <w:style w:type="character" w:customStyle="1" w:styleId="NichtaufgelsteErwhnung4">
    <w:name w:val="Nicht aufgelöste Erwähnung4"/>
    <w:basedOn w:val="DefaultParagraphFont"/>
    <w:uiPriority w:val="99"/>
    <w:semiHidden/>
    <w:unhideWhenUsed/>
    <w:rsid w:val="00CD220A"/>
    <w:rPr>
      <w:color w:val="808080"/>
      <w:shd w:val="clear" w:color="auto" w:fill="E6E6E6"/>
    </w:rPr>
  </w:style>
  <w:style w:type="character" w:customStyle="1" w:styleId="HStandardCar">
    <w:name w:val="H_Standard Car"/>
    <w:basedOn w:val="DefaultParagraphFont"/>
    <w:link w:val="HStandard"/>
    <w:rsid w:val="00BB6B80"/>
    <w:rPr>
      <w:rFonts w:ascii="Arial" w:hAnsi="Arial"/>
      <w:color w:val="373737" w:themeColor="text1"/>
      <w:lang w:val="cs-CZ"/>
    </w:rPr>
  </w:style>
  <w:style w:type="character" w:customStyle="1" w:styleId="UnresolvedMention2">
    <w:name w:val="Unresolved Mention2"/>
    <w:basedOn w:val="DefaultParagraphFont"/>
    <w:uiPriority w:val="99"/>
    <w:semiHidden/>
    <w:unhideWhenUsed/>
    <w:rsid w:val="00B508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125483">
      <w:bodyDiv w:val="1"/>
      <w:marLeft w:val="0"/>
      <w:marRight w:val="0"/>
      <w:marTop w:val="0"/>
      <w:marBottom w:val="0"/>
      <w:divBdr>
        <w:top w:val="none" w:sz="0" w:space="0" w:color="auto"/>
        <w:left w:val="none" w:sz="0" w:space="0" w:color="auto"/>
        <w:bottom w:val="none" w:sz="0" w:space="0" w:color="auto"/>
        <w:right w:val="none" w:sz="0" w:space="0" w:color="auto"/>
      </w:divBdr>
    </w:div>
    <w:div w:id="293565826">
      <w:bodyDiv w:val="1"/>
      <w:marLeft w:val="0"/>
      <w:marRight w:val="0"/>
      <w:marTop w:val="0"/>
      <w:marBottom w:val="0"/>
      <w:divBdr>
        <w:top w:val="none" w:sz="0" w:space="0" w:color="auto"/>
        <w:left w:val="none" w:sz="0" w:space="0" w:color="auto"/>
        <w:bottom w:val="none" w:sz="0" w:space="0" w:color="auto"/>
        <w:right w:val="none" w:sz="0" w:space="0" w:color="auto"/>
      </w:divBdr>
    </w:div>
    <w:div w:id="419108821">
      <w:bodyDiv w:val="1"/>
      <w:marLeft w:val="0"/>
      <w:marRight w:val="0"/>
      <w:marTop w:val="0"/>
      <w:marBottom w:val="0"/>
      <w:divBdr>
        <w:top w:val="none" w:sz="0" w:space="0" w:color="auto"/>
        <w:left w:val="none" w:sz="0" w:space="0" w:color="auto"/>
        <w:bottom w:val="none" w:sz="0" w:space="0" w:color="auto"/>
        <w:right w:val="none" w:sz="0" w:space="0" w:color="auto"/>
      </w:divBdr>
    </w:div>
    <w:div w:id="561716645">
      <w:bodyDiv w:val="1"/>
      <w:marLeft w:val="0"/>
      <w:marRight w:val="0"/>
      <w:marTop w:val="0"/>
      <w:marBottom w:val="0"/>
      <w:divBdr>
        <w:top w:val="none" w:sz="0" w:space="0" w:color="auto"/>
        <w:left w:val="none" w:sz="0" w:space="0" w:color="auto"/>
        <w:bottom w:val="none" w:sz="0" w:space="0" w:color="auto"/>
        <w:right w:val="none" w:sz="0" w:space="0" w:color="auto"/>
      </w:divBdr>
    </w:div>
    <w:div w:id="690491209">
      <w:bodyDiv w:val="1"/>
      <w:marLeft w:val="0"/>
      <w:marRight w:val="0"/>
      <w:marTop w:val="0"/>
      <w:marBottom w:val="0"/>
      <w:divBdr>
        <w:top w:val="none" w:sz="0" w:space="0" w:color="auto"/>
        <w:left w:val="none" w:sz="0" w:space="0" w:color="auto"/>
        <w:bottom w:val="none" w:sz="0" w:space="0" w:color="auto"/>
        <w:right w:val="none" w:sz="0" w:space="0" w:color="auto"/>
      </w:divBdr>
    </w:div>
    <w:div w:id="742029641">
      <w:bodyDiv w:val="1"/>
      <w:marLeft w:val="0"/>
      <w:marRight w:val="0"/>
      <w:marTop w:val="0"/>
      <w:marBottom w:val="0"/>
      <w:divBdr>
        <w:top w:val="none" w:sz="0" w:space="0" w:color="auto"/>
        <w:left w:val="none" w:sz="0" w:space="0" w:color="auto"/>
        <w:bottom w:val="none" w:sz="0" w:space="0" w:color="auto"/>
        <w:right w:val="none" w:sz="0" w:space="0" w:color="auto"/>
      </w:divBdr>
    </w:div>
    <w:div w:id="851915323">
      <w:bodyDiv w:val="1"/>
      <w:marLeft w:val="0"/>
      <w:marRight w:val="0"/>
      <w:marTop w:val="0"/>
      <w:marBottom w:val="0"/>
      <w:divBdr>
        <w:top w:val="none" w:sz="0" w:space="0" w:color="auto"/>
        <w:left w:val="none" w:sz="0" w:space="0" w:color="auto"/>
        <w:bottom w:val="none" w:sz="0" w:space="0" w:color="auto"/>
        <w:right w:val="none" w:sz="0" w:space="0" w:color="auto"/>
      </w:divBdr>
    </w:div>
    <w:div w:id="915817771">
      <w:bodyDiv w:val="1"/>
      <w:marLeft w:val="0"/>
      <w:marRight w:val="0"/>
      <w:marTop w:val="0"/>
      <w:marBottom w:val="0"/>
      <w:divBdr>
        <w:top w:val="none" w:sz="0" w:space="0" w:color="auto"/>
        <w:left w:val="none" w:sz="0" w:space="0" w:color="auto"/>
        <w:bottom w:val="none" w:sz="0" w:space="0" w:color="auto"/>
        <w:right w:val="none" w:sz="0" w:space="0" w:color="auto"/>
      </w:divBdr>
    </w:div>
    <w:div w:id="1475954411">
      <w:bodyDiv w:val="1"/>
      <w:marLeft w:val="0"/>
      <w:marRight w:val="0"/>
      <w:marTop w:val="0"/>
      <w:marBottom w:val="0"/>
      <w:divBdr>
        <w:top w:val="none" w:sz="0" w:space="0" w:color="auto"/>
        <w:left w:val="none" w:sz="0" w:space="0" w:color="auto"/>
        <w:bottom w:val="none" w:sz="0" w:space="0" w:color="auto"/>
        <w:right w:val="none" w:sz="0" w:space="0" w:color="auto"/>
      </w:divBdr>
    </w:div>
    <w:div w:id="1551265796">
      <w:bodyDiv w:val="1"/>
      <w:marLeft w:val="0"/>
      <w:marRight w:val="0"/>
      <w:marTop w:val="0"/>
      <w:marBottom w:val="0"/>
      <w:divBdr>
        <w:top w:val="none" w:sz="0" w:space="0" w:color="auto"/>
        <w:left w:val="none" w:sz="0" w:space="0" w:color="auto"/>
        <w:bottom w:val="none" w:sz="0" w:space="0" w:color="auto"/>
        <w:right w:val="none" w:sz="0" w:space="0" w:color="auto"/>
      </w:divBdr>
    </w:div>
    <w:div w:id="1555964403">
      <w:bodyDiv w:val="1"/>
      <w:marLeft w:val="0"/>
      <w:marRight w:val="0"/>
      <w:marTop w:val="0"/>
      <w:marBottom w:val="0"/>
      <w:divBdr>
        <w:top w:val="none" w:sz="0" w:space="0" w:color="auto"/>
        <w:left w:val="none" w:sz="0" w:space="0" w:color="auto"/>
        <w:bottom w:val="none" w:sz="0" w:space="0" w:color="auto"/>
        <w:right w:val="none" w:sz="0" w:space="0" w:color="auto"/>
      </w:divBdr>
    </w:div>
    <w:div w:id="1679383751">
      <w:bodyDiv w:val="1"/>
      <w:marLeft w:val="0"/>
      <w:marRight w:val="0"/>
      <w:marTop w:val="0"/>
      <w:marBottom w:val="0"/>
      <w:divBdr>
        <w:top w:val="none" w:sz="0" w:space="0" w:color="auto"/>
        <w:left w:val="none" w:sz="0" w:space="0" w:color="auto"/>
        <w:bottom w:val="none" w:sz="0" w:space="0" w:color="auto"/>
        <w:right w:val="none" w:sz="0" w:space="0" w:color="auto"/>
      </w:divBdr>
    </w:div>
    <w:div w:id="2005081885">
      <w:bodyDiv w:val="1"/>
      <w:marLeft w:val="0"/>
      <w:marRight w:val="0"/>
      <w:marTop w:val="0"/>
      <w:marBottom w:val="0"/>
      <w:divBdr>
        <w:top w:val="none" w:sz="0" w:space="0" w:color="auto"/>
        <w:left w:val="none" w:sz="0" w:space="0" w:color="auto"/>
        <w:bottom w:val="none" w:sz="0" w:space="0" w:color="auto"/>
        <w:right w:val="none" w:sz="0" w:space="0" w:color="auto"/>
      </w:divBdr>
    </w:div>
    <w:div w:id="2073506137">
      <w:bodyDiv w:val="1"/>
      <w:marLeft w:val="0"/>
      <w:marRight w:val="0"/>
      <w:marTop w:val="0"/>
      <w:marBottom w:val="0"/>
      <w:divBdr>
        <w:top w:val="none" w:sz="0" w:space="0" w:color="auto"/>
        <w:left w:val="none" w:sz="0" w:space="0" w:color="auto"/>
        <w:bottom w:val="none" w:sz="0" w:space="0" w:color="auto"/>
        <w:right w:val="none" w:sz="0" w:space="0" w:color="auto"/>
      </w:divBdr>
    </w:div>
    <w:div w:id="211736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c.europa.eu/sfc/en/system/files/ged/RDP_Annex%2011.pdf" TargetMode="External"/><Relationship Id="rId26" Type="http://schemas.openxmlformats.org/officeDocument/2006/relationships/hyperlink" Target="https://enrd.ec.europa.eu/evaluation/publications/evaluation-innovation-rural-development-programmes-2014-2020_en" TargetMode="External"/><Relationship Id="rId39" Type="http://schemas.openxmlformats.org/officeDocument/2006/relationships/image" Target="media/image7.emf"/><Relationship Id="rId21" Type="http://schemas.openxmlformats.org/officeDocument/2006/relationships/hyperlink" Target="https://enrd.ec.europa.eu/evaluation/publications/guidelines-assessment-rdp-results-how-prepare-reporting-evaluation-2017_en" TargetMode="External"/><Relationship Id="rId34" Type="http://schemas.openxmlformats.org/officeDocument/2006/relationships/image" Target="media/image5.png"/><Relationship Id="rId42" Type="http://schemas.openxmlformats.org/officeDocument/2006/relationships/hyperlink" Target="https://ec.europa.eu/agriculture/sites/agriculture/files/evaluation/guidelines/2007-2013-ex-post_en.pdf" TargetMode="External"/><Relationship Id="rId47" Type="http://schemas.openxmlformats.org/officeDocument/2006/relationships/hyperlink" Target="http://enrd.ec.europa.eu/enrd-static/app_templates/enrd_assets/pdf/evaluation/epe_master.pdf" TargetMode="External"/><Relationship Id="rId50" Type="http://schemas.openxmlformats.org/officeDocument/2006/relationships/hyperlink" Target="https://ec.europa.eu/agriculture/sites/agriculture/files/evaluation/guidelines/2007-2013-ex-post_en.pdf" TargetMode="External"/><Relationship Id="rId55" Type="http://schemas.openxmlformats.org/officeDocument/2006/relationships/image" Target="media/image9.png"/><Relationship Id="rId63" Type="http://schemas.openxmlformats.org/officeDocument/2006/relationships/image" Target="media/image17.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c.europa.eu/agriculture/sites/agriculture/files/cap-indicators/impact/impact-indicators-fiches.pdf" TargetMode="External"/><Relationship Id="rId29" Type="http://schemas.openxmlformats.org/officeDocument/2006/relationships/hyperlink" Target="http://ec.europa.eu/eurostat/documents/4411192/4411431/Europe_2020_Target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c.europa.eu/agriculture/sites/agriculture/files/cap-indicators/impact/2016-impact-indicators-fiches.pdf" TargetMode="External"/><Relationship Id="rId32" Type="http://schemas.openxmlformats.org/officeDocument/2006/relationships/footer" Target="footer3.xml"/><Relationship Id="rId37" Type="http://schemas.openxmlformats.org/officeDocument/2006/relationships/hyperlink" Target="https://www.envieval.eu/fileadmin/envieval/dissemination/deliverables/D9.5_Handbook_for_the_evaluation_of_environmental_impacts_of_RDPs.pdf" TargetMode="External"/><Relationship Id="rId40" Type="http://schemas.openxmlformats.org/officeDocument/2006/relationships/hyperlink" Target="https://www.envieval.eu/" TargetMode="External"/><Relationship Id="rId45" Type="http://schemas.openxmlformats.org/officeDocument/2006/relationships/hyperlink" Target="https://enrd.ec.europa.eu/news-events/news/ex-post-evaluation-rdps-2007-2013_en" TargetMode="External"/><Relationship Id="rId53" Type="http://schemas.openxmlformats.org/officeDocument/2006/relationships/hyperlink" Target="https://books.google.be/books?id=t-uPdSpvPBkC&amp;pg=PP1&amp;lpg=PP1&amp;dq=distinguishing+between+types+of+data+and+methods+of+collecting+them,&amp;source=bl&amp;ots=G26OEW8m2A&amp;sig=h528kvgUEhmDcInCs1LmMIXs8vI&amp;hl=de&amp;sa=X&amp;ved=2ahUKEwjMvZynlc7cAhUSbFAKHaHWCLEQ6AEwBHoECAUQAQ" TargetMode="External"/><Relationship Id="rId58" Type="http://schemas.openxmlformats.org/officeDocument/2006/relationships/image" Target="media/image12.png"/><Relationship Id="rId66"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enrd.ec.europa.eu/evaluation/publications/evaluation-innovation-rural-development-programmes-2014-2020_en" TargetMode="External"/><Relationship Id="rId28" Type="http://schemas.openxmlformats.org/officeDocument/2006/relationships/hyperlink" Target="http://ec.europa.eu/eurostat/web/products-statistical-books/-/KS-EZ-17-001" TargetMode="External"/><Relationship Id="rId36" Type="http://schemas.openxmlformats.org/officeDocument/2006/relationships/hyperlink" Target="https://www.envieval.eu/fileadmin/envieval/dissemination/deliverables/D9.5_Handbook_for_the_evaluation_of_environmental_impacts_of_RDPs.pdf" TargetMode="External"/><Relationship Id="rId49" Type="http://schemas.openxmlformats.org/officeDocument/2006/relationships/hyperlink" Target="https://ec.europa.eu/agriculture/sites/agriculture/files/evaluation/guidelines/2007-2013-ex-post_en.pdf" TargetMode="External"/><Relationship Id="rId57" Type="http://schemas.openxmlformats.org/officeDocument/2006/relationships/image" Target="media/image11.png"/><Relationship Id="rId61"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hyperlink" Target="https://ec.europa.eu/agriculture/sites/agriculture/files/cap-indicators/result/rd-target-indicators_en.pdf" TargetMode="External"/><Relationship Id="rId31" Type="http://schemas.openxmlformats.org/officeDocument/2006/relationships/hyperlink" Target="https://enrd.ec.europa.eu/sites/enrd/files/uploaded-files/wp_evaluation_questions_2015.pdf" TargetMode="External"/><Relationship Id="rId44" Type="http://schemas.openxmlformats.org/officeDocument/2006/relationships/hyperlink" Target="https://enrd.ec.europa.eu/news-events/news/ex-post-evaluation-rdps-2007-2013_en" TargetMode="External"/><Relationship Id="rId52" Type="http://schemas.openxmlformats.org/officeDocument/2006/relationships/hyperlink" Target="https://ec.europa.eu/agriculture/sites/agriculture/files/evaluation/rural-development-reports/2014/investment-support-rdp/fulltext_en.pdf" TargetMode="External"/><Relationship Id="rId60" Type="http://schemas.openxmlformats.org/officeDocument/2006/relationships/image" Target="media/image14.png"/><Relationship Id="rId65"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rd.ec.europa.eu/evaluation/publications/guidelines-assessment-rdp-results-how-prepare-reporting-evaluation-2017_en" TargetMode="External"/><Relationship Id="rId22" Type="http://schemas.openxmlformats.org/officeDocument/2006/relationships/hyperlink" Target="https://enrd.ec.europa.eu/evaluation/publications/evaluation-leaderclld_en" TargetMode="External"/><Relationship Id="rId27" Type="http://schemas.openxmlformats.org/officeDocument/2006/relationships/hyperlink" Target="http://ec.europa.eu/eurostat/web/europe-2020-indicators/europe-2020-strategy/targets" TargetMode="External"/><Relationship Id="rId30" Type="http://schemas.openxmlformats.org/officeDocument/2006/relationships/hyperlink" Target="https://ec.europa.eu/agriculture/cap-indicators/context/2016/2016-context-indicators-fiches.pdf" TargetMode="External"/><Relationship Id="rId35" Type="http://schemas.openxmlformats.org/officeDocument/2006/relationships/hyperlink" Target="https://www.envieval.eu/" TargetMode="External"/><Relationship Id="rId43" Type="http://schemas.openxmlformats.org/officeDocument/2006/relationships/hyperlink" Target="https://ec.europa.eu/agriculture/sites/agriculture/files/evaluation/guidelines/2007-2013-ex-post_en.pdf" TargetMode="External"/><Relationship Id="rId48" Type="http://schemas.openxmlformats.org/officeDocument/2006/relationships/hyperlink" Target="https://ec.europa.eu/agriculture/sites/agriculture/files/evaluation/guidelines/2007-2013-ex-post_en.pdf" TargetMode="External"/><Relationship Id="rId56" Type="http://schemas.openxmlformats.org/officeDocument/2006/relationships/image" Target="media/image10.png"/><Relationship Id="rId64" Type="http://schemas.openxmlformats.org/officeDocument/2006/relationships/image" Target="media/image18.pn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ec.europa.eu/agriculture/sites/agriculture/files/evaluation/guidelines/2007-2013-ex-post_en.pdf"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enrd.ec.europa.eu/sites/enrd/files/twg-01_rdp_results.pdf" TargetMode="External"/><Relationship Id="rId25" Type="http://schemas.openxmlformats.org/officeDocument/2006/relationships/hyperlink" Target="https://ec.europa.eu/agriculture/cap-indicators/context_en" TargetMode="External"/><Relationship Id="rId33" Type="http://schemas.openxmlformats.org/officeDocument/2006/relationships/footer" Target="footer4.xml"/><Relationship Id="rId38" Type="http://schemas.openxmlformats.org/officeDocument/2006/relationships/image" Target="media/image6.emf"/><Relationship Id="rId46" Type="http://schemas.openxmlformats.org/officeDocument/2006/relationships/hyperlink" Target="http://enrd.ec.europa.eu/enrd-static/app_templates/enrd_assets/pdf/evaluation/epe_master.pdf" TargetMode="External"/><Relationship Id="rId59" Type="http://schemas.openxmlformats.org/officeDocument/2006/relationships/image" Target="media/image13.png"/><Relationship Id="rId67" Type="http://schemas.openxmlformats.org/officeDocument/2006/relationships/header" Target="header2.xml"/><Relationship Id="rId20" Type="http://schemas.openxmlformats.org/officeDocument/2006/relationships/hyperlink" Target="https://ec.europa.eu/agriculture/sites/agriculture/files/cap-indicators/result/complementary-result-indicator-fiches-pillar-ii_en.pdf" TargetMode="External"/><Relationship Id="rId41" Type="http://schemas.openxmlformats.org/officeDocument/2006/relationships/hyperlink" Target="https://www.envieval.eu/fileadmin/envieval/dissemination/deliverables/D9.5_Handbook_for_the_evaluation_of_environmental_impacts_of_RDPs.pdf" TargetMode="External"/><Relationship Id="rId54" Type="http://schemas.openxmlformats.org/officeDocument/2006/relationships/image" Target="media/image8.png"/><Relationship Id="rId62" Type="http://schemas.openxmlformats.org/officeDocument/2006/relationships/image" Target="media/image16.png"/></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cs/ALL/?uri=CELEX:32014R0808" TargetMode="External"/><Relationship Id="rId3" Type="http://schemas.openxmlformats.org/officeDocument/2006/relationships/hyperlink" Target="http://eur-lex.europa.eu/legal-content/cs/ALL/?uri=CELEX:32014R0808" TargetMode="External"/><Relationship Id="rId7" Type="http://schemas.openxmlformats.org/officeDocument/2006/relationships/hyperlink" Target="http://eur-lex.europa.eu/legal-content/CS/TXT/?uri=CELEX:32014R0834" TargetMode="External"/><Relationship Id="rId12" Type="http://schemas.openxmlformats.org/officeDocument/2006/relationships/hyperlink" Target="http://enrd.ec.europa.eu/enrd-static/app_templates/enrd_assets/pdf/evaluation/epe_master.pdf" TargetMode="External"/><Relationship Id="rId2" Type="http://schemas.openxmlformats.org/officeDocument/2006/relationships/hyperlink" Target="https://enrd.ec.europa.eu/sites/enrd/files/uploaded-files/twg-05-ep-june2015_0.pdf" TargetMode="External"/><Relationship Id="rId1" Type="http://schemas.openxmlformats.org/officeDocument/2006/relationships/hyperlink" Target="http://eur-lex.europa.eu/legal-content/cs/ALL/?uri=CELEX:32013R1305" TargetMode="External"/><Relationship Id="rId6" Type="http://schemas.openxmlformats.org/officeDocument/2006/relationships/hyperlink" Target="http://eur-lex.europa.eu/legal-content/CS/TXT/?uri=celex:32013R1306" TargetMode="External"/><Relationship Id="rId11" Type="http://schemas.openxmlformats.org/officeDocument/2006/relationships/hyperlink" Target="https://enrd.ec.europa.eu/evaluation/publications/guidelines-assessment-rdp-results-how-prepare-reporting-evaluation-2017_en" TargetMode="External"/><Relationship Id="rId5" Type="http://schemas.openxmlformats.org/officeDocument/2006/relationships/hyperlink" Target="file:///C:\Users\wimmer\AppData\Local\Microsoft\Windows\INetCache\Content.Outlook\3TA5XJ7V\ur-lex.europa.eu\legal-content\EN\TXT\" TargetMode="External"/><Relationship Id="rId10" Type="http://schemas.openxmlformats.org/officeDocument/2006/relationships/hyperlink" Target="https://ec.europa.eu/agriculture/sites/agriculture/files/evaluation/guidelines/2017-update-technical-handbook-monitoring-evaluation-framework_en.pdf" TargetMode="External"/><Relationship Id="rId4" Type="http://schemas.openxmlformats.org/officeDocument/2006/relationships/hyperlink" Target="https://enrd.ec.europa.eu/evaluation/publications/summary-report-synthesis-evaluation-components-2017-enhanced-air-chapter-7_en" TargetMode="External"/><Relationship Id="rId9" Type="http://schemas.openxmlformats.org/officeDocument/2006/relationships/hyperlink" Target="https://ec.europa.eu/agriculture/sites/agriculture/files/evaluation/guidelines/2017-update-technical-handbook-monitoring-evaluation-framework_en.pdf" TargetMode="External"/></Relationships>
</file>

<file path=word/theme/theme1.xml><?xml version="1.0" encoding="utf-8"?>
<a:theme xmlns:a="http://schemas.openxmlformats.org/drawingml/2006/main" name="Larissa-Design">
  <a:themeElements>
    <a:clrScheme name="Helpdesk">
      <a:dk1>
        <a:srgbClr val="373737"/>
      </a:dk1>
      <a:lt1>
        <a:srgbClr val="FFFFFF"/>
      </a:lt1>
      <a:dk2>
        <a:srgbClr val="373737"/>
      </a:dk2>
      <a:lt2>
        <a:srgbClr val="FFFFFF"/>
      </a:lt2>
      <a:accent1>
        <a:srgbClr val="F07E31"/>
      </a:accent1>
      <a:accent2>
        <a:srgbClr val="BE4A35"/>
      </a:accent2>
      <a:accent3>
        <a:srgbClr val="59638E"/>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EF8E3-5F0E-4589-85D6-FCF18D66A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6990</Words>
  <Characters>39849</Characters>
  <Application>Microsoft Office Word</Application>
  <DocSecurity>0</DocSecurity>
  <Lines>332</Lines>
  <Paragraphs>93</Paragraphs>
  <ScaleCrop>false</ScaleCrop>
  <HeadingPairs>
    <vt:vector size="8" baseType="variant">
      <vt:variant>
        <vt:lpstr>Title</vt:lpstr>
      </vt:variant>
      <vt:variant>
        <vt:i4>1</vt:i4>
      </vt:variant>
      <vt:variant>
        <vt:lpstr>Název</vt:lpstr>
      </vt:variant>
      <vt:variant>
        <vt:i4>1</vt:i4>
      </vt:variant>
      <vt:variant>
        <vt:lpstr>Titel</vt:lpstr>
      </vt:variant>
      <vt:variant>
        <vt:i4>1</vt:i4>
      </vt:variant>
      <vt:variant>
        <vt:lpstr>Názov</vt:lpstr>
      </vt:variant>
      <vt:variant>
        <vt:i4>1</vt:i4>
      </vt:variant>
    </vt:vector>
  </HeadingPairs>
  <TitlesOfParts>
    <vt:vector size="4" baseType="lpstr">
      <vt:lpstr/>
      <vt:lpstr/>
      <vt:lpstr/>
      <vt:lpstr/>
    </vt:vector>
  </TitlesOfParts>
  <LinksUpToDate>false</LinksUpToDate>
  <CharactersWithSpaces>46746</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2018-11-19T10:54:00Z</dcterms:created>
  <dcterms:modified xsi:type="dcterms:W3CDTF">2018-11-19T11:00:00Z</dcterms:modified>
</cp:coreProperties>
</file>